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ef20073864_15-12g.htm"/>
      <w:bookmarkStart w:id="1" w:name="ksef20073864_1512g"/>
      <w:bookmarkStart w:id="2" w:name="ef20073864_15-12g.htm"/>
      <w:bookmarkStart w:id="3" w:name="ksef20073864_1512g"/>
      <w:bookmarkEnd w:id="2"/>
      <w:bookmarkEnd w:id="3"/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FORM 15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CERTIFICATION AND NOTICE OF TERMINATION OF REGISTRATION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UNDER SECTION 12(g) OF THE SECURITIES EXCHANGE ACT OF 1934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OR SUSPENSION OF DUTY TO FILE REPORTS UNDER SECTIONS 13 AND 15(d)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OF THE SECURITIES EXCHANGE ACT OF 1934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Commission File Number 001-33365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48"/>
        </w:rPr>
      </w:pPr>
      <w:r>
        <w:rPr>
          <w:rFonts w:ascii="Times New Roman" w:hAnsi="Times New Roman"/>
          <w:b/>
          <w:color w:val="000000"/>
          <w:sz w:val="48"/>
        </w:rPr>
        <w:t>Cantaloupe, Inc.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(Exact name of registrant as specified in its charter)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1743 Maplelawn Drive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Troy, Michigan 48084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(888) 365-7382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(Address, including zip code, and telephone number, including area code, of registrant’s principal executive offices)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Common Stock, no par value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(Title of each class of securities covered by this Form)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None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(Titles of all other classes of securities for which a duty to file reports under Section 13(a) or 15(d) remains)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Please place an X in the box(es) to designate the appropriate rule provision(s) relied upon to terminate or suspend the duty to file reports: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2fde95af704e40e995325b809d2d57a0"/>
      <w:bookmarkStart w:id="5" w:name="z2fde95af704e40e995325b809d2d57a0"/>
      <w:bookmarkEnd w:id="5"/>
    </w:p>
    <w:tbl>
      <w:tblPr>
        <w:tblW w:w="212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95"/>
        <w:gridCol w:w="230"/>
      </w:tblGrid>
      <w:tr>
        <w:trPr/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200" w:right="0" w:hanging="200"/>
              <w:jc w:val="left"/>
              <w:rPr>
                <w:color w:val="000000"/>
              </w:rPr>
            </w:pPr>
            <w:r>
              <w:rPr>
                <w:color w:val="000000"/>
              </w:rPr>
              <w:t>Rule 12g-4(a)(1)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☒</w:t>
            </w:r>
          </w:p>
        </w:tc>
      </w:tr>
      <w:tr>
        <w:trPr/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200" w:right="0" w:hanging="200"/>
              <w:jc w:val="left"/>
              <w:rPr>
                <w:color w:val="000000"/>
              </w:rPr>
            </w:pPr>
            <w:r>
              <w:rPr>
                <w:color w:val="000000"/>
              </w:rPr>
              <w:t>Rule 12g-4(a)(2)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☐</w:t>
            </w:r>
          </w:p>
        </w:tc>
      </w:tr>
      <w:tr>
        <w:trPr/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200" w:right="0" w:hanging="200"/>
              <w:jc w:val="left"/>
              <w:rPr>
                <w:color w:val="000000"/>
              </w:rPr>
            </w:pPr>
            <w:r>
              <w:rPr>
                <w:color w:val="000000"/>
              </w:rPr>
              <w:t>Rule 12h-3(b)(1)(i)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</w:tr>
      <w:tr>
        <w:trPr/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200" w:right="0" w:hanging="200"/>
              <w:jc w:val="left"/>
              <w:rPr>
                <w:color w:val="000000"/>
              </w:rPr>
            </w:pPr>
            <w:r>
              <w:rPr>
                <w:color w:val="000000"/>
              </w:rPr>
              <w:t>Rule 12h-3(b)(1)(ii)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☐</w:t>
            </w:r>
          </w:p>
        </w:tc>
      </w:tr>
      <w:tr>
        <w:trPr/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200" w:right="0" w:hanging="200"/>
              <w:jc w:val="left"/>
              <w:rPr>
                <w:color w:val="000000"/>
              </w:rPr>
            </w:pPr>
            <w:r>
              <w:rPr>
                <w:color w:val="000000"/>
              </w:rPr>
              <w:t>Rule 15d-6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</w:tr>
      <w:tr>
        <w:trPr/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200" w:right="0" w:hanging="200"/>
              <w:jc w:val="left"/>
              <w:rPr>
                <w:color w:val="000000"/>
              </w:rPr>
            </w:pPr>
            <w:r>
              <w:rPr>
                <w:color w:val="000000"/>
              </w:rPr>
              <w:t>Rule 15d-22(b)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☐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Approximate number of holders of record as of the certification or notice date: One (1).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Pursuant to the requirements of the Securities Exchange Act of 1934, Cantaloupe, Inc. has caused this certification/notice to be signed on its behalf by the undersigned duly authorized person.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fb345cb84f7a4728949175126886dc1a"/>
      <w:bookmarkStart w:id="7" w:name="zfb345cb84f7a4728949175126886dc1a"/>
      <w:bookmarkEnd w:id="7"/>
    </w:p>
    <w:tbl>
      <w:tblPr>
        <w:tblW w:w="56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25"/>
        <w:gridCol w:w="365"/>
        <w:gridCol w:w="650"/>
        <w:gridCol w:w="2750"/>
      </w:tblGrid>
      <w:tr>
        <w:trPr/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376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</w:rPr>
            </w:pPr>
            <w:r>
              <w:rPr>
                <w:b/>
              </w:rPr>
              <w:t>CANTALOUPE, INC.</w:t>
            </w:r>
          </w:p>
        </w:tc>
      </w:tr>
      <w:tr>
        <w:trPr/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34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Date: May 18, 2026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By:</w:t>
            </w:r>
          </w:p>
        </w:tc>
        <w:tc>
          <w:tcPr>
            <w:tcW w:w="3400" w:type="dxa"/>
            <w:gridSpan w:val="2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/s/ Brittany Westerman</w:t>
            </w:r>
          </w:p>
        </w:tc>
      </w:tr>
      <w:tr>
        <w:trPr/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Name:</w:t>
            </w:r>
          </w:p>
        </w:tc>
        <w:tc>
          <w:tcPr>
            <w:tcW w:w="27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Brittany Westerman</w:t>
            </w:r>
          </w:p>
        </w:tc>
      </w:tr>
      <w:tr>
        <w:trPr/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Title:</w:t>
            </w:r>
          </w:p>
        </w:tc>
        <w:tc>
          <w:tcPr>
            <w:tcW w:w="27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Vice President and Secretary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225</Words>
  <Characters>1219</Characters>
  <CharactersWithSpaces>1407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