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40" w:right="1900" w:hanging="3732"/>
        <w:spacing w:after="0" w:line="503" w:lineRule="auto"/>
        <w:tabs>
          <w:tab w:leader="none" w:pos="3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2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23-2679963</w:t>
            </w:r>
          </w:p>
        </w:tc>
        <w:tc>
          <w:tcPr>
            <w:tcW w:w="740" w:type="dxa"/>
            <w:vAlign w:val="bottom"/>
          </w:tcPr>
          <w:p>
            <w:pPr>
              <w:spacing w:after="0"/>
              <w:rPr>
                <w:sz w:val="20"/>
                <w:szCs w:val="20"/>
                <w:color w:val="auto"/>
              </w:rPr>
            </w:pPr>
          </w:p>
        </w:tc>
      </w:tr>
      <w:tr>
        <w:trPr>
          <w:trHeight w:val="230"/>
        </w:trPr>
        <w:tc>
          <w:tcPr>
            <w:tcW w:w="57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gridSpan w:val="5"/>
          </w:tcPr>
          <w:p>
            <w:pPr>
              <w:jc w:val="center"/>
              <w:ind w:left="1570"/>
              <w:spacing w:after="0"/>
              <w:rPr>
                <w:sz w:val="20"/>
                <w:szCs w:val="20"/>
                <w:color w:val="auto"/>
              </w:rPr>
            </w:pPr>
            <w:r>
              <w:rPr>
                <w:rFonts w:ascii="Arial" w:cs="Arial" w:eastAsia="Arial" w:hAnsi="Arial"/>
                <w:sz w:val="18"/>
                <w:szCs w:val="18"/>
                <w:color w:val="auto"/>
                <w:w w:val="94"/>
              </w:rPr>
              <w:t>(I.R.S. Employer Identification No.)</w:t>
            </w:r>
          </w:p>
        </w:tc>
      </w:tr>
      <w:tr>
        <w:trPr>
          <w:trHeight w:val="4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27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0" w:type="dxa"/>
            <w:vAlign w:val="bottom"/>
          </w:tcPr>
          <w:p>
            <w:pPr>
              <w:spacing w:after="0"/>
              <w:rPr>
                <w:sz w:val="20"/>
                <w:szCs w:val="20"/>
                <w:color w:val="auto"/>
              </w:rPr>
            </w:pPr>
          </w:p>
        </w:tc>
        <w:tc>
          <w:tcPr>
            <w:tcW w:w="1880" w:type="dxa"/>
            <w:vAlign w:val="bottom"/>
            <w:gridSpan w:val="4"/>
          </w:tcPr>
          <w:p>
            <w:pPr>
              <w:jc w:val="center"/>
              <w:ind w:right="76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(610) 989-0340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3" w:right="239" w:bottom="1440" w:gutter="0" w:footer="0" w:header="0"/>
        </w:sectPr>
      </w:pPr>
    </w:p>
    <w:p>
      <w:pPr>
        <w:spacing w:after="0" w:line="114" w:lineRule="exact"/>
        <w:rPr>
          <w:sz w:val="24"/>
          <w:szCs w:val="24"/>
          <w:color w:val="auto"/>
        </w:rPr>
      </w:pPr>
    </w:p>
    <w:p>
      <w:pPr>
        <w:ind w:left="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12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2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3">
            <w:col w:w="3980" w:space="720"/>
            <w:col w:w="3400" w:space="720"/>
            <w:col w:w="2600"/>
          </w:cols>
          <w:pgMar w:left="240" w:top="783"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2016, there were 40,297,208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6"/>
          </w:tcPr>
          <w:p>
            <w:pPr>
              <w:spacing w:after="0"/>
              <w:rPr>
                <w:sz w:val="20"/>
                <w:szCs w:val="20"/>
                <w:color w:val="auto"/>
              </w:rPr>
            </w:pPr>
            <w:r>
              <w:rPr>
                <w:rFonts w:ascii="Arial" w:cs="Arial" w:eastAsia="Arial" w:hAnsi="Arial"/>
                <w:sz w:val="18"/>
                <w:szCs w:val="18"/>
                <w:color w:val="auto"/>
              </w:rPr>
              <w:t>Part I - Financial Information</w:t>
            </w:r>
          </w:p>
        </w:tc>
        <w:tc>
          <w:tcPr>
            <w:tcW w:w="142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142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(unaudited) – September 30, 2016 and June 30, 2016 (unaudited)</w:t>
              </w:r>
            </w:hyperlink>
          </w:p>
        </w:tc>
        <w:tc>
          <w:tcPr>
            <w:tcW w:w="2020" w:type="dxa"/>
            <w:vAlign w:val="bottom"/>
            <w:gridSpan w:val="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 Three months ended September 30, 2016 and 2015</w:t>
              </w:r>
            </w:hyperlink>
          </w:p>
        </w:tc>
        <w:tc>
          <w:tcPr>
            <w:tcW w:w="130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(unaudited) – Three months ended September 30, 2016</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 Three months ended September 30, 2016 and 2015</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640" w:type="dxa"/>
            <w:vAlign w:val="bottom"/>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380" w:type="dxa"/>
            <w:vAlign w:val="bottom"/>
            <w:gridSpan w:val="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64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448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9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Part II - Other Information</w:t>
              </w:r>
            </w:hyperlink>
          </w:p>
        </w:tc>
        <w:tc>
          <w:tcPr>
            <w:tcW w:w="8060" w:type="dxa"/>
            <w:vAlign w:val="bottom"/>
            <w:gridSpan w:val="11"/>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64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7500" w:type="dxa"/>
            <w:vAlign w:val="bottom"/>
            <w:gridSpan w:val="10"/>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64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64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1680" w:type="dxa"/>
            <w:vAlign w:val="bottom"/>
            <w:tcBorders>
              <w:top w:val="single" w:sz="8" w:color="0000EE"/>
            </w:tcBorders>
            <w:gridSpan w:val="5"/>
          </w:tcPr>
          <w:p>
            <w:pPr>
              <w:spacing w:after="0"/>
              <w:rPr>
                <w:sz w:val="24"/>
                <w:szCs w:val="24"/>
                <w:color w:val="auto"/>
              </w:rPr>
            </w:pPr>
          </w:p>
        </w:tc>
        <w:tc>
          <w:tcPr>
            <w:tcW w:w="6560" w:type="dxa"/>
            <w:vAlign w:val="bottom"/>
            <w:gridSpan w:val="8"/>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080" w:type="dxa"/>
            <w:vAlign w:val="bottom"/>
            <w:gridSpan w:val="12"/>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69"/>
        </w:trPr>
        <w:tc>
          <w:tcPr>
            <w:tcW w:w="52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6460" w:type="dxa"/>
            <w:vAlign w:val="bottom"/>
            <w:tcBorders>
              <w:bottom w:val="single" w:sz="8" w:color="DCDCDC"/>
            </w:tcBorders>
            <w:gridSpan w:val="9"/>
          </w:tcPr>
          <w:p>
            <w:pPr>
              <w:ind w:left="452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 in thousands, except shares)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8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(unaudited)</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18,198</w:t>
            </w:r>
          </w:p>
        </w:tc>
        <w:tc>
          <w:tcPr>
            <w:tcW w:w="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doubtful accounts of $2,446 and $2,814,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3,349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2,271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35,361</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33,048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3,962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9,570</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25,568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754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11,703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87,081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8,693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3,912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Line of credit,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7,258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834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21,390</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28,177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22,918</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Authorized shares- 1,800,000 Series A convertible preferred- Authorized shares- 900,000 Issued and outstanding</w:t>
            </w: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shares- 445,063 with liquidation preference of $18,442 and $18,108, respectively</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3,138</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spacing w:after="0" w:line="201" w:lineRule="exact"/>
              <w:rPr>
                <w:sz w:val="20"/>
                <w:szCs w:val="20"/>
                <w:color w:val="auto"/>
              </w:rPr>
            </w:pPr>
            <w:r>
              <w:rPr>
                <w:rFonts w:ascii="Arial" w:cs="Arial" w:eastAsia="Arial" w:hAnsi="Arial"/>
                <w:sz w:val="18"/>
                <w:szCs w:val="18"/>
                <w:color w:val="auto"/>
                <w:w w:val="94"/>
              </w:rPr>
              <w:t>Common stock, no par value: Authorized shares- 640,000,000 Issued and outstanding shares- 40,295,425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37,783,444,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244,996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233,394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(183,971)</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64,163</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3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87,081</w:t>
            </w:r>
          </w:p>
        </w:tc>
        <w:tc>
          <w:tcPr>
            <w:tcW w:w="1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84,833</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340" w:type="dxa"/>
            <w:vAlign w:val="bottom"/>
            <w:tcBorders>
              <w:bottom w:val="single" w:sz="8" w:color="DCDCDC"/>
            </w:tcBorders>
          </w:tcPr>
          <w:p>
            <w:pPr>
              <w:ind w:left="566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 in thousands, except shares and per share data)</w:t>
            </w: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License and transaction fees</w:t>
            </w:r>
          </w:p>
        </w:tc>
        <w:tc>
          <w:tcPr>
            <w:tcW w:w="222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16,365</w:t>
            </w:r>
          </w:p>
        </w:tc>
        <w:tc>
          <w:tcPr>
            <w:tcW w:w="48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12,925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5,223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9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21,588</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11,243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4,178</w:t>
            </w:r>
          </w:p>
        </w:tc>
        <w:tc>
          <w:tcPr>
            <w:tcW w:w="6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19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15,421</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11,553</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Gross profit</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6,167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6,909</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194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7,117</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2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194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2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provision for income taxes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(2,579)</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F0FFFF"/>
            </w:tcBorders>
            <w:shd w:val="clear" w:color="auto" w:fill="F0FFFF"/>
          </w:tcPr>
          <w:p>
            <w:pPr>
              <w:spacing w:after="0"/>
              <w:rPr>
                <w:sz w:val="18"/>
                <w:szCs w:val="18"/>
                <w:color w:val="auto"/>
              </w:rPr>
            </w:pPr>
          </w:p>
        </w:tc>
        <w:tc>
          <w:tcPr>
            <w:tcW w:w="19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(loss)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19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22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194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F0FFFF"/>
            </w:tcBorders>
          </w:tcPr>
          <w:p>
            <w:pPr>
              <w:spacing w:after="0" w:line="20" w:lineRule="exact"/>
              <w:rPr>
                <w:sz w:val="1"/>
                <w:szCs w:val="1"/>
                <w:color w:val="auto"/>
              </w:rPr>
            </w:pPr>
          </w:p>
        </w:tc>
        <w:tc>
          <w:tcPr>
            <w:tcW w:w="19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38,488,005</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0"/>
              </w:rPr>
              <w:t>35,848,395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38,488,005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36,487,879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in thousands, except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Reclass of fair value of warranty liability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2013 Stock Incentive Plan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2014 Stock Option Incentive Plan</w:t>
      </w:r>
    </w:p>
    <w:p>
      <w:pPr>
        <w:spacing w:after="0" w:line="9" w:lineRule="exact"/>
        <w:rPr>
          <w:sz w:val="20"/>
          <w:szCs w:val="20"/>
          <w:color w:val="auto"/>
        </w:rPr>
      </w:pPr>
    </w:p>
    <w:p>
      <w:pPr>
        <w:ind w:right="1040" w:firstLine="365"/>
        <w:spacing w:after="0" w:line="255" w:lineRule="auto"/>
        <w:rPr>
          <w:sz w:val="20"/>
          <w:szCs w:val="20"/>
          <w:color w:val="auto"/>
        </w:rPr>
      </w:pPr>
      <w:r>
        <w:rPr>
          <w:rFonts w:ascii="Arial" w:cs="Arial" w:eastAsia="Arial" w:hAnsi="Arial"/>
          <w:sz w:val="18"/>
          <w:szCs w:val="18"/>
          <w:color w:val="auto"/>
        </w:rPr>
        <w:t>2015 Equity Incentive Plan Retirement of common stock Net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3820"/>
        <w:spacing w:after="0"/>
        <w:rPr>
          <w:sz w:val="20"/>
          <w:szCs w:val="20"/>
          <w:color w:val="auto"/>
        </w:rPr>
      </w:pPr>
      <w:r>
        <w:rPr>
          <w:rFonts w:ascii="Arial" w:cs="Arial" w:eastAsia="Arial" w:hAnsi="Arial"/>
          <w:sz w:val="16"/>
          <w:szCs w:val="16"/>
          <w:b w:val="1"/>
          <w:bCs w:val="1"/>
          <w:color w:val="auto"/>
        </w:rPr>
        <w:t>Consolidated Statement of Shareholders’ Equity</w:t>
      </w:r>
    </w:p>
    <w:p>
      <w:pPr>
        <w:spacing w:after="0" w:line="32" w:lineRule="exact"/>
        <w:rPr>
          <w:sz w:val="20"/>
          <w:szCs w:val="20"/>
          <w:color w:val="auto"/>
        </w:rPr>
      </w:pPr>
    </w:p>
    <w:p>
      <w:pPr>
        <w:jc w:val="center"/>
        <w:ind w:right="38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480" w:type="dxa"/>
            <w:vAlign w:val="bottom"/>
            <w:gridSpan w:val="4"/>
          </w:tcPr>
          <w:p>
            <w:pPr>
              <w:jc w:val="center"/>
              <w:ind w:left="750"/>
              <w:spacing w:after="0"/>
              <w:rPr>
                <w:sz w:val="20"/>
                <w:szCs w:val="20"/>
                <w:color w:val="auto"/>
              </w:rPr>
            </w:pPr>
            <w:r>
              <w:rPr>
                <w:rFonts w:ascii="Arial" w:cs="Arial" w:eastAsia="Arial" w:hAnsi="Arial"/>
                <w:sz w:val="18"/>
                <w:szCs w:val="18"/>
                <w:color w:val="auto"/>
                <w:w w:val="88"/>
              </w:rPr>
              <w:t>Series 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Convertible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6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Preferred Stock</w:t>
            </w:r>
          </w:p>
        </w:tc>
        <w:tc>
          <w:tcPr>
            <w:tcW w:w="2420" w:type="dxa"/>
            <w:vAlign w:val="bottom"/>
            <w:gridSpan w:val="6"/>
          </w:tcPr>
          <w:p>
            <w:pPr>
              <w:jc w:val="right"/>
              <w:ind w:right="7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445,063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37,783,444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233,394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(181,507)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2,376,675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141,839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7"/>
        </w:trPr>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1040" w:type="dxa"/>
            <w:vAlign w:val="bottom"/>
          </w:tcPr>
          <w:p>
            <w:pPr>
              <w:jc w:val="right"/>
              <w:spacing w:after="0"/>
              <w:rPr>
                <w:sz w:val="20"/>
                <w:szCs w:val="20"/>
                <w:color w:val="auto"/>
              </w:rPr>
            </w:pPr>
            <w:r>
              <w:rPr>
                <w:rFonts w:ascii="Arial" w:cs="Arial" w:eastAsia="Arial" w:hAnsi="Arial"/>
                <w:sz w:val="18"/>
                <w:szCs w:val="18"/>
                <w:color w:val="auto"/>
              </w:rPr>
              <w:t>445,063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3,138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40,295,425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244,996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(183,971)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-1860550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-1585595</wp:posOffset>
            </wp:positionV>
            <wp:extent cx="72466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-1174115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-899795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-625475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-334010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80" w:space="480"/>
            <w:col w:w="7520"/>
          </w:cols>
          <w:pgMar w:left="240" w:top="90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 in thousands)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37"/>
        </w:trPr>
        <w:tc>
          <w:tcPr>
            <w:tcW w:w="82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8"/>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(2,464)</w:t>
            </w:r>
          </w:p>
        </w:tc>
        <w:tc>
          <w:tcPr>
            <w:tcW w:w="420" w:type="dxa"/>
            <w:vAlign w:val="bottom"/>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provided/(used) by operating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3"/>
              </w:rPr>
              <w:t>Charges incurred in connection with the vesting and issuance of common stock and common stock options for</w:t>
            </w:r>
          </w:p>
        </w:tc>
        <w:tc>
          <w:tcPr>
            <w:tcW w:w="3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employee and director compensation</w:t>
            </w:r>
          </w:p>
        </w:tc>
        <w:tc>
          <w:tcPr>
            <w:tcW w:w="3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Non-cash interest</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1,257</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1,490</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(1,038)</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Finance receivables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(2,223)</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(3,661)</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provided/(used) by operating activities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(6,265)</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Purchase and additions of intangible assets,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for rental program</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right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Cash used for the retirement of common stock</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w:t>
            </w: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6,193</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provided/(used) by financing activities</w:t>
            </w:r>
          </w:p>
        </w:tc>
        <w:tc>
          <w:tcPr>
            <w:tcW w:w="3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6,001</w:t>
            </w:r>
          </w:p>
        </w:tc>
        <w:tc>
          <w:tcPr>
            <w:tcW w:w="200" w:type="dxa"/>
            <w:vAlign w:val="bottom"/>
            <w:tcBorders>
              <w:right w:val="single" w:sz="8" w:color="F0FFFF"/>
            </w:tcBorders>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Cash at beginning of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at end of period</w:t>
      </w:r>
    </w:p>
    <w:p>
      <w:pPr>
        <w:spacing w:after="0" w:line="20" w:lineRule="exact"/>
        <w:rPr>
          <w:sz w:val="20"/>
          <w:szCs w:val="20"/>
          <w:color w:val="auto"/>
        </w:rPr>
      </w:pPr>
      <w:r>
        <w:rPr>
          <w:sz w:val="20"/>
          <w:szCs w:val="20"/>
          <w:color w:val="auto"/>
        </w:rPr>
        <w:br w:type="column"/>
      </w:r>
    </w:p>
    <w:p>
      <w:pPr>
        <w:jc w:val="both"/>
        <w:ind w:left="800"/>
        <w:spacing w:after="0"/>
        <w:tabs>
          <w:tab w:leader="none" w:pos="244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both"/>
        <w:ind w:left="780"/>
        <w:spacing w:after="0"/>
        <w:tabs>
          <w:tab w:leader="none" w:pos="2220" w:val="left"/>
        </w:tabs>
        <w:rPr>
          <w:sz w:val="20"/>
          <w:szCs w:val="20"/>
          <w:color w:val="auto"/>
        </w:rPr>
      </w:pPr>
      <w:r>
        <w:rPr>
          <w:rFonts w:ascii="Arial" w:cs="Arial" w:eastAsia="Arial" w:hAnsi="Arial"/>
          <w:sz w:val="18"/>
          <w:szCs w:val="18"/>
          <w:color w:val="auto"/>
        </w:rPr>
        <w:t>19,272</w:t>
      </w:r>
      <w:r>
        <w:rPr>
          <w:sz w:val="20"/>
          <w:szCs w:val="20"/>
          <w:color w:val="auto"/>
        </w:rPr>
        <w:tab/>
      </w:r>
      <w:r>
        <w:rPr>
          <w:rFonts w:ascii="Arial" w:cs="Arial" w:eastAsia="Arial" w:hAnsi="Arial"/>
          <w:sz w:val="18"/>
          <w:szCs w:val="18"/>
          <w:color w:val="auto"/>
        </w:rPr>
        <w:t>11,374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14605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 w:lineRule="exact"/>
        <w:rPr>
          <w:sz w:val="20"/>
          <w:szCs w:val="20"/>
          <w:color w:val="auto"/>
        </w:rPr>
      </w:pPr>
    </w:p>
    <w:p>
      <w:pPr>
        <w:spacing w:after="0"/>
        <w:tabs>
          <w:tab w:leader="none" w:pos="760" w:val="left"/>
          <w:tab w:leader="none" w:pos="1460" w:val="left"/>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18,198</w:t>
        <w:tab/>
        <w:t>$</w:t>
      </w:r>
      <w:r>
        <w:rPr>
          <w:sz w:val="20"/>
          <w:szCs w:val="20"/>
          <w:color w:val="auto"/>
        </w:rPr>
        <w:tab/>
      </w:r>
      <w:r>
        <w:rPr>
          <w:rFonts w:ascii="Arial" w:cs="Arial" w:eastAsia="Arial" w:hAnsi="Arial"/>
          <w:sz w:val="16"/>
          <w:szCs w:val="16"/>
          <w:color w:val="auto"/>
        </w:rPr>
        <w:t>11,592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23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Interest paid in cash</w:t>
            </w:r>
          </w:p>
        </w:tc>
        <w:tc>
          <w:tcPr>
            <w:tcW w:w="28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200" w:type="dxa"/>
            <w:vAlign w:val="bottom"/>
            <w:tcBorders>
              <w:bottom w:val="single" w:sz="8" w:color="F0FFFF"/>
            </w:tcBorders>
          </w:tcPr>
          <w:p>
            <w:pPr>
              <w:spacing w:after="0" w:line="20" w:lineRule="exact"/>
              <w:rPr>
                <w:sz w:val="1"/>
                <w:szCs w:val="1"/>
                <w:color w:val="auto"/>
              </w:rPr>
            </w:pPr>
          </w:p>
        </w:tc>
        <w:tc>
          <w:tcPr>
            <w:tcW w:w="2380" w:type="dxa"/>
            <w:vAlign w:val="bottom"/>
            <w:tcBorders>
              <w:bottom w:val="single" w:sz="8" w:color="F0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Depreciation expense allocated to cost of services</w:t>
            </w:r>
          </w:p>
        </w:tc>
        <w:tc>
          <w:tcPr>
            <w:tcW w:w="238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Reclass of rental program property to inventory, net</w:t>
            </w:r>
          </w:p>
        </w:tc>
        <w:tc>
          <w:tcPr>
            <w:tcW w:w="2380" w:type="dxa"/>
            <w:vAlign w:val="bottom"/>
            <w:tcBorders>
              <w:top w:val="single" w:sz="8" w:color="F0FFFF"/>
              <w:bottom w:val="single" w:sz="8" w:color="F0FFFF"/>
            </w:tcBorders>
            <w:vMerge w:val="restart"/>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290"/>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290"/>
              <w:spacing w:after="0" w:line="19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(279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F0FFFF"/>
            </w:tcBorders>
          </w:tcPr>
          <w:p>
            <w:pPr>
              <w:spacing w:after="0" w:line="20" w:lineRule="exact"/>
              <w:rPr>
                <w:sz w:val="1"/>
                <w:szCs w:val="1"/>
                <w:color w:val="auto"/>
              </w:rPr>
            </w:pPr>
          </w:p>
        </w:tc>
        <w:tc>
          <w:tcPr>
            <w:tcW w:w="238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Prepaid items financed with debt</w:t>
            </w:r>
          </w:p>
        </w:tc>
        <w:tc>
          <w:tcPr>
            <w:tcW w:w="238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380" w:type="dxa"/>
            <w:vAlign w:val="bottom"/>
            <w:tcBorders>
              <w:top w:val="single" w:sz="8" w:color="F0FFFF"/>
              <w:bottom w:val="single" w:sz="8" w:color="F0FFFF"/>
            </w:tcBorders>
            <w:vMerge w:val="restart"/>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290"/>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254</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290"/>
              <w:spacing w:after="0" w:line="19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35</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F0FFFF"/>
            </w:tcBorders>
          </w:tcPr>
          <w:p>
            <w:pPr>
              <w:spacing w:after="0" w:line="20" w:lineRule="exact"/>
              <w:rPr>
                <w:sz w:val="1"/>
                <w:szCs w:val="1"/>
                <w:color w:val="auto"/>
              </w:rPr>
            </w:pPr>
          </w:p>
        </w:tc>
        <w:tc>
          <w:tcPr>
            <w:tcW w:w="238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238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480" w:type="dxa"/>
            <w:vAlign w:val="bottom"/>
            <w:tcBorders>
              <w:bottom w:val="single" w:sz="8" w:color="auto"/>
            </w:tcBorders>
            <w:shd w:val="clear" w:color="auto" w:fill="F0FF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F0FFFF"/>
            </w:tcBorders>
          </w:tcPr>
          <w:p>
            <w:pPr>
              <w:spacing w:after="0" w:line="20" w:lineRule="exact"/>
              <w:rPr>
                <w:sz w:val="1"/>
                <w:szCs w:val="1"/>
                <w:color w:val="auto"/>
              </w:rPr>
            </w:pPr>
          </w:p>
        </w:tc>
        <w:tc>
          <w:tcPr>
            <w:tcW w:w="238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2016. In the opinion of management, all adjustments considered necessary for a fair presentation, consisting of normal recurring adjustments, have been included. Operating results for the three-month period ended September 30, 2016 are not necessarily indicative of the results that may be expected for the year ending June 30, 2017. The balance sheet at June 30, 2016 has been derived from the audited consolidated financial statements at that date, but does not include all of the information and footnotes required by U.S. generally accepted accounting principles for complete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UNCOLLECTIBLE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include goodwill, non-compete agreements, brand, developed technology and customer relationships.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leases qualify for sales type lease accounting. Accordingly, the company recognizes a portion of lease payments as interest income for leases not placed with a third-party financing Company. At the end of the lease period, the customer would have the option to purchase the device at its residual value.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adopted the provisions of Financial Accounting Standards Board (“FASB”) Accounting Standards Update (“ASU”) 2014-16 in determining whether the Company’s Series A Convertible Preferred Stock (“preferred stock”) is more equity-like or debt-like, and whether derivatives embedded in the preferred stock, if any, must be bifurcated and accounted for separately from its host contract. Based upon management’s review of the preferred stock features, management has determined that the preferred stock is more equity-like and that the embedded derivatives do not require bifurcation. As such, the adoption of this standard did not have a material impact on the company's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Topic 718, the cost of employee services received in exchange for an award of equity instruments is based on the grant-date fair value of the award and allocated over the vesting period of the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the Financial Accounting Standards Board (“FASB”) Accounting Standards Codification® (“ASC”) Topic 740, “Accounting for Uncertainty in Income Taxes”, which provides detailed guidance for the financial statement recognition, measurement and disclosure of uncertain tax positions recognized in the consolidated financial statements. Accordingly, tax positions must meet a “more-likely-than-not” recognition threshold at the effective date to be recognized upon the adoption of ASC Topic 740 and in subsequent periods.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months ended September 30,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are calculated by dividing income (loss) applicable to common shares by the weighted average common shares outstanding for the period plus the effect of potential common shares unless such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follows the Financial Accounting Standards Board (“FASB”) Accounting Standards Codification® (“ASC”) Topic 350-40, “Accounting for the Cost of Computer Software Developed or obtained for Internal Use”, which provides for guidance for what costs can be capitalized for internal use.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Capitalized costs for internal-use software are included in fixed assets in the consolidated balance sheet and are amortized over three years. 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Commencing with the June 30, 2016 financial statements, the Company changed the manner in which it presents certain unfunded finance receivables in its consolidated balance sheets and the related statements of cash flows. These finance receivables which have yet to be and are expected to be funded by a third-party funding source. The previous accounting classification recorded these constitute amounts as accounts receivable in the consolidated balance sheets and the related statements of cash flows. The impact of this change on the Statement of Cash Flows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Accounts</w:t>
            </w:r>
          </w:p>
        </w:tc>
        <w:tc>
          <w:tcPr>
            <w:tcW w:w="60" w:type="dxa"/>
            <w:vAlign w:val="bottom"/>
          </w:tcPr>
          <w:p>
            <w:pPr>
              <w:spacing w:after="0"/>
              <w:rPr>
                <w:sz w:val="18"/>
                <w:szCs w:val="18"/>
                <w:color w:val="auto"/>
              </w:rPr>
            </w:pPr>
          </w:p>
        </w:tc>
        <w:tc>
          <w:tcPr>
            <w:tcW w:w="1660" w:type="dxa"/>
            <w:vAlign w:val="bottom"/>
            <w:gridSpan w:val="8"/>
          </w:tcPr>
          <w:p>
            <w:pPr>
              <w:jc w:val="right"/>
              <w:ind w:right="800"/>
              <w:spacing w:after="0"/>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Receivable</w:t>
            </w:r>
          </w:p>
        </w:tc>
        <w:tc>
          <w:tcPr>
            <w:tcW w:w="60" w:type="dxa"/>
            <w:vAlign w:val="bottom"/>
          </w:tcPr>
          <w:p>
            <w:pPr>
              <w:spacing w:after="0"/>
              <w:rPr>
                <w:sz w:val="20"/>
                <w:szCs w:val="20"/>
                <w:color w:val="auto"/>
              </w:rPr>
            </w:pPr>
          </w:p>
        </w:tc>
        <w:tc>
          <w:tcPr>
            <w:tcW w:w="1660" w:type="dxa"/>
            <w:vAlign w:val="bottom"/>
            <w:gridSpan w:val="8"/>
          </w:tcPr>
          <w:p>
            <w:pPr>
              <w:jc w:val="right"/>
              <w:ind w:right="640"/>
              <w:spacing w:after="0"/>
              <w:rPr>
                <w:sz w:val="20"/>
                <w:szCs w:val="20"/>
                <w:color w:val="auto"/>
              </w:rPr>
            </w:pPr>
            <w:r>
              <w:rPr>
                <w:rFonts w:ascii="Arial" w:cs="Arial" w:eastAsia="Arial" w:hAnsi="Arial"/>
                <w:sz w:val="18"/>
                <w:szCs w:val="18"/>
                <w:color w:val="auto"/>
                <w:w w:val="93"/>
              </w:rPr>
              <w:t>Receivables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8"/>
              </w:rPr>
              <w:t>Per Original Statement of Cash Flows- Three months ended September 30, 2015</w:t>
            </w:r>
          </w:p>
        </w:tc>
        <w:tc>
          <w:tcPr>
            <w:tcW w:w="58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(713)</w:t>
            </w:r>
          </w:p>
        </w:tc>
        <w:tc>
          <w:tcPr>
            <w:tcW w:w="3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F0FF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Impact from the reclassification</w:t>
            </w:r>
          </w:p>
        </w:tc>
        <w:tc>
          <w:tcPr>
            <w:tcW w:w="3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4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(751)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Adjusted Statement of Cash Flows- Three months ended September 30, 2015</w:t>
            </w:r>
          </w:p>
        </w:tc>
        <w:tc>
          <w:tcPr>
            <w:tcW w:w="58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4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F0FFFF"/>
          </w:tcPr>
          <w:p>
            <w:pPr>
              <w:spacing w:after="0" w:line="20" w:lineRule="exact"/>
              <w:rPr>
                <w:sz w:val="1"/>
                <w:szCs w:val="1"/>
                <w:color w:val="auto"/>
              </w:rPr>
            </w:pPr>
          </w:p>
        </w:tc>
        <w:tc>
          <w:tcPr>
            <w:tcW w:w="54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EARNINGS PER SHARE CALCULATION</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spacing w:after="0"/>
              <w:rPr>
                <w:sz w:val="20"/>
                <w:szCs w:val="20"/>
                <w:color w:val="auto"/>
              </w:rPr>
            </w:pPr>
            <w:r>
              <w:rPr>
                <w:rFonts w:ascii="Arial" w:cs="Arial" w:eastAsia="Arial" w:hAnsi="Arial"/>
                <w:sz w:val="18"/>
                <w:szCs w:val="18"/>
                <w:color w:val="auto"/>
                <w:w w:val="93"/>
              </w:rPr>
              <w:t>The calculation of basic earnings per share (“eps”) and diluted earnings per share are presented below:</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11"/>
          </w:tcPr>
          <w:p>
            <w:pPr>
              <w:jc w:val="right"/>
              <w:ind w:right="5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11"/>
          </w:tcPr>
          <w:p>
            <w:pPr>
              <w:jc w:val="right"/>
              <w:ind w:right="7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7720" w:type="dxa"/>
            <w:vAlign w:val="bottom"/>
            <w:gridSpan w:val="3"/>
          </w:tcPr>
          <w:p>
            <w:pPr>
              <w:ind w:left="580"/>
              <w:spacing w:after="0"/>
              <w:rPr>
                <w:sz w:val="20"/>
                <w:szCs w:val="20"/>
                <w:color w:val="auto"/>
              </w:rPr>
            </w:pPr>
            <w:r>
              <w:rPr>
                <w:rFonts w:ascii="Arial" w:cs="Arial" w:eastAsia="Arial" w:hAnsi="Arial"/>
                <w:sz w:val="18"/>
                <w:szCs w:val="18"/>
                <w:color w:val="auto"/>
              </w:rPr>
              <w:t>($ in thousands, except per share data)</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2016</w:t>
            </w: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 xml:space="preserve">Numerator for basic earnings per share </w:t>
            </w:r>
            <w:r>
              <w:rPr>
                <w:rFonts w:ascii="Arial" w:cs="Arial" w:eastAsia="Arial" w:hAnsi="Arial"/>
                <w:sz w:val="18"/>
                <w:szCs w:val="18"/>
                <w:color w:val="auto"/>
              </w:rPr>
              <w:t>- Net loss available to common shareholders</w:t>
            </w:r>
          </w:p>
        </w:tc>
        <w:tc>
          <w:tcPr>
            <w:tcW w:w="78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F0FFFF"/>
          </w:tcPr>
          <w:p>
            <w:pPr>
              <w:jc w:val="right"/>
              <w:spacing w:after="0"/>
              <w:rPr>
                <w:sz w:val="20"/>
                <w:szCs w:val="20"/>
                <w:color w:val="auto"/>
              </w:rPr>
            </w:pPr>
            <w:r>
              <w:rPr>
                <w:rFonts w:ascii="Arial" w:cs="Arial" w:eastAsia="Arial" w:hAnsi="Arial"/>
                <w:sz w:val="18"/>
                <w:szCs w:val="18"/>
                <w:color w:val="auto"/>
              </w:rPr>
              <w:t>(2,798)</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Gain recorded for reduction in fair value of warrants*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71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b w:val="1"/>
                <w:bCs w:val="1"/>
                <w:color w:val="auto"/>
              </w:rPr>
              <w:t xml:space="preserve">Numerator for diluted earnings per share </w:t>
            </w:r>
            <w:r>
              <w:rPr>
                <w:rFonts w:ascii="Arial" w:cs="Arial" w:eastAsia="Arial" w:hAnsi="Arial"/>
                <w:sz w:val="18"/>
                <w:szCs w:val="18"/>
                <w:color w:val="auto"/>
              </w:rPr>
              <w:t>- Net loss available to common shareholders</w:t>
            </w:r>
          </w:p>
        </w:tc>
        <w:tc>
          <w:tcPr>
            <w:tcW w:w="580" w:type="dxa"/>
            <w:vAlign w:val="bottom"/>
            <w:tcBorders>
              <w:top w:val="single" w:sz="8" w:color="F0FFFF"/>
              <w:bottom w:val="single" w:sz="8" w:color="F0FFFF"/>
            </w:tcBorders>
            <w:gridSpan w:val="2"/>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shd w:val="clear" w:color="auto" w:fill="F0FFFF"/>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140" w:type="dxa"/>
            <w:vAlign w:val="bottom"/>
            <w:tcBorders>
              <w:top w:val="single" w:sz="8" w:color="F0FFFF"/>
            </w:tcBorders>
            <w:gridSpan w:val="2"/>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gridSpan w:val="4"/>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gridSpan w:val="3"/>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 xml:space="preserve">Denominator for basic earnings per share </w:t>
            </w:r>
            <w:r>
              <w:rPr>
                <w:rFonts w:ascii="Arial" w:cs="Arial" w:eastAsia="Arial" w:hAnsi="Arial"/>
                <w:sz w:val="18"/>
                <w:szCs w:val="18"/>
                <w:color w:val="auto"/>
              </w:rPr>
              <w:t>- Weighted average shares outstanding</w:t>
            </w:r>
          </w:p>
        </w:tc>
        <w:tc>
          <w:tcPr>
            <w:tcW w:w="3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38,488,005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35,848,395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14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Effect of dilutive potential common shares*</w:t>
            </w:r>
          </w:p>
        </w:tc>
        <w:tc>
          <w:tcPr>
            <w:tcW w:w="300" w:type="dxa"/>
            <w:vAlign w:val="bottom"/>
            <w:tcBorders>
              <w:bottom w:val="single" w:sz="8" w:color="F0FFFF"/>
            </w:tcBorders>
          </w:tcPr>
          <w:p>
            <w:pPr>
              <w:spacing w:after="0"/>
              <w:rPr>
                <w:sz w:val="20"/>
                <w:szCs w:val="20"/>
                <w:color w:val="auto"/>
              </w:rPr>
            </w:pPr>
          </w:p>
        </w:tc>
        <w:tc>
          <w:tcPr>
            <w:tcW w:w="2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639,484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71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b w:val="1"/>
                <w:bCs w:val="1"/>
                <w:color w:val="auto"/>
                <w:w w:val="93"/>
              </w:rPr>
              <w:t xml:space="preserve">Denominator for diluted earnings per share </w:t>
            </w:r>
            <w:r>
              <w:rPr>
                <w:rFonts w:ascii="Arial" w:cs="Arial" w:eastAsia="Arial" w:hAnsi="Arial"/>
                <w:sz w:val="18"/>
                <w:szCs w:val="18"/>
                <w:color w:val="auto"/>
                <w:w w:val="93"/>
              </w:rPr>
              <w:t>- Adjusted weighted average shares outstanding</w:t>
            </w:r>
          </w:p>
        </w:tc>
        <w:tc>
          <w:tcPr>
            <w:tcW w:w="3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gridSpan w:val="4"/>
            <w:shd w:val="clear" w:color="auto" w:fill="F0FFFF"/>
          </w:tcPr>
          <w:p>
            <w:pPr>
              <w:jc w:val="right"/>
              <w:spacing w:after="0"/>
              <w:rPr>
                <w:sz w:val="20"/>
                <w:szCs w:val="20"/>
                <w:color w:val="auto"/>
              </w:rPr>
            </w:pPr>
            <w:r>
              <w:rPr>
                <w:rFonts w:ascii="Arial" w:cs="Arial" w:eastAsia="Arial" w:hAnsi="Arial"/>
                <w:sz w:val="18"/>
                <w:szCs w:val="18"/>
                <w:color w:val="auto"/>
              </w:rPr>
              <w:t>38,488,005</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36,487,879</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140" w:type="dxa"/>
            <w:vAlign w:val="bottom"/>
            <w:tcBorders>
              <w:top w:val="single" w:sz="8" w:color="F0FFFF"/>
            </w:tcBorders>
            <w:gridSpan w:val="2"/>
          </w:tcPr>
          <w:p>
            <w:pPr>
              <w:spacing w:after="0" w:line="20" w:lineRule="exact"/>
              <w:rPr>
                <w:sz w:val="1"/>
                <w:szCs w:val="1"/>
                <w:color w:val="auto"/>
              </w:rPr>
            </w:pPr>
          </w:p>
        </w:tc>
        <w:tc>
          <w:tcPr>
            <w:tcW w:w="580" w:type="dxa"/>
            <w:vAlign w:val="bottom"/>
            <w:tcBorders>
              <w:top w:val="single" w:sz="8" w:color="F0FFFF"/>
            </w:tcBorders>
            <w:gridSpan w:val="2"/>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gridSpan w:val="4"/>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gridSpan w:val="3"/>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Basic earnings (loss) per share</w:t>
            </w:r>
          </w:p>
        </w:tc>
        <w:tc>
          <w:tcPr>
            <w:tcW w:w="780" w:type="dxa"/>
            <w:vAlign w:val="bottom"/>
            <w:gridSpan w:val="3"/>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F0FF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7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40" w:right="2800" w:hanging="5088"/>
        <w:spacing w:after="0" w:line="778"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adjustment necessary for the three months ended September 30, 2016 as the effects would be anti-dilutive.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FINANCE RECEIVABLES</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00" w:lineRule="exact"/>
        <w:rPr>
          <w:sz w:val="20"/>
          <w:szCs w:val="20"/>
          <w:color w:val="auto"/>
        </w:rPr>
      </w:pPr>
    </w:p>
    <w:p>
      <w:pPr>
        <w:spacing w:after="0" w:line="24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current portion</w:t>
      </w:r>
    </w:p>
    <w:p>
      <w:pPr>
        <w:spacing w:after="0" w:line="2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Non-current portion of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7"/>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7,311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3,349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3,588</w:t>
            </w: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400"/>
          </w:cols>
          <w:pgMar w:left="240" w:top="904"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collects monthly payments of its finance receivables from the customers’ transaction fund flow. Accordingly, as the fund flow from these customers’ transactions is generally sufficient to satisfy the amount due to the Company, the risk of loss is considered remote and the Company has not provided for an allowance for credit losses for finance receivables as of September 30, 2016 and June 30, 2016.</w:t>
      </w:r>
    </w:p>
    <w:p>
      <w:pPr>
        <w:sectPr>
          <w:pgSz w:w="11900" w:h="16838" w:orient="portrait"/>
          <w:cols w:equalWidth="0" w:num="1">
            <w:col w:w="11420"/>
          </w:cols>
          <w:pgMar w:left="240" w:top="904" w:right="239" w:bottom="1440" w:gutter="0" w:footer="0" w:header="0"/>
          <w:type w:val="continuous"/>
        </w:sectPr>
      </w:pP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Quality Indicators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Credit risk profile based on payment activity:</w:t>
      </w:r>
    </w:p>
    <w:p>
      <w:pPr>
        <w:spacing w:after="0" w:line="26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Nonperforming</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7,174</w:t>
            </w:r>
          </w:p>
        </w:tc>
      </w:tr>
      <w:tr>
        <w:trPr>
          <w:trHeight w:val="237"/>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w:t>
            </w: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20" w:space="400"/>
            <w:col w:w="4400"/>
          </w:cols>
          <w:pgMar w:left="240" w:top="904"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4. FINANCE RECEIVABLES (CONTINUED)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00" w:type="dxa"/>
            <w:vAlign w:val="bottom"/>
            <w:gridSpan w:val="10"/>
          </w:tcPr>
          <w:p>
            <w:pPr>
              <w:jc w:val="center"/>
              <w:ind w:left="30"/>
              <w:spacing w:after="0"/>
              <w:rPr>
                <w:sz w:val="20"/>
                <w:szCs w:val="20"/>
                <w:color w:val="auto"/>
              </w:rPr>
            </w:pPr>
            <w:r>
              <w:rPr>
                <w:rFonts w:ascii="Arial" w:cs="Arial" w:eastAsia="Arial" w:hAnsi="Arial"/>
                <w:sz w:val="18"/>
                <w:szCs w:val="18"/>
                <w:color w:val="auto"/>
                <w:w w:val="90"/>
              </w:rPr>
              <w:t>Age Analysis of Past Due Finance Receivables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center"/>
              <w:ind w:left="270"/>
              <w:spacing w:after="0"/>
              <w:rPr>
                <w:sz w:val="20"/>
                <w:szCs w:val="20"/>
                <w:color w:val="auto"/>
              </w:rPr>
            </w:pPr>
            <w:r>
              <w:rPr>
                <w:rFonts w:ascii="Arial" w:cs="Arial" w:eastAsia="Arial" w:hAnsi="Arial"/>
                <w:sz w:val="18"/>
                <w:szCs w:val="18"/>
                <w:color w:val="auto"/>
                <w:w w:val="89"/>
              </w:rPr>
              <w:t>As of September 30, 2016</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89"/>
              </w:rPr>
              <w:t>61 – 90</w:t>
            </w:r>
          </w:p>
        </w:tc>
        <w:tc>
          <w:tcPr>
            <w:tcW w:w="1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Greater than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3800" w:type="dxa"/>
            <w:vAlign w:val="bottom"/>
            <w:gridSpan w:val="2"/>
            <w:vMerge w:val="restart"/>
          </w:tcPr>
          <w:p>
            <w:pPr>
              <w:ind w:left="860"/>
              <w:spacing w:after="0"/>
              <w:rPr>
                <w:sz w:val="20"/>
                <w:szCs w:val="20"/>
                <w:color w:val="auto"/>
              </w:rPr>
            </w:pPr>
            <w:r>
              <w:rPr>
                <w:rFonts w:ascii="Arial" w:cs="Arial" w:eastAsia="Arial" w:hAnsi="Arial"/>
                <w:sz w:val="18"/>
                <w:szCs w:val="18"/>
                <w:color w:val="auto"/>
              </w:rPr>
              <w:t>($ in thousands)</w:t>
            </w:r>
          </w:p>
        </w:tc>
        <w:tc>
          <w:tcPr>
            <w:tcW w:w="4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300" w:type="dxa"/>
            <w:vAlign w:val="bottom"/>
            <w:gridSpan w:val="4"/>
          </w:tcPr>
          <w:p>
            <w:pPr>
              <w:ind w:left="180"/>
              <w:spacing w:after="0"/>
              <w:rPr>
                <w:sz w:val="20"/>
                <w:szCs w:val="20"/>
                <w:color w:val="auto"/>
              </w:rPr>
            </w:pPr>
            <w:r>
              <w:rPr>
                <w:rFonts w:ascii="Arial" w:cs="Arial" w:eastAsia="Arial" w:hAnsi="Arial"/>
                <w:sz w:val="18"/>
                <w:szCs w:val="18"/>
                <w:color w:val="auto"/>
              </w:rPr>
              <w:t>90 Days Past</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380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Due</w:t>
            </w:r>
          </w:p>
        </w:tc>
        <w:tc>
          <w:tcPr>
            <w:tcW w:w="180" w:type="dxa"/>
            <w:vAlign w:val="bottom"/>
          </w:tcPr>
          <w:p>
            <w:pPr>
              <w:spacing w:after="0"/>
              <w:rPr>
                <w:sz w:val="20"/>
                <w:szCs w:val="20"/>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0"/>
              </w:rPr>
              <w:t>Due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3"/>
              </w:rPr>
              <w:t>Current</w:t>
            </w:r>
          </w:p>
        </w:tc>
        <w:tc>
          <w:tcPr>
            <w:tcW w:w="114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2920" w:type="dxa"/>
            <w:vAlign w:val="bottom"/>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jc w:val="right"/>
              <w:ind w:right="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7,254</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7,311</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92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00" w:type="dxa"/>
            <w:vAlign w:val="bottom"/>
            <w:gridSpan w:val="10"/>
          </w:tcPr>
          <w:p>
            <w:pPr>
              <w:jc w:val="center"/>
              <w:ind w:left="30"/>
              <w:spacing w:after="0"/>
              <w:rPr>
                <w:sz w:val="20"/>
                <w:szCs w:val="20"/>
                <w:color w:val="auto"/>
              </w:rPr>
            </w:pPr>
            <w:r>
              <w:rPr>
                <w:rFonts w:ascii="Arial" w:cs="Arial" w:eastAsia="Arial" w:hAnsi="Arial"/>
                <w:sz w:val="18"/>
                <w:szCs w:val="18"/>
                <w:color w:val="auto"/>
                <w:w w:val="90"/>
              </w:rPr>
              <w:t>Age Analysis of Past Due Finance Receivables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center"/>
              <w:ind w:left="270"/>
              <w:spacing w:after="0"/>
              <w:rPr>
                <w:sz w:val="20"/>
                <w:szCs w:val="20"/>
                <w:color w:val="auto"/>
              </w:rPr>
            </w:pPr>
            <w:r>
              <w:rPr>
                <w:rFonts w:ascii="Arial" w:cs="Arial" w:eastAsia="Arial" w:hAnsi="Arial"/>
                <w:sz w:val="18"/>
                <w:szCs w:val="18"/>
                <w:color w:val="auto"/>
                <w:w w:val="89"/>
              </w:rPr>
              <w:t>As of June 30, 2016</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89"/>
              </w:rPr>
              <w:t>61 – 90</w:t>
            </w:r>
          </w:p>
        </w:tc>
        <w:tc>
          <w:tcPr>
            <w:tcW w:w="1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Greater than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3800" w:type="dxa"/>
            <w:vAlign w:val="bottom"/>
            <w:gridSpan w:val="2"/>
            <w:vMerge w:val="restart"/>
          </w:tcPr>
          <w:p>
            <w:pPr>
              <w:ind w:left="860"/>
              <w:spacing w:after="0"/>
              <w:rPr>
                <w:sz w:val="20"/>
                <w:szCs w:val="20"/>
                <w:color w:val="auto"/>
              </w:rPr>
            </w:pPr>
            <w:r>
              <w:rPr>
                <w:rFonts w:ascii="Arial" w:cs="Arial" w:eastAsia="Arial" w:hAnsi="Arial"/>
                <w:sz w:val="18"/>
                <w:szCs w:val="18"/>
                <w:color w:val="auto"/>
              </w:rPr>
              <w:t>($ in thousands)</w:t>
            </w:r>
          </w:p>
        </w:tc>
        <w:tc>
          <w:tcPr>
            <w:tcW w:w="4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1300" w:type="dxa"/>
            <w:vAlign w:val="bottom"/>
            <w:gridSpan w:val="4"/>
          </w:tcPr>
          <w:p>
            <w:pPr>
              <w:ind w:left="180"/>
              <w:spacing w:after="0"/>
              <w:rPr>
                <w:sz w:val="20"/>
                <w:szCs w:val="20"/>
                <w:color w:val="auto"/>
              </w:rPr>
            </w:pPr>
            <w:r>
              <w:rPr>
                <w:rFonts w:ascii="Arial" w:cs="Arial" w:eastAsia="Arial" w:hAnsi="Arial"/>
                <w:sz w:val="18"/>
                <w:szCs w:val="18"/>
                <w:color w:val="auto"/>
              </w:rPr>
              <w:t>90 Days Past</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6"/>
              </w:rPr>
              <w:t>Total Past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380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Due</w:t>
            </w:r>
          </w:p>
        </w:tc>
        <w:tc>
          <w:tcPr>
            <w:tcW w:w="180" w:type="dxa"/>
            <w:vAlign w:val="bottom"/>
          </w:tcPr>
          <w:p>
            <w:pPr>
              <w:spacing w:after="0"/>
              <w:rPr>
                <w:sz w:val="20"/>
                <w:szCs w:val="20"/>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0"/>
              </w:rPr>
              <w:t>Due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3"/>
              </w:rPr>
              <w:t>Current</w:t>
            </w:r>
          </w:p>
        </w:tc>
        <w:tc>
          <w:tcPr>
            <w:tcW w:w="114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2920" w:type="dxa"/>
            <w:vAlign w:val="bottom"/>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jc w:val="right"/>
              <w:ind w:right="1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7,174</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7,306</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2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0FFFF"/>
            </w:tcBorders>
            <w:shd w:val="clear" w:color="auto" w:fill="F0FF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5. GOODWILL AND INTANGIBLES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$44 thousand of amortization expense relating to acquired intangible assets during the three months ended September 30, 2016. There was no amortization expense relating to acquired intangible assets during the three months ended September 30, 2015. Intangible asset balances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Balance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Amortization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0" w:type="dxa"/>
            <w:vAlign w:val="bottom"/>
            <w:gridSpan w:val="3"/>
          </w:tcPr>
          <w:p>
            <w:pPr>
              <w:ind w:left="1000"/>
              <w:spacing w:after="0"/>
              <w:rPr>
                <w:sz w:val="20"/>
                <w:szCs w:val="20"/>
                <w:color w:val="auto"/>
              </w:rPr>
            </w:pPr>
            <w:r>
              <w:rPr>
                <w:rFonts w:ascii="Arial" w:cs="Arial" w:eastAsia="Arial" w:hAnsi="Arial"/>
                <w:sz w:val="18"/>
                <w:szCs w:val="18"/>
                <w:color w:val="auto"/>
                <w:w w:val="85"/>
              </w:rPr>
              <w:t>June 30, 2016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Adjustments</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rPr>
              <w:t>Amortization</w:t>
            </w:r>
          </w:p>
        </w:tc>
        <w:tc>
          <w:tcPr>
            <w:tcW w:w="17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September 30, 2016</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Period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580"/>
              <w:spacing w:after="0"/>
              <w:rPr>
                <w:sz w:val="20"/>
                <w:szCs w:val="20"/>
                <w:color w:val="auto"/>
              </w:rPr>
            </w:pPr>
            <w:r>
              <w:rPr>
                <w:rFonts w:ascii="Arial" w:cs="Arial" w:eastAsia="Arial" w:hAnsi="Arial"/>
                <w:sz w:val="18"/>
                <w:szCs w:val="18"/>
                <w:color w:val="auto"/>
              </w:rPr>
              <w:t>Intangible Assets:</w:t>
            </w:r>
          </w:p>
        </w:tc>
        <w:tc>
          <w:tcPr>
            <w:tcW w:w="1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Non-compete agreements</w:t>
            </w:r>
          </w:p>
        </w:tc>
        <w:tc>
          <w:tcPr>
            <w:tcW w:w="1140" w:type="dxa"/>
            <w:vAlign w:val="bottom"/>
            <w:gridSpan w:val="2"/>
            <w:shd w:val="clear" w:color="auto" w:fill="F0FFFF"/>
          </w:tcPr>
          <w:p>
            <w:pPr>
              <w:ind w:left="10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F0FFFF"/>
          </w:tcPr>
          <w:p>
            <w:pPr>
              <w:jc w:val="right"/>
              <w:ind w:right="657"/>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Brand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Developed technology</w:t>
            </w: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 years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30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 Assets</w:t>
            </w:r>
          </w:p>
        </w:tc>
        <w:tc>
          <w:tcPr>
            <w:tcW w:w="10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ind w:right="65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3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vMerge w:val="continue"/>
          </w:tcPr>
          <w:p>
            <w:pPr>
              <w:spacing w:after="0"/>
              <w:rPr>
                <w:sz w:val="22"/>
                <w:szCs w:val="22"/>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shd w:val="clear" w:color="auto" w:fill="F0FFFF"/>
          </w:tcPr>
          <w:p>
            <w:pPr>
              <w:ind w:left="10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11,703</w:t>
            </w:r>
          </w:p>
        </w:tc>
        <w:tc>
          <w:tcPr>
            <w:tcW w:w="1020" w:type="dxa"/>
            <w:vAlign w:val="bottom"/>
            <w:gridSpan w:val="2"/>
            <w:shd w:val="clear" w:color="auto" w:fill="F0FFFF"/>
          </w:tcPr>
          <w:p>
            <w:pPr>
              <w:jc w:val="right"/>
              <w:ind w:right="657"/>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2"/>
                <w:szCs w:val="22"/>
                <w:color w:val="auto"/>
              </w:rPr>
            </w:pP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11,703</w:t>
            </w:r>
          </w:p>
        </w:tc>
        <w:tc>
          <w:tcPr>
            <w:tcW w:w="20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Indefinite</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80" w:type="dxa"/>
            <w:vAlign w:val="bottom"/>
            <w:tcBorders>
              <w:bottom w:val="single" w:sz="8" w:color="DCDCDC"/>
            </w:tcBorders>
          </w:tcPr>
          <w:p>
            <w:pPr>
              <w:spacing w:after="0"/>
              <w:rPr>
                <w:sz w:val="24"/>
                <w:szCs w:val="24"/>
                <w:color w:val="auto"/>
              </w:rPr>
            </w:pPr>
          </w:p>
        </w:tc>
        <w:tc>
          <w:tcPr>
            <w:tcW w:w="300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gridSpan w:val="2"/>
          </w:tcPr>
          <w:p>
            <w:pPr>
              <w:jc w:val="right"/>
              <w:ind w:right="697"/>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LINE OF CREDIT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fiscal year ended June 30, 2016, the Company entered into a Loan and Security Agreement and other ancillary documents (the “Heritage Loan Documents”) with Heritage Bank of Commerce (“Heritage Bank”), providing for a secured asset-based revolving line of credit in an amount of up to $12.0 million (the “Heritage Line of Credit”) at an interest rate calculated based on the Federal Reserves’ Prime plus 2.25%. The Heritage Line of Credit and the Company’s obligations under the Heritage Loan Documents are secured by substantially all of the Company’s assets, including its intellectual property. The maturity date of the Heritage Line of Credit is March 29, 2017. 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Heritage Loan Documents contain customary representations and warranties and affirmative and negative covenants applicable to the Company. The Heritage Loan Documents also require the Company to achieve a minimum Adjusted EBITDA, as defined in the Heritage Loan Documents, measured on a quarterly basis. The Heritage Loan Documents also require that the number of the Company’s connections as of the end of each fiscal quarter shall not decrease by more than five percent as compared to the number of the Company’s connections as of the end of the immediately prior fiscal quarter. As of September 30, 2016, the Company was not in compliance with the minimum Adjusted EBITDA provision of the debt covenant. The Company received a waiver from its bank for the covenant default.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due on the Heritage line of credit was $7.3 million and $7.2 million at September 30, 2016 and June 30, 2016, respectively. As of September 30, 2016, $4.7 million was available under our line of credit. Interest expense on the line of credit was approximately $107 thousand for the three months ended September 30,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capital lease obligations to finance certain office, network equipment and related support for use in its daily operations. During the three-month period ended September 30, 2016 the Company commenced capital lease obligations of $308 thousand. The obligations are due in 12 and 8 quarterly installments of $15 thousand and $21 thousand, respectively. The value of the acquired equipment is included in property and equipment and amortized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2016, the fair values of the Company’s Level 3 financial instrument totaled $3.739 million for 2.2 million warrants. The Level 3 financial instrument consist of common stock warrants issued by the Company in March 2011, which include features requiring liability treatment of the warrants. The fair value of warrants issued in March 2011 to purchase shares of the Company’s common stock is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three months ended September 30, 2016 all of the aforementioned warrants were exercised and the then-fair value warrant liability was reclassified as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Company’s Level 3 financial instruments for the three months ended September 30, 2016 and 2015.</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8. FAIR VALUE OF FINANCIAL INSTRUMENTS (CONTINUED)</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24"/>
                <w:szCs w:val="24"/>
                <w:color w:val="auto"/>
              </w:rPr>
            </w:pPr>
          </w:p>
        </w:tc>
        <w:tc>
          <w:tcPr>
            <w:tcW w:w="2660" w:type="dxa"/>
            <w:vAlign w:val="bottom"/>
            <w:gridSpan w:val="5"/>
          </w:tcPr>
          <w:p>
            <w:pPr>
              <w:jc w:val="right"/>
              <w:ind w:right="3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w w:val="91"/>
              </w:rPr>
              <w:t>September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200" w:type="dxa"/>
            <w:vAlign w:val="bottom"/>
            <w:gridSpan w:val="2"/>
            <w:shd w:val="clear" w:color="auto" w:fill="F0FFFF"/>
          </w:tcPr>
          <w:p>
            <w:pPr>
              <w:jc w:val="right"/>
              <w:ind w:right="79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8"/>
              </w:rPr>
              <w:t>(3,739)</w:t>
            </w:r>
          </w:p>
        </w:tc>
        <w:tc>
          <w:tcPr>
            <w:tcW w:w="1020" w:type="dxa"/>
            <w:vAlign w:val="bottom"/>
            <w:gridSpan w:val="2"/>
            <w:shd w:val="clear" w:color="auto" w:fill="F0FFFF"/>
          </w:tcPr>
          <w:p>
            <w:pPr>
              <w:jc w:val="right"/>
              <w:ind w:right="89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Increase due to change in fair value of warrant liabilities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(1,490)</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7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5"/>
              </w:rPr>
              <w:t>Reclass of fair value of warranty liability to common stock upon exercise of</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5700" w:type="dxa"/>
            <w:vAlign w:val="bottom"/>
            <w:shd w:val="clear" w:color="auto" w:fill="F0FFFF"/>
          </w:tcPr>
          <w:p>
            <w:pPr>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F0FFFF"/>
          </w:tcPr>
          <w:p>
            <w:pPr>
              <w:spacing w:after="0"/>
              <w:rPr>
                <w:sz w:val="22"/>
                <w:szCs w:val="22"/>
                <w:color w:val="auto"/>
              </w:rPr>
            </w:pPr>
          </w:p>
        </w:tc>
        <w:tc>
          <w:tcPr>
            <w:tcW w:w="960" w:type="dxa"/>
            <w:vAlign w:val="bottom"/>
            <w:shd w:val="clear" w:color="auto" w:fill="F0FFFF"/>
          </w:tcPr>
          <w:p>
            <w:pPr>
              <w:spacing w:after="0"/>
              <w:rPr>
                <w:sz w:val="22"/>
                <w:szCs w:val="22"/>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5,229</w:t>
            </w:r>
          </w:p>
        </w:tc>
        <w:tc>
          <w:tcPr>
            <w:tcW w:w="160" w:type="dxa"/>
            <w:vAlign w:val="bottom"/>
            <w:shd w:val="clear" w:color="auto" w:fill="F0FFFF"/>
          </w:tcPr>
          <w:p>
            <w:pPr>
              <w:spacing w:after="0"/>
              <w:rPr>
                <w:sz w:val="22"/>
                <w:szCs w:val="22"/>
                <w:color w:val="auto"/>
              </w:rPr>
            </w:pPr>
          </w:p>
        </w:tc>
        <w:tc>
          <w:tcPr>
            <w:tcW w:w="1020" w:type="dxa"/>
            <w:vAlign w:val="bottom"/>
            <w:gridSpan w:val="2"/>
            <w:shd w:val="clear" w:color="auto" w:fill="F0FFFF"/>
          </w:tcPr>
          <w:p>
            <w:pPr>
              <w:jc w:val="right"/>
              <w:ind w:right="89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7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F0FF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transfers of assets or liabilities between level 1, level 2, or level 3 during the three months ended September 30, 2016 and 2015. As of September 30, 2016 and June 30, 2016, the Company held no Level 1 or Level 2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2016, an income tax benefit of $115 thousand (substantially all deferred income taxes) was recorded based upon loss before benefit for income taxes using an estimated annual effective income tax rate of 26% for the fiscal year ending June 30, 2017 net of a provision for the tax effect of the change in the fair value of warrant liabilities which was treated discretely.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2015, an income tax provision of $27 thousand (substantially all deferred income taxes) was recorded based upon income before provision for income taxes using an estimated annual effective income tax rate of 39% for the fiscal year ending June 30, 2016 net of a benefit for the tax effect of the change in the fair value of warrant liabilities which was treated discretely.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2,376,675 warrants exercised during the three months ended September 30, 2016 at $2.6058 per share yielding proceeds of $6.2 million. Warrant activity for the three-month period ended September 30, 2016 and 2015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gridSpan w:val="3"/>
          </w:tcPr>
          <w:p>
            <w:pPr>
              <w:jc w:val="right"/>
              <w:ind w:right="590"/>
              <w:spacing w:after="0"/>
              <w:rPr>
                <w:sz w:val="20"/>
                <w:szCs w:val="20"/>
                <w:color w:val="auto"/>
              </w:rPr>
            </w:pPr>
            <w:r>
              <w:rPr>
                <w:rFonts w:ascii="Arial" w:cs="Arial" w:eastAsia="Arial" w:hAnsi="Arial"/>
                <w:sz w:val="18"/>
                <w:szCs w:val="18"/>
                <w:color w:val="auto"/>
              </w:rPr>
              <w:t>September 30,</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900" w:type="dxa"/>
            <w:vAlign w:val="bottom"/>
            <w:tcBorders>
              <w:bottom w:val="single" w:sz="8" w:color="F0FFFF"/>
            </w:tcBorders>
          </w:tcPr>
          <w:p>
            <w:pPr>
              <w:spacing w:after="0"/>
              <w:rPr>
                <w:sz w:val="20"/>
                <w:szCs w:val="20"/>
                <w:color w:val="auto"/>
              </w:rPr>
            </w:pPr>
          </w:p>
        </w:tc>
        <w:tc>
          <w:tcPr>
            <w:tcW w:w="880" w:type="dxa"/>
            <w:vAlign w:val="bottom"/>
            <w:tcBorders>
              <w:bottom w:val="single" w:sz="8" w:color="F0FF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bottom w:val="single" w:sz="8" w:color="F0FF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0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2,445,653</w:t>
            </w:r>
          </w:p>
        </w:tc>
        <w:tc>
          <w:tcPr>
            <w:tcW w:w="120" w:type="dxa"/>
            <w:vAlign w:val="bottom"/>
            <w:shd w:val="clear" w:color="auto" w:fill="F0FFFF"/>
          </w:tcPr>
          <w:p>
            <w:pPr>
              <w:spacing w:after="0"/>
              <w:rPr>
                <w:sz w:val="18"/>
                <w:szCs w:val="18"/>
                <w:color w:val="auto"/>
              </w:rPr>
            </w:pPr>
          </w:p>
        </w:tc>
        <w:tc>
          <w:tcPr>
            <w:tcW w:w="11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Issued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0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208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(2,376,675)</w:t>
            </w:r>
          </w:p>
        </w:tc>
        <w:tc>
          <w:tcPr>
            <w:tcW w:w="11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(11,000)</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Expired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1"/>
                <w:szCs w:val="21"/>
                <w:color w:val="auto"/>
              </w:rPr>
            </w:pPr>
          </w:p>
        </w:tc>
        <w:tc>
          <w:tcPr>
            <w:tcW w:w="19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F0FFFF"/>
              <w:bottom w:val="single" w:sz="8" w:color="F0FFFF"/>
            </w:tcBorders>
            <w:shd w:val="clear" w:color="auto" w:fill="F0FFFF"/>
          </w:tcPr>
          <w:p>
            <w:pPr>
              <w:spacing w:after="0"/>
              <w:rPr>
                <w:sz w:val="21"/>
                <w:szCs w:val="21"/>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68,978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90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F0FFFF"/>
            </w:tcBorders>
            <w:vMerge w:val="restart"/>
          </w:tcPr>
          <w:p>
            <w:pPr>
              <w:jc w:val="right"/>
              <w:ind w:right="30"/>
              <w:spacing w:after="0"/>
              <w:rPr>
                <w:sz w:val="20"/>
                <w:szCs w:val="20"/>
                <w:color w:val="auto"/>
              </w:rPr>
            </w:pPr>
            <w:r>
              <w:rPr>
                <w:rFonts w:ascii="Arial" w:cs="Arial" w:eastAsia="Arial" w:hAnsi="Arial"/>
                <w:sz w:val="18"/>
                <w:szCs w:val="18"/>
                <w:color w:val="auto"/>
              </w:rPr>
              <w:t>15</w:t>
            </w: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160" w:type="dxa"/>
            <w:vAlign w:val="bottom"/>
            <w:tcBorders>
              <w:bottom w:val="single" w:sz="8" w:color="DCDCDC"/>
            </w:tcBorders>
          </w:tcPr>
          <w:p>
            <w:pPr>
              <w:spacing w:after="0"/>
              <w:rPr>
                <w:sz w:val="24"/>
                <w:szCs w:val="24"/>
                <w:color w:val="auto"/>
              </w:rPr>
            </w:pPr>
          </w:p>
        </w:tc>
        <w:tc>
          <w:tcPr>
            <w:tcW w:w="19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vMerge w:val="continue"/>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3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stock options were awarded to purchase up to 20,080 shares of common stock at an exercise price of $4.98 per share. The options vest on August 31, 2017, and expire if not exercised prior to August 31, 2023. The options are intended to qualify as incentive stock options under Section 422 of the Internal Revenue Code of 1986, as amended. The fair value of options granted during the three months ended September 30, 2016 and 2015 was estimated using the following weighted average assumptions:</w:t>
      </w:r>
    </w:p>
    <w:p>
      <w:pPr>
        <w:spacing w:after="0" w:line="187"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6"/>
          </w:tcPr>
          <w:p>
            <w:pPr>
              <w:jc w:val="right"/>
              <w:ind w:right="860"/>
              <w:spacing w:after="0"/>
              <w:rPr>
                <w:sz w:val="20"/>
                <w:szCs w:val="20"/>
                <w:color w:val="auto"/>
              </w:rPr>
            </w:pPr>
            <w:r>
              <w:rPr>
                <w:rFonts w:ascii="Arial" w:cs="Arial" w:eastAsia="Arial" w:hAnsi="Arial"/>
                <w:sz w:val="18"/>
                <w:szCs w:val="18"/>
                <w:color w:val="auto"/>
              </w:rPr>
              <w:t>Three months ended</w:t>
            </w:r>
          </w:p>
        </w:tc>
      </w:tr>
      <w:tr>
        <w:trPr>
          <w:trHeight w:val="237"/>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040" w:type="dxa"/>
            <w:vAlign w:val="bottom"/>
            <w:tcBorders>
              <w:bottom w:val="single" w:sz="8" w:color="F0FFFF"/>
            </w:tcBorders>
          </w:tcPr>
          <w:p>
            <w:pPr>
              <w:spacing w:after="0"/>
              <w:rPr>
                <w:sz w:val="20"/>
                <w:szCs w:val="20"/>
                <w:color w:val="auto"/>
              </w:rPr>
            </w:pPr>
          </w:p>
        </w:tc>
        <w:tc>
          <w:tcPr>
            <w:tcW w:w="24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F0FFFF"/>
            </w:tcBorders>
          </w:tcPr>
          <w:p>
            <w:pPr>
              <w:spacing w:after="0"/>
              <w:rPr>
                <w:sz w:val="20"/>
                <w:szCs w:val="20"/>
                <w:color w:val="auto"/>
              </w:rPr>
            </w:pPr>
          </w:p>
        </w:tc>
        <w:tc>
          <w:tcPr>
            <w:tcW w:w="40" w:type="dxa"/>
            <w:vAlign w:val="bottom"/>
            <w:tcBorders>
              <w:bottom w:val="single" w:sz="8" w:color="F0FF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2015</w:t>
            </w:r>
          </w:p>
        </w:tc>
        <w:tc>
          <w:tcPr>
            <w:tcW w:w="160" w:type="dxa"/>
            <w:vAlign w:val="bottom"/>
            <w:tcBorders>
              <w:bottom w:val="single" w:sz="8" w:color="F0FFFF"/>
            </w:tcBorders>
          </w:tcPr>
          <w:p>
            <w:pPr>
              <w:spacing w:after="0"/>
              <w:rPr>
                <w:sz w:val="20"/>
                <w:szCs w:val="20"/>
                <w:color w:val="auto"/>
              </w:rPr>
            </w:pPr>
          </w:p>
        </w:tc>
      </w:tr>
      <w:tr>
        <w:trPr>
          <w:trHeight w:val="216"/>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50.37%</w:t>
            </w:r>
          </w:p>
        </w:tc>
        <w:tc>
          <w:tcPr>
            <w:tcW w:w="4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63-66%</w:t>
            </w:r>
          </w:p>
        </w:tc>
        <w:tc>
          <w:tcPr>
            <w:tcW w:w="160" w:type="dxa"/>
            <w:vAlign w:val="bottom"/>
            <w:shd w:val="clear" w:color="auto" w:fill="F0FF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Expected life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 years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4-4.5 years</w:t>
            </w:r>
          </w:p>
        </w:tc>
      </w:tr>
      <w:tr>
        <w:trPr>
          <w:trHeight w:val="216"/>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1.34-1.49%</w:t>
            </w:r>
          </w:p>
        </w:tc>
        <w:tc>
          <w:tcPr>
            <w:tcW w:w="160" w:type="dxa"/>
            <w:vAlign w:val="bottom"/>
          </w:tcPr>
          <w:p>
            <w:pPr>
              <w:spacing w:after="0"/>
              <w:rPr>
                <w:sz w:val="18"/>
                <w:szCs w:val="18"/>
                <w:color w:val="auto"/>
              </w:rPr>
            </w:pPr>
          </w:p>
        </w:tc>
      </w:tr>
      <w:tr>
        <w:trPr>
          <w:trHeight w:val="216"/>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auto"/>
              </w:rPr>
              <w:t>Number of options granted</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20,080</w:t>
            </w:r>
          </w:p>
        </w:tc>
        <w:tc>
          <w:tcPr>
            <w:tcW w:w="1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119,586</w:t>
            </w:r>
          </w:p>
        </w:tc>
        <w:tc>
          <w:tcPr>
            <w:tcW w:w="160" w:type="dxa"/>
            <w:vAlign w:val="bottom"/>
            <w:shd w:val="clear" w:color="auto" w:fill="F0FF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r>
      <w:tr>
        <w:trPr>
          <w:trHeight w:val="216"/>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auto"/>
                <w:w w:val="97"/>
              </w:rPr>
              <w:t>Weighted average grant date fair value</w:t>
            </w:r>
          </w:p>
        </w:tc>
        <w:tc>
          <w:tcPr>
            <w:tcW w:w="5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F0FF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stock options for the three months ended September 30, 2016 and 2015 was $48 thousand and $115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2016 $40 thousand of stock grants were awarded to each non-employee Director based on the prior 30-day average closing price of the Company’s Common Stock, for a total of 56,784 shares. The shares vest as follows: 18,960 on 07/01/2017, 18,960 on 07/01/2018 and 18,954 on 07/01/2019. The total expense recognized for these grants during the three months ended September 30, 2016 was $37 thousand.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2016, the Company awarded an aggregate of 78,711 shares to its Chief Executive Officer and Chief Services Officer under its fiscal year 2016 long term stock incentive plan and an aggregate of 6,254 shares to three non-employee Directors in satisfaction of board fees. During the three-month period, the Chief Executive Officer cancelled 6,533 shares of Common Stock awarded to him under the 2016 fiscal year long term stock incentive plan in satisfaction of $31 thousand of related payroll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LTI PLANS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approved the Fiscal Year 2017 Long-Term Stock Incentive Plan (the “2017 LTI Stock Plan”) which provides that executive officers would be awarded shares of common stock of the Company in the event that certain metrics relating to the Company’s 2017 fiscal year would result in specified ranges of year-over-year percentage growth. The metrics are total number of connections as of June 30, 2017 as compared to total number of connections as of June 30, 2016 (50% weighting) and adjusted EBITDA earned during the 2017 fiscal year as compared to the adjusted EBITDA earned during the 2016 fiscal year (50% weighting).</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$675,000 (150% of base salary); and Chief Services Officer (“CSO”) - $250,000 (100% of base salary). If all of the maximum distinguished year-over-year percentage target goals are achieved, the executive officers would be awarded shares having the following value: CEO - $1,012,500 (225% of base salary); and CSO - $375,000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2017 LTI Stock Plan would vest as follows: one-third at the time of issuance; one-third on June 30, 2018; and one-third on June 30, 2019.</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(“LTI”) in prior fiscal years for its then executive officers. Stock based compensation related to the LTI plans was as follows in the three months ended September 2016 and 2015:</w:t>
      </w:r>
    </w:p>
    <w:p>
      <w:pPr>
        <w:spacing w:after="0" w:line="170"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F0FFFF"/>
          </w:tcPr>
          <w:p>
            <w:pPr>
              <w:spacing w:after="0"/>
              <w:rPr>
                <w:sz w:val="20"/>
                <w:szCs w:val="20"/>
                <w:color w:val="auto"/>
              </w:rPr>
            </w:pPr>
            <w:r>
              <w:rPr>
                <w:rFonts w:ascii="Arial" w:cs="Arial" w:eastAsia="Arial" w:hAnsi="Arial"/>
                <w:sz w:val="18"/>
                <w:szCs w:val="18"/>
                <w:color w:val="auto"/>
              </w:rPr>
              <w:t>FY17 LTI Plan</w:t>
            </w:r>
          </w:p>
        </w:tc>
        <w:tc>
          <w:tcPr>
            <w:tcW w:w="86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FY16 LTI Plan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F0FFFF"/>
          </w:tcPr>
          <w:p>
            <w:pPr>
              <w:spacing w:after="0"/>
              <w:rPr>
                <w:sz w:val="20"/>
                <w:szCs w:val="20"/>
                <w:color w:val="auto"/>
              </w:rPr>
            </w:pPr>
            <w:r>
              <w:rPr>
                <w:rFonts w:ascii="Arial" w:cs="Arial" w:eastAsia="Arial" w:hAnsi="Arial"/>
                <w:sz w:val="18"/>
                <w:szCs w:val="18"/>
                <w:color w:val="auto"/>
              </w:rPr>
              <w:t>FY15 LTI Plan</w:t>
            </w:r>
          </w:p>
        </w:tc>
        <w:tc>
          <w:tcPr>
            <w:tcW w:w="6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FY14 LTI Plan</w:t>
            </w:r>
          </w:p>
        </w:tc>
        <w:tc>
          <w:tcPr>
            <w:tcW w:w="66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quarter ended September 30, 2016 the Company entered into a lease agreement for its operations in Portland, Oregon, which commenced October 1, 2016. The new location consists of 5,362 square feet and will expire in December 2019. The lease includes monthly rental payments of $11 thousand. The straight-line rent expense for this lease is $11 thousand per month.</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resulting in improved net cash used by operating activities;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sz w:val="20"/>
          <w:szCs w:val="20"/>
          <w:color w:val="auto"/>
        </w:rPr>
      </w:pPr>
    </w:p>
    <w:p>
      <w:pPr>
        <w:ind w:left="340" w:right="3760" w:hanging="8"/>
        <w:spacing w:after="0" w:line="563" w:lineRule="auto"/>
        <w:tabs>
          <w:tab w:leader="none" w:pos="6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of the Company to operate without infringing the intellectual property rights of others; ● the ability of our products and services to avoid unauthorized hacking or credit card fraud;</w:t>
      </w:r>
    </w:p>
    <w:p>
      <w:pPr>
        <w:spacing w:after="0" w:line="1"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our remediation of the control deficiencies that gave rise to the material weakness that we identified in our internal controls over financial reporting, and which was reflected in our annual report on Form 10-K for the fiscal year ended June 30, 2016, would be effective;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generates revenue in multiple ways. During the quarters ended September 30, 2016 and 2015, we derived 76% and 78% of our revenues from recurring license and transaction fees related to our ePort Connect service and 24% and 22% of our revenue from equipment sales, respectively.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5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or directly from the Company;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are below:</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75 employees with its headquarters in Malvern, Pennsylvania as of October 20,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11,400 customers and 448,000 connections to our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Three direct sales teams at the national, regional, and local customer-level and a growing number of OEMs and national distribution partners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78 United States and foreign patents are in force</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36"/>
          <w:szCs w:val="36"/>
          <w:color w:val="auto"/>
          <w:vertAlign w:val="superscript"/>
        </w:rPr>
      </w:pPr>
      <w:r>
        <w:rPr>
          <w:rFonts w:ascii="Arial" w:cs="Arial" w:eastAsia="Arial" w:hAnsi="Arial"/>
          <w:sz w:val="18"/>
          <w:szCs w:val="18"/>
          <w:color w:val="auto"/>
        </w:rPr>
        <w:t>The Company’s fiscal year ends June 30</w:t>
      </w:r>
      <w:r>
        <w:rPr>
          <w:rFonts w:ascii="Arial" w:cs="Arial" w:eastAsia="Arial" w:hAnsi="Arial"/>
          <w:sz w:val="30"/>
          <w:szCs w:val="30"/>
          <w:color w:val="auto"/>
          <w:vertAlign w:val="superscript"/>
        </w:rPr>
        <w:t>th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deferred tax assets of approximately $28 million resulting from a series of operating loss carry forwards that may be available to offset future taxable income from federal income taxes over the next five or more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consolidated financial statements are prepared applying certain critical accounting policies. The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Non-compete agreements, brand, developed technology, and customer relationships,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520" w:type="dxa"/>
            <w:vAlign w:val="bottom"/>
            <w:gridSpan w:val="6"/>
          </w:tcPr>
          <w:p>
            <w:pPr>
              <w:spacing w:after="0"/>
              <w:rPr>
                <w:sz w:val="20"/>
                <w:szCs w:val="20"/>
                <w:color w:val="auto"/>
              </w:rPr>
            </w:pPr>
            <w:r>
              <w:rPr>
                <w:rFonts w:ascii="Arial" w:cs="Arial" w:eastAsia="Arial" w:hAnsi="Arial"/>
                <w:sz w:val="18"/>
                <w:szCs w:val="18"/>
                <w:b w:val="1"/>
                <w:bCs w:val="1"/>
                <w:color w:val="auto"/>
              </w:rPr>
              <w:t>HIGHLIGHTS FOR THE THREE MONTHS ENDED SEPTEMBER 30, 2016 INCLUDE:</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As of and for the 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rPr>
              <w:t>(Connections and $'s in thousands, transactions in millions,</w:t>
            </w:r>
          </w:p>
        </w:tc>
        <w:tc>
          <w:tcPr>
            <w:tcW w:w="1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rPr>
              <w:t>eps is not rounded)</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 Change</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48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License and transaction fees</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16,365</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3,440</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Equipment Sales</w:t>
            </w:r>
          </w:p>
        </w:tc>
        <w:tc>
          <w:tcPr>
            <w:tcW w:w="10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5,223</w:t>
            </w:r>
          </w:p>
        </w:tc>
        <w:tc>
          <w:tcPr>
            <w:tcW w:w="3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auto"/>
            </w:tcBorders>
            <w:shd w:val="clear" w:color="auto" w:fill="F0FFFF"/>
          </w:tcPr>
          <w:p>
            <w:pPr>
              <w:spacing w:after="0"/>
              <w:rPr>
                <w:sz w:val="21"/>
                <w:szCs w:val="21"/>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1,548</w:t>
            </w:r>
          </w:p>
        </w:tc>
        <w:tc>
          <w:tcPr>
            <w:tcW w:w="2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line="216" w:lineRule="exact"/>
              <w:rPr>
                <w:sz w:val="20"/>
                <w:szCs w:val="20"/>
                <w:color w:val="auto"/>
              </w:rPr>
            </w:pPr>
            <w:r>
              <w:rPr>
                <w:rFonts w:ascii="Arial" w:cs="Arial" w:eastAsia="Arial" w:hAnsi="Arial"/>
                <w:sz w:val="14"/>
                <w:szCs w:val="14"/>
                <w:color w:val="auto"/>
              </w:rPr>
              <w:t>30</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License and transaction fee margin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Equipment sales gross margin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Overall Gross Margin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income/(loss)</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income/(loss)</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(2,464)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per common shares - basic</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per common shares - diluted</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New Connections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Connections (at period end)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Number of Transactions (millions)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Transaction Volume (millions)</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663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9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ind w:right="9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show certain financial and non-financial data over a five-quarter period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Five Quarter Connections &amp; Other Data</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89"/>
              </w:rPr>
              <w:t>As of and for the 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right"/>
              <w:ind w:right="170"/>
              <w:spacing w:after="0" w:line="198" w:lineRule="exact"/>
              <w:rPr>
                <w:sz w:val="20"/>
                <w:szCs w:val="20"/>
                <w:color w:val="auto"/>
              </w:rPr>
            </w:pPr>
            <w:r>
              <w:rPr>
                <w:rFonts w:ascii="Arial" w:cs="Arial" w:eastAsia="Arial" w:hAnsi="Arial"/>
                <w:sz w:val="18"/>
                <w:szCs w:val="18"/>
                <w:b w:val="1"/>
                <w:bCs w:val="1"/>
                <w:color w:val="auto"/>
                <w:w w:val="92"/>
              </w:rPr>
              <w:t>September 30,</w:t>
            </w:r>
          </w:p>
        </w:tc>
        <w:tc>
          <w:tcPr>
            <w:tcW w:w="240" w:type="dxa"/>
            <w:vAlign w:val="bottom"/>
          </w:tcPr>
          <w:p>
            <w:pPr>
              <w:spacing w:after="0"/>
              <w:rPr>
                <w:sz w:val="17"/>
                <w:szCs w:val="17"/>
                <w:color w:val="auto"/>
              </w:rPr>
            </w:pPr>
          </w:p>
        </w:tc>
        <w:tc>
          <w:tcPr>
            <w:tcW w:w="122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7"/>
                <w:szCs w:val="17"/>
                <w:color w:val="auto"/>
              </w:rPr>
            </w:pPr>
          </w:p>
        </w:tc>
        <w:tc>
          <w:tcPr>
            <w:tcW w:w="1260" w:type="dxa"/>
            <w:vAlign w:val="bottom"/>
          </w:tcPr>
          <w:p>
            <w:pPr>
              <w:jc w:val="center"/>
              <w:ind w:right="270"/>
              <w:spacing w:after="0" w:line="198" w:lineRule="exact"/>
              <w:rPr>
                <w:sz w:val="20"/>
                <w:szCs w:val="20"/>
                <w:color w:val="auto"/>
              </w:rPr>
            </w:pPr>
            <w:r>
              <w:rPr>
                <w:rFonts w:ascii="Arial" w:cs="Arial" w:eastAsia="Arial" w:hAnsi="Arial"/>
                <w:sz w:val="18"/>
                <w:szCs w:val="18"/>
                <w:b w:val="1"/>
                <w:bCs w:val="1"/>
                <w:color w:val="auto"/>
                <w:w w:val="93"/>
              </w:rPr>
              <w:t>March 31,</w:t>
            </w:r>
          </w:p>
        </w:tc>
        <w:tc>
          <w:tcPr>
            <w:tcW w:w="1460" w:type="dxa"/>
            <w:vAlign w:val="bottom"/>
            <w:gridSpan w:val="2"/>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2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September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Connections: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Gross New Connections</w:t>
            </w: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22,000</w:t>
            </w: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33,000</w:t>
            </w: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34,000</w:t>
            </w: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23,000</w:t>
            </w:r>
          </w:p>
        </w:tc>
        <w:tc>
          <w:tcPr>
            <w:tcW w:w="3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 from Existing Customer Base</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Net New Connections</w:t>
            </w: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19,000</w:t>
            </w: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28,000</w:t>
            </w: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32,000</w:t>
            </w: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Connections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448,000</w:t>
            </w:r>
          </w:p>
        </w:tc>
        <w:tc>
          <w:tcPr>
            <w:tcW w:w="2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429,000</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401,000</w:t>
            </w:r>
          </w:p>
        </w:tc>
        <w:tc>
          <w:tcPr>
            <w:tcW w:w="3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369,000</w:t>
            </w:r>
          </w:p>
        </w:tc>
        <w:tc>
          <w:tcPr>
            <w:tcW w:w="3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349,000</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Customers: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New Customers Added</w:t>
            </w: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Customers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11,400</w:t>
            </w:r>
          </w:p>
        </w:tc>
        <w:tc>
          <w:tcPr>
            <w:tcW w:w="2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11,050</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10,750</w:t>
            </w:r>
          </w:p>
        </w:tc>
        <w:tc>
          <w:tcPr>
            <w:tcW w:w="3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10,625</w:t>
            </w:r>
          </w:p>
        </w:tc>
        <w:tc>
          <w:tcPr>
            <w:tcW w:w="3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Volumes: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Total Number of Transactions (millions)</w:t>
            </w: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Transaction Volume (millions)</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Financing Structure of Connections: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JumpStart</w:t>
            </w:r>
          </w:p>
        </w:tc>
        <w:tc>
          <w:tcPr>
            <w:tcW w:w="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QuickStart &amp; All Others *</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55"/>
        </w:trPr>
        <w:tc>
          <w:tcPr>
            <w:tcW w:w="180" w:type="dxa"/>
            <w:vAlign w:val="bottom"/>
          </w:tcPr>
          <w:p>
            <w:pPr>
              <w:spacing w:after="0"/>
              <w:rPr>
                <w:sz w:val="21"/>
                <w:szCs w:val="21"/>
                <w:color w:val="auto"/>
              </w:rPr>
            </w:pPr>
          </w:p>
        </w:tc>
        <w:tc>
          <w:tcPr>
            <w:tcW w:w="34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1"/>
                <w:szCs w:val="21"/>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shd w:val="clear" w:color="auto" w:fill="F0FFFF"/>
          </w:tcPr>
          <w:p>
            <w:pPr>
              <w:spacing w:after="0"/>
              <w:rPr>
                <w:sz w:val="21"/>
                <w:szCs w:val="21"/>
                <w:color w:val="auto"/>
              </w:rPr>
            </w:pP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auto"/>
              <w:bottom w:val="single" w:sz="8" w:color="auto"/>
            </w:tcBorders>
            <w:shd w:val="clear" w:color="auto" w:fill="F0FFFF"/>
          </w:tcPr>
          <w:p>
            <w:pPr>
              <w:spacing w:after="0"/>
              <w:rPr>
                <w:sz w:val="21"/>
                <w:szCs w:val="21"/>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auto"/>
              <w:bottom w:val="single" w:sz="8" w:color="auto"/>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26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2016 include:</w:t>
      </w:r>
    </w:p>
    <w:p>
      <w:pPr>
        <w:spacing w:after="0" w:line="225"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19,000 net new connections to our ePort Connect service in the quarter, compared to 16,000 net connections added in the same quarter last year, an increase of 3,000, or 19%;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448,000 connections to the ePort Connect service compared to the same quarter last year of approximately 349,000 connections, an increase of 99,000 connections, or 28%.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Table 2: Quarter Ended September 30, 2016 compared to Quarter Ended September 30,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 in thousands, except shares and per share data)</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For the three months ended September 30,</w:t>
            </w:r>
          </w:p>
        </w:tc>
        <w:tc>
          <w:tcPr>
            <w:tcW w:w="10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9"/>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Sales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7"/>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Sales</w:t>
            </w: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160"/>
              <w:spacing w:after="0" w:line="149" w:lineRule="exact"/>
              <w:rPr>
                <w:sz w:val="20"/>
                <w:szCs w:val="20"/>
                <w:color w:val="auto"/>
              </w:rPr>
            </w:pPr>
            <w:r>
              <w:rPr>
                <w:rFonts w:ascii="Arial" w:cs="Arial" w:eastAsia="Arial" w:hAnsi="Arial"/>
                <w:sz w:val="14"/>
                <w:szCs w:val="14"/>
                <w:color w:val="auto"/>
              </w:rPr>
              <w:t>License and transaction fees</w:t>
            </w:r>
          </w:p>
        </w:tc>
        <w:tc>
          <w:tcPr>
            <w:tcW w:w="3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16,365</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75.8%</w:t>
            </w:r>
          </w:p>
        </w:tc>
        <w:tc>
          <w:tcPr>
            <w:tcW w:w="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12,925</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77.9%</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3,440</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Equipment sales</w:t>
            </w:r>
          </w:p>
        </w:tc>
        <w:tc>
          <w:tcPr>
            <w:tcW w:w="1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39"/>
              <w:spacing w:after="0"/>
              <w:rPr>
                <w:sz w:val="20"/>
                <w:szCs w:val="20"/>
                <w:color w:val="auto"/>
              </w:rPr>
            </w:pPr>
            <w:r>
              <w:rPr>
                <w:rFonts w:ascii="Arial" w:cs="Arial" w:eastAsia="Arial" w:hAnsi="Arial"/>
                <w:sz w:val="14"/>
                <w:szCs w:val="14"/>
                <w:color w:val="auto"/>
              </w:rPr>
              <w:t>5,223</w:t>
            </w:r>
          </w:p>
        </w:tc>
        <w:tc>
          <w:tcPr>
            <w:tcW w:w="10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3,675</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22.1%</w:t>
            </w:r>
          </w:p>
        </w:tc>
        <w:tc>
          <w:tcPr>
            <w:tcW w:w="280" w:type="dxa"/>
            <w:vAlign w:val="bottom"/>
            <w:shd w:val="clear" w:color="auto" w:fill="F0FFFF"/>
          </w:tcPr>
          <w:p>
            <w:pPr>
              <w:spacing w:after="0"/>
              <w:rPr>
                <w:sz w:val="15"/>
                <w:szCs w:val="15"/>
                <w:color w:val="auto"/>
              </w:rPr>
            </w:pPr>
          </w:p>
        </w:tc>
        <w:tc>
          <w:tcPr>
            <w:tcW w:w="1100" w:type="dxa"/>
            <w:vAlign w:val="bottom"/>
            <w:shd w:val="clear" w:color="auto" w:fill="F0FFFF"/>
          </w:tcPr>
          <w:p>
            <w:pPr>
              <w:jc w:val="right"/>
              <w:ind w:right="188"/>
              <w:spacing w:after="0"/>
              <w:rPr>
                <w:sz w:val="20"/>
                <w:szCs w:val="20"/>
                <w:color w:val="auto"/>
              </w:rPr>
            </w:pPr>
            <w:r>
              <w:rPr>
                <w:rFonts w:ascii="Arial" w:cs="Arial" w:eastAsia="Arial" w:hAnsi="Arial"/>
                <w:sz w:val="14"/>
                <w:szCs w:val="14"/>
                <w:color w:val="auto"/>
              </w:rPr>
              <w:t>1,548</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21,588</w:t>
            </w:r>
          </w:p>
        </w:tc>
        <w:tc>
          <w:tcPr>
            <w:tcW w:w="280" w:type="dxa"/>
            <w:vAlign w:val="bottom"/>
            <w:tcBorders>
              <w:top w:val="single" w:sz="8" w:color="F0FFFF"/>
            </w:tcBorders>
          </w:tcPr>
          <w:p>
            <w:pPr>
              <w:spacing w:after="0"/>
              <w:rPr>
                <w:sz w:val="11"/>
                <w:szCs w:val="11"/>
                <w:color w:val="auto"/>
              </w:rPr>
            </w:pPr>
          </w:p>
        </w:tc>
        <w:tc>
          <w:tcPr>
            <w:tcW w:w="1060" w:type="dxa"/>
            <w:vAlign w:val="bottom"/>
            <w:tcBorders>
              <w:top w:val="single" w:sz="8" w:color="F0FFFF"/>
            </w:tcBorders>
          </w:tcPr>
          <w:p>
            <w:pPr>
              <w:jc w:val="right"/>
              <w:ind w:right="208"/>
              <w:spacing w:after="0" w:line="136" w:lineRule="exact"/>
              <w:rPr>
                <w:sz w:val="20"/>
                <w:szCs w:val="20"/>
                <w:color w:val="auto"/>
              </w:rPr>
            </w:pPr>
            <w:r>
              <w:rPr>
                <w:rFonts w:ascii="Arial" w:cs="Arial" w:eastAsia="Arial" w:hAnsi="Arial"/>
                <w:sz w:val="14"/>
                <w:szCs w:val="14"/>
                <w:color w:val="auto"/>
              </w:rPr>
              <w:t>100.0%</w:t>
            </w:r>
          </w:p>
        </w:tc>
        <w:tc>
          <w:tcPr>
            <w:tcW w:w="18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16,600</w:t>
            </w:r>
          </w:p>
        </w:tc>
        <w:tc>
          <w:tcPr>
            <w:tcW w:w="260" w:type="dxa"/>
            <w:vAlign w:val="bottom"/>
            <w:tcBorders>
              <w:top w:val="single" w:sz="8" w:color="F0FFFF"/>
            </w:tcBorders>
          </w:tcPr>
          <w:p>
            <w:pPr>
              <w:spacing w:after="0"/>
              <w:rPr>
                <w:sz w:val="11"/>
                <w:szCs w:val="11"/>
                <w:color w:val="auto"/>
              </w:rPr>
            </w:pP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100.0%</w:t>
            </w:r>
          </w:p>
        </w:tc>
        <w:tc>
          <w:tcPr>
            <w:tcW w:w="280" w:type="dxa"/>
            <w:vAlign w:val="bottom"/>
            <w:tcBorders>
              <w:top w:val="single" w:sz="8" w:color="F0FFFF"/>
            </w:tcBorders>
          </w:tcPr>
          <w:p>
            <w:pPr>
              <w:spacing w:after="0"/>
              <w:rPr>
                <w:sz w:val="11"/>
                <w:szCs w:val="11"/>
                <w:color w:val="auto"/>
              </w:rPr>
            </w:pPr>
          </w:p>
        </w:tc>
        <w:tc>
          <w:tcPr>
            <w:tcW w:w="1100" w:type="dxa"/>
            <w:vAlign w:val="bottom"/>
            <w:tcBorders>
              <w:top w:val="single" w:sz="8" w:color="F0FFFF"/>
            </w:tcBorders>
          </w:tcPr>
          <w:p>
            <w:pPr>
              <w:jc w:val="right"/>
              <w:ind w:right="188"/>
              <w:spacing w:after="0" w:line="136" w:lineRule="exact"/>
              <w:rPr>
                <w:sz w:val="20"/>
                <w:szCs w:val="20"/>
                <w:color w:val="auto"/>
              </w:rPr>
            </w:pPr>
            <w:r>
              <w:rPr>
                <w:rFonts w:ascii="Arial" w:cs="Arial" w:eastAsia="Arial" w:hAnsi="Arial"/>
                <w:sz w:val="14"/>
                <w:szCs w:val="14"/>
                <w:color w:val="auto"/>
              </w:rPr>
              <w:t>4,988</w:t>
            </w: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Costs of sales/revenues: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Cost of services</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39"/>
              <w:spacing w:after="0" w:line="149" w:lineRule="exact"/>
              <w:rPr>
                <w:sz w:val="20"/>
                <w:szCs w:val="20"/>
                <w:color w:val="auto"/>
              </w:rPr>
            </w:pPr>
            <w:r>
              <w:rPr>
                <w:rFonts w:ascii="Arial" w:cs="Arial" w:eastAsia="Arial" w:hAnsi="Arial"/>
                <w:sz w:val="14"/>
                <w:szCs w:val="14"/>
                <w:color w:val="auto"/>
              </w:rPr>
              <w:t>11,243</w:t>
            </w:r>
          </w:p>
        </w:tc>
        <w:tc>
          <w:tcPr>
            <w:tcW w:w="1060" w:type="dxa"/>
            <w:vAlign w:val="bottom"/>
            <w:shd w:val="clear" w:color="auto" w:fill="F0FFFF"/>
          </w:tcPr>
          <w:p>
            <w:pPr>
              <w:jc w:val="right"/>
              <w:ind w:right="208"/>
              <w:spacing w:after="0" w:line="149" w:lineRule="exact"/>
              <w:rPr>
                <w:sz w:val="20"/>
                <w:szCs w:val="20"/>
                <w:color w:val="auto"/>
              </w:rPr>
            </w:pPr>
            <w:r>
              <w:rPr>
                <w:rFonts w:ascii="Arial" w:cs="Arial" w:eastAsia="Arial" w:hAnsi="Arial"/>
                <w:sz w:val="14"/>
                <w:szCs w:val="14"/>
                <w:color w:val="auto"/>
              </w:rPr>
              <w:t>68.7%</w:t>
            </w: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8,705</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67.4%</w:t>
            </w: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2,538</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ind w:left="160"/>
              <w:spacing w:after="0"/>
              <w:rPr>
                <w:sz w:val="20"/>
                <w:szCs w:val="20"/>
                <w:color w:val="auto"/>
              </w:rPr>
            </w:pPr>
            <w:r>
              <w:rPr>
                <w:rFonts w:ascii="Arial" w:cs="Arial" w:eastAsia="Arial" w:hAnsi="Arial"/>
                <w:sz w:val="14"/>
                <w:szCs w:val="14"/>
                <w:color w:val="auto"/>
              </w:rPr>
              <w:t>Cost of equipment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39"/>
              <w:spacing w:after="0"/>
              <w:rPr>
                <w:sz w:val="20"/>
                <w:szCs w:val="20"/>
                <w:color w:val="auto"/>
              </w:rPr>
            </w:pPr>
            <w:r>
              <w:rPr>
                <w:rFonts w:ascii="Arial" w:cs="Arial" w:eastAsia="Arial" w:hAnsi="Arial"/>
                <w:sz w:val="14"/>
                <w:szCs w:val="14"/>
                <w:color w:val="auto"/>
              </w:rPr>
              <w:t>4,178</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80.0%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2,848</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77.5%</w:t>
            </w:r>
          </w:p>
        </w:tc>
        <w:tc>
          <w:tcPr>
            <w:tcW w:w="28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1,330</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Borders>
              <w:top w:val="single" w:sz="8" w:color="F0FFFF"/>
              <w:bottom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Total costs of sales/revenues</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auto"/>
              <w:bottom w:val="single" w:sz="8" w:color="auto"/>
            </w:tcBorders>
            <w:shd w:val="clear" w:color="auto" w:fill="F0FFFF"/>
          </w:tcPr>
          <w:p>
            <w:pPr>
              <w:spacing w:after="0"/>
              <w:rPr>
                <w:sz w:val="13"/>
                <w:szCs w:val="13"/>
                <w:color w:val="auto"/>
              </w:rPr>
            </w:pPr>
          </w:p>
        </w:tc>
        <w:tc>
          <w:tcPr>
            <w:tcW w:w="82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15,421</w:t>
            </w:r>
          </w:p>
        </w:tc>
        <w:tc>
          <w:tcPr>
            <w:tcW w:w="280" w:type="dxa"/>
            <w:vAlign w:val="bottom"/>
            <w:tcBorders>
              <w:top w:val="single" w:sz="8" w:color="F0FFFF"/>
              <w:bottom w:val="single" w:sz="8" w:color="F0FFFF"/>
            </w:tcBorders>
            <w:shd w:val="clear" w:color="auto" w:fill="F0FFFF"/>
          </w:tcPr>
          <w:p>
            <w:pPr>
              <w:spacing w:after="0"/>
              <w:rPr>
                <w:sz w:val="13"/>
                <w:szCs w:val="13"/>
                <w:color w:val="auto"/>
              </w:rPr>
            </w:pPr>
          </w:p>
        </w:tc>
        <w:tc>
          <w:tcPr>
            <w:tcW w:w="1060" w:type="dxa"/>
            <w:vAlign w:val="bottom"/>
            <w:tcBorders>
              <w:top w:val="single" w:sz="8" w:color="F0FFFF"/>
              <w:bottom w:val="single" w:sz="8" w:color="F0FFFF"/>
            </w:tcBorders>
            <w:shd w:val="clear" w:color="auto" w:fill="F0FFFF"/>
          </w:tcPr>
          <w:p>
            <w:pPr>
              <w:jc w:val="right"/>
              <w:ind w:right="208"/>
              <w:spacing w:after="0" w:line="149" w:lineRule="exact"/>
              <w:rPr>
                <w:sz w:val="20"/>
                <w:szCs w:val="20"/>
                <w:color w:val="auto"/>
              </w:rPr>
            </w:pPr>
            <w:r>
              <w:rPr>
                <w:rFonts w:ascii="Arial" w:cs="Arial" w:eastAsia="Arial" w:hAnsi="Arial"/>
                <w:sz w:val="14"/>
                <w:szCs w:val="14"/>
                <w:color w:val="auto"/>
              </w:rPr>
              <w:t>71.4%</w:t>
            </w:r>
          </w:p>
        </w:tc>
        <w:tc>
          <w:tcPr>
            <w:tcW w:w="18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auto"/>
              <w:bottom w:val="single" w:sz="8" w:color="auto"/>
            </w:tcBorders>
            <w:shd w:val="clear" w:color="auto" w:fill="F0FFFF"/>
          </w:tcPr>
          <w:p>
            <w:pPr>
              <w:spacing w:after="0"/>
              <w:rPr>
                <w:sz w:val="13"/>
                <w:szCs w:val="13"/>
                <w:color w:val="auto"/>
              </w:rPr>
            </w:pPr>
          </w:p>
        </w:tc>
        <w:tc>
          <w:tcPr>
            <w:tcW w:w="82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11,553</w:t>
            </w:r>
          </w:p>
        </w:tc>
        <w:tc>
          <w:tcPr>
            <w:tcW w:w="260" w:type="dxa"/>
            <w:vAlign w:val="bottom"/>
            <w:tcBorders>
              <w:top w:val="single" w:sz="8" w:color="F0FFFF"/>
              <w:bottom w:val="single" w:sz="8" w:color="F0FFFF"/>
            </w:tcBorders>
            <w:shd w:val="clear" w:color="auto" w:fill="F0FFFF"/>
          </w:tcPr>
          <w:p>
            <w:pPr>
              <w:spacing w:after="0"/>
              <w:rPr>
                <w:sz w:val="13"/>
                <w:szCs w:val="13"/>
                <w:color w:val="auto"/>
              </w:rPr>
            </w:pPr>
          </w:p>
        </w:tc>
        <w:tc>
          <w:tcPr>
            <w:tcW w:w="1080" w:type="dxa"/>
            <w:vAlign w:val="bottom"/>
            <w:tcBorders>
              <w:top w:val="single" w:sz="8" w:color="F0FFFF"/>
              <w:bottom w:val="single" w:sz="8" w:color="F0FFFF"/>
            </w:tcBorders>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69.6%</w:t>
            </w:r>
          </w:p>
        </w:tc>
        <w:tc>
          <w:tcPr>
            <w:tcW w:w="280" w:type="dxa"/>
            <w:vAlign w:val="bottom"/>
            <w:tcBorders>
              <w:top w:val="single" w:sz="8" w:color="F0FFFF"/>
              <w:bottom w:val="single" w:sz="8" w:color="F0FFFF"/>
            </w:tcBorders>
            <w:shd w:val="clear" w:color="auto" w:fill="F0FFFF"/>
          </w:tcPr>
          <w:p>
            <w:pPr>
              <w:spacing w:after="0"/>
              <w:rPr>
                <w:sz w:val="13"/>
                <w:szCs w:val="13"/>
                <w:color w:val="auto"/>
              </w:rPr>
            </w:pPr>
          </w:p>
        </w:tc>
        <w:tc>
          <w:tcPr>
            <w:tcW w:w="1100" w:type="dxa"/>
            <w:vAlign w:val="bottom"/>
            <w:tcBorders>
              <w:top w:val="single" w:sz="8" w:color="F0FFFF"/>
              <w:bottom w:val="single" w:sz="8" w:color="F0FFFF"/>
            </w:tcBorders>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3,868</w:t>
            </w:r>
          </w:p>
        </w:tc>
        <w:tc>
          <w:tcPr>
            <w:tcW w:w="1080" w:type="dxa"/>
            <w:vAlign w:val="bottom"/>
            <w:tcBorders>
              <w:top w:val="single" w:sz="8" w:color="F0FFFF"/>
              <w:bottom w:val="single" w:sz="8" w:color="F0FFFF"/>
            </w:tcBorders>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39"/>
              <w:spacing w:after="0" w:line="149" w:lineRule="exact"/>
              <w:rPr>
                <w:sz w:val="20"/>
                <w:szCs w:val="20"/>
                <w:color w:val="auto"/>
              </w:rPr>
            </w:pPr>
            <w:r>
              <w:rPr>
                <w:rFonts w:ascii="Arial" w:cs="Arial" w:eastAsia="Arial" w:hAnsi="Arial"/>
                <w:sz w:val="14"/>
                <w:szCs w:val="14"/>
                <w:color w:val="auto"/>
              </w:rPr>
              <w:t>6,167</w:t>
            </w:r>
          </w:p>
        </w:tc>
        <w:tc>
          <w:tcPr>
            <w:tcW w:w="1060" w:type="dxa"/>
            <w:vAlign w:val="bottom"/>
            <w:shd w:val="clear" w:color="auto" w:fill="F0FFFF"/>
          </w:tcPr>
          <w:p>
            <w:pPr>
              <w:jc w:val="right"/>
              <w:ind w:right="208"/>
              <w:spacing w:after="0" w:line="149" w:lineRule="exact"/>
              <w:rPr>
                <w:sz w:val="20"/>
                <w:szCs w:val="20"/>
                <w:color w:val="auto"/>
              </w:rPr>
            </w:pPr>
            <w:r>
              <w:rPr>
                <w:rFonts w:ascii="Arial" w:cs="Arial" w:eastAsia="Arial" w:hAnsi="Arial"/>
                <w:sz w:val="14"/>
                <w:szCs w:val="14"/>
                <w:color w:val="auto"/>
              </w:rPr>
              <w:t>28.6%</w:t>
            </w: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5,047</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30.4%</w:t>
            </w: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1,120</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Operating expenses:</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16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6,909</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32.0%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4,796</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28.9%</w:t>
            </w:r>
          </w:p>
        </w:tc>
        <w:tc>
          <w:tcPr>
            <w:tcW w:w="280" w:type="dxa"/>
            <w:vAlign w:val="bottom"/>
          </w:tcPr>
          <w:p>
            <w:pPr>
              <w:spacing w:after="0"/>
              <w:rPr>
                <w:sz w:val="12"/>
                <w:szCs w:val="12"/>
                <w:color w:val="auto"/>
              </w:rPr>
            </w:pPr>
          </w:p>
        </w:tc>
        <w:tc>
          <w:tcPr>
            <w:tcW w:w="11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2,113</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239"/>
              <w:spacing w:after="0"/>
              <w:rPr>
                <w:sz w:val="20"/>
                <w:szCs w:val="20"/>
                <w:color w:val="auto"/>
              </w:rPr>
            </w:pPr>
            <w:r>
              <w:rPr>
                <w:rFonts w:ascii="Arial" w:cs="Arial" w:eastAsia="Arial" w:hAnsi="Arial"/>
                <w:sz w:val="14"/>
                <w:szCs w:val="14"/>
                <w:color w:val="auto"/>
              </w:rPr>
              <w:t>208</w:t>
            </w:r>
          </w:p>
        </w:tc>
        <w:tc>
          <w:tcPr>
            <w:tcW w:w="10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139</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0.8%</w:t>
            </w:r>
          </w:p>
        </w:tc>
        <w:tc>
          <w:tcPr>
            <w:tcW w:w="280" w:type="dxa"/>
            <w:vAlign w:val="bottom"/>
            <w:shd w:val="clear" w:color="auto" w:fill="F0FFFF"/>
          </w:tcPr>
          <w:p>
            <w:pPr>
              <w:spacing w:after="0"/>
              <w:rPr>
                <w:sz w:val="15"/>
                <w:szCs w:val="15"/>
                <w:color w:val="auto"/>
              </w:rPr>
            </w:pPr>
          </w:p>
        </w:tc>
        <w:tc>
          <w:tcPr>
            <w:tcW w:w="1100" w:type="dxa"/>
            <w:vAlign w:val="bottom"/>
            <w:shd w:val="clear" w:color="auto" w:fill="F0FFFF"/>
          </w:tcPr>
          <w:p>
            <w:pPr>
              <w:jc w:val="right"/>
              <w:ind w:right="188"/>
              <w:spacing w:after="0"/>
              <w:rPr>
                <w:sz w:val="20"/>
                <w:szCs w:val="20"/>
                <w:color w:val="auto"/>
              </w:rPr>
            </w:pPr>
            <w:r>
              <w:rPr>
                <w:rFonts w:ascii="Arial" w:cs="Arial" w:eastAsia="Arial" w:hAnsi="Arial"/>
                <w:sz w:val="14"/>
                <w:szCs w:val="14"/>
                <w:color w:val="auto"/>
              </w:rPr>
              <w:t>69</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7,117</w:t>
            </w:r>
          </w:p>
        </w:tc>
        <w:tc>
          <w:tcPr>
            <w:tcW w:w="280" w:type="dxa"/>
            <w:vAlign w:val="bottom"/>
            <w:tcBorders>
              <w:top w:val="single" w:sz="8" w:color="F0FFFF"/>
            </w:tcBorders>
          </w:tcPr>
          <w:p>
            <w:pPr>
              <w:spacing w:after="0"/>
              <w:rPr>
                <w:sz w:val="11"/>
                <w:szCs w:val="11"/>
                <w:color w:val="auto"/>
              </w:rPr>
            </w:pPr>
          </w:p>
        </w:tc>
        <w:tc>
          <w:tcPr>
            <w:tcW w:w="1060" w:type="dxa"/>
            <w:vAlign w:val="bottom"/>
            <w:tcBorders>
              <w:top w:val="single" w:sz="8" w:color="F0FFFF"/>
            </w:tcBorders>
          </w:tcPr>
          <w:p>
            <w:pPr>
              <w:jc w:val="right"/>
              <w:ind w:right="208"/>
              <w:spacing w:after="0" w:line="136" w:lineRule="exact"/>
              <w:rPr>
                <w:sz w:val="20"/>
                <w:szCs w:val="20"/>
                <w:color w:val="auto"/>
              </w:rPr>
            </w:pPr>
            <w:r>
              <w:rPr>
                <w:rFonts w:ascii="Arial" w:cs="Arial" w:eastAsia="Arial" w:hAnsi="Arial"/>
                <w:sz w:val="14"/>
                <w:szCs w:val="14"/>
                <w:color w:val="auto"/>
              </w:rPr>
              <w:t>33.0%</w:t>
            </w:r>
          </w:p>
        </w:tc>
        <w:tc>
          <w:tcPr>
            <w:tcW w:w="18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4,935</w:t>
            </w:r>
          </w:p>
        </w:tc>
        <w:tc>
          <w:tcPr>
            <w:tcW w:w="260" w:type="dxa"/>
            <w:vAlign w:val="bottom"/>
            <w:tcBorders>
              <w:top w:val="single" w:sz="8" w:color="F0FFFF"/>
            </w:tcBorders>
          </w:tcPr>
          <w:p>
            <w:pPr>
              <w:spacing w:after="0"/>
              <w:rPr>
                <w:sz w:val="11"/>
                <w:szCs w:val="11"/>
                <w:color w:val="auto"/>
              </w:rPr>
            </w:pP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29.7%</w:t>
            </w:r>
          </w:p>
        </w:tc>
        <w:tc>
          <w:tcPr>
            <w:tcW w:w="280" w:type="dxa"/>
            <w:vAlign w:val="bottom"/>
            <w:tcBorders>
              <w:top w:val="single" w:sz="8" w:color="F0FFFF"/>
            </w:tcBorders>
          </w:tcPr>
          <w:p>
            <w:pPr>
              <w:spacing w:after="0"/>
              <w:rPr>
                <w:sz w:val="11"/>
                <w:szCs w:val="11"/>
                <w:color w:val="auto"/>
              </w:rPr>
            </w:pPr>
          </w:p>
        </w:tc>
        <w:tc>
          <w:tcPr>
            <w:tcW w:w="1100" w:type="dxa"/>
            <w:vAlign w:val="bottom"/>
            <w:tcBorders>
              <w:top w:val="single" w:sz="8" w:color="F0FFFF"/>
            </w:tcBorders>
          </w:tcPr>
          <w:p>
            <w:pPr>
              <w:jc w:val="right"/>
              <w:ind w:right="188"/>
              <w:spacing w:after="0" w:line="136" w:lineRule="exact"/>
              <w:rPr>
                <w:sz w:val="20"/>
                <w:szCs w:val="20"/>
                <w:color w:val="auto"/>
              </w:rPr>
            </w:pPr>
            <w:r>
              <w:rPr>
                <w:rFonts w:ascii="Arial" w:cs="Arial" w:eastAsia="Arial" w:hAnsi="Arial"/>
                <w:sz w:val="14"/>
                <w:szCs w:val="14"/>
                <w:color w:val="auto"/>
              </w:rPr>
              <w:t>2,182</w:t>
            </w: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(950)</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2"/>
                <w:szCs w:val="12"/>
                <w:color w:val="auto"/>
              </w:rPr>
            </w:pP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(1,062)</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239"/>
              <w:spacing w:after="0" w:line="149" w:lineRule="exact"/>
              <w:rPr>
                <w:sz w:val="20"/>
                <w:szCs w:val="20"/>
                <w:color w:val="auto"/>
              </w:rPr>
            </w:pPr>
            <w:r>
              <w:rPr>
                <w:rFonts w:ascii="Arial" w:cs="Arial" w:eastAsia="Arial" w:hAnsi="Arial"/>
                <w:sz w:val="14"/>
                <w:szCs w:val="14"/>
                <w:color w:val="auto"/>
              </w:rPr>
              <w:t>73</w:t>
            </w:r>
          </w:p>
        </w:tc>
        <w:tc>
          <w:tcPr>
            <w:tcW w:w="1060" w:type="dxa"/>
            <w:vAlign w:val="bottom"/>
            <w:shd w:val="clear" w:color="auto" w:fill="F0FFFF"/>
          </w:tcPr>
          <w:p>
            <w:pPr>
              <w:jc w:val="right"/>
              <w:ind w:right="208"/>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51</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0.3%</w:t>
            </w: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22</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(212)</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2"/>
                <w:szCs w:val="12"/>
                <w:color w:val="auto"/>
              </w:rPr>
            </w:pP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Change in fair value of warrant liabilities</w:t>
            </w:r>
          </w:p>
        </w:tc>
        <w:tc>
          <w:tcPr>
            <w:tcW w:w="1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00" w:type="dxa"/>
            <w:vAlign w:val="bottom"/>
            <w:gridSpan w:val="2"/>
            <w:shd w:val="clear" w:color="auto" w:fill="F0FFFF"/>
          </w:tcPr>
          <w:p>
            <w:pPr>
              <w:jc w:val="right"/>
              <w:ind w:right="199"/>
              <w:spacing w:after="0"/>
              <w:rPr>
                <w:sz w:val="20"/>
                <w:szCs w:val="20"/>
                <w:color w:val="auto"/>
              </w:rPr>
            </w:pPr>
            <w:r>
              <w:rPr>
                <w:rFonts w:ascii="Arial" w:cs="Arial" w:eastAsia="Arial" w:hAnsi="Arial"/>
                <w:sz w:val="14"/>
                <w:szCs w:val="14"/>
                <w:color w:val="auto"/>
              </w:rPr>
              <w:t>(1,490)</w:t>
            </w:r>
          </w:p>
        </w:tc>
        <w:tc>
          <w:tcPr>
            <w:tcW w:w="10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rPr>
              <w:t>-6.9%</w:t>
            </w:r>
          </w:p>
        </w:tc>
        <w:tc>
          <w:tcPr>
            <w:tcW w:w="1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343</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2.1%</w:t>
            </w:r>
          </w:p>
        </w:tc>
        <w:tc>
          <w:tcPr>
            <w:tcW w:w="280" w:type="dxa"/>
            <w:vAlign w:val="bottom"/>
            <w:shd w:val="clear" w:color="auto" w:fill="F0FFFF"/>
          </w:tcPr>
          <w:p>
            <w:pPr>
              <w:spacing w:after="0"/>
              <w:rPr>
                <w:sz w:val="15"/>
                <w:szCs w:val="15"/>
                <w:color w:val="auto"/>
              </w:rPr>
            </w:pPr>
          </w:p>
        </w:tc>
        <w:tc>
          <w:tcPr>
            <w:tcW w:w="110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(1,833)</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color w:val="auto"/>
              </w:rPr>
              <w:t>Total other income (expense), net</w:t>
            </w:r>
          </w:p>
        </w:tc>
        <w:tc>
          <w:tcPr>
            <w:tcW w:w="14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(1,629)</w:t>
            </w:r>
          </w:p>
        </w:tc>
        <w:tc>
          <w:tcPr>
            <w:tcW w:w="280" w:type="dxa"/>
            <w:vAlign w:val="bottom"/>
            <w:tcBorders>
              <w:top w:val="single" w:sz="8" w:color="F0FFFF"/>
            </w:tcBorders>
          </w:tcPr>
          <w:p>
            <w:pPr>
              <w:spacing w:after="0"/>
              <w:rPr>
                <w:sz w:val="11"/>
                <w:szCs w:val="11"/>
                <w:color w:val="auto"/>
              </w:rPr>
            </w:pPr>
          </w:p>
        </w:tc>
        <w:tc>
          <w:tcPr>
            <w:tcW w:w="1060" w:type="dxa"/>
            <w:vAlign w:val="bottom"/>
            <w:tcBorders>
              <w:top w:val="single" w:sz="8" w:color="F0FFFF"/>
            </w:tcBorders>
          </w:tcPr>
          <w:p>
            <w:pPr>
              <w:jc w:val="right"/>
              <w:ind w:right="208"/>
              <w:spacing w:after="0" w:line="136" w:lineRule="exact"/>
              <w:rPr>
                <w:sz w:val="20"/>
                <w:szCs w:val="20"/>
                <w:color w:val="auto"/>
              </w:rPr>
            </w:pPr>
            <w:r>
              <w:rPr>
                <w:rFonts w:ascii="Arial" w:cs="Arial" w:eastAsia="Arial" w:hAnsi="Arial"/>
                <w:sz w:val="14"/>
                <w:szCs w:val="14"/>
                <w:color w:val="auto"/>
              </w:rPr>
              <w:t>-7.5%</w:t>
            </w:r>
          </w:p>
        </w:tc>
        <w:tc>
          <w:tcPr>
            <w:tcW w:w="18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275</w:t>
            </w:r>
          </w:p>
        </w:tc>
        <w:tc>
          <w:tcPr>
            <w:tcW w:w="260" w:type="dxa"/>
            <w:vAlign w:val="bottom"/>
            <w:tcBorders>
              <w:top w:val="single" w:sz="8" w:color="F0FFFF"/>
            </w:tcBorders>
          </w:tcPr>
          <w:p>
            <w:pPr>
              <w:spacing w:after="0"/>
              <w:rPr>
                <w:sz w:val="11"/>
                <w:szCs w:val="11"/>
                <w:color w:val="auto"/>
              </w:rPr>
            </w:pP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1.7%</w:t>
            </w:r>
          </w:p>
        </w:tc>
        <w:tc>
          <w:tcPr>
            <w:tcW w:w="280" w:type="dxa"/>
            <w:vAlign w:val="bottom"/>
            <w:tcBorders>
              <w:top w:val="single" w:sz="8" w:color="F0FFFF"/>
            </w:tcBorders>
          </w:tcPr>
          <w:p>
            <w:pPr>
              <w:spacing w:after="0"/>
              <w:rPr>
                <w:sz w:val="11"/>
                <w:szCs w:val="11"/>
                <w:color w:val="auto"/>
              </w:rPr>
            </w:pPr>
          </w:p>
        </w:tc>
        <w:tc>
          <w:tcPr>
            <w:tcW w:w="1100" w:type="dxa"/>
            <w:vAlign w:val="bottom"/>
            <w:tcBorders>
              <w:top w:val="single" w:sz="8" w:color="F0FFFF"/>
            </w:tcBorders>
          </w:tcPr>
          <w:p>
            <w:pPr>
              <w:jc w:val="right"/>
              <w:ind w:right="128"/>
              <w:spacing w:after="0" w:line="136" w:lineRule="exact"/>
              <w:rPr>
                <w:sz w:val="20"/>
                <w:szCs w:val="20"/>
                <w:color w:val="auto"/>
              </w:rPr>
            </w:pPr>
            <w:r>
              <w:rPr>
                <w:rFonts w:ascii="Arial" w:cs="Arial" w:eastAsia="Arial" w:hAnsi="Arial"/>
                <w:sz w:val="14"/>
                <w:szCs w:val="14"/>
                <w:color w:val="auto"/>
              </w:rPr>
              <w:t>(1,904)</w:t>
            </w:r>
          </w:p>
        </w:tc>
        <w:tc>
          <w:tcPr>
            <w:tcW w:w="1080" w:type="dxa"/>
            <w:vAlign w:val="bottom"/>
            <w:tcBorders>
              <w:top w:val="single" w:sz="8" w:color="F0FFFF"/>
            </w:tcBorders>
          </w:tcPr>
          <w:p>
            <w:pPr>
              <w:jc w:val="right"/>
              <w:ind w:right="248"/>
              <w:spacing w:after="0" w:line="136" w:lineRule="exact"/>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Income (loss) before provision for income taxes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(2,579)</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387</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2.3%</w:t>
            </w:r>
          </w:p>
        </w:tc>
        <w:tc>
          <w:tcPr>
            <w:tcW w:w="280" w:type="dxa"/>
            <w:vAlign w:val="bottom"/>
          </w:tcPr>
          <w:p>
            <w:pPr>
              <w:spacing w:after="0"/>
              <w:rPr>
                <w:sz w:val="12"/>
                <w:szCs w:val="12"/>
                <w:color w:val="auto"/>
              </w:rPr>
            </w:pP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(2,966)</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4"/>
                <w:szCs w:val="14"/>
                <w:color w:val="auto"/>
              </w:rPr>
              <w:t>Benefit (provision) for income taxes</w:t>
            </w:r>
          </w:p>
        </w:tc>
        <w:tc>
          <w:tcPr>
            <w:tcW w:w="14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239"/>
              <w:spacing w:after="0"/>
              <w:rPr>
                <w:sz w:val="20"/>
                <w:szCs w:val="20"/>
                <w:color w:val="auto"/>
              </w:rPr>
            </w:pPr>
            <w:r>
              <w:rPr>
                <w:rFonts w:ascii="Arial" w:cs="Arial" w:eastAsia="Arial" w:hAnsi="Arial"/>
                <w:sz w:val="14"/>
                <w:szCs w:val="14"/>
                <w:color w:val="auto"/>
              </w:rPr>
              <w:t>115</w:t>
            </w:r>
          </w:p>
        </w:tc>
        <w:tc>
          <w:tcPr>
            <w:tcW w:w="1060" w:type="dxa"/>
            <w:vAlign w:val="bottom"/>
            <w:shd w:val="clear" w:color="auto" w:fill="F0FFFF"/>
          </w:tcPr>
          <w:p>
            <w:pPr>
              <w:jc w:val="right"/>
              <w:ind w:right="208"/>
              <w:spacing w:after="0"/>
              <w:rPr>
                <w:sz w:val="20"/>
                <w:szCs w:val="20"/>
                <w:color w:val="auto"/>
              </w:rPr>
            </w:pPr>
            <w:r>
              <w:rPr>
                <w:rFonts w:ascii="Arial" w:cs="Arial" w:eastAsia="Arial" w:hAnsi="Arial"/>
                <w:sz w:val="14"/>
                <w:szCs w:val="14"/>
                <w:color w:val="auto"/>
              </w:rPr>
              <w:t>0.5%</w:t>
            </w:r>
          </w:p>
        </w:tc>
        <w:tc>
          <w:tcPr>
            <w:tcW w:w="1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(27)</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-0.2%</w:t>
            </w:r>
          </w:p>
        </w:tc>
        <w:tc>
          <w:tcPr>
            <w:tcW w:w="280" w:type="dxa"/>
            <w:vAlign w:val="bottom"/>
            <w:shd w:val="clear" w:color="auto" w:fill="F0FFFF"/>
          </w:tcPr>
          <w:p>
            <w:pPr>
              <w:spacing w:after="0"/>
              <w:rPr>
                <w:sz w:val="14"/>
                <w:szCs w:val="14"/>
                <w:color w:val="auto"/>
              </w:rPr>
            </w:pPr>
          </w:p>
        </w:tc>
        <w:tc>
          <w:tcPr>
            <w:tcW w:w="1100" w:type="dxa"/>
            <w:vAlign w:val="bottom"/>
            <w:shd w:val="clear" w:color="auto" w:fill="F0FFFF"/>
          </w:tcPr>
          <w:p>
            <w:pPr>
              <w:jc w:val="right"/>
              <w:ind w:right="188"/>
              <w:spacing w:after="0"/>
              <w:rPr>
                <w:sz w:val="20"/>
                <w:szCs w:val="20"/>
                <w:color w:val="auto"/>
              </w:rPr>
            </w:pPr>
            <w:r>
              <w:rPr>
                <w:rFonts w:ascii="Arial" w:cs="Arial" w:eastAsia="Arial" w:hAnsi="Arial"/>
                <w:sz w:val="14"/>
                <w:szCs w:val="14"/>
                <w:color w:val="auto"/>
              </w:rPr>
              <w:t>142</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F0FFFF"/>
            </w:tcBorders>
          </w:tcPr>
          <w:p>
            <w:pPr>
              <w:spacing w:after="0"/>
              <w:rPr>
                <w:sz w:val="12"/>
                <w:szCs w:val="12"/>
                <w:color w:val="auto"/>
              </w:rPr>
            </w:pPr>
          </w:p>
        </w:tc>
        <w:tc>
          <w:tcPr>
            <w:tcW w:w="1060" w:type="dxa"/>
            <w:vAlign w:val="bottom"/>
            <w:tcBorders>
              <w:top w:val="single" w:sz="8" w:color="F0FFFF"/>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F0FFFF"/>
            </w:tcBorders>
          </w:tcPr>
          <w:p>
            <w:pPr>
              <w:spacing w:after="0"/>
              <w:rPr>
                <w:sz w:val="12"/>
                <w:szCs w:val="12"/>
                <w:color w:val="auto"/>
              </w:rPr>
            </w:pPr>
          </w:p>
        </w:tc>
        <w:tc>
          <w:tcPr>
            <w:tcW w:w="1080" w:type="dxa"/>
            <w:vAlign w:val="bottom"/>
            <w:tcBorders>
              <w:top w:val="single" w:sz="8" w:color="F0FFFF"/>
            </w:tcBorders>
          </w:tcPr>
          <w:p>
            <w:pPr>
              <w:spacing w:after="0"/>
              <w:rPr>
                <w:sz w:val="12"/>
                <w:szCs w:val="12"/>
                <w:color w:val="auto"/>
              </w:rPr>
            </w:pPr>
          </w:p>
        </w:tc>
        <w:tc>
          <w:tcPr>
            <w:tcW w:w="280" w:type="dxa"/>
            <w:vAlign w:val="bottom"/>
            <w:tcBorders>
              <w:top w:val="single" w:sz="8" w:color="F0FFFF"/>
            </w:tcBorders>
          </w:tcPr>
          <w:p>
            <w:pPr>
              <w:spacing w:after="0"/>
              <w:rPr>
                <w:sz w:val="12"/>
                <w:szCs w:val="12"/>
                <w:color w:val="auto"/>
              </w:rPr>
            </w:pPr>
          </w:p>
        </w:tc>
        <w:tc>
          <w:tcPr>
            <w:tcW w:w="1100" w:type="dxa"/>
            <w:vAlign w:val="bottom"/>
            <w:tcBorders>
              <w:top w:val="single" w:sz="8" w:color="F0FFFF"/>
            </w:tcBorders>
          </w:tcPr>
          <w:p>
            <w:pPr>
              <w:spacing w:after="0"/>
              <w:rPr>
                <w:sz w:val="12"/>
                <w:szCs w:val="12"/>
                <w:color w:val="auto"/>
              </w:rPr>
            </w:pPr>
          </w:p>
        </w:tc>
        <w:tc>
          <w:tcPr>
            <w:tcW w:w="10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100" w:type="dxa"/>
            <w:vAlign w:val="bottom"/>
            <w:gridSpan w:val="2"/>
            <w:shd w:val="clear" w:color="auto" w:fill="F0FFFF"/>
          </w:tcPr>
          <w:p>
            <w:pPr>
              <w:jc w:val="right"/>
              <w:ind w:right="199"/>
              <w:spacing w:after="0" w:line="149" w:lineRule="exact"/>
              <w:rPr>
                <w:sz w:val="20"/>
                <w:szCs w:val="20"/>
                <w:color w:val="auto"/>
              </w:rPr>
            </w:pPr>
            <w:r>
              <w:rPr>
                <w:rFonts w:ascii="Arial" w:cs="Arial" w:eastAsia="Arial" w:hAnsi="Arial"/>
                <w:sz w:val="14"/>
                <w:szCs w:val="14"/>
                <w:color w:val="auto"/>
              </w:rPr>
              <w:t>(2,464)</w:t>
            </w:r>
          </w:p>
        </w:tc>
        <w:tc>
          <w:tcPr>
            <w:tcW w:w="1060" w:type="dxa"/>
            <w:vAlign w:val="bottom"/>
            <w:shd w:val="clear" w:color="auto" w:fill="F0FFFF"/>
          </w:tcPr>
          <w:p>
            <w:pPr>
              <w:jc w:val="right"/>
              <w:ind w:right="208"/>
              <w:spacing w:after="0" w:line="149" w:lineRule="exact"/>
              <w:rPr>
                <w:sz w:val="20"/>
                <w:szCs w:val="20"/>
                <w:color w:val="auto"/>
              </w:rPr>
            </w:pPr>
            <w:r>
              <w:rPr>
                <w:rFonts w:ascii="Arial" w:cs="Arial" w:eastAsia="Arial" w:hAnsi="Arial"/>
                <w:sz w:val="14"/>
                <w:szCs w:val="14"/>
                <w:color w:val="auto"/>
              </w:rPr>
              <w:t>-11.4%</w:t>
            </w: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360</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jc w:val="right"/>
              <w:ind w:right="128"/>
              <w:spacing w:after="0" w:line="149" w:lineRule="exact"/>
              <w:rPr>
                <w:sz w:val="20"/>
                <w:szCs w:val="20"/>
                <w:color w:val="auto"/>
              </w:rPr>
            </w:pPr>
            <w:r>
              <w:rPr>
                <w:rFonts w:ascii="Arial" w:cs="Arial" w:eastAsia="Arial" w:hAnsi="Arial"/>
                <w:sz w:val="14"/>
                <w:szCs w:val="14"/>
                <w:color w:val="auto"/>
              </w:rPr>
              <w:t>(2,824)</w:t>
            </w:r>
          </w:p>
        </w:tc>
        <w:tc>
          <w:tcPr>
            <w:tcW w:w="1080" w:type="dxa"/>
            <w:vAlign w:val="bottom"/>
            <w:shd w:val="clear" w:color="auto" w:fill="F0FFFF"/>
          </w:tcPr>
          <w:p>
            <w:pPr>
              <w:jc w:val="right"/>
              <w:ind w:right="248"/>
              <w:spacing w:after="0" w:line="149" w:lineRule="exact"/>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Cumulative preferred dividends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99"/>
              <w:spacing w:after="0"/>
              <w:rPr>
                <w:sz w:val="20"/>
                <w:szCs w:val="20"/>
                <w:color w:val="auto"/>
              </w:rPr>
            </w:pPr>
            <w:r>
              <w:rPr>
                <w:rFonts w:ascii="Arial" w:cs="Arial" w:eastAsia="Arial" w:hAnsi="Arial"/>
                <w:sz w:val="14"/>
                <w:szCs w:val="14"/>
                <w:color w:val="auto"/>
              </w:rPr>
              <w:t>(334)</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(334)</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8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Net income (loss) applicable to common shares</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(2,798</w:t>
            </w:r>
          </w:p>
        </w:tc>
        <w:tc>
          <w:tcPr>
            <w:tcW w:w="280" w:type="dxa"/>
            <w:vAlign w:val="bottom"/>
            <w:tcBorders>
              <w:top w:val="single" w:sz="8" w:color="F0FFFF"/>
              <w:bottom w:val="single" w:sz="8" w:color="F0FFFF"/>
            </w:tcBorders>
            <w:shd w:val="clear" w:color="auto" w:fill="F0FFFF"/>
          </w:tcPr>
          <w:p>
            <w:pPr>
              <w:jc w:val="right"/>
              <w:ind w:right="199"/>
              <w:spacing w:after="0"/>
              <w:rPr>
                <w:sz w:val="20"/>
                <w:szCs w:val="20"/>
                <w:color w:val="auto"/>
              </w:rPr>
            </w:pPr>
            <w:r>
              <w:rPr>
                <w:rFonts w:ascii="Arial" w:cs="Arial" w:eastAsia="Arial" w:hAnsi="Arial"/>
                <w:sz w:val="8"/>
                <w:szCs w:val="8"/>
                <w:color w:val="auto"/>
                <w:w w:val="73"/>
              </w:rPr>
              <w:t>)</w:t>
            </w:r>
          </w:p>
        </w:tc>
        <w:tc>
          <w:tcPr>
            <w:tcW w:w="1060" w:type="dxa"/>
            <w:vAlign w:val="bottom"/>
            <w:tcBorders>
              <w:top w:val="single" w:sz="8" w:color="F0FFFF"/>
              <w:bottom w:val="single" w:sz="8" w:color="F0FFFF"/>
            </w:tcBorders>
            <w:shd w:val="clear" w:color="auto" w:fill="F0FFFF"/>
          </w:tcPr>
          <w:p>
            <w:pPr>
              <w:jc w:val="right"/>
              <w:ind w:right="208"/>
              <w:spacing w:after="0"/>
              <w:rPr>
                <w:sz w:val="20"/>
                <w:szCs w:val="20"/>
                <w:color w:val="auto"/>
              </w:rPr>
            </w:pPr>
            <w:r>
              <w:rPr>
                <w:rFonts w:ascii="Arial" w:cs="Arial" w:eastAsia="Arial" w:hAnsi="Arial"/>
                <w:sz w:val="14"/>
                <w:szCs w:val="14"/>
                <w:color w:val="auto"/>
              </w:rPr>
              <w:t>-13.0%</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26</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1080" w:type="dxa"/>
            <w:vAlign w:val="bottom"/>
            <w:tcBorders>
              <w:top w:val="single" w:sz="8" w:color="F0FFFF"/>
              <w:bottom w:val="single" w:sz="8" w:color="F0FFFF"/>
            </w:tcBorders>
            <w:shd w:val="clear" w:color="auto" w:fill="F0FFFF"/>
          </w:tcPr>
          <w:p>
            <w:pPr>
              <w:jc w:val="right"/>
              <w:ind w:right="248"/>
              <w:spacing w:after="0"/>
              <w:rPr>
                <w:sz w:val="20"/>
                <w:szCs w:val="20"/>
                <w:color w:val="auto"/>
              </w:rPr>
            </w:pPr>
            <w:r>
              <w:rPr>
                <w:rFonts w:ascii="Arial" w:cs="Arial" w:eastAsia="Arial" w:hAnsi="Arial"/>
                <w:sz w:val="14"/>
                <w:szCs w:val="14"/>
                <w:color w:val="auto"/>
              </w:rPr>
              <w:t>0.2%</w:t>
            </w:r>
          </w:p>
        </w:tc>
        <w:tc>
          <w:tcPr>
            <w:tcW w:w="280" w:type="dxa"/>
            <w:vAlign w:val="bottom"/>
            <w:tcBorders>
              <w:top w:val="single" w:sz="8" w:color="F0FFFF"/>
              <w:bottom w:val="single" w:sz="8" w:color="F0FFFF"/>
            </w:tcBorders>
            <w:shd w:val="clear" w:color="auto" w:fill="F0FFFF"/>
          </w:tcPr>
          <w:p>
            <w:pPr>
              <w:spacing w:after="0"/>
              <w:rPr>
                <w:sz w:val="15"/>
                <w:szCs w:val="15"/>
                <w:color w:val="auto"/>
              </w:rPr>
            </w:pPr>
          </w:p>
        </w:tc>
        <w:tc>
          <w:tcPr>
            <w:tcW w:w="1100" w:type="dxa"/>
            <w:vAlign w:val="bottom"/>
            <w:tcBorders>
              <w:top w:val="single" w:sz="8" w:color="F0FFFF"/>
              <w:bottom w:val="single" w:sz="8" w:color="F0FFFF"/>
            </w:tcBorders>
            <w:shd w:val="clear" w:color="auto" w:fill="F0FFFF"/>
          </w:tcPr>
          <w:p>
            <w:pPr>
              <w:jc w:val="right"/>
              <w:ind w:right="128"/>
              <w:spacing w:after="0"/>
              <w:rPr>
                <w:sz w:val="20"/>
                <w:szCs w:val="20"/>
                <w:color w:val="auto"/>
              </w:rPr>
            </w:pPr>
            <w:r>
              <w:rPr>
                <w:rFonts w:ascii="Arial" w:cs="Arial" w:eastAsia="Arial" w:hAnsi="Arial"/>
                <w:sz w:val="14"/>
                <w:szCs w:val="14"/>
                <w:color w:val="auto"/>
              </w:rPr>
              <w:t>(2,824)</w:t>
            </w:r>
          </w:p>
        </w:tc>
        <w:tc>
          <w:tcPr>
            <w:tcW w:w="1080" w:type="dxa"/>
            <w:vAlign w:val="bottom"/>
            <w:tcBorders>
              <w:top w:val="single" w:sz="8" w:color="F0FFFF"/>
              <w:bottom w:val="single" w:sz="8" w:color="F0FFFF"/>
            </w:tcBorders>
            <w:shd w:val="clear" w:color="auto" w:fill="F0FFFF"/>
          </w:tcPr>
          <w:p>
            <w:pPr>
              <w:jc w:val="right"/>
              <w:ind w:right="248"/>
              <w:spacing w:after="0"/>
              <w:rPr>
                <w:sz w:val="20"/>
                <w:szCs w:val="20"/>
                <w:color w:val="auto"/>
              </w:rPr>
            </w:pPr>
            <w:r>
              <w:rPr>
                <w:rFonts w:ascii="Arial" w:cs="Arial" w:eastAsia="Arial" w:hAnsi="Arial"/>
                <w:sz w:val="14"/>
                <w:szCs w:val="14"/>
                <w:color w:val="auto"/>
              </w:rPr>
              <w:t>-10862%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4"/>
                <w:szCs w:val="14"/>
                <w:color w:val="auto"/>
              </w:rPr>
              <w:t>Net earnings (loss) per common share - basic</w:t>
            </w:r>
          </w:p>
        </w:tc>
        <w:tc>
          <w:tcPr>
            <w:tcW w:w="360" w:type="dxa"/>
            <w:vAlign w:val="bottom"/>
            <w:gridSpan w:val="2"/>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199"/>
              <w:spacing w:after="0" w:line="176" w:lineRule="exact"/>
              <w:rPr>
                <w:sz w:val="20"/>
                <w:szCs w:val="20"/>
                <w:color w:val="auto"/>
              </w:rPr>
            </w:pPr>
            <w:r>
              <w:rPr>
                <w:rFonts w:ascii="Arial" w:cs="Arial" w:eastAsia="Arial" w:hAnsi="Arial"/>
                <w:sz w:val="12"/>
                <w:szCs w:val="12"/>
                <w:color w:val="auto"/>
              </w:rPr>
              <w:t>(0.07</w:t>
            </w:r>
            <w:r>
              <w:rPr>
                <w:rFonts w:ascii="Arial" w:cs="Arial" w:eastAsia="Arial" w:hAnsi="Arial"/>
                <w:sz w:val="20"/>
                <w:szCs w:val="20"/>
                <w:color w:val="auto"/>
                <w:vertAlign w:val="superscript"/>
              </w:rPr>
              <w:t>)</w:t>
            </w:r>
          </w:p>
        </w:tc>
        <w:tc>
          <w:tcPr>
            <w:tcW w:w="106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0FFFF"/>
          </w:tcPr>
          <w:p>
            <w:pPr>
              <w:spacing w:after="0"/>
              <w:rPr>
                <w:sz w:val="17"/>
                <w:szCs w:val="17"/>
                <w:color w:val="auto"/>
              </w:rPr>
            </w:pPr>
          </w:p>
        </w:tc>
        <w:tc>
          <w:tcPr>
            <w:tcW w:w="2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(0.07)</w:t>
            </w:r>
          </w:p>
        </w:tc>
        <w:tc>
          <w:tcPr>
            <w:tcW w:w="108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F0FFFF"/>
            </w:tcBorders>
            <w:vMerge w:val="restart"/>
          </w:tcPr>
          <w:p>
            <w:pPr>
              <w:spacing w:after="0" w:line="20" w:lineRule="exact"/>
              <w:rPr>
                <w:sz w:val="1"/>
                <w:szCs w:val="1"/>
                <w:color w:val="auto"/>
              </w:rPr>
            </w:pPr>
          </w:p>
        </w:tc>
        <w:tc>
          <w:tcPr>
            <w:tcW w:w="10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gridSpan w:val="2"/>
          </w:tcPr>
          <w:p>
            <w:pPr>
              <w:spacing w:after="0"/>
              <w:rPr>
                <w:sz w:val="20"/>
                <w:szCs w:val="20"/>
                <w:color w:val="auto"/>
              </w:rPr>
            </w:pPr>
            <w:r>
              <w:rPr>
                <w:rFonts w:ascii="Arial" w:cs="Arial" w:eastAsia="Arial" w:hAnsi="Arial"/>
                <w:sz w:val="14"/>
                <w:szCs w:val="14"/>
                <w:color w:val="auto"/>
              </w:rPr>
              <w:t>Net earnings (loss) per common share - diluted</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99"/>
              <w:spacing w:after="0" w:line="190" w:lineRule="exact"/>
              <w:rPr>
                <w:sz w:val="20"/>
                <w:szCs w:val="20"/>
                <w:color w:val="auto"/>
              </w:rPr>
            </w:pPr>
            <w:r>
              <w:rPr>
                <w:rFonts w:ascii="Arial" w:cs="Arial" w:eastAsia="Arial" w:hAnsi="Arial"/>
                <w:sz w:val="12"/>
                <w:szCs w:val="12"/>
                <w:color w:val="auto"/>
              </w:rPr>
              <w:t>(0.07</w:t>
            </w:r>
            <w:r>
              <w:rPr>
                <w:rFonts w:ascii="Arial" w:cs="Arial" w:eastAsia="Arial" w:hAnsi="Arial"/>
                <w:sz w:val="22"/>
                <w:szCs w:val="22"/>
                <w:color w:val="auto"/>
                <w:vertAlign w:val="superscript"/>
              </w:rPr>
              <w:t>)</w:t>
            </w:r>
          </w:p>
        </w:tc>
        <w:tc>
          <w:tcPr>
            <w:tcW w:w="1060" w:type="dxa"/>
            <w:vAlign w:val="bottom"/>
          </w:tcPr>
          <w:p>
            <w:pPr>
              <w:spacing w:after="0"/>
              <w:rPr>
                <w:sz w:val="16"/>
                <w:szCs w:val="16"/>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0.01)</w:t>
            </w:r>
          </w:p>
        </w:tc>
        <w:tc>
          <w:tcPr>
            <w:tcW w:w="2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(0.06)</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0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0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10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0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w w:val="97"/>
              </w:rPr>
              <w:t>Basic weighted average number of common shares outstanding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38,488,005</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35,848,395</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2,639,610</w:t>
            </w: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4"/>
                <w:szCs w:val="14"/>
                <w:color w:val="auto"/>
                <w:w w:val="94"/>
              </w:rPr>
              <w:t>Diluted weighted average number of common shares outstanding</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39"/>
              <w:spacing w:after="0"/>
              <w:rPr>
                <w:sz w:val="20"/>
                <w:szCs w:val="20"/>
                <w:color w:val="auto"/>
              </w:rPr>
            </w:pPr>
            <w:r>
              <w:rPr>
                <w:rFonts w:ascii="Arial" w:cs="Arial" w:eastAsia="Arial" w:hAnsi="Arial"/>
                <w:sz w:val="14"/>
                <w:szCs w:val="14"/>
                <w:color w:val="auto"/>
              </w:rPr>
              <w:t>38,488,005</w:t>
            </w: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36,487,879</w:t>
            </w: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88"/>
              <w:spacing w:after="0"/>
              <w:rPr>
                <w:sz w:val="20"/>
                <w:szCs w:val="20"/>
                <w:color w:val="auto"/>
              </w:rPr>
            </w:pPr>
            <w:r>
              <w:rPr>
                <w:rFonts w:ascii="Arial" w:cs="Arial" w:eastAsia="Arial" w:hAnsi="Arial"/>
                <w:sz w:val="14"/>
                <w:szCs w:val="14"/>
                <w:color w:val="auto"/>
              </w:rPr>
              <w:t>2,000,126</w:t>
            </w:r>
          </w:p>
        </w:tc>
        <w:tc>
          <w:tcPr>
            <w:tcW w:w="1080" w:type="dxa"/>
            <w:vAlign w:val="bottom"/>
            <w:shd w:val="clear" w:color="auto" w:fill="F0FFFF"/>
          </w:tcPr>
          <w:p>
            <w:pPr>
              <w:jc w:val="right"/>
              <w:ind w:right="248"/>
              <w:spacing w:after="0" w:line="216" w:lineRule="exact"/>
              <w:rPr>
                <w:sz w:val="20"/>
                <w:szCs w:val="20"/>
                <w:color w:val="auto"/>
              </w:rPr>
            </w:pPr>
            <w:r>
              <w:rPr>
                <w:rFonts w:ascii="Arial" w:cs="Arial" w:eastAsia="Arial" w:hAnsi="Arial"/>
                <w:sz w:val="16"/>
                <w:szCs w:val="16"/>
                <w:color w:val="auto"/>
              </w:rPr>
              <w:t>5</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net new connections of approximately 19,000 for the three-month period ended September 30, 2016 compared to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16,000 in the same period last year represents an increase of 19%. The Company’s total connections have grown to 448,000 at September 30, 2016 compared to 349,000 at September 30, 2015, or a 28% increase year-over-year. The increase in total connections is driving the growth in license and transaction fees of 27% quarter-over-quarter. The increase in equipment revenue is due to more units sold in the three-month period ended September 30, 2016 compared to the same period last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License and transaction fees gross margin for the three-month period ended September 30, 2016 decreased from 32.6% to 31.3%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three-month period ended September 30, 2015. The decrease in license and transaction gross margin is attributable to the increase in Visa and MasterCard assessment fees, and the change in mix of cards used</w:t>
      </w:r>
      <w:r>
        <w:rPr>
          <w:rFonts w:ascii="Arial" w:cs="Arial" w:eastAsia="Arial" w:hAnsi="Arial"/>
          <w:sz w:val="18"/>
          <w:szCs w:val="18"/>
          <w:i w:val="1"/>
          <w:iCs w:val="1"/>
          <w:color w:val="auto"/>
        </w:rPr>
        <w: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Equipment gross margin decreased from 22.5% for the three-month period ended September 30, 2015 to 20.0% for the three-month period ended September 30, 2016. The decrease in equipment gross margin quarter over quarter is primarily attributable to an increase in inventory reserves related primarily to product returned under various upgrade programs. Increases to the reserve are charged to the Cost of Equipment account in the Statement of Operations.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$2.2 million or 44% for the three-month period ended September 30, 2016 compared to the prior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increases are due to an increase in professional services of $1.7 million and $0.4 million increase in salaries and benefits. The $1.7 million professional services increase as compared to the prior corresponding quarter is attributable to SOX 404 compliance, internal audit, and audit of our financial statements driven primarily by our status as a first time accelerated filer which required an audit of our annual SOX 404 assessment. The $0.4 million increase in salaries and benefits is due to an increase in employee compensation, headcount and employee related medical benefits. The operating expenses as a percentage of sales increased for the three months ended September 30, 2016 to 33% compared to 30% for the three months ended September 30, 2015. Management expects decreased quarterly SG&amp;A expenses during the remainder of fiscal year 2017 due to, among other things, anticipated cost reductions in professional services.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Total Other Income (Expense). </w:t>
      </w:r>
      <w:r>
        <w:rPr>
          <w:rFonts w:ascii="Arial" w:cs="Arial" w:eastAsia="Arial" w:hAnsi="Arial"/>
          <w:sz w:val="18"/>
          <w:szCs w:val="18"/>
          <w:color w:val="auto"/>
        </w:rPr>
        <w:t>Includes interest expense, other income, and the change in the fair value of warrants. The primary driver for volatility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 (Expense) has been non-cash changes to the fair value of the warrant liabilities which are based on the Company’s stock price. Using the Black-Scholes model, the Company adjusts the warrant liability for fair value through the income statement quarterly. For the three-month period ended September 30, 2016 the Company recorded expense of $1.5 million for the change in the fair value of warrant liabilities compared to income of $0.3 million for the three months ended September 30, 2015. The change in both periods can be primarily attributed to the increase or decrease in the market price of the Company’s common stock at the respective valuation dates.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(loss) is a function of the items described above. Net loss for the first quarter was $2.5 million compared to net income of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comparable period a year ago. This quarter’s net loss is primarily attributable to the increase in the fair value of warrant liabilities of $1.5 million, as well as the operating loss which reflects a $1.7 million dollar increase in professional service fees as compared to the prior corresponding quarter, which is related to SOX 404 compliance, internal audit, and audit of our financial statements driven primarily by our status as a first time accelerated filer which required an audit of our annual SOX 404 assessment. The warrants requiring liability accounting treatment were all exercised by the September expiration date.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For the three months ended September 30, 2016 adjusted EBITDA decreased from $1.7 million at September 30, 2015 to $0.7 million at</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2016. The $1.0 million decrease was primarily due to increases in professional service fees and salaries and benefits reflected in SG&amp;A.</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Non-GAAP Net Income (Loss). </w:t>
      </w:r>
      <w:r>
        <w:rPr>
          <w:rFonts w:ascii="Arial" w:cs="Arial" w:eastAsia="Arial" w:hAnsi="Arial"/>
          <w:sz w:val="18"/>
          <w:szCs w:val="18"/>
          <w:color w:val="auto"/>
        </w:rPr>
        <w:t>For the three months ended September 30, 2016 non-GAAP net income decreased $1.0 million primarily due to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non-cash portion of the income tax provision of $0.9 million compared to the previous period in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The increase in the weighted average number of common shares was due to exercises of warrants and to stock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Company’s stock based compensation programs.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Table 4: Reconciliation of Net Income (Loss) to Adjusted EBITDA:</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Three months ended</w:t>
            </w:r>
          </w:p>
        </w:tc>
      </w:tr>
      <w:tr>
        <w:trPr>
          <w:trHeight w:val="241"/>
        </w:trPr>
        <w:tc>
          <w:tcPr>
            <w:tcW w:w="8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7860" w:type="dxa"/>
            <w:vAlign w:val="bottom"/>
            <w:gridSpan w:val="2"/>
          </w:tcPr>
          <w:p>
            <w:pPr>
              <w:ind w:left="860"/>
              <w:spacing w:after="0"/>
              <w:rPr>
                <w:sz w:val="20"/>
                <w:szCs w:val="20"/>
                <w:color w:val="auto"/>
              </w:rPr>
            </w:pPr>
            <w:r>
              <w:rPr>
                <w:rFonts w:ascii="Arial" w:cs="Arial" w:eastAsia="Arial" w:hAnsi="Arial"/>
                <w:sz w:val="18"/>
                <w:szCs w:val="18"/>
                <w:color w:val="auto"/>
              </w:rPr>
              <w:t>($ in thousands)</w:t>
            </w: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9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Less interest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0" w:type="dxa"/>
            <w:vAlign w:val="bottom"/>
          </w:tcPr>
          <w:p>
            <w:pPr>
              <w:spacing w:after="0"/>
              <w:rPr>
                <w:sz w:val="18"/>
                <w:szCs w:val="18"/>
                <w:color w:val="auto"/>
              </w:rPr>
            </w:pPr>
          </w:p>
        </w:tc>
        <w:tc>
          <w:tcPr>
            <w:tcW w:w="6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interest expenses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F0FF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Plus income tax provision / (Less income tax benefit)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depreciation expense</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F0FFFF"/>
          </w:tcPr>
          <w:p>
            <w:pPr>
              <w:spacing w:after="0"/>
              <w:rPr>
                <w:sz w:val="18"/>
                <w:szCs w:val="18"/>
                <w:color w:val="auto"/>
              </w:rPr>
            </w:pPr>
          </w:p>
        </w:tc>
      </w:tr>
      <w:tr>
        <w:trPr>
          <w:trHeight w:val="237"/>
        </w:trPr>
        <w:tc>
          <w:tcPr>
            <w:tcW w:w="880" w:type="dxa"/>
            <w:vAlign w:val="bottom"/>
          </w:tcPr>
          <w:p>
            <w:pPr>
              <w:spacing w:after="0"/>
              <w:rPr>
                <w:sz w:val="20"/>
                <w:szCs w:val="20"/>
                <w:color w:val="auto"/>
              </w:rPr>
            </w:pPr>
          </w:p>
        </w:tc>
        <w:tc>
          <w:tcPr>
            <w:tcW w:w="698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Plus amortization expense</w:t>
            </w:r>
          </w:p>
        </w:tc>
        <w:tc>
          <w:tcPr>
            <w:tcW w:w="30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6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Borders>
              <w:bottom w:val="single" w:sz="8" w:color="F0FFFF"/>
            </w:tcBorders>
            <w:shd w:val="clear" w:color="auto" w:fill="F0FFFF"/>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7"/>
              </w:rPr>
              <w:t>Plus loss on fair value of warrant liabilities / (Less gain on fair value of warrant liabilities)</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88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Plus stock-based compensation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r>
      <w:tr>
        <w:trPr>
          <w:trHeight w:val="250"/>
        </w:trPr>
        <w:tc>
          <w:tcPr>
            <w:tcW w:w="880" w:type="dxa"/>
            <w:vAlign w:val="bottom"/>
          </w:tcPr>
          <w:p>
            <w:pPr>
              <w:spacing w:after="0"/>
              <w:rPr>
                <w:sz w:val="21"/>
                <w:szCs w:val="21"/>
                <w:color w:val="auto"/>
              </w:rPr>
            </w:pPr>
          </w:p>
        </w:tc>
        <w:tc>
          <w:tcPr>
            <w:tcW w:w="69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Plus VendScreen non-recurring charges</w:t>
            </w:r>
          </w:p>
        </w:tc>
        <w:tc>
          <w:tcPr>
            <w:tcW w:w="3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10"/>
        </w:trPr>
        <w:tc>
          <w:tcPr>
            <w:tcW w:w="880" w:type="dxa"/>
            <w:vAlign w:val="bottom"/>
          </w:tcPr>
          <w:p>
            <w:pPr>
              <w:spacing w:after="0"/>
              <w:rPr>
                <w:sz w:val="18"/>
                <w:szCs w:val="18"/>
                <w:color w:val="auto"/>
              </w:rPr>
            </w:pPr>
          </w:p>
        </w:tc>
        <w:tc>
          <w:tcPr>
            <w:tcW w:w="698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Adjustments to EBITDA</w:t>
            </w:r>
          </w:p>
        </w:tc>
        <w:tc>
          <w:tcPr>
            <w:tcW w:w="30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1,802</w:t>
            </w:r>
          </w:p>
        </w:tc>
        <w:tc>
          <w:tcPr>
            <w:tcW w:w="10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80" w:type="dxa"/>
            <w:vAlign w:val="bottom"/>
            <w:tcBorders>
              <w:bottom w:val="single" w:sz="8" w:color="F0FFFF"/>
            </w:tcBorders>
          </w:tcPr>
          <w:p>
            <w:pPr>
              <w:jc w:val="right"/>
              <w:spacing w:after="0"/>
              <w:rPr>
                <w:sz w:val="20"/>
                <w:szCs w:val="20"/>
                <w:color w:val="auto"/>
              </w:rPr>
            </w:pPr>
            <w:r>
              <w:rPr>
                <w:rFonts w:ascii="Arial" w:cs="Arial" w:eastAsia="Arial" w:hAnsi="Arial"/>
                <w:sz w:val="8"/>
                <w:szCs w:val="8"/>
                <w:color w:val="auto"/>
                <w:w w:val="73"/>
              </w:rPr>
              <w:t>)</w:t>
            </w:r>
          </w:p>
        </w:tc>
      </w:tr>
      <w:tr>
        <w:trPr>
          <w:trHeight w:val="255"/>
        </w:trPr>
        <w:tc>
          <w:tcPr>
            <w:tcW w:w="880" w:type="dxa"/>
            <w:vAlign w:val="bottom"/>
          </w:tcPr>
          <w:p>
            <w:pPr>
              <w:spacing w:after="0"/>
              <w:rPr>
                <w:sz w:val="21"/>
                <w:szCs w:val="21"/>
                <w:color w:val="auto"/>
              </w:rPr>
            </w:pPr>
          </w:p>
        </w:tc>
        <w:tc>
          <w:tcPr>
            <w:tcW w:w="6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69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As used herein, Adjusted EBITDA represents net income (loss) before interest income, interest expense, income taxes, depreciation, amortization, non-recurring fees and charges that were incurred in connection with the integration of the VendScreen business,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costs and expenses incurred in connection with the VendScreen transaction in order to allow more accurate comparison of the financial results to historical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Table 5: Selling General &amp; Administrative (SG&amp;A)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June 30,</w:t>
            </w:r>
          </w:p>
        </w:tc>
        <w:tc>
          <w:tcPr>
            <w:tcW w:w="10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0"/>
                <w:szCs w:val="10"/>
                <w:color w:val="auto"/>
              </w:rPr>
            </w:pPr>
          </w:p>
        </w:tc>
        <w:tc>
          <w:tcPr>
            <w:tcW w:w="940" w:type="dxa"/>
            <w:vAlign w:val="bottom"/>
            <w:gridSpan w:val="2"/>
          </w:tcPr>
          <w:p>
            <w:pPr>
              <w:jc w:val="right"/>
              <w:ind w:right="300"/>
              <w:spacing w:after="0" w:line="126"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 of</w:t>
            </w:r>
          </w:p>
        </w:tc>
        <w:tc>
          <w:tcPr>
            <w:tcW w:w="108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 of</w:t>
            </w:r>
          </w:p>
        </w:tc>
        <w:tc>
          <w:tcPr>
            <w:tcW w:w="11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jc w:val="right"/>
              <w:ind w:right="300"/>
              <w:spacing w:after="0" w:line="12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SG&amp;A</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SG&amp;A</w:t>
            </w: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SG&amp;A</w:t>
            </w: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SG&amp;A</w:t>
            </w:r>
          </w:p>
        </w:tc>
        <w:tc>
          <w:tcPr>
            <w:tcW w:w="18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SG&amp;A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Salaries and</w:t>
            </w: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F0FFFF"/>
          </w:tcPr>
          <w:p>
            <w:pPr>
              <w:ind w:left="160"/>
              <w:spacing w:after="0"/>
              <w:rPr>
                <w:sz w:val="20"/>
                <w:szCs w:val="20"/>
                <w:color w:val="auto"/>
              </w:rPr>
            </w:pPr>
            <w:r>
              <w:rPr>
                <w:rFonts w:ascii="Arial" w:cs="Arial" w:eastAsia="Arial" w:hAnsi="Arial"/>
                <w:sz w:val="14"/>
                <w:szCs w:val="14"/>
                <w:color w:val="auto"/>
              </w:rPr>
              <w:t>benefit costs</w:t>
            </w:r>
          </w:p>
        </w:tc>
        <w:tc>
          <w:tcPr>
            <w:tcW w:w="26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3,129</w:t>
            </w:r>
          </w:p>
        </w:tc>
        <w:tc>
          <w:tcPr>
            <w:tcW w:w="8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45.3%</w:t>
            </w:r>
          </w:p>
        </w:tc>
        <w:tc>
          <w:tcPr>
            <w:tcW w:w="26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3,050</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45.4%</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2,760</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45.4%</w:t>
            </w:r>
          </w:p>
        </w:tc>
        <w:tc>
          <w:tcPr>
            <w:tcW w:w="18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2,786</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58.6%</w:t>
            </w:r>
          </w:p>
        </w:tc>
        <w:tc>
          <w:tcPr>
            <w:tcW w:w="18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2,685</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60"/>
              <w:spacing w:after="0" w:line="130"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related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w:t>
            </w: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635</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362</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Professional</w:t>
            </w: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F0FFFF"/>
          </w:tcPr>
          <w:p>
            <w:pPr>
              <w:ind w:left="16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2,520</w:t>
            </w:r>
          </w:p>
        </w:tc>
        <w:tc>
          <w:tcPr>
            <w:tcW w:w="8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36.5%</w:t>
            </w:r>
          </w:p>
        </w:tc>
        <w:tc>
          <w:tcPr>
            <w:tcW w:w="1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1,533</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22.8%</w:t>
            </w: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1,152</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18.9%</w:t>
            </w:r>
          </w:p>
        </w:tc>
        <w:tc>
          <w:tcPr>
            <w:tcW w:w="180" w:type="dxa"/>
            <w:vAlign w:val="bottom"/>
            <w:shd w:val="clear" w:color="auto" w:fill="F0FFFF"/>
          </w:tcPr>
          <w:p>
            <w:pPr>
              <w:spacing w:after="0"/>
              <w:rPr>
                <w:sz w:val="14"/>
                <w:szCs w:val="14"/>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839</w:t>
            </w:r>
          </w:p>
        </w:tc>
        <w:tc>
          <w:tcPr>
            <w:tcW w:w="22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17.6%</w:t>
            </w: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782</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60"/>
              <w:spacing w:after="0" w:line="130" w:lineRule="exact"/>
              <w:rPr>
                <w:sz w:val="20"/>
                <w:szCs w:val="20"/>
                <w:color w:val="auto"/>
              </w:rPr>
            </w:pPr>
            <w:r>
              <w:rPr>
                <w:rFonts w:ascii="Arial" w:cs="Arial" w:eastAsia="Arial" w:hAnsi="Arial"/>
                <w:sz w:val="14"/>
                <w:szCs w:val="14"/>
                <w:color w:val="auto"/>
              </w:rPr>
              <w:t>Bad debt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470</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505</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Premises,</w:t>
            </w: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equipment and</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F0FFFF"/>
          </w:tcPr>
          <w:p>
            <w:pPr>
              <w:ind w:left="160"/>
              <w:spacing w:after="0"/>
              <w:rPr>
                <w:sz w:val="20"/>
                <w:szCs w:val="20"/>
                <w:color w:val="auto"/>
              </w:rPr>
            </w:pPr>
            <w:r>
              <w:rPr>
                <w:rFonts w:ascii="Arial" w:cs="Arial" w:eastAsia="Arial" w:hAnsi="Arial"/>
                <w:sz w:val="14"/>
                <w:szCs w:val="14"/>
                <w:color w:val="auto"/>
                <w:w w:val="96"/>
              </w:rPr>
              <w:t>insurance costs</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499</w:t>
            </w:r>
          </w:p>
        </w:tc>
        <w:tc>
          <w:tcPr>
            <w:tcW w:w="24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7.2%</w:t>
            </w:r>
          </w:p>
        </w:tc>
        <w:tc>
          <w:tcPr>
            <w:tcW w:w="1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555</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8.3%</w:t>
            </w: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460</w:t>
            </w:r>
          </w:p>
        </w:tc>
        <w:tc>
          <w:tcPr>
            <w:tcW w:w="22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7.5%</w:t>
            </w:r>
          </w:p>
        </w:tc>
        <w:tc>
          <w:tcPr>
            <w:tcW w:w="180" w:type="dxa"/>
            <w:vAlign w:val="bottom"/>
            <w:shd w:val="clear" w:color="auto" w:fill="F0FFFF"/>
          </w:tcPr>
          <w:p>
            <w:pPr>
              <w:spacing w:after="0"/>
              <w:rPr>
                <w:sz w:val="14"/>
                <w:szCs w:val="14"/>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347</w:t>
            </w:r>
          </w:p>
        </w:tc>
        <w:tc>
          <w:tcPr>
            <w:tcW w:w="22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7.3%</w:t>
            </w: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399</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60"/>
              <w:spacing w:after="0" w:line="130" w:lineRule="exact"/>
              <w:rPr>
                <w:sz w:val="20"/>
                <w:szCs w:val="20"/>
                <w:color w:val="auto"/>
              </w:rPr>
            </w:pPr>
            <w:r>
              <w:rPr>
                <w:rFonts w:ascii="Arial" w:cs="Arial" w:eastAsia="Arial" w:hAnsi="Arial"/>
                <w:sz w:val="14"/>
                <w:szCs w:val="14"/>
                <w:color w:val="auto"/>
              </w:rPr>
              <w:t>Research and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development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VendScreen</w:t>
            </w: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non-recurring</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F0FFFF"/>
          </w:tcPr>
          <w:p>
            <w:pPr>
              <w:ind w:left="160"/>
              <w:spacing w:after="0"/>
              <w:rPr>
                <w:sz w:val="20"/>
                <w:szCs w:val="20"/>
                <w:color w:val="auto"/>
              </w:rPr>
            </w:pPr>
            <w:r>
              <w:rPr>
                <w:rFonts w:ascii="Arial" w:cs="Arial" w:eastAsia="Arial" w:hAnsi="Arial"/>
                <w:sz w:val="14"/>
                <w:szCs w:val="14"/>
                <w:color w:val="auto"/>
              </w:rPr>
              <w:t>charges</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258</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3.8%</w:t>
            </w: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461</w:t>
            </w:r>
          </w:p>
        </w:tc>
        <w:tc>
          <w:tcPr>
            <w:tcW w:w="22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7.6%</w:t>
            </w:r>
          </w:p>
        </w:tc>
        <w:tc>
          <w:tcPr>
            <w:tcW w:w="180" w:type="dxa"/>
            <w:vAlign w:val="bottom"/>
            <w:shd w:val="clear" w:color="auto" w:fill="F0FFFF"/>
          </w:tcPr>
          <w:p>
            <w:pPr>
              <w:spacing w:after="0"/>
              <w:rPr>
                <w:sz w:val="14"/>
                <w:szCs w:val="14"/>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Pr>
          <w:p>
            <w:pPr>
              <w:ind w:left="160"/>
              <w:spacing w:after="0" w:line="130" w:lineRule="exact"/>
              <w:rPr>
                <w:sz w:val="20"/>
                <w:szCs w:val="20"/>
                <w:color w:val="auto"/>
              </w:rPr>
            </w:pPr>
            <w:r>
              <w:rPr>
                <w:rFonts w:ascii="Arial" w:cs="Arial" w:eastAsia="Arial" w:hAnsi="Arial"/>
                <w:sz w:val="14"/>
                <w:szCs w:val="14"/>
                <w:color w:val="auto"/>
              </w:rPr>
              <w:t>Litigation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related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professional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60"/>
              <w:spacing w:after="0"/>
              <w:rPr>
                <w:sz w:val="20"/>
                <w:szCs w:val="20"/>
                <w:color w:val="auto"/>
              </w:rPr>
            </w:pPr>
            <w:r>
              <w:rPr>
                <w:rFonts w:ascii="Arial" w:cs="Arial" w:eastAsia="Arial" w:hAnsi="Arial"/>
                <w:sz w:val="14"/>
                <w:szCs w:val="14"/>
                <w:color w:val="auto"/>
              </w:rPr>
              <w:t>fees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0.0%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shd w:val="clear" w:color="auto" w:fill="F0FFFF"/>
          </w:tcPr>
          <w:p>
            <w:pPr>
              <w:ind w:left="160"/>
              <w:spacing w:after="0"/>
              <w:rPr>
                <w:sz w:val="20"/>
                <w:szCs w:val="20"/>
                <w:color w:val="auto"/>
              </w:rPr>
            </w:pPr>
            <w:r>
              <w:rPr>
                <w:rFonts w:ascii="Arial" w:cs="Arial" w:eastAsia="Arial" w:hAnsi="Arial"/>
                <w:sz w:val="14"/>
                <w:szCs w:val="14"/>
                <w:color w:val="auto"/>
                <w:w w:val="95"/>
              </w:rPr>
              <w:t>Other expenses</w:t>
            </w:r>
          </w:p>
        </w:tc>
        <w:tc>
          <w:tcPr>
            <w:tcW w:w="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77</w:t>
            </w:r>
          </w:p>
        </w:tc>
        <w:tc>
          <w:tcPr>
            <w:tcW w:w="24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46</w:t>
            </w: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0.7%</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158</w:t>
            </w:r>
          </w:p>
        </w:tc>
        <w:tc>
          <w:tcPr>
            <w:tcW w:w="220" w:type="dxa"/>
            <w:vAlign w:val="bottom"/>
            <w:shd w:val="clear" w:color="auto" w:fill="F0FFFF"/>
          </w:tcPr>
          <w:p>
            <w:pPr>
              <w:spacing w:after="0"/>
              <w:rPr>
                <w:sz w:val="15"/>
                <w:szCs w:val="15"/>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2.6%</w:t>
            </w:r>
          </w:p>
        </w:tc>
        <w:tc>
          <w:tcPr>
            <w:tcW w:w="18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F0FFFF"/>
          </w:tcPr>
          <w:p>
            <w:pPr>
              <w:spacing w:after="0"/>
              <w:rPr>
                <w:sz w:val="15"/>
                <w:szCs w:val="15"/>
                <w:color w:val="auto"/>
              </w:rPr>
            </w:pPr>
          </w:p>
        </w:tc>
        <w:tc>
          <w:tcPr>
            <w:tcW w:w="1000" w:type="dxa"/>
            <w:vAlign w:val="bottom"/>
            <w:gridSpan w:val="2"/>
            <w:shd w:val="clear" w:color="auto" w:fill="F0FFFF"/>
          </w:tcPr>
          <w:p>
            <w:pPr>
              <w:jc w:val="right"/>
              <w:ind w:right="320"/>
              <w:spacing w:after="0"/>
              <w:rPr>
                <w:sz w:val="20"/>
                <w:szCs w:val="20"/>
                <w:color w:val="auto"/>
              </w:rPr>
            </w:pPr>
            <w:r>
              <w:rPr>
                <w:rFonts w:ascii="Arial" w:cs="Arial" w:eastAsia="Arial" w:hAnsi="Arial"/>
                <w:sz w:val="14"/>
                <w:szCs w:val="14"/>
                <w:color w:val="auto"/>
              </w:rPr>
              <w:t>1.5%</w:t>
            </w:r>
          </w:p>
        </w:tc>
        <w:tc>
          <w:tcPr>
            <w:tcW w:w="18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tcBorders>
              <w:top w:val="single" w:sz="8" w:color="F0FFFF"/>
            </w:tcBorders>
          </w:tcPr>
          <w:p>
            <w:pPr>
              <w:spacing w:after="0" w:line="104" w:lineRule="exact"/>
              <w:rPr>
                <w:sz w:val="20"/>
                <w:szCs w:val="20"/>
                <w:color w:val="auto"/>
              </w:rPr>
            </w:pPr>
            <w:r>
              <w:rPr>
                <w:rFonts w:ascii="Arial" w:cs="Arial" w:eastAsia="Arial" w:hAnsi="Arial"/>
                <w:sz w:val="11"/>
                <w:szCs w:val="11"/>
                <w:color w:val="auto"/>
              </w:rPr>
              <w:t>Total SG&amp;A</w:t>
            </w:r>
          </w:p>
        </w:tc>
        <w:tc>
          <w:tcPr>
            <w:tcW w:w="80" w:type="dxa"/>
            <w:vAlign w:val="bottom"/>
            <w:tcBorders>
              <w:top w:val="single" w:sz="8" w:color="F0FF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80" w:type="dxa"/>
            <w:vAlign w:val="bottom"/>
            <w:tcBorders>
              <w:top w:val="single" w:sz="8" w:color="F0FFFF"/>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4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40" w:type="dxa"/>
            <w:vAlign w:val="bottom"/>
            <w:tcBorders>
              <w:top w:val="single" w:sz="8" w:color="F0FF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40" w:type="dxa"/>
            <w:vAlign w:val="bottom"/>
            <w:tcBorders>
              <w:top w:val="single" w:sz="8" w:color="F0FF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6,909</w:t>
            </w:r>
          </w:p>
        </w:tc>
        <w:tc>
          <w:tcPr>
            <w:tcW w:w="840" w:type="dxa"/>
            <w:vAlign w:val="bottom"/>
            <w:gridSpan w:val="2"/>
          </w:tcPr>
          <w:p>
            <w:pPr>
              <w:jc w:val="right"/>
              <w:ind w:right="16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6,721</w:t>
            </w:r>
          </w:p>
        </w:tc>
        <w:tc>
          <w:tcPr>
            <w:tcW w:w="1000" w:type="dxa"/>
            <w:vAlign w:val="bottom"/>
            <w:gridSpan w:val="2"/>
          </w:tcPr>
          <w:p>
            <w:pPr>
              <w:jc w:val="right"/>
              <w:ind w:right="32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6,094</w:t>
            </w:r>
          </w:p>
        </w:tc>
        <w:tc>
          <w:tcPr>
            <w:tcW w:w="1000" w:type="dxa"/>
            <w:vAlign w:val="bottom"/>
            <w:gridSpan w:val="2"/>
          </w:tcPr>
          <w:p>
            <w:pPr>
              <w:jc w:val="right"/>
              <w:ind w:right="32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4,762</w:t>
            </w:r>
          </w:p>
        </w:tc>
        <w:tc>
          <w:tcPr>
            <w:tcW w:w="1000" w:type="dxa"/>
            <w:vAlign w:val="bottom"/>
            <w:gridSpan w:val="2"/>
          </w:tcPr>
          <w:p>
            <w:pPr>
              <w:jc w:val="right"/>
              <w:ind w:right="32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4,796</w:t>
            </w:r>
          </w:p>
        </w:tc>
        <w:tc>
          <w:tcPr>
            <w:tcW w:w="900" w:type="dxa"/>
            <w:vAlign w:val="bottom"/>
            <w:gridSpan w:val="2"/>
          </w:tcPr>
          <w:p>
            <w:pPr>
              <w:jc w:val="right"/>
              <w:ind w:right="220"/>
              <w:spacing w:after="0" w:line="194" w:lineRule="exact"/>
              <w:rPr>
                <w:sz w:val="20"/>
                <w:szCs w:val="20"/>
                <w:color w:val="auto"/>
              </w:rPr>
            </w:pPr>
            <w:r>
              <w:rPr>
                <w:rFonts w:ascii="Arial" w:cs="Arial" w:eastAsia="Arial" w:hAnsi="Arial"/>
                <w:sz w:val="12"/>
                <w:szCs w:val="12"/>
                <w:color w:val="auto"/>
              </w:rPr>
              <w:t>100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20" w:type="dxa"/>
            <w:vAlign w:val="bottom"/>
          </w:tcPr>
          <w:p>
            <w:pPr>
              <w:spacing w:after="0" w:line="149" w:lineRule="exact"/>
              <w:rPr>
                <w:sz w:val="20"/>
                <w:szCs w:val="20"/>
                <w:color w:val="auto"/>
              </w:rPr>
            </w:pPr>
            <w:r>
              <w:rPr>
                <w:rFonts w:ascii="Arial" w:cs="Arial" w:eastAsia="Arial" w:hAnsi="Arial"/>
                <w:sz w:val="14"/>
                <w:szCs w:val="14"/>
                <w:color w:val="auto"/>
              </w:rPr>
              <w:t>Total Revenue</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21,588</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21,944</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20,361</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18,503</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16,600</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SG&amp;A expenses</w:t>
            </w: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w w:val="94"/>
              </w:rPr>
              <w:t>as a percentage of</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F0FFFF"/>
          </w:tcPr>
          <w:p>
            <w:pPr>
              <w:spacing w:after="0"/>
              <w:rPr>
                <w:sz w:val="20"/>
                <w:szCs w:val="20"/>
                <w:color w:val="auto"/>
              </w:rPr>
            </w:pPr>
            <w:r>
              <w:rPr>
                <w:rFonts w:ascii="Arial" w:cs="Arial" w:eastAsia="Arial" w:hAnsi="Arial"/>
                <w:sz w:val="14"/>
                <w:szCs w:val="14"/>
                <w:color w:val="auto"/>
              </w:rPr>
              <w:t>revenue</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32.0%</w:t>
            </w:r>
          </w:p>
        </w:tc>
        <w:tc>
          <w:tcPr>
            <w:tcW w:w="56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30.6%</w:t>
            </w:r>
          </w:p>
        </w:tc>
        <w:tc>
          <w:tcPr>
            <w:tcW w:w="56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29.9%</w:t>
            </w:r>
          </w:p>
        </w:tc>
        <w:tc>
          <w:tcPr>
            <w:tcW w:w="56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25.7%</w:t>
            </w:r>
          </w:p>
        </w:tc>
        <w:tc>
          <w:tcPr>
            <w:tcW w:w="56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28.9%</w:t>
            </w:r>
          </w:p>
        </w:tc>
        <w:tc>
          <w:tcPr>
            <w:tcW w:w="56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Salaries and Benefit Costs. </w:t>
      </w:r>
      <w:r>
        <w:rPr>
          <w:rFonts w:ascii="Arial" w:cs="Arial" w:eastAsia="Arial" w:hAnsi="Arial"/>
          <w:sz w:val="18"/>
          <w:szCs w:val="18"/>
          <w:color w:val="auto"/>
        </w:rPr>
        <w:t>Includes employee compensation and benefits, directors’ fees, incentives, and stock-based compensation. The increase in cost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three-month period ended September 30, 2016, related to increases in employee compensation, headcount, primarily due to the VendScreen acquisition and employee health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Marketing Related. </w:t>
      </w:r>
      <w:r>
        <w:rPr>
          <w:rFonts w:ascii="Arial" w:cs="Arial" w:eastAsia="Arial" w:hAnsi="Arial"/>
          <w:sz w:val="16"/>
          <w:szCs w:val="16"/>
          <w:color w:val="auto"/>
        </w:rPr>
        <w:t>Marketing related costs were relatively flat for the three-month period ended September 30, 2016 in comparison to this same period 2015.</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Includes information technology, legal, public relations, auditing, SOX 404 and other consulting work. The increase for the three-month period ended September 30, 2016 is related to SOX 404 compliance, internal audit, and audit of our financial statements driven primarily by our status as a first time accelerated filer which required an audit of our annual SOX 404 assessment. The Company anticipates decreased professional services fees during the remainder of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Provision for bad debt reflects the most current assessment of reserves required.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Premises, equipment and insurance costs. </w:t>
      </w:r>
      <w:r>
        <w:rPr>
          <w:rFonts w:ascii="Arial" w:cs="Arial" w:eastAsia="Arial" w:hAnsi="Arial"/>
          <w:sz w:val="18"/>
          <w:szCs w:val="18"/>
          <w:color w:val="auto"/>
        </w:rPr>
        <w:t>Includes facilities, supplies, printing and postage, sales &amp; use taxes, and workers compensation. The increase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three-month period ended September 30, 2016 compared to the same period in 2015 was from increases in rent expense for the addition of the Portland Office in January 2016 and new lease agreements for its Malvern, PA offices, and liability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product development costs that cannot be capitalized, including materials and contractors.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charges</w:t>
      </w:r>
      <w:r>
        <w:rPr>
          <w:rFonts w:ascii="Arial" w:cs="Arial" w:eastAsia="Arial" w:hAnsi="Arial"/>
          <w:sz w:val="18"/>
          <w:szCs w:val="18"/>
          <w:color w:val="auto"/>
        </w:rPr>
        <w:t>. Includes VendScreen integration expenses for professional fees.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Litigation related professional fees. </w:t>
      </w:r>
      <w:r>
        <w:rPr>
          <w:rFonts w:ascii="Arial" w:cs="Arial" w:eastAsia="Arial" w:hAnsi="Arial"/>
          <w:sz w:val="17"/>
          <w:szCs w:val="17"/>
          <w:color w:val="auto"/>
        </w:rPr>
        <w:t>Includes legal and other professional fees incurred in connection with the class action litigation and investigation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conducted by the Special Litigation Committee of the Board of Directors described in our Form 10-K for the 2016 fiscal year (the “SLC Investigation”).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and subscriptions.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Table 6: Non-GAAP Earnings (Loss) per Share</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6860" w:type="dxa"/>
            <w:vAlign w:val="bottom"/>
            <w:gridSpan w:val="2"/>
          </w:tcPr>
          <w:p>
            <w:pPr>
              <w:ind w:left="860"/>
              <w:spacing w:after="0"/>
              <w:rPr>
                <w:sz w:val="20"/>
                <w:szCs w:val="20"/>
                <w:color w:val="auto"/>
              </w:rPr>
            </w:pPr>
            <w:r>
              <w:rPr>
                <w:rFonts w:ascii="Arial" w:cs="Arial" w:eastAsia="Arial" w:hAnsi="Arial"/>
                <w:sz w:val="18"/>
                <w:szCs w:val="18"/>
                <w:color w:val="auto"/>
              </w:rPr>
              <w:t>($ in thousands)</w:t>
            </w:r>
          </w:p>
        </w:tc>
        <w:tc>
          <w:tcPr>
            <w:tcW w:w="1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(2,464)</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Non-GAAP adjustments: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Non-cash portion of income tax provision</w:t>
            </w:r>
          </w:p>
        </w:tc>
        <w:tc>
          <w:tcPr>
            <w:tcW w:w="1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Fair value of warrant adjustment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VendScreen non-recurring charges</w:t>
            </w:r>
          </w:p>
        </w:tc>
        <w:tc>
          <w:tcPr>
            <w:tcW w:w="1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98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Litigation related professional fees</w:t>
            </w:r>
          </w:p>
        </w:tc>
        <w:tc>
          <w:tcPr>
            <w:tcW w:w="130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5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13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(2,464)</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59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3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(955)</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59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3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 w:type="dxa"/>
            <w:vAlign w:val="bottom"/>
            <w:vMerge w:val="continue"/>
          </w:tcPr>
          <w:p>
            <w:pPr>
              <w:spacing w:after="0"/>
              <w:rPr>
                <w:sz w:val="22"/>
                <w:szCs w:val="22"/>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per common share - basic</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income (loss) per common share - diluted</w:t>
            </w:r>
          </w:p>
        </w:tc>
        <w:tc>
          <w:tcPr>
            <w:tcW w:w="130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(0.07</w:t>
            </w: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(0.01</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80" w:type="dxa"/>
            <w:vAlign w:val="bottom"/>
          </w:tcPr>
          <w:p>
            <w:pPr>
              <w:spacing w:after="0"/>
              <w:rPr>
                <w:sz w:val="20"/>
                <w:szCs w:val="20"/>
                <w:color w:val="auto"/>
              </w:rPr>
            </w:pPr>
          </w:p>
        </w:tc>
        <w:tc>
          <w:tcPr>
            <w:tcW w:w="5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 per common share - basic</w:t>
            </w:r>
          </w:p>
        </w:tc>
        <w:tc>
          <w:tcPr>
            <w:tcW w:w="13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Non-GAAP net income (loss) per common share - diluted</w:t>
            </w:r>
          </w:p>
        </w:tc>
        <w:tc>
          <w:tcPr>
            <w:tcW w:w="130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(0.03</w:t>
            </w: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(0.01</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bottom w:val="single" w:sz="8" w:color="F0FFFF"/>
            </w:tcBorders>
          </w:tcPr>
          <w:p>
            <w:pPr>
              <w:spacing w:after="0" w:line="20" w:lineRule="exact"/>
              <w:rPr>
                <w:sz w:val="1"/>
                <w:szCs w:val="1"/>
                <w:color w:val="auto"/>
              </w:rPr>
            </w:pPr>
          </w:p>
        </w:tc>
        <w:tc>
          <w:tcPr>
            <w:tcW w:w="13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38,488,005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35,848,395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38,488,005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36,487,879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the weighted average number of common shares was due to exercises of warrants and to stock issued through the Company’s stock based compensation programs.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integration of the VendScreen business, and professional fees incurred in connection with the class action litigation and the SLC Investigation. Non-GAAP net earnings (loss) per common share - diluted is calculated by dividing non-GAAP net income (loss) applicable to common shares by the number of diluted weighted average shares outstanding.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90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Table 7: Balance Sheet as of September 30, 2016 Compared to June 30, 2016</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440" w:type="dxa"/>
            <w:vAlign w:val="bottom"/>
            <w:gridSpan w:val="2"/>
          </w:tcPr>
          <w:p>
            <w:pPr>
              <w:ind w:left="300"/>
              <w:spacing w:after="0"/>
              <w:rPr>
                <w:sz w:val="20"/>
                <w:szCs w:val="20"/>
                <w:color w:val="auto"/>
              </w:rPr>
            </w:pPr>
            <w:r>
              <w:rPr>
                <w:rFonts w:ascii="Arial" w:cs="Arial" w:eastAsia="Arial" w:hAnsi="Arial"/>
                <w:sz w:val="18"/>
                <w:szCs w:val="18"/>
                <w:color w:val="auto"/>
              </w:rPr>
              <w:t>($ in thousands)</w:t>
            </w:r>
          </w:p>
        </w:tc>
        <w:tc>
          <w:tcPr>
            <w:tcW w:w="14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30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18,198</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19,272</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(1,074)</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Accounts receivable, less allowance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3,349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3,588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(239)</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1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136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35,361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33,048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3,962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9,570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9,765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(195)</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1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136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0" w:type="dxa"/>
            <w:vAlign w:val="bottom"/>
          </w:tcPr>
          <w:p>
            <w:pPr>
              <w:spacing w:after="0"/>
              <w:rPr>
                <w:sz w:val="21"/>
                <w:szCs w:val="21"/>
                <w:color w:val="auto"/>
              </w:rPr>
            </w:pPr>
          </w:p>
        </w:tc>
        <w:tc>
          <w:tcPr>
            <w:tcW w:w="51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87,081</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84,833</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8,693</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12,354</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(3,661)</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Line of credit, net</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7,258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7,119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(3,739)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1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(175)</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1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21,390</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28,177</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(6,787)</w:t>
            </w:r>
          </w:p>
        </w:tc>
        <w:tc>
          <w:tcPr>
            <w:tcW w:w="220" w:type="dxa"/>
            <w:vAlign w:val="bottom"/>
            <w:tcBorders>
              <w:top w:val="single" w:sz="8" w:color="F0FFFF"/>
            </w:tcBorders>
          </w:tcPr>
          <w:p>
            <w:pPr>
              <w:spacing w:after="0"/>
              <w:rPr>
                <w:sz w:val="17"/>
                <w:szCs w:val="17"/>
                <w:color w:val="auto"/>
              </w:rPr>
            </w:pPr>
          </w:p>
        </w:tc>
        <w:tc>
          <w:tcPr>
            <w:tcW w:w="1360" w:type="dxa"/>
            <w:vAlign w:val="bottom"/>
            <w:tcBorders>
              <w:top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w w:val="91"/>
              </w:rPr>
              <w:t>Deferred gain from sale-leaseback transactions, less current portion</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1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F0FFFF"/>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4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F0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22,918</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29,808</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(6,890</w:t>
            </w:r>
          </w:p>
        </w:tc>
        <w:tc>
          <w:tcPr>
            <w:tcW w:w="220" w:type="dxa"/>
            <w:vAlign w:val="bottom"/>
            <w:tcBorders>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Preferred stock, no par value</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Common stock, no par value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11,602</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1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(183,971)</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(181,507)</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(2,464)</w:t>
            </w: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64,163</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55,025</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9,138</w:t>
            </w:r>
          </w:p>
        </w:tc>
        <w:tc>
          <w:tcPr>
            <w:tcW w:w="220" w:type="dxa"/>
            <w:vAlign w:val="bottom"/>
            <w:tcBorders>
              <w:top w:val="single" w:sz="8" w:color="F0FFFF"/>
              <w:bottom w:val="single" w:sz="8" w:color="F0FFFF"/>
            </w:tcBorders>
          </w:tcPr>
          <w:p>
            <w:pPr>
              <w:spacing w:after="0"/>
              <w:rPr>
                <w:sz w:val="18"/>
                <w:szCs w:val="18"/>
                <w:color w:val="auto"/>
              </w:rPr>
            </w:pPr>
          </w:p>
        </w:tc>
        <w:tc>
          <w:tcPr>
            <w:tcW w:w="1360" w:type="dxa"/>
            <w:vAlign w:val="bottom"/>
            <w:tcBorders>
              <w:top w:val="single" w:sz="8" w:color="F0FFFF"/>
              <w:bottom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00" w:type="dxa"/>
            <w:vAlign w:val="bottom"/>
          </w:tcPr>
          <w:p>
            <w:pPr>
              <w:spacing w:after="0"/>
              <w:rPr>
                <w:sz w:val="21"/>
                <w:szCs w:val="21"/>
                <w:color w:val="auto"/>
              </w:rPr>
            </w:pPr>
          </w:p>
        </w:tc>
        <w:tc>
          <w:tcPr>
            <w:tcW w:w="51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87,081</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84,833</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Net working capital</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13,971</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9,100</w:t>
            </w:r>
          </w:p>
        </w:tc>
        <w:tc>
          <w:tcPr>
            <w:tcW w:w="2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00" w:type="dxa"/>
            <w:vAlign w:val="bottom"/>
            <w:tcBorders>
              <w:bottom w:val="single" w:sz="8" w:color="DCDCDC"/>
            </w:tcBorders>
          </w:tcPr>
          <w:p>
            <w:pPr>
              <w:spacing w:after="0"/>
              <w:rPr>
                <w:sz w:val="24"/>
                <w:szCs w:val="24"/>
                <w:color w:val="auto"/>
              </w:rPr>
            </w:pPr>
          </w:p>
        </w:tc>
        <w:tc>
          <w:tcPr>
            <w:tcW w:w="514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gridSpan w:val="2"/>
          </w:tcPr>
          <w:p>
            <w:pPr>
              <w:jc w:val="right"/>
              <w:spacing w:after="0"/>
              <w:rPr>
                <w:sz w:val="20"/>
                <w:szCs w:val="20"/>
                <w:color w:val="auto"/>
              </w:rPr>
            </w:pPr>
            <w:r>
              <w:rPr>
                <w:rFonts w:ascii="Arial" w:cs="Arial" w:eastAsia="Arial" w:hAnsi="Arial"/>
                <w:sz w:val="18"/>
                <w:szCs w:val="18"/>
                <w:color w:val="auto"/>
              </w:rPr>
              <w:t>29</w:t>
            </w: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Key points from the Balance Sheet as of September 30, 2016 compared to June 30, 2016 include:</w:t>
      </w:r>
    </w:p>
    <w:p>
      <w:pPr>
        <w:spacing w:after="0" w:line="225" w:lineRule="exact"/>
        <w:rPr>
          <w:sz w:val="20"/>
          <w:szCs w:val="20"/>
          <w:color w:val="auto"/>
        </w:rPr>
      </w:pPr>
    </w:p>
    <w:p>
      <w:pPr>
        <w:jc w:val="both"/>
        <w:ind w:left="820" w:hanging="326"/>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$9.1 million increase to shareholders’ equity primarily due to $11.4 million increase in common stock offset by our $2.5 million net loss. Common stock increased by $6.2 million of cash proceeds and $5.2 million of fair value, both attributable to warrants exercised for issuance of approximately 2.4 million shares of common stock;</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$9.1 million increase in net working capital primarily attributable to $3.7 million decrease in accounts payable as a result of last day of the quarter occurring on a Friday and elimination of any warrant liabilities as of September 30, 2016;</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$3.7 million decrease in warrant liabilities due to exercise of all remaining applicable warrants during the current quarter;</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$3.7 million decrease in accounts payable primarily as a result of the last day of the quarter occurring on a Friday, which has the highest level of routine customer payments of all weekdays; and,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million increase in inventory to provide stock for anticipated sales in subsequent quarters.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Table 8: Quarterly Cash Flows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Three months ended</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40" w:type="dxa"/>
            <w:vAlign w:val="bottom"/>
            <w:gridSpan w:val="2"/>
          </w:tcPr>
          <w:p>
            <w:pPr>
              <w:spacing w:after="0"/>
              <w:rPr>
                <w:sz w:val="20"/>
                <w:szCs w:val="20"/>
                <w:color w:val="auto"/>
              </w:rPr>
            </w:pPr>
            <w:r>
              <w:rPr>
                <w:rFonts w:ascii="Arial" w:cs="Arial" w:eastAsia="Arial" w:hAnsi="Arial"/>
                <w:sz w:val="18"/>
                <w:szCs w:val="18"/>
                <w:color w:val="auto"/>
                <w:w w:val="86"/>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Net (loss) income</w:t>
            </w:r>
          </w:p>
        </w:tc>
        <w:tc>
          <w:tcPr>
            <w:tcW w:w="42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(5,420)</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5"/>
              </w:rPr>
              <w:t>Adjustments to reconcile net (loss) income to net cash provided by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Charges incurred in connection with the vesting and issuance of</w:t>
            </w: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common stock for employee and director compensation</w:t>
            </w:r>
          </w:p>
        </w:tc>
        <w:tc>
          <w:tcPr>
            <w:tcW w:w="2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Impairment of intangible asset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4,805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Finance receivables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(3,661)</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1,166</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Net change in operating assets and liabilities</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(6,675</w:t>
            </w:r>
          </w:p>
        </w:tc>
        <w:tc>
          <w:tcPr>
            <w:tcW w:w="260" w:type="dxa"/>
            <w:vAlign w:val="bottom"/>
            <w:tcBorders>
              <w:top w:val="single" w:sz="8" w:color="F0FFFF"/>
              <w:bottom w:val="single" w:sz="8" w:color="F0FFFF"/>
            </w:tcBorders>
            <w:shd w:val="clear" w:color="auto" w:fill="F0FF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(1,545</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Arial" w:cs="Arial" w:eastAsia="Arial" w:hAnsi="Arial"/>
                <w:sz w:val="18"/>
                <w:szCs w:val="18"/>
                <w:color w:val="auto"/>
              </w:rPr>
              <w:t>Net cash provided (used) by operating activities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(6,265)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1,273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4,328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w w:val="92"/>
              </w:rPr>
              <w:t>Purchase and additions of intangible assets, property and equipment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Cash paid for assets acquired from VendScreen</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(5,625)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(5,770)</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Cash used for the retirement of common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Proceeds from exercise of common stock warrants</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6,193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Proceeds (payments) from line of credit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6,001</w:t>
            </w:r>
          </w:p>
        </w:tc>
        <w:tc>
          <w:tcPr>
            <w:tcW w:w="26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3,040</w:t>
            </w:r>
          </w:p>
        </w:tc>
        <w:tc>
          <w:tcPr>
            <w:tcW w:w="2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1,534</w:t>
            </w:r>
          </w:p>
        </w:tc>
        <w:tc>
          <w:tcPr>
            <w:tcW w:w="22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2,727</w:t>
            </w:r>
          </w:p>
        </w:tc>
        <w:tc>
          <w:tcPr>
            <w:tcW w:w="22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c>
          <w:tcPr>
            <w:tcW w:w="10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Cash at beginning of period</w:t>
            </w:r>
          </w:p>
        </w:tc>
        <w:tc>
          <w:tcPr>
            <w:tcW w:w="2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19,272</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14,901</w:t>
            </w: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14,809</w:t>
            </w:r>
          </w:p>
        </w:tc>
        <w:tc>
          <w:tcPr>
            <w:tcW w:w="200" w:type="dxa"/>
            <w:vAlign w:val="bottom"/>
            <w:shd w:val="clear" w:color="auto" w:fill="F0FFFF"/>
          </w:tcPr>
          <w:p>
            <w:pPr>
              <w:spacing w:after="0"/>
              <w:rPr>
                <w:sz w:val="21"/>
                <w:szCs w:val="2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11,592</w:t>
            </w:r>
          </w:p>
        </w:tc>
        <w:tc>
          <w:tcPr>
            <w:tcW w:w="2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Cash at end of period</w:t>
            </w: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2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19,272</w:t>
            </w: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Interest paid in cash</w:t>
            </w:r>
          </w:p>
        </w:tc>
        <w:tc>
          <w:tcPr>
            <w:tcW w:w="42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Depreciation expense allocated to cost of services</w:t>
            </w: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1,072</w:t>
            </w: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1,139</w:t>
            </w: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1,051</w:t>
            </w: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1,186</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1,199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2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F0FFFF"/>
            </w:tcBorders>
            <w:shd w:val="clear" w:color="auto" w:fill="F0FF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Prepaid items financed with debt</w:t>
            </w: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54</w:t>
            </w: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103</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Warrant issuance for debt discount</w:t>
            </w:r>
          </w:p>
        </w:tc>
        <w:tc>
          <w:tcPr>
            <w:tcW w:w="2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Debt financing cost financed with debt</w:t>
            </w: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Disposal of property and equipment</w:t>
            </w: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F0FFFF"/>
            </w:tcBorders>
            <w:vMerge w:val="restart"/>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555</w:t>
            </w: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189</w:t>
            </w: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238</w:t>
            </w: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99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0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jc w:val="right"/>
              <w:ind w:right="41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90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Operating cash flow for the quarter ended September 30, 2016 decreased by $6.6 million from the quarter ended September 30, 2015. The decrease is primarily due to:</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$5.4 million decrease in cash provided by operating assets and liabilities, comprised primarily of</w:t>
      </w:r>
    </w:p>
    <w:p>
      <w:pPr>
        <w:spacing w:after="0" w:line="23" w:lineRule="exact"/>
        <w:rPr>
          <w:rFonts w:ascii="Arial" w:cs="Arial" w:eastAsia="Arial" w:hAnsi="Arial"/>
          <w:sz w:val="18"/>
          <w:szCs w:val="18"/>
          <w:color w:val="auto"/>
        </w:rPr>
      </w:pPr>
    </w:p>
    <w:p>
      <w:pPr>
        <w:ind w:left="1300" w:right="20" w:hanging="320"/>
        <w:spacing w:after="0" w:line="28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$2.6 million used for accounts payable attributable to the last day of the current quarter being a Friday, the weekday on which we transfer the largest routine payments to our customers for their cashless transaction proceeds net of our license and transaction fees; and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$2.4 million used for inventory for anticipated sales in subsequent quarters.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 million decrease in net income (loss) as adjusted for non-cash operating items comprised of</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$2.5 million net loss offset by $2.9 million of non-cash operating items for the quarter ended September 30, 2016, as compared to</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$0.4 million of net income and $1.3 million of non-cash operating items for the quarter ended September 30,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namely $6.2 million of proceeds from exercise of common stock warrants, contributed to positive cash flow from financing activities during the three months ended September 30, 2016.</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 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QuickStart through third-party finance companies reduces cash flow needed for investing activities and improves the cash flow from operations.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via JumpStart, which accounted for 65% of our gross connections in fiscal year 2014, to QuickStart and sales under normal trade receivable terms, which accounted for 89% and 91% of our gross connections in fiscal year 2015 and 2016, respectively. JumpStart was approximately 8% of gross connections in the first three months of fiscal year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seeking to expand its outside financing partners. The goal of the program would be to have enough finance partners so that the Company would not need to provide financing to its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liquidity position is demonstrated by its net working capital, which is defined as current assets less current liabilities, which was $14.0 million, $4.9 million, ($0.2) million, $9.9 million, and $7.7 million over the last five quarter-end reporting dates beginning September 30, 2016 and working backwards. As of September 30, 2016, the Company’s primary sources of cash include:</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on hand of approximately $18.2 million;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$4.7 million available under the line of credit provided we continue to satisfy the various covenants set forth in the loan agreement, including the requirement to meet minimum quarterly adjusted EBITDA, as defined in the loan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to third party lenders of all or a portion of our finance receivables;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Anticipated cash which may be provided by operating activities in future quarters.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believes its existing cash and available cash resources described above, would provide sufficient capital resources to operate its anticipated business over the next twelve months.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2016.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our disclosure controls and procedures were not effective as of the end of such period because of the material weakness in our internal control over financial reporting identified in our Annual Report on Form 10-K for the fiscal year ended June 30, 2016 (the "2016 Form 10-K"), as described below. Notwithstanding the material weakness identified in the 2016 Form 10-K, our management, including our chief executive officer and chief financial officer, has concluded that the consolidated financial statements included in this Form 10-Q present fairly, in all material respects, our financial position, results of operations and cash flows for the periods presented in conformity with accounting principles generally accepted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Form 2016 10-K, we stated that based on its assessment, management identified control deficiencies, including three significant deficiencies, in the design or operating effectiveness of the Company's internal control over financial reporting, which when aggregated, represent a material weakness in internal control. The significant deficiencies included that the operation of an existing control did not result in timely resolution of account receivable aging issues; the design of certain of our internal controls allowed for errors or omissions in the accrual process; and one operational control did not identify certain merchant receivables as one of the critical accounts to be audited on a monthly basis.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September 30, 2016, the Company implemented the following changes in its internal controls over financial reporting relating to the significant deficiencies identified in our 2016 Form 10-K:</w:t>
      </w:r>
    </w:p>
    <w:p>
      <w:pPr>
        <w:spacing w:after="0" w:line="170" w:lineRule="exact"/>
        <w:rPr>
          <w:sz w:val="20"/>
          <w:szCs w:val="20"/>
          <w:color w:val="auto"/>
        </w:rPr>
      </w:pPr>
    </w:p>
    <w:p>
      <w:pPr>
        <w:ind w:left="920" w:right="80" w:hanging="331"/>
        <w:spacing w:after="0" w:line="308"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accounts receivable aging and related reserves, the related internal control has been expanded to include more frequent and more detailed analysis of accounts receivable including the recording of accruals, write-downs, write-offs or other changes as needed.</w:t>
      </w:r>
    </w:p>
    <w:p>
      <w:pPr>
        <w:spacing w:after="0" w:line="146" w:lineRule="exact"/>
        <w:rPr>
          <w:rFonts w:ascii="Arial" w:cs="Arial" w:eastAsia="Arial" w:hAnsi="Arial"/>
          <w:sz w:val="17"/>
          <w:szCs w:val="17"/>
          <w:color w:val="auto"/>
        </w:rPr>
      </w:pPr>
    </w:p>
    <w:p>
      <w:pPr>
        <w:ind w:left="920" w:right="40" w:hanging="331"/>
        <w:spacing w:after="0" w:line="31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the errors or omissions in the accrual process, the related internal control was redesigned during the first quarter to include improved control over timely recording of accruals. Further, the length of time in which post-closing accounts payable are satisfied was extended to provide a more detailed analysis of accounts payable and related accruals, and to ensure that an expense is recorded in its proper period.</w:t>
      </w:r>
    </w:p>
    <w:p>
      <w:pPr>
        <w:spacing w:after="0" w:line="146" w:lineRule="exact"/>
        <w:rPr>
          <w:rFonts w:ascii="Arial" w:cs="Arial" w:eastAsia="Arial" w:hAnsi="Arial"/>
          <w:sz w:val="16"/>
          <w:szCs w:val="16"/>
          <w:color w:val="auto"/>
        </w:rPr>
      </w:pPr>
    </w:p>
    <w:p>
      <w:pPr>
        <w:ind w:left="920" w:right="120" w:hanging="331"/>
        <w:spacing w:after="0" w:line="34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the significant deficiency relating to the operational control which did not identify merchant receivables as one of the critical accounts to be audited on a monthly basis, management has identified the merchant receivable as a critical account to be analyzed each month.</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are in the process of remediating the control deficiencies that gave rise to the material weakness, including the significant deficiencies referred to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stated in the 2016 Form 10-K, we are committed to remediating the control deficiencies that gave rise to the material weakness.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there were no changes in our internal controls over financial reporting that occurred during our fiscal quarter ended September 30, 2016 that materially affected, or are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April 14, 2016, the Court issued an order granting the Company’s motion to dismiss the amended complaint without leave to amend and the plaintiff filed an appeal of this order with the United States Court of Appeals for the Third Circuit. On August 16, 2016, the plaintiff filed a motion for relief from final judgment with the District Court seeking an order modifying the District Court’s previous order dismissing the complaint, and permitting the plaintiff to file another amended complaint. On September 19, 2016, the District Court issued an order denying the plaintiff’s motion for relief from final judgment, and on October 4, 2016, the plaintiff filed an appeal of this order with the Court of Appeals. On October 6, 2016, the Court of Appeals consolidated the two appeals of plaintiff for all purposes, and issued a briefing and scheduling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On August 1, 2016, an additional $334 thousand of dividends were accrued on our cumulative Series A Convertible Preferred Stock. The total accrued and unpaid dividends on our Series A Convertible Preferred Stock as of September 30, 2016 was $14 million. The dividend accrual dates for our Preferred Stock are February 1 and August 1. The annual cumulative dividend on our Preferred Stock is $1.50 per share.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64"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0"/>
                <w:szCs w:val="20"/>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24"/>
                <w:szCs w:val="24"/>
                <w:color w:val="auto"/>
              </w:rPr>
            </w:pPr>
          </w:p>
        </w:tc>
      </w:tr>
      <w:tr>
        <w:trPr>
          <w:trHeight w:val="237"/>
        </w:trPr>
        <w:tc>
          <w:tcPr>
            <w:tcW w:w="162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8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648"/>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18 USC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648"/>
        </w:trPr>
        <w:tc>
          <w:tcPr>
            <w:tcW w:w="13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800" w:type="dxa"/>
            <w:vAlign w:val="bottom"/>
            <w:tcBorders>
              <w:bottom w:val="single" w:sz="8" w:color="DCDCDC"/>
            </w:tcBorders>
          </w:tcPr>
          <w:p>
            <w:pPr>
              <w:ind w:left="402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904"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9, 2016</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9, 2016</w:t>
            </w:r>
          </w:p>
        </w:tc>
        <w:tc>
          <w:tcPr>
            <w:tcW w:w="20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48"/>
        </w:trPr>
        <w:tc>
          <w:tcPr>
            <w:tcW w:w="3700" w:type="dxa"/>
            <w:vAlign w:val="bottom"/>
            <w:tcBorders>
              <w:bottom w:val="single" w:sz="8" w:color="DCDCDC"/>
            </w:tcBorders>
          </w:tcPr>
          <w:p>
            <w:pPr>
              <w:spacing w:after="0"/>
              <w:rPr>
                <w:sz w:val="24"/>
                <w:szCs w:val="24"/>
                <w:color w:val="auto"/>
              </w:rPr>
            </w:pPr>
          </w:p>
        </w:tc>
        <w:tc>
          <w:tcPr>
            <w:tcW w:w="7720" w:type="dxa"/>
            <w:vAlign w:val="bottom"/>
            <w:tcBorders>
              <w:bottom w:val="single" w:sz="8" w:color="DCDCDC"/>
            </w:tcBorders>
            <w:gridSpan w:val="2"/>
          </w:tcPr>
          <w:p>
            <w:pPr>
              <w:jc w:val="right"/>
              <w:ind w:right="551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90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9,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180" w:type="dxa"/>
            <w:vAlign w:val="bottom"/>
            <w:tcBorders>
              <w:bottom w:val="single" w:sz="8" w:color="DCDCDC"/>
            </w:tcBorders>
          </w:tcPr>
          <w:p>
            <w:pPr>
              <w:spacing w:after="0"/>
              <w:rPr>
                <w:sz w:val="24"/>
                <w:szCs w:val="24"/>
                <w:color w:val="auto"/>
              </w:rPr>
            </w:pPr>
          </w:p>
        </w:tc>
        <w:tc>
          <w:tcPr>
            <w:tcW w:w="5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Leland P. Maxwell,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9,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48"/>
        </w:trPr>
        <w:tc>
          <w:tcPr>
            <w:tcW w:w="6180" w:type="dxa"/>
            <w:vAlign w:val="bottom"/>
            <w:tcBorders>
              <w:bottom w:val="single" w:sz="8" w:color="DCDCDC"/>
            </w:tcBorders>
          </w:tcPr>
          <w:p>
            <w:pPr>
              <w:spacing w:after="0"/>
              <w:rPr>
                <w:sz w:val="24"/>
                <w:szCs w:val="24"/>
                <w:color w:val="auto"/>
              </w:rPr>
            </w:pPr>
          </w:p>
        </w:tc>
        <w:tc>
          <w:tcPr>
            <w:tcW w:w="5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2016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9,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180" w:type="dxa"/>
            <w:vAlign w:val="bottom"/>
            <w:tcBorders>
              <w:bottom w:val="single" w:sz="8" w:color="DCDCDC"/>
            </w:tcBorders>
          </w:tcPr>
          <w:p>
            <w:pPr>
              <w:spacing w:after="0"/>
              <w:rPr>
                <w:sz w:val="24"/>
                <w:szCs w:val="24"/>
                <w:color w:val="auto"/>
              </w:rPr>
            </w:pPr>
          </w:p>
        </w:tc>
        <w:tc>
          <w:tcPr>
            <w:tcW w:w="5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2016 (the “Report”), I, Leland P. Maxwell, Interim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November 9, 2016</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648"/>
        </w:trPr>
        <w:tc>
          <w:tcPr>
            <w:tcW w:w="6180" w:type="dxa"/>
            <w:vAlign w:val="bottom"/>
            <w:tcBorders>
              <w:bottom w:val="single" w:sz="8" w:color="DCDCDC"/>
            </w:tcBorders>
          </w:tcPr>
          <w:p>
            <w:pPr>
              <w:spacing w:after="0"/>
              <w:rPr>
                <w:sz w:val="24"/>
                <w:szCs w:val="24"/>
                <w:color w:val="auto"/>
              </w:rPr>
            </w:pPr>
          </w:p>
        </w:tc>
        <w:tc>
          <w:tcPr>
            <w:tcW w:w="524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2019-12-29T08:32:31Z</dcterms:created>
  <dcterms:modified xsi:type="dcterms:W3CDTF">2019-12-29T08:32:31Z</dcterms:modified>
</cp:coreProperties>
</file>