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25" w:lineRule="exact"/>
        <w:rPr>
          <w:sz w:val="24"/>
          <w:szCs w:val="24"/>
          <w:color w:val="auto"/>
        </w:rPr>
      </w:pPr>
    </w:p>
    <w:p>
      <w:pPr>
        <w:ind w:left="3740" w:right="1740" w:hanging="3732"/>
        <w:spacing w:after="0" w:line="534" w:lineRule="auto"/>
        <w:tabs>
          <w:tab w:leader="none" w:pos="49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 (d) OF THE SECURITIES EXCHANGE ACT OF 1934 For the quarterly period ended September 30, 2014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2660" w:right="2660" w:hanging="2652"/>
        <w:spacing w:after="0" w:line="566" w:lineRule="auto"/>
        <w:tabs>
          <w:tab w:leader="none" w:pos="493"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60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w w:val="87"/>
              </w:rPr>
              <w:t>Pennsylvania</w:t>
            </w:r>
          </w:p>
        </w:tc>
        <w:tc>
          <w:tcPr>
            <w:tcW w:w="1780" w:type="dxa"/>
            <w:vAlign w:val="bottom"/>
          </w:tcPr>
          <w:p>
            <w:pPr>
              <w:spacing w:after="0"/>
              <w:rPr>
                <w:sz w:val="20"/>
                <w:szCs w:val="20"/>
                <w:color w:val="auto"/>
              </w:rPr>
            </w:pPr>
          </w:p>
        </w:tc>
        <w:tc>
          <w:tcPr>
            <w:tcW w:w="4200" w:type="dxa"/>
            <w:vAlign w:val="bottom"/>
            <w:gridSpan w:val="3"/>
          </w:tcPr>
          <w:p>
            <w:pPr>
              <w:jc w:val="right"/>
              <w:ind w:right="20"/>
              <w:spacing w:after="0"/>
              <w:rPr>
                <w:sz w:val="20"/>
                <w:szCs w:val="20"/>
                <w:color w:val="auto"/>
              </w:rPr>
            </w:pPr>
            <w:r>
              <w:rPr>
                <w:rFonts w:ascii="Arial" w:cs="Arial" w:eastAsia="Arial" w:hAnsi="Arial"/>
                <w:sz w:val="18"/>
                <w:szCs w:val="18"/>
                <w:color w:val="auto"/>
              </w:rPr>
              <w:t>23-2679963</w:t>
            </w:r>
          </w:p>
        </w:tc>
        <w:tc>
          <w:tcPr>
            <w:tcW w:w="84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7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Borders>
              <w:left w:val="single" w:sz="8" w:color="auto"/>
            </w:tcBorders>
          </w:tcPr>
          <w:p>
            <w:pPr>
              <w:spacing w:after="0"/>
              <w:rPr>
                <w:sz w:val="2"/>
                <w:szCs w:val="2"/>
                <w:color w:val="auto"/>
              </w:rPr>
            </w:pPr>
          </w:p>
        </w:tc>
      </w:tr>
      <w:tr>
        <w:trPr>
          <w:trHeight w:val="230"/>
        </w:trPr>
        <w:tc>
          <w:tcPr>
            <w:tcW w:w="4360" w:type="dxa"/>
            <w:vAlign w:val="bottom"/>
            <w:gridSpan w:val="4"/>
          </w:tcPr>
          <w:p>
            <w:pPr>
              <w:spacing w:after="0"/>
              <w:rPr>
                <w:sz w:val="20"/>
                <w:szCs w:val="20"/>
                <w:color w:val="auto"/>
              </w:rPr>
            </w:pPr>
            <w:r>
              <w:rPr>
                <w:rFonts w:ascii="Arial" w:cs="Arial" w:eastAsia="Arial" w:hAnsi="Arial"/>
                <w:sz w:val="18"/>
                <w:szCs w:val="18"/>
                <w:color w:val="auto"/>
                <w:w w:val="93"/>
              </w:rPr>
              <w:t>(State or other jurisdiction of incorporation or organization)</w:t>
            </w:r>
          </w:p>
        </w:tc>
        <w:tc>
          <w:tcPr>
            <w:tcW w:w="5040" w:type="dxa"/>
            <w:vAlign w:val="bottom"/>
            <w:gridSpan w:val="4"/>
          </w:tcPr>
          <w:p>
            <w:pPr>
              <w:ind w:left="2420"/>
              <w:spacing w:after="0"/>
              <w:rPr>
                <w:sz w:val="20"/>
                <w:szCs w:val="20"/>
                <w:color w:val="auto"/>
              </w:rPr>
            </w:pPr>
            <w:r>
              <w:rPr>
                <w:rFonts w:ascii="Arial" w:cs="Arial" w:eastAsia="Arial" w:hAnsi="Arial"/>
                <w:sz w:val="18"/>
                <w:szCs w:val="18"/>
                <w:color w:val="auto"/>
                <w:w w:val="93"/>
              </w:rPr>
              <w:t>(I.R.S. Employer Identification No.)</w:t>
            </w:r>
          </w:p>
        </w:tc>
      </w:tr>
      <w:tr>
        <w:trPr>
          <w:trHeight w:val="445"/>
        </w:trPr>
        <w:tc>
          <w:tcPr>
            <w:tcW w:w="420" w:type="dxa"/>
            <w:vAlign w:val="bottom"/>
          </w:tcPr>
          <w:p>
            <w:pPr>
              <w:spacing w:after="0"/>
              <w:rPr>
                <w:sz w:val="24"/>
                <w:szCs w:val="24"/>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w w:val="91"/>
              </w:rPr>
              <w:t>100 Deerfield Lane, Suite 140, Malvern, Pennsylvania</w:t>
            </w:r>
          </w:p>
        </w:tc>
        <w:tc>
          <w:tcPr>
            <w:tcW w:w="4200" w:type="dxa"/>
            <w:vAlign w:val="bottom"/>
            <w:gridSpan w:val="3"/>
          </w:tcPr>
          <w:p>
            <w:pPr>
              <w:jc w:val="right"/>
              <w:ind w:right="20"/>
              <w:spacing w:after="0"/>
              <w:rPr>
                <w:sz w:val="20"/>
                <w:szCs w:val="20"/>
                <w:color w:val="auto"/>
              </w:rPr>
            </w:pPr>
            <w:r>
              <w:rPr>
                <w:rFonts w:ascii="Arial" w:cs="Arial" w:eastAsia="Arial" w:hAnsi="Arial"/>
                <w:sz w:val="18"/>
                <w:szCs w:val="18"/>
                <w:color w:val="auto"/>
              </w:rPr>
              <w:t>19355</w:t>
            </w:r>
          </w:p>
        </w:tc>
        <w:tc>
          <w:tcPr>
            <w:tcW w:w="84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3940" w:type="dxa"/>
            <w:vAlign w:val="bottom"/>
            <w:gridSpan w:val="3"/>
            <w:shd w:val="clear" w:color="auto" w:fill="000000"/>
          </w:tcPr>
          <w:p>
            <w:pPr>
              <w:spacing w:after="0"/>
              <w:rPr>
                <w:sz w:val="2"/>
                <w:szCs w:val="2"/>
                <w:color w:val="auto"/>
              </w:rPr>
            </w:pPr>
          </w:p>
        </w:tc>
        <w:tc>
          <w:tcPr>
            <w:tcW w:w="3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r>
      <w:tr>
        <w:trPr>
          <w:trHeight w:val="230"/>
        </w:trPr>
        <w:tc>
          <w:tcPr>
            <w:tcW w:w="420" w:type="dxa"/>
            <w:vAlign w:val="bottom"/>
          </w:tcPr>
          <w:p>
            <w:pPr>
              <w:spacing w:after="0"/>
              <w:rPr>
                <w:sz w:val="20"/>
                <w:szCs w:val="20"/>
                <w:color w:val="auto"/>
              </w:rPr>
            </w:pPr>
          </w:p>
        </w:tc>
        <w:tc>
          <w:tcPr>
            <w:tcW w:w="3940" w:type="dxa"/>
            <w:vAlign w:val="bottom"/>
            <w:gridSpan w:val="3"/>
          </w:tcPr>
          <w:p>
            <w:pPr>
              <w:ind w:left="500"/>
              <w:spacing w:after="0"/>
              <w:rPr>
                <w:sz w:val="20"/>
                <w:szCs w:val="20"/>
                <w:color w:val="auto"/>
              </w:rPr>
            </w:pPr>
            <w:r>
              <w:rPr>
                <w:rFonts w:ascii="Arial" w:cs="Arial" w:eastAsia="Arial" w:hAnsi="Arial"/>
                <w:sz w:val="18"/>
                <w:szCs w:val="18"/>
                <w:color w:val="auto"/>
              </w:rPr>
              <w:t>(Address of principal executive offices)</w:t>
            </w:r>
          </w:p>
        </w:tc>
        <w:tc>
          <w:tcPr>
            <w:tcW w:w="33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(Zip Code)</w:t>
            </w:r>
          </w:p>
        </w:tc>
        <w:tc>
          <w:tcPr>
            <w:tcW w:w="840" w:type="dxa"/>
            <w:vAlign w:val="bottom"/>
          </w:tcPr>
          <w:p>
            <w:pPr>
              <w:spacing w:after="0"/>
              <w:rPr>
                <w:sz w:val="20"/>
                <w:szCs w:val="20"/>
                <w:color w:val="auto"/>
              </w:rPr>
            </w:pPr>
          </w:p>
        </w:tc>
      </w:tr>
    </w:tbl>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8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2600" w:space="720"/>
            <w:col w:w="344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11, 2014, there were 35,716,678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40" w:type="dxa"/>
            <w:vAlign w:val="bottom"/>
            <w:gridSpan w:val="7"/>
          </w:tcPr>
          <w:p>
            <w:pPr>
              <w:jc w:val="center"/>
              <w:ind w:right="2460"/>
              <w:spacing w:after="0"/>
              <w:rPr>
                <w:sz w:val="20"/>
                <w:szCs w:val="20"/>
                <w:color w:val="auto"/>
              </w:rPr>
            </w:pPr>
            <w:r>
              <w:rPr>
                <w:rFonts w:ascii="Arial" w:cs="Arial" w:eastAsia="Arial" w:hAnsi="Arial"/>
                <w:sz w:val="18"/>
                <w:szCs w:val="18"/>
                <w:color w:val="auto"/>
                <w:w w:val="96"/>
              </w:rPr>
              <w:t>USA TECHNOLOGIES, INC.</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40" w:type="dxa"/>
            <w:vAlign w:val="bottom"/>
            <w:gridSpan w:val="7"/>
          </w:tcPr>
          <w:p>
            <w:pPr>
              <w:jc w:val="center"/>
              <w:ind w:right="2460"/>
              <w:spacing w:after="0"/>
              <w:rPr>
                <w:sz w:val="20"/>
                <w:szCs w:val="20"/>
                <w:color w:val="auto"/>
              </w:rPr>
            </w:pPr>
            <w:r>
              <w:rPr>
                <w:rFonts w:ascii="Arial" w:cs="Arial" w:eastAsia="Arial" w:hAnsi="Arial"/>
                <w:sz w:val="18"/>
                <w:szCs w:val="18"/>
                <w:color w:val="auto"/>
                <w:w w:val="95"/>
              </w:rPr>
              <w:t>TABLE OF CONTENTS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Part I - Financial Information</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8720" w:type="dxa"/>
            <w:vAlign w:val="bottom"/>
            <w:gridSpan w:val="13"/>
            <w:shd w:val="clear" w:color="auto" w:fill="CCEEFF"/>
          </w:tcPr>
          <w:p>
            <w:pPr>
              <w:ind w:left="320"/>
              <w:spacing w:after="0"/>
              <w:rPr>
                <w:sz w:val="20"/>
                <w:szCs w:val="20"/>
                <w:color w:val="auto"/>
              </w:rPr>
            </w:pPr>
            <w:r>
              <w:rPr>
                <w:rFonts w:ascii="Arial" w:cs="Arial" w:eastAsia="Arial" w:hAnsi="Arial"/>
                <w:sz w:val="18"/>
                <w:szCs w:val="18"/>
                <w:color w:val="auto"/>
              </w:rPr>
              <w:t>Consolidated Financial Statements (Unaudited)</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September 30, 2014 and June 30, 2014</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months ended September 30, 2014 and 2013</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Three months ended September 30, 2014</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September 30, 2014 and 2013</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w:t>
              </w:r>
            </w:hyperlink>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4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 Other Information</w:t>
              </w:r>
            </w:hyperlink>
          </w:p>
        </w:tc>
        <w:tc>
          <w:tcPr>
            <w:tcW w:w="1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3.</w:t>
              </w:r>
            </w:hyperlink>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gridSpan w:val="2"/>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w:t>
              </w:r>
            </w:hyperlink>
          </w:p>
        </w:tc>
        <w:tc>
          <w:tcPr>
            <w:tcW w:w="8720" w:type="dxa"/>
            <w:vAlign w:val="bottom"/>
            <w:gridSpan w:val="13"/>
            <w:shd w:val="clear" w:color="auto" w:fill="CCEEFF"/>
          </w:tcPr>
          <w:p>
            <w:pPr>
              <w:ind w:left="3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0" w:type="dxa"/>
            <w:vAlign w:val="bottom"/>
            <w:gridSpan w:val="1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1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00" w:type="dxa"/>
            <w:vAlign w:val="bottom"/>
            <w:tcBorders>
              <w:top w:val="single" w:sz="8" w:color="CCEEFF"/>
              <w:bottom w:val="single" w:sz="8" w:color="DCDCDC"/>
            </w:tcBorders>
          </w:tcPr>
          <w:p>
            <w:pPr>
              <w:spacing w:after="0"/>
              <w:rPr>
                <w:sz w:val="24"/>
                <w:szCs w:val="24"/>
                <w:color w:val="auto"/>
              </w:rPr>
            </w:pPr>
          </w:p>
        </w:tc>
        <w:tc>
          <w:tcPr>
            <w:tcW w:w="320" w:type="dxa"/>
            <w:vAlign w:val="bottom"/>
            <w:tcBorders>
              <w:top w:val="single" w:sz="8" w:color="CCEEFF"/>
              <w:bottom w:val="single" w:sz="8" w:color="DCDCDC"/>
            </w:tcBorders>
          </w:tcPr>
          <w:p>
            <w:pPr>
              <w:spacing w:after="0"/>
              <w:rPr>
                <w:sz w:val="24"/>
                <w:szCs w:val="24"/>
                <w:color w:val="auto"/>
              </w:rPr>
            </w:pPr>
          </w:p>
        </w:tc>
        <w:tc>
          <w:tcPr>
            <w:tcW w:w="320" w:type="dxa"/>
            <w:vAlign w:val="bottom"/>
            <w:tcBorders>
              <w:top w:val="single" w:sz="8" w:color="CCEEFF"/>
              <w:bottom w:val="single" w:sz="8" w:color="DCDCDC"/>
            </w:tcBorders>
          </w:tcPr>
          <w:p>
            <w:pPr>
              <w:spacing w:after="0"/>
              <w:rPr>
                <w:sz w:val="24"/>
                <w:szCs w:val="24"/>
                <w:color w:val="auto"/>
              </w:rPr>
            </w:pPr>
          </w:p>
        </w:tc>
        <w:tc>
          <w:tcPr>
            <w:tcW w:w="760" w:type="dxa"/>
            <w:vAlign w:val="bottom"/>
            <w:tcBorders>
              <w:top w:val="single" w:sz="8" w:color="0000EE"/>
              <w:bottom w:val="single" w:sz="8" w:color="DCDCDC"/>
            </w:tcBorders>
            <w:gridSpan w:val="2"/>
          </w:tcPr>
          <w:p>
            <w:pPr>
              <w:spacing w:after="0"/>
              <w:rPr>
                <w:sz w:val="24"/>
                <w:szCs w:val="24"/>
                <w:color w:val="auto"/>
              </w:rPr>
            </w:pPr>
          </w:p>
        </w:tc>
        <w:tc>
          <w:tcPr>
            <w:tcW w:w="4320" w:type="dxa"/>
            <w:vAlign w:val="bottom"/>
            <w:tcBorders>
              <w:top w:val="single" w:sz="8" w:color="CCEEFF"/>
              <w:bottom w:val="single" w:sz="8" w:color="DCDCDC"/>
            </w:tcBorders>
            <w:gridSpan w:val="5"/>
          </w:tcPr>
          <w:p>
            <w:pPr>
              <w:jc w:val="center"/>
              <w:ind w:left="3170"/>
              <w:spacing w:after="0"/>
              <w:rPr>
                <w:sz w:val="20"/>
                <w:szCs w:val="20"/>
                <w:color w:val="auto"/>
              </w:rPr>
            </w:pPr>
            <w:r>
              <w:rPr>
                <w:rFonts w:ascii="Arial" w:cs="Arial" w:eastAsia="Arial" w:hAnsi="Arial"/>
                <w:sz w:val="18"/>
                <w:szCs w:val="18"/>
                <w:color w:val="auto"/>
                <w:w w:val="99"/>
              </w:rPr>
              <w:t>2</w:t>
            </w:r>
          </w:p>
        </w:tc>
        <w:tc>
          <w:tcPr>
            <w:tcW w:w="1380" w:type="dxa"/>
            <w:vAlign w:val="bottom"/>
            <w:tcBorders>
              <w:top w:val="single" w:sz="8" w:color="CCEEFF"/>
              <w:bottom w:val="single" w:sz="8" w:color="DCDCDC"/>
            </w:tcBorders>
          </w:tcPr>
          <w:p>
            <w:pPr>
              <w:spacing w:after="0"/>
              <w:rPr>
                <w:sz w:val="24"/>
                <w:szCs w:val="24"/>
                <w:color w:val="auto"/>
              </w:rPr>
            </w:pPr>
          </w:p>
        </w:tc>
        <w:tc>
          <w:tcPr>
            <w:tcW w:w="160" w:type="dxa"/>
            <w:vAlign w:val="bottom"/>
            <w:tcBorders>
              <w:top w:val="single" w:sz="8" w:color="CCEEFF"/>
              <w:bottom w:val="single" w:sz="8" w:color="DCDCDC"/>
            </w:tcBorders>
          </w:tcPr>
          <w:p>
            <w:pPr>
              <w:spacing w:after="0"/>
              <w:rPr>
                <w:sz w:val="24"/>
                <w:szCs w:val="24"/>
                <w:color w:val="auto"/>
              </w:rPr>
            </w:pPr>
          </w:p>
        </w:tc>
        <w:tc>
          <w:tcPr>
            <w:tcW w:w="60" w:type="dxa"/>
            <w:vAlign w:val="bottom"/>
            <w:tcBorders>
              <w:top w:val="single" w:sz="8" w:color="CCEEFF"/>
              <w:bottom w:val="single" w:sz="8" w:color="DCDCDC"/>
            </w:tcBorders>
          </w:tcPr>
          <w:p>
            <w:pPr>
              <w:spacing w:after="0"/>
              <w:rPr>
                <w:sz w:val="24"/>
                <w:szCs w:val="24"/>
                <w:color w:val="auto"/>
              </w:rPr>
            </w:pPr>
          </w:p>
        </w:tc>
        <w:tc>
          <w:tcPr>
            <w:tcW w:w="40" w:type="dxa"/>
            <w:vAlign w:val="bottom"/>
            <w:tcBorders>
              <w:top w:val="single" w:sz="8" w:color="CCEEFF"/>
              <w:bottom w:val="single" w:sz="8" w:color="DCDCDC"/>
            </w:tcBorders>
          </w:tcPr>
          <w:p>
            <w:pPr>
              <w:spacing w:after="0"/>
              <w:rPr>
                <w:sz w:val="24"/>
                <w:szCs w:val="24"/>
                <w:color w:val="auto"/>
              </w:rPr>
            </w:pPr>
          </w:p>
        </w:tc>
        <w:tc>
          <w:tcPr>
            <w:tcW w:w="1680" w:type="dxa"/>
            <w:vAlign w:val="bottom"/>
            <w:tcBorders>
              <w:top w:val="single" w:sz="8" w:color="CCEEFF"/>
              <w:bottom w:val="single" w:sz="8" w:color="DCDCDC"/>
            </w:tcBorders>
          </w:tcPr>
          <w:p>
            <w:pPr>
              <w:spacing w:after="0"/>
              <w:rPr>
                <w:sz w:val="24"/>
                <w:szCs w:val="24"/>
                <w:color w:val="auto"/>
              </w:rPr>
            </w:pPr>
          </w:p>
        </w:tc>
        <w:tc>
          <w:tcPr>
            <w:tcW w:w="1860" w:type="dxa"/>
            <w:vAlign w:val="bottom"/>
            <w:tcBorders>
              <w:top w:val="single" w:sz="8" w:color="CCEEFF"/>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10,916,078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receivable, less allowance for uncollectible accounts of $129,000 and $63,000, respectively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2,444,748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receivables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2,629,361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907,691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17,553,917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14,633,527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less current portion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17,780,294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21,138,580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26,713,803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26,353,330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71,474,718</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70,764,242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7,632,643</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7,753,911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1,779,037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obligations under long-term debt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gain from sale-leaseback transactions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15,479,453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15,244,537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expenses, less current portion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gain from sale-leaseback transactions, less current portion</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1,545,641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2,180,750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17,660,203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17,027,575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no par value: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w w:val="97"/>
              </w:rPr>
              <w:t>Authorized shares- 1,800,000 Series A convertible preferred- Authorized shares- 900,000 Issued and outstanding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shares- 442,968 (liquidation preference of $17,022,682 and $16,690,456, respectively)</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3,138,056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no par value: Authorized shares- 640,000,000 Issued and outstanding shares- 35,637,706 and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35,514,685, respectively</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224,349,001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224,210,197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(173,672,542)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(173,611,586)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53,814,515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53,736,667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71,474,718</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70,764,242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and transaction fees</w:t>
            </w:r>
          </w:p>
        </w:tc>
        <w:tc>
          <w:tcPr>
            <w:tcW w:w="3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10,156,222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8,507,044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Equipment sales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2,096,380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1,616,014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12,252,602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services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7,251,107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5,409,463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Cost of equipment</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1,866,257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1,130,824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3,135,238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3,582,771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3,632,487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169,403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3,801,890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3,453,853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(666,652)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liabilities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310,052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219,097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3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3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benefit (provision) for income taxes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(421,429)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360,473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Cumulative preferred dividends</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(332,226)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shares</w:t>
            </w:r>
          </w:p>
        </w:tc>
        <w:tc>
          <w:tcPr>
            <w:tcW w:w="3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(393,182)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3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w w:val="90"/>
              </w:rPr>
              <w:t>Weighted average number of common shares outstanding (basic and diluted)</w:t>
            </w: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35,586,455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33,324,295</w:t>
            </w:r>
          </w:p>
        </w:tc>
        <w:tc>
          <w:tcPr>
            <w:tcW w:w="0" w:type="dxa"/>
            <w:vAlign w:val="bottom"/>
          </w:tcPr>
          <w:p>
            <w:pPr>
              <w:spacing w:after="0"/>
              <w:rPr>
                <w:sz w:val="1"/>
                <w:szCs w:val="1"/>
                <w:color w:val="auto"/>
              </w:rPr>
            </w:pPr>
          </w:p>
        </w:tc>
      </w:tr>
      <w:tr>
        <w:trPr>
          <w:trHeight w:val="418"/>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580" w:type="dxa"/>
            <w:vAlign w:val="bottom"/>
            <w:tcBorders>
              <w:bottom w:val="single" w:sz="8" w:color="DCDCDC"/>
            </w:tcBorders>
          </w:tcPr>
          <w:p>
            <w:pPr>
              <w:spacing w:after="0"/>
              <w:rPr>
                <w:sz w:val="24"/>
                <w:szCs w:val="24"/>
                <w:color w:val="auto"/>
              </w:rPr>
            </w:pPr>
          </w:p>
        </w:tc>
        <w:tc>
          <w:tcPr>
            <w:tcW w:w="3220" w:type="dxa"/>
            <w:vAlign w:val="bottom"/>
            <w:tcBorders>
              <w:bottom w:val="single" w:sz="8" w:color="DCDCDC"/>
            </w:tcBorders>
          </w:tcPr>
          <w:p>
            <w:pPr>
              <w:jc w:val="right"/>
              <w:ind w:right="297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Series 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Convertible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Preferred Stock</w:t>
            </w:r>
          </w:p>
        </w:tc>
        <w:tc>
          <w:tcPr>
            <w:tcW w:w="2700" w:type="dxa"/>
            <w:vAlign w:val="bottom"/>
            <w:gridSpan w:val="6"/>
          </w:tcPr>
          <w:p>
            <w:pPr>
              <w:ind w:left="680"/>
              <w:spacing w:after="0"/>
              <w:rPr>
                <w:sz w:val="20"/>
                <w:szCs w:val="20"/>
                <w:color w:val="auto"/>
              </w:rPr>
            </w:pPr>
            <w:r>
              <w:rPr>
                <w:rFonts w:ascii="Arial" w:cs="Arial" w:eastAsia="Arial" w:hAnsi="Arial"/>
                <w:sz w:val="18"/>
                <w:szCs w:val="18"/>
                <w:color w:val="auto"/>
              </w:rPr>
              <w:t>Common Stock</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442,968</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3,138,056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35,514,685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224,210,197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(173,611,586)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53,736,667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57,682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9,273</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of shares under the 2013 Stock</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76,681</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Charges incurred under the 2014 Stock</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Option Incentive Plan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52,246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September 30, 2014</w:t>
            </w:r>
          </w:p>
        </w:tc>
        <w:tc>
          <w:tcPr>
            <w:tcW w:w="1160" w:type="dxa"/>
            <w:vAlign w:val="bottom"/>
          </w:tcPr>
          <w:p>
            <w:pPr>
              <w:jc w:val="right"/>
              <w:spacing w:after="0"/>
              <w:rPr>
                <w:sz w:val="20"/>
                <w:szCs w:val="20"/>
                <w:color w:val="auto"/>
              </w:rPr>
            </w:pPr>
            <w:r>
              <w:rPr>
                <w:rFonts w:ascii="Arial" w:cs="Arial" w:eastAsia="Arial" w:hAnsi="Arial"/>
                <w:sz w:val="18"/>
                <w:szCs w:val="18"/>
                <w:color w:val="auto"/>
              </w:rPr>
              <w:t>442,968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3,138,056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35,637,706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224,349,001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(173,672,542)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53,814,515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Charges incurred in connection with the vesting and issuance of common stock and common stock options for employee</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director compensation</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138,804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(Gain) Loss on disposal of property and equipment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(3,284)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interest and amortization of debt discount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Bad debt expense</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158,716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1,473,412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(310,052)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(360,473)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Recognition of deferred gain from sale-leaseback transactions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(188,327)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Finance receivables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(755,462)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(1,138,319)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(110,755)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(121,268)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(185,891)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(1,404,761)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911,824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property for rental program</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(1,641,993)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(2,074,975)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rental equipment under sale-leaseback transactions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4,993,879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23,734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3,344,130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(2,089,601)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proceeds from the issuance of common stock and exercise of common stock warrants</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line of credit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(95,611)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1,843,758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9,072,320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10,916,078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5,811,900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i w:val="1"/>
                <w:iCs w:val="1"/>
                <w:color w:val="auto"/>
              </w:rPr>
              <w:t xml:space="preserve">Supplemental disclosures of cash flow information </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79,199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 expense allocated to cost of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1,295,445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1,081,515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 of rental program property to inventory, net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items financed with debt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103,125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101,850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Disposal of property and equipment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52,658</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174,204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Disposal of property and equipment under sale-leaseback transactions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3,873,275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taxi and others. Since our founding, we have designed and marketed systems and solutions that facilitate electronic payment options, as well as telemetry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2014. In the opinion of management, all adjustments considered necessary for a fair presentation, consisting of normal recurring adjustments, have been included. Operating results for the three month period ended September 30, 2014 are not necessarily indicative of the results that may be expected for the year ending June 30, 2015. The balance sheet at June 30, 2014 has been derived from the audited consolidated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had a net loss of $60,956 for the three-month period ended September 30, 2014. The Company had net income of $27,530,652 for the year ended June 30, 2014. Included in net income for the year ended June 30, 2014 was a benefit for income taxes of $27,255,398. Net income includes adjustments for changes to the fair value of our warrant liabilities, which are subject to secondary market conditions, and are not reasonably predictable.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(see Note 4), and may raise capital to meet its cash flow requirements including the issuance of Common Stock or debt financing.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2014 and June 30, 2014, none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offers extended payment terms to certain customers for equipment sales under its QuickStart Program. In accordance with the Financial Accounting Standards Board Accounting Standards Codification® (“ASC”) Topic 840, “Leases”, agreements under the QuickStart Program qualify for sales-type lease accounting. Accordingly, the future minimum lease payments are classified as finance receivables in the Company’s consolidated balance sheets. QuickStart leases are generally for a sixty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2010-06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sale of equipment is recognized on the terms of freight-on-board shipping point. Activation fee revenue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RENTAL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offers its customers a rental program for its ePort devices, the JumpStart Program (“JumpStart”). The JumpStart terms are typically 36 months and are cancellable with sixty days written notice. In accordance with ASC 840, “Leases”, the Company classifies the rental agreements as operating leases, with service fee revenue related to the leases included in license and transaction fees in the Consolidated Statements of Operations. Cost for the JumpStart revenues, which consists of depreciation expense on the JumpStart equipment, is included in cost of services in the Consolidated Statements of Operations. ePort equipment utilized by the JumpStart Program is included in property and equipment, net on the Consolidated 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follows the provisions of FASB ASC 740, Accounting for Uncertainty in Income Taxes, which provides detailed guidance for the financial statement recognition, measurement and disclosure of uncertain tax positions recognized in the financial statements. Tax positions must meet a “more-likely-than-not” recognition threshold at the effective date to be recognized upon the adoption of ASC 740 and in subsequent periods.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accrued or incurred during the three months ended September 30, 2014 and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earnings (loss)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2. FINANCE RECEIVABLES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30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1,228,049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279,216</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119,793</w:t>
            </w:r>
          </w:p>
        </w:tc>
        <w:tc>
          <w:tcPr>
            <w:tcW w:w="0" w:type="dxa"/>
            <w:vAlign w:val="bottom"/>
          </w:tcPr>
          <w:p>
            <w:pPr>
              <w:spacing w:after="0"/>
              <w:rPr>
                <w:sz w:val="1"/>
                <w:szCs w:val="1"/>
                <w:color w:val="auto"/>
              </w:rPr>
            </w:pPr>
          </w:p>
        </w:tc>
      </w:tr>
      <w:tr>
        <w:trPr>
          <w:trHeight w:val="27"/>
        </w:trPr>
        <w:tc>
          <w:tcPr>
            <w:tcW w:w="230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948,833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352,794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2014 and June 30, 2014,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jc w:val="center"/>
              <w:ind w:left="1830"/>
              <w:spacing w:after="0"/>
              <w:rPr>
                <w:sz w:val="20"/>
                <w:szCs w:val="20"/>
                <w:color w:val="auto"/>
              </w:rPr>
            </w:pPr>
            <w:r>
              <w:rPr>
                <w:rFonts w:ascii="Arial" w:cs="Arial" w:eastAsia="Arial" w:hAnsi="Arial"/>
                <w:sz w:val="18"/>
                <w:szCs w:val="18"/>
                <w:color w:val="auto"/>
                <w:w w:val="93"/>
              </w:rPr>
              <w:t>Credit Quality Indicators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jc w:val="center"/>
              <w:ind w:left="1830"/>
              <w:spacing w:after="0"/>
              <w:rPr>
                <w:sz w:val="20"/>
                <w:szCs w:val="20"/>
                <w:color w:val="auto"/>
              </w:rPr>
            </w:pPr>
            <w:r>
              <w:rPr>
                <w:rFonts w:ascii="Arial" w:cs="Arial" w:eastAsia="Arial" w:hAnsi="Arial"/>
                <w:sz w:val="18"/>
                <w:szCs w:val="18"/>
                <w:color w:val="auto"/>
                <w:w w:val="89"/>
              </w:rPr>
              <w:t>As of September 30, 2014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jc w:val="center"/>
              <w:ind w:left="1810"/>
              <w:spacing w:after="0"/>
              <w:rPr>
                <w:sz w:val="20"/>
                <w:szCs w:val="20"/>
                <w:color w:val="auto"/>
              </w:rPr>
            </w:pPr>
            <w:r>
              <w:rPr>
                <w:rFonts w:ascii="Arial" w:cs="Arial" w:eastAsia="Arial" w:hAnsi="Arial"/>
                <w:sz w:val="18"/>
                <w:szCs w:val="18"/>
                <w:color w:val="auto"/>
                <w:w w:val="90"/>
              </w:rPr>
              <w:t>(unaudited)</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Credit risk profile based on payment activity:</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8"/>
                <w:szCs w:val="18"/>
                <w:color w:val="auto"/>
              </w:rPr>
              <w:t>Leases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Nonperforming</w:t>
            </w: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1,228,049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Age Analysis of Past Due Finance Receivables</w:t>
      </w:r>
    </w:p>
    <w:p>
      <w:pPr>
        <w:jc w:val="center"/>
        <w:spacing w:after="0" w:line="238" w:lineRule="auto"/>
        <w:rPr>
          <w:sz w:val="20"/>
          <w:szCs w:val="20"/>
          <w:color w:val="auto"/>
        </w:rPr>
      </w:pPr>
      <w:r>
        <w:rPr>
          <w:rFonts w:ascii="Arial" w:cs="Arial" w:eastAsia="Arial" w:hAnsi="Arial"/>
          <w:sz w:val="22"/>
          <w:szCs w:val="22"/>
          <w:color w:val="auto"/>
        </w:rPr>
        <w:t>As of September 30, 2014</w:t>
      </w:r>
    </w:p>
    <w:p>
      <w:pPr>
        <w:jc w:val="center"/>
        <w:spacing w:after="0"/>
        <w:rPr>
          <w:sz w:val="20"/>
          <w:szCs w:val="20"/>
          <w:color w:val="auto"/>
        </w:rPr>
      </w:pPr>
      <w:r>
        <w:rPr>
          <w:rFonts w:ascii="Arial" w:cs="Arial" w:eastAsia="Arial" w:hAnsi="Arial"/>
          <w:sz w:val="22"/>
          <w:szCs w:val="22"/>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89"/>
              </w:rPr>
              <w:t>31 – 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9"/>
              </w:rPr>
              <w:t>61 – 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Greater than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Total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Arial" w:cs="Arial" w:eastAsia="Arial" w:hAnsi="Arial"/>
                <w:sz w:val="18"/>
                <w:szCs w:val="18"/>
                <w:color w:val="auto"/>
                <w:w w:val="87"/>
              </w:rPr>
              <w:t>Days Past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85"/>
              </w:rPr>
              <w:t>Days Past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w w:val="97"/>
              </w:rPr>
              <w:t>90 Days Past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w w:val="93"/>
              </w:rPr>
              <w:t>Total Past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Finance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320"/>
              <w:spacing w:after="0"/>
              <w:rPr>
                <w:sz w:val="20"/>
                <w:szCs w:val="20"/>
                <w:color w:val="auto"/>
              </w:rPr>
            </w:pPr>
            <w:r>
              <w:rPr>
                <w:rFonts w:ascii="Arial" w:cs="Arial" w:eastAsia="Arial" w:hAnsi="Arial"/>
                <w:sz w:val="18"/>
                <w:szCs w:val="18"/>
                <w:color w:val="auto"/>
              </w:rPr>
              <w:t>Due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Due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Receivables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Leases</w:t>
            </w:r>
          </w:p>
        </w:tc>
        <w:tc>
          <w:tcPr>
            <w:tcW w:w="18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1,222,768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1,228,049</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3,494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5,281</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1,222,768</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1,228,049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8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ind w:left="2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3. ACCRUED EXPENSES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34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June 30,</w:t>
            </w:r>
          </w:p>
        </w:tc>
      </w:tr>
      <w:tr>
        <w:trPr>
          <w:trHeight w:val="237"/>
        </w:trPr>
        <w:tc>
          <w:tcPr>
            <w:tcW w:w="5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378,092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545,110</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227,457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214,615</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taxes and filing fees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640,958</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Advanced customer billings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329,762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370,040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rent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155,712</w:t>
            </w:r>
          </w:p>
        </w:tc>
        <w:tc>
          <w:tcPr>
            <w:tcW w:w="120" w:type="dxa"/>
            <w:vAlign w:val="bottom"/>
            <w:shd w:val="clear" w:color="auto" w:fill="CCEEFF"/>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Accrued other</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182,743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175,538</w:t>
            </w:r>
          </w:p>
        </w:tc>
        <w:tc>
          <w:tcPr>
            <w:tcW w:w="12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1,916,082</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2,101,973</w:t>
            </w:r>
          </w:p>
        </w:tc>
        <w:tc>
          <w:tcPr>
            <w:tcW w:w="120" w:type="dxa"/>
            <w:vAlign w:val="bottom"/>
            <w:shd w:val="clear" w:color="auto" w:fill="CCEEFF"/>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balance due on the Line of Credit was $5,000,000 at September 30, 2014 and June 30, 2014. At September 30, 2014, $2,000,000 was available under the Line of Credit.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2014, the Company and the Bank entered into a Ninth Amendment (“Ninth Amendment”) to the Loan and Security Agreement to change the definition of Adjusted EBITDA for the quarter ended September 30,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5. LONG-TERM DEBT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32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June 30,</w:t>
            </w:r>
          </w:p>
        </w:tc>
      </w:tr>
      <w:tr>
        <w:trPr>
          <w:trHeight w:val="237"/>
        </w:trPr>
        <w:tc>
          <w:tcPr>
            <w:tcW w:w="23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345,573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414,525</w:t>
            </w:r>
          </w:p>
        </w:tc>
        <w:tc>
          <w:tcPr>
            <w:tcW w:w="120" w:type="dxa"/>
            <w:vAlign w:val="bottom"/>
            <w:shd w:val="clear" w:color="auto" w:fill="CCEEFF"/>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Loan agreements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84,717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w:t>
            </w:r>
          </w:p>
        </w:tc>
        <w:tc>
          <w:tcPr>
            <w:tcW w:w="120" w:type="dxa"/>
            <w:vAlign w:val="bottom"/>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430,290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422,776</w:t>
            </w:r>
          </w:p>
        </w:tc>
        <w:tc>
          <w:tcPr>
            <w:tcW w:w="120" w:type="dxa"/>
            <w:vAlign w:val="bottom"/>
            <w:shd w:val="clear" w:color="auto" w:fill="CCEEFF"/>
          </w:tcPr>
          <w:p>
            <w:pPr>
              <w:spacing w:after="0"/>
              <w:rPr>
                <w:sz w:val="18"/>
                <w:szCs w:val="18"/>
                <w:color w:val="auto"/>
              </w:rPr>
            </w:pPr>
          </w:p>
        </w:tc>
      </w:tr>
      <w:tr>
        <w:trPr>
          <w:trHeight w:val="223"/>
        </w:trPr>
        <w:tc>
          <w:tcPr>
            <w:tcW w:w="230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207,383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172,911</w:t>
            </w:r>
          </w:p>
        </w:tc>
        <w:tc>
          <w:tcPr>
            <w:tcW w:w="120" w:type="dxa"/>
            <w:vAlign w:val="bottom"/>
          </w:tcPr>
          <w:p>
            <w:pPr>
              <w:spacing w:after="0"/>
              <w:rPr>
                <w:sz w:val="19"/>
                <w:szCs w:val="19"/>
                <w:color w:val="auto"/>
              </w:rPr>
            </w:pPr>
          </w:p>
        </w:tc>
      </w:tr>
      <w:tr>
        <w:trPr>
          <w:trHeight w:val="237"/>
        </w:trPr>
        <w:tc>
          <w:tcPr>
            <w:tcW w:w="230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222,907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249,865</w:t>
            </w:r>
          </w:p>
        </w:tc>
        <w:tc>
          <w:tcPr>
            <w:tcW w:w="120" w:type="dxa"/>
            <w:vAlign w:val="bottom"/>
            <w:shd w:val="clear" w:color="auto" w:fill="CCEEFF"/>
          </w:tcPr>
          <w:p>
            <w:pPr>
              <w:spacing w:after="0"/>
              <w:rPr>
                <w:sz w:val="20"/>
                <w:szCs w:val="20"/>
                <w:color w:val="auto"/>
              </w:rPr>
            </w:pPr>
          </w:p>
        </w:tc>
      </w:tr>
      <w:tr>
        <w:trPr>
          <w:trHeight w:val="20"/>
        </w:trPr>
        <w:tc>
          <w:tcPr>
            <w:tcW w:w="2300" w:type="dxa"/>
            <w:vAlign w:val="bottom"/>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August 2014, the Company financed a portion of the premiums for various insurance policies totaling $103,125, due in nine monthly payments through April 2015 at an interest rate of 5.27%.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 that is required to be measured at fair value as of September 30, 2014 and June 30, 2014:</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64"/>
        </w:trPr>
        <w:tc>
          <w:tcPr>
            <w:tcW w:w="4840" w:type="dxa"/>
            <w:vAlign w:val="bottom"/>
            <w:gridSpan w:val="2"/>
          </w:tcPr>
          <w:p>
            <w:pPr>
              <w:spacing w:after="0"/>
              <w:rPr>
                <w:sz w:val="20"/>
                <w:szCs w:val="20"/>
                <w:color w:val="auto"/>
              </w:rPr>
            </w:pPr>
            <w:r>
              <w:rPr>
                <w:rFonts w:ascii="Arial" w:cs="Arial" w:eastAsia="Arial" w:hAnsi="Arial"/>
                <w:sz w:val="18"/>
                <w:szCs w:val="18"/>
                <w:color w:val="auto"/>
              </w:rPr>
              <w:t>September 30, 2014 (unaudited)</w:t>
            </w:r>
          </w:p>
        </w:tc>
        <w:tc>
          <w:tcPr>
            <w:tcW w:w="1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from September 18, 2011 through September 18, 2016</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275,157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275,157</w:t>
            </w:r>
          </w:p>
        </w:tc>
        <w:tc>
          <w:tcPr>
            <w:tcW w:w="0" w:type="dxa"/>
            <w:vAlign w:val="bottom"/>
          </w:tcPr>
          <w:p>
            <w:pPr>
              <w:spacing w:after="0"/>
              <w:rPr>
                <w:sz w:val="1"/>
                <w:szCs w:val="1"/>
                <w:color w:val="auto"/>
              </w:rPr>
            </w:pPr>
          </w:p>
        </w:tc>
      </w:tr>
      <w:tr>
        <w:trPr>
          <w:trHeight w:val="439"/>
        </w:trPr>
        <w:tc>
          <w:tcPr>
            <w:tcW w:w="4840" w:type="dxa"/>
            <w:vAlign w:val="bottom"/>
            <w:gridSpan w:val="2"/>
          </w:tcPr>
          <w:p>
            <w:pPr>
              <w:spacing w:after="0"/>
              <w:rPr>
                <w:sz w:val="20"/>
                <w:szCs w:val="20"/>
                <w:color w:val="auto"/>
              </w:rPr>
            </w:pPr>
            <w:r>
              <w:rPr>
                <w:rFonts w:ascii="Arial" w:cs="Arial" w:eastAsia="Arial" w:hAnsi="Arial"/>
                <w:sz w:val="18"/>
                <w:szCs w:val="18"/>
                <w:color w:val="auto"/>
              </w:rPr>
              <w:t>June 30, 2014</w:t>
            </w:r>
          </w:p>
        </w:tc>
        <w:tc>
          <w:tcPr>
            <w:tcW w:w="1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from September 18, 2011 through September 18, 2016</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585,209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and June 30, 2014, the Company held no Level 1 or Level 2 financial instruments.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2014 and June 30, 2014, the fair values of the Company’s Level 3 financial instrument totaled $275,157 and $585,209, respectively. The Level 3 financial instrument consists of common stock warrants issued by the Company in March 2011,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There were no transfers of assets or liabilities between level 1, level 2, or level 3 during the quarters ended September 30, 2014 and 2013.</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three months ended September 30, 2014 and 2013:</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8"/>
                <w:szCs w:val="18"/>
                <w:color w:val="auto"/>
              </w:rPr>
              <w:t>Three months ended</w:t>
            </w: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5"/>
          </w:tcPr>
          <w:p>
            <w:pPr>
              <w:jc w:val="right"/>
              <w:ind w:right="840"/>
              <w:spacing w:after="0"/>
              <w:rPr>
                <w:sz w:val="20"/>
                <w:szCs w:val="20"/>
                <w:color w:val="auto"/>
              </w:rPr>
            </w:pPr>
            <w:r>
              <w:rPr>
                <w:rFonts w:ascii="Arial" w:cs="Arial" w:eastAsia="Arial" w:hAnsi="Arial"/>
                <w:sz w:val="18"/>
                <w:szCs w:val="18"/>
                <w:color w:val="auto"/>
              </w:rPr>
              <w:t>September 30,</w:t>
            </w: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(650,638)</w:t>
            </w: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Gain due to change in fair value of warrant liabilities, net</w:t>
            </w:r>
          </w:p>
        </w:tc>
        <w:tc>
          <w:tcPr>
            <w:tcW w:w="1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310,052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219,097</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(275,157)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(431,541)</w:t>
            </w: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significant deferred tax assets, a substantial amount of which result from operating loss carryforwards. In periods prior to the quarter ended March 31, 2014, the Company had determined that it was more likely than not that the benefit of its deferred tax assets would not be realized and recorded a full valuation allowance against such assets. As of March 31, 2014 the Company determined that it was more likely than not that it would realize a substantial portion of its deferred tax assets and reduced its valuation allowance accordingly.</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2014, an income tax benefit of $360,473 was recorded based upon a loss before income tax benefit using an estimated annual effective income tax rate of 56% for the fiscal year ending June 30,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provision for income taxes of $6,911 (all income deferred taxes) was recorded for the three months ended September 30, 2013. This provision for income taxes was not a function of nor related to income before income taxes because the Company had significant operating loss carryforwards available to negate any taxable income that would create current liabilities for income taxes. The provision for income taxes related to the amortization of indefinite life intangible assets and goodwill that were being amortized for income tax purposes but not for financial reporting purposes giving rise to a basis difference in such assets between financial and income tax reporting. The resulting deferred tax liabilities related to the amortization of indefinite life assets were not subject to offset against deferred tax assets with finite lives.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COMMON STOCK OPTIONS AND WARRANTS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2011 Stock Incentive Plan, the Company recorded stock compensation expense of $604 and 10,002 shares of Common stock vested during the three months ended September 30, 2014, related to shares granted to Directors of the Company in July 2012.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2012 Stock Incentive Plan, the Company recorded stock compensation expense of $9,273 and 57,682 shares of Common stock vested during the three months ended September 30, 2014. All of the expense and 2,500 of the shares vested related to a grant in 2014 to a non-executive employee. Additionally, 23,698 and 31,484 of the shares vested related to payment to Directors for services on the Board of Directors in the fourth quarter of fiscal 2014 and to certain non-executive employees for fiscal 2014 performance, respectively.</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2013 Stock Incentive Plan, the Company recorded stock compensation expense of $76,681 and 55,337 shares of Common stock vested during the three months ended September 30, 2014. These amounts include expenses and issuances to Directors and non-executive employees, as well as expenses and issuances to the Company’s executives under the 2014 and expenses under the 2015 Long Term Stock Incentive Plans (“LTI Stock Plans”). Stock compensation expense of $36,251 related to the vesting of shares for Directors in lieu of cash payment for services on the Board of Directors during the quarter. No expense and 36,734 of the shares issued related to certain non-executive employees for fiscal 2014 performance. Stock compensation expense of $8,587 and $31,843 and 18,603 and 0 shares of Common Stock related to the vesting of shares to the Company’s executives under the 2014 and 2015 LTI Stock Plan, respectively, as more fully described below.</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September 30, 2014, the Company recorded stock compensation expense of $8,587 for shares vesting June 30, 2015 and 2016 and issued 18,603 shares of Common Stock for shares vested on June 30, 2014 on account of the 2014 LTI Stock Plan under the 2013 Stock Incentive Plan.</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28, 2014, the Board of Directors approved the 2015 LTI Stock Plan covering Stephen P. Herbert, Chairman and Chief Executive Officer, and David M. DeMedio, Chief Financial Officer. The 2015 LTI Stock Plan provides that each executive officer would be awarded shares of common stock of the Company in the event that certain metrics relating to the Company’s 2015 fiscal year would result in specified ranges of year-over-year percentage growth. The metrics are total number of connections as of June 30, 2015 as compared to total number of connections as of June 30, 2014 and adjusted EBITDA earned during the 2015 fiscal year as compared to adjusted EBITDA earned during the 2014 fiscal year.</w:t>
      </w:r>
    </w:p>
    <w:p>
      <w:pPr>
        <w:spacing w:after="0" w:line="20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none of the minimum threshold year-over-year percentage target goals are achieved, the executive officers would not be awarded any shares. If all of the year-over-year percentage target goals are achieved, the executive officers would be awarded shares having the following value: Stephen P. Herbert – $341,227 (100% of base salary); and David M. DeMedio – $178,406 (75% of base salary). If all of the maximum distinguished year-over-year percentage target goals are achieved, the executive officers would be awarded shares having the following value: Mr. Herbert – $682,454 (200% of base salary); and Mr. DeMedio – $356,812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 shares awarded under the 2015 LTI Stock Plan would vest as follows: one-third at the time of issuance (June 30, 2015); one-third on the first anniversary of issuance; and one-third on the second anniversary of issuance. The Company recorded stock compensation expense of $31,843 during the three months ended September 30, 2014 on account of the 2015 LTI Stock Plan.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COMMON STOCK OPTIONS AND WARRANTS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September 30, 2013, the Company recorded stock compensation expense of $84,392 and 62,683 shares of Common Stock were issued; $8,907 for grants to the executive officers in September 2011; $19,739 for officers of the Company under the 2014 Stock Incentive Plan; $752 and $3,021 of expenses related to vesting of shares granted to Directors of the Company in March 2012 and July 2012, respectively; $57,500 for shares issued to Company Directors for fees in lieu of cash payment; offset by a reversal of $5,527 for grants to certain non-executive employees in October 2012 due to certain performance targets not being met.</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September 30, 2013, an executive officer exercised his right to cancel shares of common stock awarded to him under his prior employment agreement and the Special Equity Plan granted in September 2012 for the payment of payroll taxes. In total, 7,379 shares of the Company’s Common Stock were cancelled to satisfy $13,946 of related payroll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OPTIONS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28, 2014, the Board of Directors awarded options to purchase common stock under the Company’s 2014 Stock Option Incentive Plan to each of Messrs. Herbert and DeMedio.</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Herbert was awarded incentive stock options intended to qualify under Section 422 of the Internal Revenue Code of 1986, as amended (the “Code), to purchase up to 55,555 shares at an exercise price of $1.80 per share. The options vest on September 1, 2015, and expire if not exercised prior to September 1, 2021. Mr. Herbert was also awarded non-qualified stock options to purchase up to 150,000 shares at an exercise price of $1.80 per share. The options vest as follows: one-third on September 1, 2015; one-third on September 1, 2016; and one-third on September 1, 2017. The options expire if not exercised prior to September 1, 2021.</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DeMedio was awarded incentive stock options intended to qualify under Section 422 of the Code to purchase up to 33,333 shares at an exercise price of $1.80 per share. The options vest on September 1, 2015, and expire if not exercised prior to September 1, 2021. Mr. DeMedio was also awarded non-qualified stock options to purchase up to 90,000 shares at an exercise price of $1.80 per share. The options vest as follows: one-third on September 1, 2015; one-third on September 1, 2016; and one-third on September 1, 2017. The options expire if not exercised prior to September 1, 2021.</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fair value of options granted during the three months ended September 30, 2014 was $1.27. There were no options granted during the three months ended September 30, 2013. The fair value of options granted during the fiscal quarter ended September 30, 2014 was estimated at the grant date using the following weighted average assumptions:</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40" w:type="dxa"/>
            <w:vAlign w:val="bottom"/>
          </w:tcPr>
          <w:p>
            <w:pPr>
              <w:jc w:val="right"/>
              <w:ind w:right="310"/>
              <w:spacing w:after="0"/>
              <w:rPr>
                <w:sz w:val="20"/>
                <w:szCs w:val="20"/>
                <w:color w:val="auto"/>
              </w:rPr>
            </w:pPr>
            <w:r>
              <w:rPr>
                <w:rFonts w:ascii="Arial" w:cs="Arial" w:eastAsia="Arial" w:hAnsi="Arial"/>
                <w:sz w:val="18"/>
                <w:szCs w:val="18"/>
                <w:color w:val="auto"/>
                <w:w w:val="97"/>
              </w:rPr>
              <w:t>Three months ended</w:t>
            </w: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September 30, 2014</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life</w:t>
            </w:r>
          </w:p>
        </w:tc>
        <w:tc>
          <w:tcPr>
            <w:tcW w:w="204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right"/>
              <w:spacing w:after="0"/>
              <w:rPr>
                <w:sz w:val="20"/>
                <w:szCs w:val="20"/>
                <w:color w:val="auto"/>
              </w:rPr>
            </w:pPr>
            <w:r>
              <w:rPr>
                <w:rFonts w:ascii="Arial" w:cs="Arial" w:eastAsia="Arial" w:hAnsi="Arial"/>
                <w:sz w:val="18"/>
                <w:szCs w:val="18"/>
                <w:color w:val="auto"/>
              </w:rPr>
              <w:t>2.04%</w:t>
            </w: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September 30, 2014, the Company recorded compensation expense of $24,930 related to the stock options granted to the executive officers of the company in August 2014 under the 2014 Stock Option Incentive Plan.</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months ended September 30, 2014, the Company recorded compensation expense of $27,316 for stock options granted in the fiscal year ended June 30, 2014 to its non-employee Directors under the 2014 Stock Option Incentive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 COMMON STOCK OPTIONS AND WARRANTS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WARRANTS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warrants were issued, exercised or expired during the three months ended September 30, 2014. Warrants were exercised during the three months ended September 30, 2013, resulting in the issuance of 118,141 shares of Common Stock at $1.13 per share. On September 14, 2013 warrants to purchase 903,955 shares of Common Stock, exercisable at $5.90 per share, expired unexercised.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2014, the Company and Varilease Finance, Inc. (“Varilease”), entered into six Sale Leaseback Agreements (the “Sale Leaseback Agreements” or a “Sale Leaseback Agreement”) pursuant to which Varilease purchased ePort equipment owned by the Company and used by the Company in its JumpStart program. As of June 30, 2014, Varilease completed the purchase from the Company, the ePort equipment under the first two of the Sale Leaseback Agreements as described in our Annual Report on Form 10-K for the year ended June 30, 2014.</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quarter ended September 30, 2014, Varilease completed the purchase from the Company of the ePort equipment described in the last four of the Sale Leaseback Agreements.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Upon the completion of the sale under these agreements, the Company computed a gain on the sale of its ePort equipment, which is deferred and will be amortized in proportion to the related gross rental charged to expense over the lease terms in accordance with the FASB topic ASC 840-40, “Sale Leaseback Transactions”. The computed gain on the sale will be recognized ratably over the 36-month term and charged as a reduction to the Company’s JumpStart rent expense included in costs of services in the Company’s consolidated statement of operations. The Company is accounting for the Sale Leaseback as an operating lease and is obligated to pay to Varilease a base monthly rental for this equipment during the 36-month lease term.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Upon the completion of the sale, the Company computed a gain on the sale of its ePort equipment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1"/>
              </w:rPr>
              <w:t>June 30, 2014</w:t>
            </w:r>
          </w:p>
        </w:tc>
        <w:tc>
          <w:tcPr>
            <w:tcW w:w="2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color w:val="auto"/>
                <w:w w:val="95"/>
              </w:rPr>
              <w:t>September 30, 2014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Rental equipment sold, cost</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1,918,920</w:t>
            </w: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3,873,275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Rental equipment sold, accumulated depreciation upon sale</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(76,032)</w:t>
            </w:r>
          </w:p>
        </w:tc>
        <w:tc>
          <w:tcPr>
            <w:tcW w:w="4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(331,069)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(407,101)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Rental equipment sold, net book value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1,842,888</w:t>
            </w:r>
          </w:p>
        </w:tc>
        <w:tc>
          <w:tcPr>
            <w:tcW w:w="2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3,542,206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Proceeds from sale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2,995,095</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4,993,879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7,988,974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rental equipment</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1,152,207</w:t>
            </w:r>
          </w:p>
        </w:tc>
        <w:tc>
          <w:tcPr>
            <w:tcW w:w="200" w:type="dxa"/>
            <w:vAlign w:val="bottom"/>
            <w:tcBorders>
              <w:right w:val="single" w:sz="8" w:color="CCEEFF"/>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1,451,673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deferred gain for the three months ended September 30, 2014 from the sale-leaseback transactions: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700" w:type="dxa"/>
            <w:vAlign w:val="bottom"/>
            <w:gridSpan w:val="4"/>
          </w:tcPr>
          <w:p>
            <w:pPr>
              <w:ind w:left="2860"/>
              <w:spacing w:after="0"/>
              <w:rPr>
                <w:sz w:val="20"/>
                <w:szCs w:val="20"/>
                <w:color w:val="auto"/>
              </w:rPr>
            </w:pPr>
            <w:r>
              <w:rPr>
                <w:rFonts w:ascii="Arial" w:cs="Arial" w:eastAsia="Arial" w:hAnsi="Arial"/>
                <w:sz w:val="18"/>
                <w:szCs w:val="18"/>
                <w:color w:val="auto"/>
              </w:rPr>
              <w:t>Three months 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September 30, 2014</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June 30, 2014</w:t>
            </w:r>
          </w:p>
        </w:tc>
        <w:tc>
          <w:tcPr>
            <w:tcW w:w="298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1,142,685</w:t>
            </w:r>
          </w:p>
        </w:tc>
        <w:tc>
          <w:tcPr>
            <w:tcW w:w="12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Gain on sale of rental equipment</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1,451,673</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deferred gain</w:t>
            </w: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(188,327)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Ending balance, September 30, 2014</w:t>
            </w: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2,406,031</w:t>
            </w:r>
          </w:p>
        </w:tc>
        <w:tc>
          <w:tcPr>
            <w:tcW w:w="120" w:type="dxa"/>
            <w:vAlign w:val="bottom"/>
            <w:tcBorders>
              <w:top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860,390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portion of deferred gain</w:t>
            </w: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1,545,641</w:t>
            </w:r>
          </w:p>
        </w:tc>
        <w:tc>
          <w:tcPr>
            <w:tcW w:w="120" w:type="dxa"/>
            <w:vAlign w:val="bottom"/>
            <w:tcBorders>
              <w:top w:val="single" w:sz="8" w:color="CCEEFF"/>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60" w:type="dxa"/>
            <w:vAlign w:val="bottom"/>
            <w:vMerge w:val="restart"/>
          </w:tcPr>
          <w:p>
            <w:pPr>
              <w:jc w:val="right"/>
              <w:ind w:right="197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1720" w:type="dxa"/>
            <w:vAlign w:val="bottom"/>
            <w:tcBorders>
              <w:bottom w:val="single" w:sz="8" w:color="DCDCDC"/>
            </w:tcBorders>
          </w:tcPr>
          <w:p>
            <w:pPr>
              <w:spacing w:after="0"/>
              <w:rPr>
                <w:sz w:val="24"/>
                <w:szCs w:val="24"/>
                <w:color w:val="auto"/>
              </w:rPr>
            </w:pPr>
          </w:p>
        </w:tc>
        <w:tc>
          <w:tcPr>
            <w:tcW w:w="3280" w:type="dxa"/>
            <w:vAlign w:val="bottom"/>
            <w:tcBorders>
              <w:bottom w:val="single" w:sz="8" w:color="DCDCDC"/>
            </w:tcBorders>
          </w:tcPr>
          <w:p>
            <w:pPr>
              <w:spacing w:after="0"/>
              <w:rPr>
                <w:sz w:val="24"/>
                <w:szCs w:val="24"/>
                <w:color w:val="auto"/>
              </w:rPr>
            </w:pPr>
          </w:p>
        </w:tc>
        <w:tc>
          <w:tcPr>
            <w:tcW w:w="286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obligated to pay Varilease a base monthly rental of approximately $220,000 for this equipment during the 36-month lease term. Future minimum lease payments subsequent to September 30, 2014 are as follows: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Operating Leases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from Sale Leaseback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2015 (remaining nine months)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2,641,155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137,731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7,400,908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STI PLAN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28, 2014, the Board of Directors approved the Fiscal Year 2015 Short-Term Incentive Plan (the “2015 STI Plan”) covering Stephen P. Herbert, Chairman and Chief Executive Officer, and David M. DeMedio, Chief Financial Officer.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2015 STI Plan provides that each executive officer would earn a cash bonus in the event that the Company achieved during the 2015 fiscal year certain annual financial goals and certain annual specific performance goals relating to the executive officer which are to be established by the Compensation Committee.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none of the minimum threshold target goals are achieved, the executive officers would not earn a cash bonus. If all of the target goals are achieved, the executive officers would earn a cash bonus as follows: Mr. Herbert – $136,500 (40% of base salary); and Mr. DeMedio – $59,469 (25% of base salary). If all of the maximum distinguished target goals are achieved, the executive officers would earn a cash bonus as follows: Mr. Herbert – $273,000 (80% of base salary); and Mr. DeMedio – $118,938 (50% of base salary). Assuming the minimum threshold target goal would be achieved for a particular metric, the amount of the cash bonus to be earned would be determined on a pro rata basis, provided that the bonus would not exceed the maximum distinguished award for that metric.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2014, the Company recorded expense of $26,461 and a corresponding liability for the 2015 STI Plan.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From time to time, the Company is involved in various legal proceedings arising during the normal course of business which, in the opinion of the management of the Company, will not have a material adverse effect on the Company’s financial position and results of operations or cash flows.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2014, the Company has accrued approximately $690,000 representing estimated obligations of the Company in connection with a customer billing dispute and is included in Accounts Payable in the Consolidated Balance Sheets. Approximately $280,000 of this amount was recorded in fiscal 2014 and $410,000 of this amount was recorded in the three months ended September 30, 2014 and is reflected in Cost of Services 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October 2014, the Company paid a portion of its outstanding balance on its Line of Credit in the amount of $2,500,000 with cash and cash equivalents on hand as of September 30, 2014. The balance outstanding, as of the date of filing, was $2,500,000, and $4,500,000 was available under the Line of Credit.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October 2014, the Company entered into a capital lease for network equipment totaling $114,377 due in twelve quarterly installments of $10,421 through August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the Company’s current or future customers purchase, lease, rent or utilize ePort devices or our other products in the future at levels currently anticipated by our Company, including appropriate diversification resulting from sources other than our JumpStart Program;</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are derived;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and prepaid programs;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to the three months ended September 30, 2013</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quarter ended September 30, 2014 continued to demonstrate growth in the Company’s revenues and connections to its service as compared to the quarter ended September 30, 2013. Highlights of year over year improvements include:</w:t>
      </w:r>
    </w:p>
    <w:p>
      <w:pPr>
        <w:spacing w:after="0" w:line="19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Recurring license and transaction fee revenue up 19% to $10.2 million;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connections to its ePort Connect service base as of September 30, 2014 up 27% as compared to September 30, 2013.</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quarter ended September 30, 2014 were $12,252,602, consisting of $10,156,222 of license and transaction fees and $2,096,380 of equipment sales, compared to $10,123,058 for the quarter ended September 30, 2013, consisting of $8,507,044 of license and transaction fees and $1,616,014 of equipment sales. The increase in total revenue of $2,129,544, or 21%, was primarily due to an increase in license and transaction fees of $1,649,178, or 19%, and an increase in equipment sales of $480,366 or 30%, from the same period in the prior fiscal year.</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license and transaction fees, which represented 83% and 84% of total revenue for the quarters ended September 30, 2014 and 2013, respectively, is primarily attributable to monthly ePort Connect® service fees and transaction processing fees. Highlights for the quarter ended September 30, 2014 include:</w:t>
      </w:r>
    </w:p>
    <w:p>
      <w:pPr>
        <w:spacing w:after="0" w:line="208" w:lineRule="exact"/>
        <w:rPr>
          <w:sz w:val="20"/>
          <w:szCs w:val="20"/>
          <w:color w:val="auto"/>
        </w:rPr>
      </w:pPr>
    </w:p>
    <w:p>
      <w:pPr>
        <w:ind w:left="1060" w:hanging="485"/>
        <w:spacing w:after="0" w:line="25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Adding 10,000 net connections to our service, consisting of 13,000 new connections to our ePort Connect service in the quarter, offset by 3,000 deactivations, compared to 3,000 net connections added in the same quarter of fiscal 2013;</w:t>
      </w:r>
    </w:p>
    <w:p>
      <w:pPr>
        <w:spacing w:after="0" w:line="1" w:lineRule="exact"/>
        <w:rPr>
          <w:rFonts w:ascii="Arial" w:cs="Arial" w:eastAsia="Arial" w:hAnsi="Arial"/>
          <w:sz w:val="18"/>
          <w:szCs w:val="18"/>
          <w:color w:val="auto"/>
        </w:rPr>
      </w:pPr>
    </w:p>
    <w:p>
      <w:pPr>
        <w:ind w:left="1060" w:hanging="485"/>
        <w:spacing w:after="0" w:line="265"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September 30, 2014, the Company had approximately 276,000 connections to the ePort Connect service compared to approximately 217,000 connections to the ePort Connect service as of September 30, 2013, an increase of 59,000 connections, or 27%;</w:t>
      </w:r>
    </w:p>
    <w:p>
      <w:pPr>
        <w:ind w:left="1060" w:hanging="485"/>
        <w:spacing w:after="0" w:line="250"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for the quarter ended September 30, 2014 of 26% and 31%, respectively, compared to the same period a year ago; and</w:t>
      </w:r>
    </w:p>
    <w:p>
      <w:pPr>
        <w:ind w:left="1060" w:hanging="485"/>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ePort Connect customer base grew 41% from September 30, 2013.</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license and transaction fees was due to the growth in ePort Connect service fees and transaction dollars that stems from the increased number of connections to our ePort Connect service. As of September 30, 2014, the Company had approximately 276,000 connections to the ePort Connect service as compared to approximately 217,000 connections to the ePort Connect service as of September 30, 2013. During the quarter ended September 30, 2014, the Company added approximately 10,000 net connections to its network compared to approximately 3,000 net connections added during the quarter ended September 30, 2013.</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its agreements with customers, in addition to ePort Connect service fees, the Company earns transaction processing fees equal to a percentage of the dollar volume processed by the Company. During the quarter ended September 30, 2014, the Company processed approximately 48.7 million transactions totaling approximately $89.2 million compared to approximately 38.6 million transactions totaling approximately $67.9 million during the quarter ended September 30, 2013, an increase of approximately 26% in the number of transactions and approximately 31% in the value of transactions processed.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New customers added to our ePort® Connect service during the quarter ended September 30, 2014 totaled 600, bringing the total number of customers to approximately 7,900 as of September 30, 2014. The Company added approximately 550 new customers in the quarter ended September 30, 2013. By comparison, the Company had approximately 5,600 customers as of September 30, 2013, representing 2,300 customers added, or a 41% increase during the past twelve months. The Company views the total installed base of machines managed by its customers that have yet to transition to cashless payment, as a key strategic opportunity for future growth in connections. We count a customer as a new customer upon the signing of their ePort Connect service agreement. When a reseller sells our ePort, we count a customer as a new customer upon the signing of the applicable services agreement with the customer.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$480,366 increase in equipment revenue was a result of an increase of approximately $619,000 in sales of ePort® products, offset by a decrease of approximately $146,000 in sales of Energy Misers. The $619,000 increase in ePort products was directly attributable to selling more units during the period due to the reintroduction of the Company’s QuickStart Program in September 2014. The QuickStart program qualifies for sales-type lease accounting where equipment revenue and a corresponding finance receivable is recognized upon shipment.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consisted of license and transaction fee related costs of $7,251,107 and $5,409,463 and equipment costs of $1,866,257 and $1,130,824 for the quarters ended September 30, 2014 and 2013, respectively. The increase in total cost of sales of $2,577,077, or 39%, was primarily due to an increase in cost of services of $1,841,644 that stemmed from the greater number of connections to the Company’s ePort Connect service, increases in transaction dollars processed by those connections and a charge as an estimate to settle a customer billing dispute. In addition, the increase in cost of equipment sales of $735,433 was primarily due to selling more ePort devices.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9" w:name="page20"/>
    <w:bookmarkEnd w:id="19"/>
    <w:p>
      <w:pPr>
        <w:jc w:val="both"/>
        <w:spacing w:after="0" w:line="269" w:lineRule="auto"/>
        <w:rPr>
          <w:sz w:val="20"/>
          <w:szCs w:val="20"/>
          <w:color w:val="auto"/>
        </w:rPr>
      </w:pPr>
      <w:r>
        <w:rPr>
          <w:rFonts w:ascii="Arial" w:cs="Arial" w:eastAsia="Arial" w:hAnsi="Arial"/>
          <w:sz w:val="17"/>
          <w:szCs w:val="17"/>
          <w:color w:val="auto"/>
        </w:rPr>
        <w:t>Gross profit (“GP”) for the quarter ended September 30, 2014 was $3,135,238 compared to GP of $3,582,771 from the same quarter in the prior fiscal year, a decrease of $447,533, or 12%, of which $192,466 is attributable to license and transaction fees GP, and $255,067 of which is attributable to equipment sales GP. Overall gross profit margins decreased from 35% to 26% due to a decrease in license and transaction fee margins to 29%, from 36% in the prior corresponding fiscal quarter, and by a decrease in equipment sales margins to 11% from 30% in the prior corresponding fiscal quarter. License and transaction fees margins decreased due to $410,000 recognized in cost of services as an estimate to resolve a customer billing dispute, the impact of certain JumpStart connections added during the 2014 fiscal year with fee grace periods under sales incentives, as well as approximately $380,000 of quarterly net rent expense related to the Sale Leaseback transactions, which is approximately $90,000 higher than the quarterly depreciation the Company would have recorded on the ePorts, had the Sale Leaseback transactions not occurred. Also contributing to the decrease of license and transaction fee margins was the accrual of approximately $410,000 as an estimate in connection with a customer billing dispute as more fully described in Note 9. The decrease in equipment revenue margins is attributable to sales incentives offered with the reintroduction of our QuickStart Program in the quarter as well as having approximately $100,000 less in activation fees, which are a higher margin revenue source.</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Selling, general and administrative (“SG&amp;A”) expenses of $3,632,487 for the quarter ended September 30, 2014, increased by $337,143, or 10%, from the same quarter in the prior fiscal year; approximately $168,000, or 50% of the increase, were non-cash expenses. The overall increase in SG&amp;A is attributable to increases of approximately $164,000 in employee compensation and benefits expenses, $132,000 in bad debt expense, and $46,000 in travel related expense predominately as a result of increased sales and marketing related efforts, offset by a net decrease of $5,000 for various other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and expense for the quarter ended September 30, 2014, primarily consisted of $310,052 of non-cash gain for the change in the fair value of the Company’s warrant liabilities. The primary factor affecting the change in fair value is the decrease in the Black-Scholes value of the warrants from June 30, 2014 to September 30, 2014, which factored in the decrease in the Company’s stock price during that period.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quarter ended September 30, 2014 resulted in a net loss of $60,956 compared to net income of $293,654 for the quarter ended September 30, 2013. After preferred dividends of $332,226 for each fiscal quarter, net loss applicable to common shareholders was $393,182 and $38,572 for the quarters ended September 30, 2014 and 2013, respectively. For the quarter ended September 30, 2014, net loss per common share, basic and diluted, was $0.01, compared to net loss per common share, basic and diluted, of $0.00, for the prior corresponding fiscal quarter.</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Non-GAAP net loss for the quarter ended September 30, 2014 was $371,008, compared to non-GAAP net income of $74,557 for the quarter ended September 30, 2013. Non-GAAP net loss per common share, basic and diluted, was $0.02 and $0.01 for the quarters ended September 30, 2014 and 2013, respectively. Management believes that non-GAAP net income (loss) and non-GAAP net loss per common share are important measures of USAT’s business. Management uses the aforementioned non-GAAP measures to monitor and evaluate ongoing operating results and trends and to gain an understanding of our comparative operating performance. We believe that these non-GAAP financial measures serve as useful metrics for our management and investors because they enable a better understanding of the long-term performance of our business and facilitate comparisons of our operating results over multiple periods, and when taken together with the corresponding GAAP (United States’ Generally Accepted Accounting Principles) financial measures and our reconciliations, enhance investors’ overall understanding of our current financial performance.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GAAP net income (loss) to Non-GAAP net income (loss) for the quarters ended September 30, 2014 and 2013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(60,956)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293,654</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Non-GAAP adjustments: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adjustment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(310,052)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(371,008)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(60,956)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293,654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(371,008)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74,557</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Cumulative preferred dividends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(332,226)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(332,226)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loss applicable to common shares</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(393,182)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(38,572)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Non-GAAP net loss applicable to common shares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(703,234)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(257,669)</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0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Non-GAAP net loss per common share (basic and diluted)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7"/>
              </w:rPr>
              <w:t>Weighted average number of common shares outstanding (basic and diluted)</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35,586,455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33,324,295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7180" w:type="dxa"/>
            <w:vAlign w:val="bottom"/>
            <w:tcBorders>
              <w:bottom w:val="single" w:sz="8" w:color="DCDCDC"/>
            </w:tcBorders>
            <w:gridSpan w:val="2"/>
          </w:tcPr>
          <w:p>
            <w:pPr>
              <w:jc w:val="right"/>
              <w:ind w:right="1290"/>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As used herein, non-GAAP net income (loss) represents GAAP net income (loss) excluding costs or benefits relating to any adjustment for fair value of warrant liabilities. As used herein, non-GAAP net loss per common share is calculated by dividing non-GAAP net income (loss) applicable to common shares by the weighted average number of shares outstanding.</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quarter ended September 30, 2014, the Company had Adjusted EBITDA of $945,564, compared to $1,453,334 for the quarter ended September 30, 2013. Reconciliation of GAAP net income (loss) to Adjusted EBITDA for the quarters ended September 30, 2014 and 2013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(60,956)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293,654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74,911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(360,473)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1,473,412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Plus change in fair value of warrant liabilities</w:t>
            </w:r>
          </w:p>
        </w:tc>
        <w:tc>
          <w:tcPr>
            <w:tcW w:w="2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(310,052)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Plus stock-based compensation</w:t>
            </w:r>
          </w:p>
        </w:tc>
        <w:tc>
          <w:tcPr>
            <w:tcW w:w="2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138,804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945,564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three-month period ended September 30, 2014, net cash used by operating activities was $1,404,761 as a result of a net loss of $60,956 and net cash used in the change in operating assets and liabilities of $2,252,601, offset by net non-cash charges of $908,796. Of the $908,796 of net non-cash items, the most significant during the three-month period were charges related to depreciation of assets, bad debt expense, and the vesting and issuance of common stock and options for employee and director compensation, offset by the benefit for income taxes, the decrease in the fair value of warrant liabilities and the benefit related to the recognition of deferred gain from sale-leaseback transactions. The cash used in the $2,252,601 change in the Company’s operating assets and liabilities was primarily the result of increases in inventory and finance receivables and decreases in accounts payable and accrued expenses. The increase in finance receivables was directly related to the reintroduction of the QuickStart Program in September 2014.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1" w:name="page22"/>
    <w:bookmarkEnd w:id="21"/>
    <w:p>
      <w:pPr>
        <w:jc w:val="both"/>
        <w:spacing w:after="0" w:line="297" w:lineRule="auto"/>
        <w:rPr>
          <w:sz w:val="20"/>
          <w:szCs w:val="20"/>
          <w:color w:val="auto"/>
        </w:rPr>
      </w:pPr>
      <w:r>
        <w:rPr>
          <w:rFonts w:ascii="Arial" w:cs="Arial" w:eastAsia="Arial" w:hAnsi="Arial"/>
          <w:sz w:val="16"/>
          <w:szCs w:val="16"/>
          <w:color w:val="auto"/>
        </w:rPr>
        <w:t>During the three-month period ended September 30, 2014, the cash provided by investing activities was $3,344,130, of which $4,993,879 related to the proceeds from the sale of rental equipment under the Sale Leaseback transactions, offset by $1,641,993 for the purchase of equipment for the JumpStart Program, including approximately $961,000 for the change in JumpStart equipment on hand at September 30, 2014 when compared to June 30, 2014. Approximately 20% of gross new connections added during the three months ended September 30, 2014 were from our JumpStart program, which was lower than anticipated due to increased connections added through our QuickStart Program which constituted 35% of gross connections added during the quarter.</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September 30, 2014, the Company used cash of $95,611 through financing activities, which was for the repayment of debt.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experienced losses from inception through June 30, 2012, with net income for the years ended June 30, 2013 and 2014. Our accumulated deficit through September 30, 2014 is composed of cumulative losses amounting to approximately $170,840,000, preferred dividends converted to common stock of approximately $2,690,000, and charges incurred for the open-market purchases of preferred stock of approximately $150,000.</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Adjusted EBITDA for the three-month period ended September 30, 2014 was $945,564. The Company reports Adjusted EBITDA to reflect the liquidity of operations and a measure of operational cash flow. Adjusted EBITDA excludes significant non-cash charges such as income tax, depreciation, fair value warrant liability changes, and stock and equity-based compensation from net income. We believe that, provided there are no unusual or unanticipated material non-operational expenses, achieving positive Adjusted EBITDA is sustainable, and will increase, as our connection base increases.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anticipates using the JumpStart and QuickStart Programs for approximately 60% to 65% of its anticipated gross connections for the remainder of the fiscal year. Cash used for the JumpStart and QuickStart Programs is classified as investing and operating activities on the Company’s Consolidated Statements of Cash Flows, respectively. Accordingly, depending upon the composition of connections added under each of the JumpStart and QuickStart Programs, the Company may generate positive cash flow from operations during the remainder of the 2015 fiscal year. The Company has efforts under way in sales, marketing, development and partnering efforts to secure connections from sources other than JumpStart and QuickStart, such as QuickConnect Web service, ePort Mobile, and direct sales of its ePort hardware device. We are also currently in discussions with third parties regarding financing options for the QuickStart program. If successful, this would allow us to reduce, and perhaps even eliminate, the use of the Company’s cash flows from operations for the QuickStart program.</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two sources of cash available to fund and grow the business as of September 30, 2014: (1) cash and cash equivalents on hand of approximately $10.9 million; and (2) $2 million available on the line of credit with Avidbank, provided we continue to satisfy the various covenants set forth in the loan agreement. In addition, the Company believes the capital markets, debt and equity, would be available to provide additional sources of cash, if required.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Therefore, the Company believes its existing cash and cash equivalents and available cash resources as of September 30, 2014, would provide sufficient funds through at least July 1, 2015 in order to meet its cash requirements, including payment of its accrued expenses and payables, any cash resources to be utilized for the JumpStart Program, QuickStart Program, other anticipated capital expenditures, and the repayment of long-term debt.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significant changes to our market risk since June 30, 2014. For a discussion of our exposure to market risk, refer to Part II, Item 7A.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contained in our Annual Report on Form 10-K for the year ended June 30,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September 30, 2014.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September 30, 2014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There were no defaults on any senior securities. However, on August 1, 2014 an additional $332,226 of dividends were accrued on our cumulative Series A Convertible Preferred Stock. The total accrued and unpaid dividends on our Series A Convertible Preferred Stock as of September 30, 2014 are $12,593,002. The dividend accrual dates for our Preferred Stock are February 1 and August 1. The annual cumulative dividend on our Preferred Stock is $1.50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105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500" w:type="dxa"/>
            <w:vAlign w:val="bottom"/>
          </w:tcPr>
          <w:p>
            <w:pPr>
              <w:ind w:left="340"/>
              <w:spacing w:after="0"/>
              <w:rPr>
                <w:sz w:val="20"/>
                <w:szCs w:val="20"/>
                <w:color w:val="auto"/>
              </w:rPr>
            </w:pPr>
            <w:r>
              <w:rPr>
                <w:rFonts w:ascii="Arial" w:cs="Arial" w:eastAsia="Arial" w:hAnsi="Arial"/>
                <w:sz w:val="18"/>
                <w:szCs w:val="18"/>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Ninth Amendment to Loan and Security Agreement dated as of September 30, 2014, between the Company and Avidbank Corporate</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Finance, a division of Avidbank</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340"/>
              <w:spacing w:after="0"/>
              <w:rPr>
                <w:sz w:val="20"/>
                <w:szCs w:val="20"/>
                <w:color w:val="auto"/>
              </w:rPr>
            </w:pPr>
            <w:r>
              <w:rPr>
                <w:rFonts w:ascii="Arial" w:cs="Arial" w:eastAsia="Arial" w:hAnsi="Arial"/>
                <w:sz w:val="18"/>
                <w:szCs w:val="18"/>
                <w:color w:val="auto"/>
              </w:rPr>
              <w:t>Certifications of Chief Executive Officer pursuant to Rule 13a-14(a) under the Securities Exchange Act of 1934.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340"/>
              <w:spacing w:after="0"/>
              <w:rPr>
                <w:sz w:val="20"/>
                <w:szCs w:val="20"/>
                <w:color w:val="auto"/>
              </w:rPr>
            </w:pPr>
            <w:r>
              <w:rPr>
                <w:rFonts w:ascii="Arial" w:cs="Arial" w:eastAsia="Arial" w:hAnsi="Arial"/>
                <w:sz w:val="18"/>
                <w:szCs w:val="18"/>
                <w:color w:val="auto"/>
              </w:rPr>
              <w:t>Certifications of Chief Financial Officer pursuant to Rule 13a-14(a) under the Securities Exchange Act of 1934.</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340"/>
              <w:spacing w:after="0"/>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w:t>
            </w:r>
          </w:p>
        </w:tc>
      </w:tr>
      <w:tr>
        <w:trPr>
          <w:trHeight w:val="230"/>
        </w:trPr>
        <w:tc>
          <w:tcPr>
            <w:tcW w:w="920" w:type="dxa"/>
            <w:vAlign w:val="bottom"/>
          </w:tcPr>
          <w:p>
            <w:pPr>
              <w:spacing w:after="0"/>
              <w:rPr>
                <w:sz w:val="20"/>
                <w:szCs w:val="20"/>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922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USA TECHNOLOGIES, INC.</w:t>
            </w:r>
          </w:p>
        </w:tc>
        <w:tc>
          <w:tcPr>
            <w:tcW w:w="2580" w:type="dxa"/>
            <w:vAlign w:val="bottom"/>
          </w:tcPr>
          <w:p>
            <w:pPr>
              <w:spacing w:after="0"/>
              <w:rPr>
                <w:sz w:val="20"/>
                <w:szCs w:val="20"/>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 November 14, 2014</w:t>
            </w:r>
          </w:p>
        </w:tc>
        <w:tc>
          <w:tcPr>
            <w:tcW w:w="252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c>
          <w:tcPr>
            <w:tcW w:w="2580" w:type="dxa"/>
            <w:vAlign w:val="bottom"/>
          </w:tcPr>
          <w:p>
            <w:pPr>
              <w:spacing w:after="0"/>
              <w:rPr>
                <w:sz w:val="24"/>
                <w:szCs w:val="24"/>
                <w:color w:val="auto"/>
              </w:rPr>
            </w:pPr>
          </w:p>
        </w:tc>
      </w:tr>
      <w:tr>
        <w:trPr>
          <w:trHeight w:val="202"/>
        </w:trPr>
        <w:tc>
          <w:tcPr>
            <w:tcW w:w="3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c>
          <w:tcPr>
            <w:tcW w:w="2580" w:type="dxa"/>
            <w:vAlign w:val="bottom"/>
          </w:tcPr>
          <w:p>
            <w:pPr>
              <w:spacing w:after="0"/>
              <w:rPr>
                <w:sz w:val="17"/>
                <w:szCs w:val="17"/>
                <w:color w:val="auto"/>
              </w:rPr>
            </w:pP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580" w:type="dxa"/>
            <w:vAlign w:val="bottom"/>
          </w:tcPr>
          <w:p>
            <w:pPr>
              <w:spacing w:after="0"/>
              <w:rPr>
                <w:sz w:val="20"/>
                <w:szCs w:val="20"/>
                <w:color w:val="auto"/>
              </w:rPr>
            </w:pPr>
          </w:p>
        </w:tc>
      </w:tr>
      <w:tr>
        <w:trPr>
          <w:trHeight w:val="439"/>
        </w:trPr>
        <w:tc>
          <w:tcPr>
            <w:tcW w:w="3760" w:type="dxa"/>
            <w:vAlign w:val="bottom"/>
          </w:tcPr>
          <w:p>
            <w:pPr>
              <w:spacing w:after="0"/>
              <w:rPr>
                <w:sz w:val="20"/>
                <w:szCs w:val="20"/>
                <w:color w:val="auto"/>
              </w:rPr>
            </w:pPr>
            <w:r>
              <w:rPr>
                <w:rFonts w:ascii="Arial" w:cs="Arial" w:eastAsia="Arial" w:hAnsi="Arial"/>
                <w:sz w:val="18"/>
                <w:szCs w:val="18"/>
                <w:color w:val="auto"/>
              </w:rPr>
              <w:t>Date: November 14, 2014</w:t>
            </w:r>
          </w:p>
        </w:tc>
        <w:tc>
          <w:tcPr>
            <w:tcW w:w="2520" w:type="dxa"/>
            <w:vAlign w:val="bottom"/>
          </w:tcPr>
          <w:p>
            <w:pPr>
              <w:spacing w:after="0"/>
              <w:rPr>
                <w:sz w:val="24"/>
                <w:szCs w:val="24"/>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c>
          <w:tcPr>
            <w:tcW w:w="2580" w:type="dxa"/>
            <w:vAlign w:val="bottom"/>
          </w:tcPr>
          <w:p>
            <w:pPr>
              <w:spacing w:after="0"/>
              <w:rPr>
                <w:sz w:val="24"/>
                <w:szCs w:val="24"/>
                <w:color w:val="auto"/>
              </w:rPr>
            </w:pPr>
          </w:p>
        </w:tc>
      </w:tr>
      <w:tr>
        <w:trPr>
          <w:trHeight w:val="202"/>
        </w:trPr>
        <w:tc>
          <w:tcPr>
            <w:tcW w:w="3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c>
          <w:tcPr>
            <w:tcW w:w="2580" w:type="dxa"/>
            <w:vAlign w:val="bottom"/>
          </w:tcPr>
          <w:p>
            <w:pPr>
              <w:spacing w:after="0"/>
              <w:rPr>
                <w:sz w:val="17"/>
                <w:szCs w:val="17"/>
                <w:color w:val="auto"/>
              </w:rPr>
            </w:pP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580" w:type="dxa"/>
            <w:vAlign w:val="bottom"/>
          </w:tcPr>
          <w:p>
            <w:pPr>
              <w:spacing w:after="0"/>
              <w:rPr>
                <w:sz w:val="20"/>
                <w:szCs w:val="20"/>
                <w:color w:val="auto"/>
              </w:rPr>
            </w:pPr>
          </w:p>
        </w:tc>
      </w:tr>
      <w:tr>
        <w:trPr>
          <w:trHeight w:val="675"/>
        </w:trPr>
        <w:tc>
          <w:tcPr>
            <w:tcW w:w="3760" w:type="dxa"/>
            <w:vAlign w:val="bottom"/>
            <w:tcBorders>
              <w:bottom w:val="single" w:sz="8" w:color="DCDCDC"/>
            </w:tcBorders>
          </w:tcPr>
          <w:p>
            <w:pPr>
              <w:spacing w:after="0"/>
              <w:rPr>
                <w:sz w:val="24"/>
                <w:szCs w:val="24"/>
                <w:color w:val="auto"/>
              </w:rPr>
            </w:pPr>
          </w:p>
        </w:tc>
        <w:tc>
          <w:tcPr>
            <w:tcW w:w="2520" w:type="dxa"/>
            <w:vAlign w:val="bottom"/>
            <w:tcBorders>
              <w:bottom w:val="single" w:sz="8" w:color="DCDCDC"/>
            </w:tcBorders>
          </w:tcPr>
          <w:p>
            <w:pPr>
              <w:jc w:val="right"/>
              <w:ind w:right="390"/>
              <w:spacing w:after="0"/>
              <w:rPr>
                <w:sz w:val="20"/>
                <w:szCs w:val="20"/>
                <w:color w:val="auto"/>
              </w:rPr>
            </w:pPr>
            <w:r>
              <w:rPr>
                <w:rFonts w:ascii="Arial" w:cs="Arial" w:eastAsia="Arial" w:hAnsi="Arial"/>
                <w:sz w:val="18"/>
                <w:szCs w:val="18"/>
                <w:color w:val="auto"/>
              </w:rPr>
              <w:t>24</w:t>
            </w:r>
          </w:p>
        </w:tc>
        <w:tc>
          <w:tcPr>
            <w:tcW w:w="256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165" w:right="239" w:bottom="1440" w:gutter="0" w:footer="0" w:header="0"/>
        </w:sectPr>
      </w:pPr>
    </w:p>
    <w:bookmarkStart w:id="24" w:name="page25"/>
    <w:bookmarkEnd w:id="24"/>
    <w:p>
      <w:pPr>
        <w:ind w:left="1044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NINTH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AND SECURITY AGREEMENT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Ninth Amendment to Loan and Security Agreement is entered into as of September 30, 2014 (the “Amendment”), by and between AVIDBANK CORPORATE FINANCE, a division of AVIDBANK (“Bank”), and USA TECHNOLOGIES, INC.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Borrower and Bank are parties to that certain Loan and Security Agreement dated as of June 21, 2012 and that certain First Amendment to Loan and Security Agreement dated as of January 1, 2013, that certain Second Amendment to Loan &amp; Security Agreement dated as of April 2, 2013, that certain Third Amendment to Loan and Security Agreement dated as of April 11, 2013, that certain Fourth Amendment to Loan and Security Agreement dated as of April 29, 2013, that certain Fifth Amendment to Loan and Security Agreement dated as of September 26, 2013, that certain Sixth Amendment to Loan and Security Agreement dated as of May 15, 2014, that certain Seventh Amendment to Loan and Security Agreement is entered into as of June 17, 2014 and that certain Eighth Amendment to Loan and Security Agreement is entered into as of June 30, 2014 (collectively, the “Agreement”). Borrower and Bank desire to amend the Agreement in accordance with the terms set forth herein.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parties agree as follows:</w:t>
      </w:r>
    </w:p>
    <w:p>
      <w:pPr>
        <w:spacing w:after="0" w:line="225" w:lineRule="exact"/>
        <w:rPr>
          <w:sz w:val="20"/>
          <w:szCs w:val="20"/>
          <w:color w:val="auto"/>
        </w:rPr>
      </w:pPr>
    </w:p>
    <w:p>
      <w:pPr>
        <w:jc w:val="both"/>
        <w:ind w:right="20" w:firstLine="656"/>
        <w:spacing w:after="0" w:line="312" w:lineRule="auto"/>
        <w:tabs>
          <w:tab w:leader="none" w:pos="1773"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Notwithstanding the definition of Adjusted EBITDA set forth in Section 1.1 of the Agreement, for the period ending September 30, 2014, “Adjusted EBITDA” shall mean net income (loss) before interest income, interest expense, income taxes, depreciation, amortization, one-time expenses, rent/lease expense pursuant to Sale/Leaseback Transactions, and change in fair value of warrant liabilities and stock based compensation expenses.</w:t>
      </w:r>
    </w:p>
    <w:p>
      <w:pPr>
        <w:spacing w:after="0" w:line="146" w:lineRule="exact"/>
        <w:rPr>
          <w:rFonts w:ascii="Arial" w:cs="Arial" w:eastAsia="Arial" w:hAnsi="Arial"/>
          <w:sz w:val="16"/>
          <w:szCs w:val="16"/>
          <w:color w:val="auto"/>
        </w:rPr>
      </w:pPr>
    </w:p>
    <w:p>
      <w:pPr>
        <w:jc w:val="both"/>
        <w:ind w:firstLine="656"/>
        <w:spacing w:after="0" w:line="257" w:lineRule="auto"/>
        <w:tabs>
          <w:tab w:leader="none" w:pos="1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88" w:lineRule="exact"/>
        <w:rPr>
          <w:rFonts w:ascii="Arial" w:cs="Arial" w:eastAsia="Arial" w:hAnsi="Arial"/>
          <w:sz w:val="18"/>
          <w:szCs w:val="18"/>
          <w:color w:val="auto"/>
        </w:rPr>
      </w:pPr>
    </w:p>
    <w:p>
      <w:pPr>
        <w:ind w:firstLine="656"/>
        <w:spacing w:after="0" w:line="277" w:lineRule="auto"/>
        <w:tabs>
          <w:tab w:leader="none" w:pos="1651"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Borrower represents and warrants that the representations and warranties contained in the Agreement are true and correct as of the date of this Amendment, and that no Event of Default has occurred and is continuing.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74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Amendment may be executed in two or more counterparts, each of which shall be deemed an original, but all of which together shall constitute one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hereof. Notwithstanding the foregoing, Borrower shall deliver all original signed documents no later than ten (10) Business Days following the date of execution.</w:t>
      </w:r>
    </w:p>
    <w:p>
      <w:pPr>
        <w:spacing w:after="0" w:line="188" w:lineRule="exact"/>
        <w:rPr>
          <w:rFonts w:ascii="Arial" w:cs="Arial" w:eastAsia="Arial" w:hAnsi="Arial"/>
          <w:sz w:val="18"/>
          <w:szCs w:val="18"/>
          <w:color w:val="auto"/>
        </w:rPr>
      </w:pPr>
    </w:p>
    <w:p>
      <w:pPr>
        <w:ind w:left="1880" w:hanging="1224"/>
        <w:spacing w:after="0"/>
        <w:tabs>
          <w:tab w:leader="none" w:pos="1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condition to the effectiveness of this Amendment, Bank shall have received, in form and substance satisfactory to Bank,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left="2360" w:hanging="785"/>
        <w:spacing w:after="0"/>
        <w:tabs>
          <w:tab w:leader="none" w:pos="23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this Amendment, duly executed by Borrower; and</w:t>
      </w:r>
    </w:p>
    <w:p>
      <w:pPr>
        <w:spacing w:after="0" w:line="225" w:lineRule="exact"/>
        <w:rPr>
          <w:rFonts w:ascii="Arial" w:cs="Arial" w:eastAsia="Arial" w:hAnsi="Arial"/>
          <w:sz w:val="18"/>
          <w:szCs w:val="18"/>
          <w:b w:val="1"/>
          <w:bCs w:val="1"/>
          <w:color w:val="auto"/>
        </w:rPr>
      </w:pPr>
    </w:p>
    <w:p>
      <w:pPr>
        <w:ind w:left="2380" w:hanging="805"/>
        <w:spacing w:after="0"/>
        <w:tabs>
          <w:tab w:leader="none" w:pos="2380" w:val="left"/>
        </w:tabs>
        <w:numPr>
          <w:ilvl w:val="1"/>
          <w:numId w:val="6"/>
        </w:numPr>
        <w:rPr>
          <w:rFonts w:ascii="Arial" w:cs="Arial" w:eastAsia="Arial" w:hAnsi="Arial"/>
          <w:sz w:val="16"/>
          <w:szCs w:val="16"/>
          <w:b w:val="1"/>
          <w:bCs w:val="1"/>
          <w:color w:val="auto"/>
        </w:rPr>
      </w:pPr>
      <w:r>
        <w:rPr>
          <w:rFonts w:ascii="Arial" w:cs="Arial" w:eastAsia="Arial" w:hAnsi="Arial"/>
          <w:sz w:val="16"/>
          <w:szCs w:val="16"/>
          <w:color w:val="auto"/>
        </w:rPr>
        <w:t>payment of an amendment fee equal to $1,000, plus payment of all Bank Expenses incurred by Bank through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IN WITNESS WHEREOF, the undersigned have executed this Amendment as of the first date above written.</w:t>
      </w:r>
    </w:p>
    <w:p>
      <w:pPr>
        <w:spacing w:after="0" w:line="24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USA TECHNOLOGIES, INC.</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M. DeMedio</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AVIDBANK CORPORATE FINANCE,</w:t>
      </w:r>
    </w:p>
    <w:p>
      <w:pPr>
        <w:spacing w:after="0" w:line="2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 division of AVIDBANK</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Javier</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Senior Vice President</w:t>
      </w:r>
    </w:p>
    <w:p>
      <w:pPr>
        <w:sectPr>
          <w:pgSz w:w="11900" w:h="16838" w:orient="portrait"/>
          <w:cols w:equalWidth="0" w:num="1">
            <w:col w:w="9559"/>
          </w:cols>
          <w:pgMar w:left="900" w:top="476"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November 14, 2014</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November 14, 2014</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2014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November 14, 2014</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2014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November 14, 2014</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179260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lvl w:ilvl="1">
      <w:lvlJc w:val="left"/>
      <w:lvlText w:val="(%2)"/>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2019-12-06T07:46:34Z</dcterms:created>
  <dcterms:modified xsi:type="dcterms:W3CDTF">2019-12-06T07:46:34Z</dcterms:modified>
</cp:coreProperties>
</file>