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For the fiscal year ended June 30, 2015</w:t>
      </w:r>
    </w:p>
    <w:p>
      <w:pPr>
        <w:spacing w:after="0" w:line="22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EXCHANGE ACT OF 1934</w:t>
      </w:r>
    </w:p>
    <w:p>
      <w:pPr>
        <w:spacing w:after="0" w:line="225"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000-50054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4" w:lineRule="exact"/>
        <w:rPr>
          <w:sz w:val="24"/>
          <w:szCs w:val="24"/>
          <w:color w:val="auto"/>
        </w:rPr>
      </w:pPr>
    </w:p>
    <w:tbl>
      <w:tblPr>
        <w:tblLayout w:type="fixed"/>
        <w:tblInd w:w="24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Pennsylvania</w:t>
            </w:r>
          </w:p>
        </w:tc>
        <w:tc>
          <w:tcPr>
            <w:tcW w:w="1820" w:type="dxa"/>
            <w:vAlign w:val="bottom"/>
          </w:tcPr>
          <w:p>
            <w:pPr>
              <w:spacing w:after="0"/>
              <w:rPr>
                <w:sz w:val="20"/>
                <w:szCs w:val="20"/>
                <w:color w:val="auto"/>
              </w:rPr>
            </w:pPr>
          </w:p>
        </w:tc>
        <w:tc>
          <w:tcPr>
            <w:tcW w:w="3420" w:type="dxa"/>
            <w:vAlign w:val="bottom"/>
            <w:gridSpan w:val="4"/>
          </w:tcPr>
          <w:p>
            <w:pPr>
              <w:spacing w:after="0"/>
              <w:rPr>
                <w:sz w:val="20"/>
                <w:szCs w:val="20"/>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23-2679963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5"/>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5"/>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1"/>
        </w:trPr>
        <w:tc>
          <w:tcPr>
            <w:tcW w:w="4920" w:type="dxa"/>
            <w:vAlign w:val="bottom"/>
            <w:gridSpan w:val="5"/>
          </w:tcPr>
          <w:p>
            <w:pPr>
              <w:jc w:val="center"/>
              <w:ind w:left="10"/>
              <w:spacing w:after="0"/>
              <w:rPr>
                <w:sz w:val="20"/>
                <w:szCs w:val="20"/>
                <w:color w:val="auto"/>
              </w:rPr>
            </w:pPr>
            <w:r>
              <w:rPr>
                <w:rFonts w:ascii="Arial" w:cs="Arial" w:eastAsia="Arial" w:hAnsi="Arial"/>
                <w:sz w:val="18"/>
                <w:szCs w:val="18"/>
                <w:color w:val="auto"/>
                <w:w w:val="91"/>
              </w:rPr>
              <w:t>100 Deerfield Lane, Suite 140, Malvern, Pennsylvania</w:t>
            </w:r>
          </w:p>
        </w:tc>
        <w:tc>
          <w:tcPr>
            <w:tcW w:w="4200" w:type="dxa"/>
            <w:vAlign w:val="bottom"/>
            <w:gridSpan w:val="6"/>
          </w:tcPr>
          <w:p>
            <w:pPr>
              <w:jc w:val="center"/>
              <w:ind w:left="3450"/>
              <w:spacing w:after="0"/>
              <w:rPr>
                <w:sz w:val="20"/>
                <w:szCs w:val="20"/>
                <w:color w:val="auto"/>
              </w:rPr>
            </w:pPr>
            <w:r>
              <w:rPr>
                <w:rFonts w:ascii="Arial" w:cs="Arial" w:eastAsia="Arial" w:hAnsi="Arial"/>
                <w:sz w:val="18"/>
                <w:szCs w:val="18"/>
                <w:color w:val="auto"/>
                <w:w w:val="91"/>
              </w:rPr>
              <w:t>19355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Borders>
              <w:top w:val="single" w:sz="8" w:color="auto"/>
            </w:tcBorders>
          </w:tcPr>
          <w:p>
            <w:pPr>
              <w:spacing w:after="0"/>
              <w:rPr>
                <w:sz w:val="20"/>
                <w:szCs w:val="20"/>
                <w:color w:val="auto"/>
              </w:rPr>
            </w:pPr>
          </w:p>
        </w:tc>
        <w:tc>
          <w:tcPr>
            <w:tcW w:w="3940" w:type="dxa"/>
            <w:vAlign w:val="bottom"/>
            <w:tcBorders>
              <w:top w:val="single" w:sz="8" w:color="auto"/>
            </w:tcBorders>
            <w:gridSpan w:val="4"/>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7"/>
              </w:rPr>
              <w:t>(Zip Code)</w:t>
            </w:r>
          </w:p>
        </w:tc>
        <w:tc>
          <w:tcPr>
            <w:tcW w:w="1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(610) 989-0340</w:t>
            </w:r>
          </w:p>
        </w:tc>
        <w:tc>
          <w:tcPr>
            <w:tcW w:w="4580" w:type="dxa"/>
            <w:vAlign w:val="bottom"/>
            <w:gridSpan w:val="6"/>
            <w:vMerge w:val="restart"/>
          </w:tcPr>
          <w:p>
            <w:pPr>
              <w:spacing w:after="0"/>
              <w:rPr>
                <w:sz w:val="20"/>
                <w:szCs w:val="20"/>
                <w:color w:val="auto"/>
              </w:rPr>
            </w:pPr>
            <w:r>
              <w:rPr>
                <w:rFonts w:ascii="Arial" w:cs="Arial" w:eastAsia="Arial" w:hAnsi="Arial"/>
                <w:sz w:val="18"/>
                <w:szCs w:val="18"/>
                <w:color w:val="auto"/>
              </w:rPr>
              <w:t>including area code)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40" w:type="dxa"/>
            <w:vAlign w:val="bottom"/>
            <w:gridSpan w:val="3"/>
          </w:tcPr>
          <w:p>
            <w:pPr>
              <w:ind w:left="460"/>
              <w:spacing w:after="0"/>
              <w:rPr>
                <w:sz w:val="20"/>
                <w:szCs w:val="20"/>
                <w:color w:val="auto"/>
              </w:rPr>
            </w:pPr>
            <w:r>
              <w:rPr>
                <w:rFonts w:ascii="Arial" w:cs="Arial" w:eastAsia="Arial" w:hAnsi="Arial"/>
                <w:sz w:val="18"/>
                <w:szCs w:val="18"/>
                <w:color w:val="auto"/>
                <w:w w:val="96"/>
              </w:rPr>
              <w:t>(Registrant’s telephone number,</w:t>
            </w:r>
          </w:p>
        </w:tc>
        <w:tc>
          <w:tcPr>
            <w:tcW w:w="45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20" w:type="dxa"/>
            <w:vAlign w:val="bottom"/>
            <w:gridSpan w:val="9"/>
          </w:tcPr>
          <w:p>
            <w:pPr>
              <w:jc w:val="center"/>
              <w:ind w:right="27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Title of Each Class</w:t>
            </w:r>
          </w:p>
        </w:tc>
        <w:tc>
          <w:tcPr>
            <w:tcW w:w="2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Name Of Each Exchange On Which Registered</w:t>
            </w:r>
          </w:p>
        </w:tc>
        <w:tc>
          <w:tcPr>
            <w:tcW w:w="0" w:type="dxa"/>
            <w:vAlign w:val="bottom"/>
          </w:tcPr>
          <w:p>
            <w:pPr>
              <w:spacing w:after="0"/>
              <w:rPr>
                <w:sz w:val="1"/>
                <w:szCs w:val="1"/>
                <w:color w:val="auto"/>
              </w:rPr>
            </w:pPr>
          </w:p>
        </w:tc>
      </w:tr>
      <w:tr>
        <w:trPr>
          <w:trHeight w:val="188"/>
        </w:trPr>
        <w:tc>
          <w:tcPr>
            <w:tcW w:w="2360" w:type="dxa"/>
            <w:vAlign w:val="bottom"/>
            <w:gridSpan w:val="3"/>
          </w:tcPr>
          <w:p>
            <w:pPr>
              <w:ind w:left="600"/>
              <w:spacing w:after="0" w:line="189" w:lineRule="exact"/>
              <w:rPr>
                <w:sz w:val="20"/>
                <w:szCs w:val="20"/>
                <w:color w:val="auto"/>
              </w:rPr>
            </w:pPr>
            <w:r>
              <w:rPr>
                <w:rFonts w:ascii="Arial" w:cs="Arial" w:eastAsia="Arial" w:hAnsi="Arial"/>
                <w:sz w:val="18"/>
                <w:szCs w:val="18"/>
                <w:color w:val="auto"/>
                <w:w w:val="94"/>
              </w:rPr>
              <w:t>Common Stock, no par</w:t>
            </w: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value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60" w:type="dxa"/>
            <w:vAlign w:val="bottom"/>
            <w:gridSpan w:val="5"/>
          </w:tcPr>
          <w:p>
            <w:pPr>
              <w:jc w:val="center"/>
              <w:ind w:left="10"/>
              <w:spacing w:after="0" w:line="189" w:lineRule="exact"/>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r>
        <w:trPr>
          <w:trHeight w:val="230"/>
        </w:trPr>
        <w:tc>
          <w:tcPr>
            <w:tcW w:w="4920" w:type="dxa"/>
            <w:vAlign w:val="bottom"/>
            <w:gridSpan w:val="5"/>
          </w:tcPr>
          <w:p>
            <w:pPr>
              <w:jc w:val="center"/>
              <w:ind w:right="1470"/>
              <w:spacing w:after="0"/>
              <w:rPr>
                <w:sz w:val="20"/>
                <w:szCs w:val="20"/>
                <w:color w:val="auto"/>
              </w:rPr>
            </w:pPr>
            <w:r>
              <w:rPr>
                <w:rFonts w:ascii="Arial" w:cs="Arial" w:eastAsia="Arial" w:hAnsi="Arial"/>
                <w:sz w:val="18"/>
                <w:szCs w:val="18"/>
                <w:color w:val="auto"/>
                <w:w w:val="91"/>
              </w:rPr>
              <w:t>Series A Convertible Preferred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ind w:left="21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aggregate market value of the voting common equity securities held by non-affiliates of the Registrant was $55,098,386 as of the last business day of the most recently completed second fiscal quarter, December 31, 2014, based upon the closing price of the Registrant’s Common Stock on that date.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15, 2015, there were 35,854,655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38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USA TECHNOLOGIES, INC.</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8"/>
          </w:tcPr>
          <w:p>
            <w:pPr>
              <w:jc w:val="center"/>
              <w:ind w:right="3400"/>
              <w:spacing w:after="0"/>
              <w:rPr>
                <w:sz w:val="20"/>
                <w:szCs w:val="20"/>
                <w:color w:val="auto"/>
              </w:rPr>
            </w:pPr>
            <w:r>
              <w:rPr>
                <w:rFonts w:ascii="Arial" w:cs="Arial" w:eastAsia="Arial" w:hAnsi="Arial"/>
                <w:sz w:val="18"/>
                <w:szCs w:val="18"/>
                <w:b w:val="1"/>
                <w:bCs w:val="1"/>
                <w:color w:val="auto"/>
                <w:w w:val="99"/>
              </w:rPr>
              <w:t>TABLE OF CONTENTS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2"/>
          </w:tcPr>
          <w:p>
            <w:pPr>
              <w:ind w:lef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Market for Registrant’s Common Equity, Related Stockholder Matters and Issuer Purchases of Equity Securities.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6.</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7.</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7A.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9.</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9A.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w:t>
              </w:r>
            </w:hyperlink>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10.</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11.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12.</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13.</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14.</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15.</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0" w:type="dxa"/>
            <w:vAlign w:val="bottom"/>
            <w:tcBorders>
              <w:top w:val="single" w:sz="8" w:color="F0FFFF"/>
              <w:bottom w:val="single" w:sz="8" w:color="DCDCDC"/>
            </w:tcBorders>
          </w:tcPr>
          <w:p>
            <w:pPr>
              <w:spacing w:after="0"/>
              <w:rPr>
                <w:sz w:val="24"/>
                <w:szCs w:val="24"/>
                <w:color w:val="auto"/>
              </w:rPr>
            </w:pPr>
          </w:p>
        </w:tc>
        <w:tc>
          <w:tcPr>
            <w:tcW w:w="2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940" w:type="dxa"/>
            <w:vAlign w:val="bottom"/>
            <w:tcBorders>
              <w:top w:val="single" w:sz="8" w:color="0000EE"/>
              <w:bottom w:val="single" w:sz="8" w:color="DCDCDC"/>
            </w:tcBorders>
            <w:gridSpan w:val="9"/>
          </w:tcPr>
          <w:p>
            <w:pPr>
              <w:spacing w:after="0"/>
              <w:rPr>
                <w:sz w:val="24"/>
                <w:szCs w:val="24"/>
                <w:color w:val="auto"/>
              </w:rPr>
            </w:pPr>
          </w:p>
        </w:tc>
        <w:tc>
          <w:tcPr>
            <w:tcW w:w="2560" w:type="dxa"/>
            <w:vAlign w:val="bottom"/>
            <w:tcBorders>
              <w:top w:val="single" w:sz="8" w:color="F0FFFF"/>
              <w:bottom w:val="single" w:sz="8" w:color="DCDCDC"/>
            </w:tcBorders>
            <w:gridSpan w:val="4"/>
          </w:tcPr>
          <w:p>
            <w:pPr>
              <w:jc w:val="center"/>
              <w:ind w:left="390"/>
              <w:spacing w:after="0"/>
              <w:rPr>
                <w:sz w:val="20"/>
                <w:szCs w:val="20"/>
                <w:color w:val="auto"/>
              </w:rPr>
            </w:pPr>
            <w:r>
              <w:rPr>
                <w:rFonts w:ascii="Arial" w:cs="Arial" w:eastAsia="Arial" w:hAnsi="Arial"/>
                <w:sz w:val="18"/>
                <w:szCs w:val="18"/>
                <w:color w:val="auto"/>
                <w:w w:val="79"/>
              </w:rPr>
              <w:t>2</w:t>
            </w:r>
          </w:p>
        </w:tc>
        <w:tc>
          <w:tcPr>
            <w:tcW w:w="100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760" w:type="dxa"/>
            <w:vAlign w:val="bottom"/>
            <w:tcBorders>
              <w:top w:val="single" w:sz="8" w:color="F0FFFF"/>
              <w:bottom w:val="single" w:sz="8" w:color="DCDCDC"/>
            </w:tcBorders>
          </w:tcPr>
          <w:p>
            <w:pPr>
              <w:spacing w:after="0"/>
              <w:rPr>
                <w:sz w:val="24"/>
                <w:szCs w:val="24"/>
                <w:color w:val="auto"/>
              </w:rPr>
            </w:pPr>
          </w:p>
        </w:tc>
        <w:tc>
          <w:tcPr>
            <w:tcW w:w="1280" w:type="dxa"/>
            <w:vAlign w:val="bottom"/>
            <w:tcBorders>
              <w:top w:val="single" w:sz="8" w:color="F0FFFF"/>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license and transaction fees resulting from connections to, as well as services provided by,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2015, the Company had approximately 333,000 connections to its ePort Connect service, compared to approximately 266,000 connections as of June 30, 2014, representing a 25% increase. During the fiscal year ended June 30, 2015, the Company processed approximately 217 million cashless transactions totaling approximately $389 million in transaction dollars, representing a 28% increase in transaction volume and a 32% increase in dollars processed from the 169 million cashless transactions totaling approximately $294 million during the previous fiscal year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107315</wp:posOffset>
            </wp:positionV>
            <wp:extent cx="4296410" cy="3061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9641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chart shows the increases over the last four fiscal years in the number of connections, revenues and the dollar value of transactions handled by us. The vertical bars depict total revenues, segmented by license and transaction fees and equipment revenues. The solid line depicts the number of connections to our ePort Connect service, as of the end of each of the last four fiscal years, as indicated by the dot at the mid-point on the revenue bar for each year. Similarly, the dollar value of transactions handled by us during each of the last four fiscal years is indicated by the dotted line and the dot at the mid-point on the revenue bar for each year.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solutions and services have been designed to simplify the transition to cashless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 settlement, sales reporting and 24x7 customer support. Other value-added services that customers can choose from include things such as cashless deployment planning, cashless performance review and loyalty products and services.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M2M).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13" w:gutter="0" w:footer="0" w:header="0"/>
        </w:sectPr>
      </w:pPr>
    </w:p>
    <w:bookmarkStart w:id="4" w:name="page5"/>
    <w:bookmarkEnd w:id="4"/>
    <w:p>
      <w:pPr>
        <w:spacing w:after="0" w:line="3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customers range from global food service organizations to small businesses that operate primarily in the self-serve, small ticket retail markets including beverage and food vending, amusement and arcade machines, smartphones via our ePort Mobile™ solution, commercial laundry, tolls, and various other self-serve kiosk applications as well as equipment developers or manufacturers who incorporate our ePort Connect service into their product offerings.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we have a history of being a market leader in cashless payments with a recognized brand name, a value-added proposition for our customers and a reputation of innovation in our product and services. We believe that these attributes position us to capitalize on industry trends.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primarily in the small ticket electronic payments industry and, more specifically, the unattended POS market. We also have the ability to accept cashless payment “on the go” through mobile-based payment services, which are generally higher ticket transactions. Our solutions and services facilitate electronic payments in industries that have traditionally relied on cash transactions. We believe the following industry trends are driving growth in demand for electronic payment systems in general and more specifically within the markets we serve:</w:t>
      </w:r>
    </w:p>
    <w:p>
      <w:pPr>
        <w:spacing w:after="0" w:line="187" w:lineRule="exact"/>
        <w:rPr>
          <w:sz w:val="20"/>
          <w:szCs w:val="20"/>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shift toward electronic payment transactions and away from cash and checks;</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demand for electronic transaction functionality from both consumers and merchant/operators; and</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POS technology and NFC equipped mobile phone payment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electronic payment transactions and away from cash and checks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an ongoing shift away from paper-based methods of payment, including cash and checks, towards electronic-based methods of payment. According to The Nilson Report, December 2012, paper-based methods of payment continued to decline in 2010, representing 38.97% of transaction dollars measured compared to 50.45% in 2005. The four card-based systems—credit, debit, prepaid, and electronic benefits transfer—generated $4.22 trillion in the United States in 2011, 50.6% of transaction dollars measured, compared to 42.3% in 2006. The Nilson Report projects that by 2016 spending at merchants in the U.S., from the four card-based system will grow to $6.5 trillion, or 62.8% of total transaction dollars measured.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Consumer and Merchant/Operator Demand for Electronic Payments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Consumer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unattended, vending and kiosk POS market has historically been dominated by cash purchases. However, oftentimes,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purchases at unattended POS locations 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Merchant/Operator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increasingly, merchants and operators of unattended payment locations (e.g., vending machines,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laundry, tabletop games, etc.) are utilizing electronic payment alternatives as a means to improve business results. The Company works with its customers to help them drive increased revenue of their distributed assets through this expanded market opportunity. In addition, electronic payment systems can provide merchants and operators real-time sales and inventory data utilized for back-office reporting and forecasting, like USA Technologies’ solutions and services, helping them to manage their business more efficiently.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Increase in Demand for Networked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M2M (machine-to-machine) technology includes capturing value from wireless modules and electronic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improve business productivity and customer service. The term M2M describes any kind of 2-way communication system between geographically distributed devices through a centrally managed software application without human intervention and as such, the Company’s integrated POS and ePort Connect remote data management capabilities fall into this category of solution. In addition, networked assets can provide valuable information regarding consumers’ purchasing patterns and payment preferences, allowing operators to more effectively tailor their offerings to consumers. According to a Verizon Wireless 2011 whitepaper, titled “When Machines Talk, Businesses Listen”, within ten years, the number of machines that can be connected should exceed sixty billion units. The Company believes that its expertise in integrating cashless payments, its scalable network data capacity, its proven ability to handle high transaction volume, and its high quality and reliable data management capabilities make it well suited for the growing opportunities in the M2M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Technology and NFC Equipped Mobile Phone Payment Improvements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Consumer Interest in Mobile Payment. </w:t>
      </w:r>
      <w:r>
        <w:rPr>
          <w:rFonts w:ascii="Arial" w:cs="Arial" w:eastAsia="Arial" w:hAnsi="Arial"/>
          <w:sz w:val="18"/>
          <w:szCs w:val="18"/>
          <w:color w:val="auto"/>
        </w:rPr>
        <w:t>NFC, or Near Field Communication, is a short range wireless connectivity technology that uses electromagnetic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 fields to enable communication between devices when there is a physical touch, or when they are within close proximity to one another. We believe that POS contactless terminals that are enabled to accept NFC payments and digital wallet applications, such as Google Wallet, Chase Wallet, Apple Pay, the recently introduced Android Pay, and others, stand to benefit from these evolving trends in mobile payment. Digital wallet is essentially a digital service, accessed via the web or a mobile phone application that serves as a substitute for the traditional credit or debit card. Providers can also market directly to targeted consumers with coupons and loyalty programs.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over 70% of the Company’s connections contactless enabled to accept NFC payments (in addition to magnetic stripe cards) as of June 30, 2015, we believe that we are well-positioned to benefit from this emerging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TECHNOLOGY-BASED SOLUTION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solutions have been designed to be turnkey and includes the ePort Connect service, POS electronic payment devices, certified payment software able to process traditional magnetic stripe credit and debit cards, contactless credit and debit cards, and NFC equipped mobile phones that allow consumers to make payments with their cell phones. We believe that our ability to bundle our products and services, as well as the ability to tailor and customize them to individual customer needs, makes it easy and efficient for our customers to adopt and deploy our technology, and results in a service unmatched in the small-ticket, unattended retail market today.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Product</w:t>
      </w:r>
      <w:r>
        <w:rPr>
          <w:rFonts w:ascii="Arial" w:cs="Arial" w:eastAsia="Arial" w:hAnsi="Arial"/>
          <w:sz w:val="18"/>
          <w:szCs w:val="18"/>
          <w:color w:val="auto"/>
        </w:rPr>
        <w:t>. The Company offers its customers several different devices or software to connect their distributed assets. These range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QuickConnect™ Web service, more fully described below under the section “OUR PRODUCTS”, and encrypted magnetic stripe card readers to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hardware that can be attached to the door of a stand-alone terminal.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 Network</w:t>
      </w:r>
      <w:r>
        <w:rPr>
          <w:rFonts w:ascii="Arial" w:cs="Arial" w:eastAsia="Arial" w:hAnsi="Arial"/>
          <w:sz w:val="16"/>
          <w:szCs w:val="16"/>
          <w:color w:val="auto"/>
        </w:rPr>
        <w:t>. Our network is designed to transmit payment information from our customers’ terminals for processing and sales and diagnostic data for</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easily and efficiently (e.g., change protocol functionality, provide software upgrades, and change terminal display messages).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 Connectivity Mediums. </w:t>
      </w:r>
      <w:r>
        <w:rPr>
          <w:rFonts w:ascii="Arial" w:cs="Arial" w:eastAsia="Arial" w:hAnsi="Arial"/>
          <w:sz w:val="18"/>
          <w:szCs w:val="18"/>
          <w:color w:val="auto"/>
        </w:rPr>
        <w:t>The client devices (described above) are interconnected for the transfer of our customers’ data through our ePort Connect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multiple connectivity options such as phone line, ethernet, and wireless.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in the United States and Rogers Wireless in Canada in order to supply our customers with wireless network coverage.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Data Security. </w:t>
      </w:r>
      <w:r>
        <w:rPr>
          <w:rFonts w:ascii="Arial" w:cs="Arial" w:eastAsia="Arial" w:hAnsi="Arial"/>
          <w:sz w:val="17"/>
          <w:szCs w:val="17"/>
          <w:color w:val="auto"/>
        </w:rPr>
        <w:t>We are listed on the VISA Global Registry of Service Providers, meaning that VISA has reviewed and accepted our Report on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(RoC) from an authorized Payment Card Industry (“PCI”) assessor as a PCI Level 1 Service Provider. Our entry on this is renewed annually, and our current entry is valid through January 31, 2016. The VISA listing can be found online at http://www.visa.com/splisting/searchGrsp.do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year ended June 30, 2015, license and transaction fees generated by our ePort Connect service represented 75% of the Company’s revenues. Our ePort Connect solution provides customers with all of the following services, under one cohesive service umbrella:</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Diverse POS options. Ability to connect to a broad product line of cashless acceptance devices or software.</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regulations.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Connectivity. We manage the wireless account activation, distribution, and the relationship with wireless providers for our customers, if needed.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Customer/Consumer Services. We support our installed base by providing 24-hour help desk support, repairs, and replacement of impaired system solutions. In addition, all inbound billing inquiries are handled through a 24-hour help desk, thereby eliminating the need for our customers to deal with consumer billing inquiries and potential chargebacks.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186"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M2M Telemetry and DEX data transfer. DEX, an acronym for digital exchange, is the Vending Industry’s standard way to communicate information such as sales, cash in bill validators, coins in coin boxes, sales of units by selection, pricing, door openings, and much more. USA Technologies is able to remotely transfer and push DEX data to customers’ route management systems through its DEX partner program. USA Technologies operates within the VDI (Vending Data Interchange) standards established by NAMA (National Automatic Merchandising Association) and sends DEX files compatible with most major remote management software systems.</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Over-the-Air Update Capabilities. Automatic over-the-air updates to software, settings, and security protocol from our network to our ePort card reader keep our customers’ hardware up-to-date and enable customers to benefit from any advancement made after their hardware or software purchase.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Value-added Services. Access to additional services such as </w:t>
      </w:r>
      <w:r>
        <w:rPr>
          <w:rFonts w:ascii="Arial" w:cs="Arial" w:eastAsia="Arial" w:hAnsi="Arial"/>
          <w:sz w:val="18"/>
          <w:szCs w:val="18"/>
          <w:b w:val="1"/>
          <w:bCs w:val="1"/>
          <w:i w:val="1"/>
          <w:iCs w:val="1"/>
          <w:color w:val="auto"/>
        </w:rPr>
        <w:t>MORE</w:t>
      </w:r>
      <w:r>
        <w:rPr>
          <w:rFonts w:ascii="Arial" w:cs="Arial" w:eastAsia="Arial" w:hAnsi="Arial"/>
          <w:sz w:val="18"/>
          <w:szCs w:val="18"/>
          <w:color w:val="auto"/>
        </w:rPr>
        <w:t>, our loyalty program, two-tier pricing, special promotions such as our nationwide Apple Pay mobile payment and loyalty promotion for vending customers, as well as a menu of hardware purchasing options including JumpStart, our terminal-included service option and hardware leasing options through third parties.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Deployment Planning. Access to services to help operators successfully deploy cashless payment systems and integrated solutions that is based on our extensive market and customer experience data.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a processing and licensing agreement, or ePort Connect Services Agreement, with our customers pursuant to which we act as a provider of cashless financial services for the customer’s distributed assets, and the customer agrees to pay us an activation fee, monthly service fees, and transaction processing fees. Our agreements are generally cancelable by the customer upon thirty to sixty days’ notice to us from the time of shipment. It typically takes thirty to sixty days for a new connection to begin contributing to the Company’s license and transaction fee revenues.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and lease payments (if applicable) in accordance with the terms of the customer’s contract with the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ePort is the Company’s core device, which is currently being utilized in self-service, unattended markets such as vending, amusement and arcade, and various other kiosk applications.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customer demands.</w:t>
      </w:r>
    </w:p>
    <w:p>
      <w:pPr>
        <w:spacing w:after="0" w:line="189" w:lineRule="exact"/>
        <w:rPr>
          <w:sz w:val="20"/>
          <w:szCs w:val="20"/>
          <w:color w:val="auto"/>
        </w:rPr>
      </w:pPr>
    </w:p>
    <w:p>
      <w:pPr>
        <w:ind w:left="980" w:hanging="288"/>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ePort Edge™ is a one-piece design and is intended for those customers who require a magnetic swipe-only cashless system with basic features at a lower price point.</w:t>
      </w:r>
    </w:p>
    <w:p>
      <w:pPr>
        <w:spacing w:after="0" w:line="1" w:lineRule="exact"/>
        <w:rPr>
          <w:rFonts w:ascii="Arial" w:cs="Arial" w:eastAsia="Arial" w:hAnsi="Arial"/>
          <w:sz w:val="18"/>
          <w:szCs w:val="18"/>
          <w:color w:val="auto"/>
        </w:rPr>
      </w:pPr>
    </w:p>
    <w:p>
      <w:pPr>
        <w:ind w:left="980" w:hanging="288"/>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ePort G-8 is a two-piece design that supports traditional magnetic stripe credit/debit cards and contactless cards. The ePort G8 telemeter is also available as a stand-alone DEX telemetry solution.</w:t>
      </w:r>
    </w:p>
    <w:p>
      <w:pPr>
        <w:ind w:left="980" w:right="20" w:hanging="288"/>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ePort G-9 has been designed to offer all the features of the G-8 plus additional new features that support expanded acceptance options, consumer engagement offerings and advanced diagnostics.</w:t>
      </w:r>
    </w:p>
    <w:p>
      <w:pPr>
        <w:jc w:val="both"/>
        <w:ind w:left="980" w:hanging="288"/>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forms of our ePort technology include:</w:t>
      </w:r>
    </w:p>
    <w:p>
      <w:pPr>
        <w:spacing w:after="0" w:line="225" w:lineRule="exact"/>
        <w:rPr>
          <w:sz w:val="20"/>
          <w:szCs w:val="20"/>
          <w:color w:val="auto"/>
        </w:rPr>
      </w:pPr>
    </w:p>
    <w:p>
      <w:pPr>
        <w:jc w:val="both"/>
        <w:ind w:left="980" w:hanging="288"/>
        <w:spacing w:after="0" w:line="26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entire eSuds solution to new customers, but we continue to provide processing services for laundry machines equipped with cashless hardware supplied by Setomatics Systems.</w:t>
      </w:r>
    </w:p>
    <w:p>
      <w:pPr>
        <w:spacing w:after="0" w:line="2" w:lineRule="exact"/>
        <w:rPr>
          <w:rFonts w:ascii="Arial" w:cs="Arial" w:eastAsia="Arial" w:hAnsi="Arial"/>
          <w:sz w:val="17"/>
          <w:szCs w:val="17"/>
          <w:color w:val="auto"/>
        </w:rPr>
      </w:pPr>
    </w:p>
    <w:p>
      <w:pPr>
        <w:jc w:val="both"/>
        <w:ind w:left="980" w:right="20" w:hanging="288"/>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Mobile is a mobile acceptance solution for credit and debit cards that is supported by USAT’s ePort Connect service. ePort Mobile is available as a download from the iTunes and Google Play Store and is also available as an All-In-One solution that includes the phone and data plan.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MARKETS WE 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customers are primarily in the self-serve, small ticket retail markets including beverage and food vending and kiosk, commercial laundry, car wash, tolls, amusement and gaming, and office coffee.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Vending. </w:t>
      </w:r>
      <w:r>
        <w:rPr>
          <w:rFonts w:ascii="Arial" w:cs="Arial" w:eastAsia="Arial" w:hAnsi="Arial"/>
          <w:sz w:val="18"/>
          <w:szCs w:val="18"/>
          <w:color w:val="auto"/>
        </w:rPr>
        <w:t>According to Vending Times’ 2012 Census of the Industry, annual U.S. sales in the vending industry sector were estimated to be approximately $43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2011 transacted by over 6 million machines.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2013) that included a representative 5.4 million machines, cashless adoption was projected at only 7% in 2012, up from 4% in 2011. The increase was attributed to higher product price points, increased acceptance of debit and credit in retail for smaller purchases, Gen X and Y/millennials joining the workforce to become vending consumers and the growing research about how cashless payment systems can increase sales.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Kiosk</w:t>
      </w:r>
      <w:r>
        <w:rPr>
          <w:rFonts w:ascii="Arial" w:cs="Arial" w:eastAsia="Arial" w:hAnsi="Arial"/>
          <w:sz w:val="16"/>
          <w:szCs w:val="16"/>
          <w:color w:val="auto"/>
        </w:rPr>
        <w:t>. According to IHL Consulting Group’s August 2012 North American Self-Service Kiosks Market Study, which defines, for purposes of their study, a</w:t>
      </w:r>
      <w:r>
        <w:rPr>
          <w:rFonts w:ascii="Arial" w:cs="Arial" w:eastAsia="Arial" w:hAnsi="Arial"/>
          <w:sz w:val="16"/>
          <w:szCs w:val="16"/>
          <w:i w:val="1"/>
          <w:iCs w:val="1"/>
          <w:color w:val="auto"/>
        </w:rPr>
        <w:t xml:space="preserve"> </w:t>
      </w:r>
      <w:r>
        <w:rPr>
          <w:rFonts w:ascii="Arial" w:cs="Arial" w:eastAsia="Arial" w:hAnsi="Arial"/>
          <w:sz w:val="16"/>
          <w:szCs w:val="16"/>
          <w:color w:val="auto"/>
        </w:rPr>
        <w:t>kiosk as a self-standing, technology-based, unmanned device deployed across six retail and hospitality environments, approximately $926 billion was going to be transacted through self-service kiosks in 2013, with compound annual growth for the subsequent three years of seven percent (7%).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targets in laundry consist of the coin-operated commercial laundry and multi-housing laundry markets. According to the Coin Laundry</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the U.S. commercial laundry industry was comprised of 30,000-35,000 laundromats in 2015 that our partner, Setomatic Systems, estimated translates to roughly 2.5 million commercial washers and dryers. The Coin Laundry Association estimated gross revenue in the laundromat market at nearly $5 billion annually.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Mobile Merchant. </w:t>
      </w:r>
      <w:r>
        <w:rPr>
          <w:rFonts w:ascii="Arial" w:cs="Arial" w:eastAsia="Arial" w:hAnsi="Arial"/>
          <w:sz w:val="18"/>
          <w:szCs w:val="18"/>
          <w:color w:val="auto"/>
        </w:rPr>
        <w:t>New mobile-based payment acceptance technology has made a transformational impact on an entire base of merchants that previously had</w:t>
      </w:r>
      <w:r>
        <w:rPr>
          <w:rFonts w:ascii="Arial" w:cs="Arial" w:eastAsia="Arial" w:hAnsi="Arial"/>
          <w:sz w:val="18"/>
          <w:szCs w:val="18"/>
          <w:i w:val="1"/>
          <w:iCs w:val="1"/>
          <w:color w:val="auto"/>
        </w:rPr>
        <w:t xml:space="preserve"> </w:t>
      </w:r>
      <w:r>
        <w:rPr>
          <w:rFonts w:ascii="Arial" w:cs="Arial" w:eastAsia="Arial" w:hAnsi="Arial"/>
          <w:sz w:val="18"/>
          <w:szCs w:val="18"/>
          <w:color w:val="auto"/>
        </w:rPr>
        <w:t>almost no access to electronic-based payments. Goldman Sachs (Equity Research Report, June 19, 2012) sees the arrival of mobile technology at the micro/small merchant level addressing an estimated 13 million U.S.-based micro merchants that are likely to benefit from the ability to accept electronic payment from mobile devices. The Company believes that its mobile-based acceptance product and existing turnkey service platform align well with the market’s need for integrated, mobile payment solutions.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248"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benefit from a number of advantages gained through our over twenty-year history in our industry. They include:</w:t>
      </w:r>
    </w:p>
    <w:p>
      <w:pPr>
        <w:spacing w:after="0" w:line="225" w:lineRule="exact"/>
        <w:rPr>
          <w:sz w:val="20"/>
          <w:szCs w:val="20"/>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One-Stop Shop, End-to-End Solution. </w:t>
      </w:r>
      <w:r>
        <w:rPr>
          <w:rFonts w:ascii="Arial" w:cs="Arial" w:eastAsia="Arial" w:hAnsi="Arial"/>
          <w:sz w:val="18"/>
          <w:szCs w:val="18"/>
          <w:color w:val="auto"/>
        </w:rPr>
        <w:t>We believe that our ability to offer our customers one point of contact through a bundled cashless payment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makes it easy and efficient for our customers to adopt and deploy our electronic payment solutions and results in a service that is unmatched in the small ticket, self-service retail market today. To our knowledge, other cashless payment solutions available in the market today require the operator to set up their own accounts for cashless processing and manage multiple service providers (i.e., hardware terminal manufacturer, wireless network provider, and/or credit card processor). We interface directly with our card processor and wireless service provider, and with our hardware solutions are able to offer a bundled solution to our customers.</w:t>
      </w:r>
    </w:p>
    <w:p>
      <w:pPr>
        <w:spacing w:after="0" w:line="19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Trusted Brand Name. </w:t>
      </w:r>
      <w:r>
        <w:rPr>
          <w:rFonts w:ascii="Arial" w:cs="Arial" w:eastAsia="Arial" w:hAnsi="Arial"/>
          <w:sz w:val="17"/>
          <w:szCs w:val="17"/>
          <w:color w:val="auto"/>
        </w:rPr>
        <w:t>We believe that the ePort and Energy Miser brands have a strong national reputation for quality, reliability, and innovation.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that card associations, payment processors, and merchants/operators trust our system solutions and services to handle financial transactions in a secure operating environment. Our trusted brand name is best exemplified by our high level of customer retention, numerous exclusive three-year agreements with customers for use of our ePort Connect service. We have agreements with partners like Visa and Verizon Wireless as well as several one-way exclusive relationships which we have solidified with leading organizations within the unattended POS industry, including Setomatic Systems, AMI Entertainment Network, Inc., Innovative Foto, and Air-Serv.</w:t>
      </w:r>
    </w:p>
    <w:p>
      <w:pPr>
        <w:spacing w:after="0" w:line="178" w:lineRule="exact"/>
        <w:rPr>
          <w:rFonts w:ascii="Arial" w:cs="Arial" w:eastAsia="Arial" w:hAnsi="Arial"/>
          <w:sz w:val="17"/>
          <w:szCs w:val="17"/>
          <w:color w:val="auto"/>
        </w:rPr>
      </w:pPr>
    </w:p>
    <w:p>
      <w:pPr>
        <w:jc w:val="both"/>
        <w:ind w:left="34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Market Leadership. </w:t>
      </w:r>
      <w:r>
        <w:rPr>
          <w:rFonts w:ascii="Arial" w:cs="Arial" w:eastAsia="Arial" w:hAnsi="Arial"/>
          <w:sz w:val="17"/>
          <w:szCs w:val="17"/>
          <w:color w:val="auto"/>
        </w:rPr>
        <w:t>We believe we have the largest installed base of unattended POS electronic payment systems in the unattended small-ticket retail</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food and beverage vending and we are continuing to expand to other adjacent markets such as laundry, amusement and gaming and kiosks. As of June 30, 2015, we had approximately 333,000 connections to our network. Our installed base supports our sales and marketing initiatives by enhancing our ability to establish or expand our market position. Finally, we believe our installed base provides multiple opportunities for referrals for new business, either from the merchant or operator of the deployed asset or through one of our several strategic relationships.</w:t>
      </w:r>
    </w:p>
    <w:p>
      <w:pPr>
        <w:spacing w:after="0" w:line="172"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Attractive Value Proposition for Our Customers</w:t>
      </w:r>
      <w:r>
        <w:rPr>
          <w:rFonts w:ascii="Arial" w:cs="Arial" w:eastAsia="Arial" w:hAnsi="Arial"/>
          <w:sz w:val="18"/>
          <w:szCs w:val="18"/>
          <w:color w:val="auto"/>
        </w:rPr>
        <w:t>. We believe that our solutions provide our customers an attractive value proposition. Our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make possible increased purchases by consumers who in the past were limited to the physical cash on hand while making a purchase at an unattended terminal, thereby increasing the universe of potential customers and the buying activity of those customers. In addition, value-added offerings and services such as Two-Tier Pricing, which allows the operator to charge different amounts for the same product depending upon how the consumer chooses to pay, and M2M telemetry provide operators with the ability to pursue additional opportunities to reduce costs and improve operating efficiencies. Lastly, new consumer engagement services further extend the potential for customers to build new revenue opportunities, customer loyalty and brand distinction.</w:t>
      </w:r>
    </w:p>
    <w:p>
      <w:pPr>
        <w:spacing w:after="0" w:line="18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Increasing Scale and Financial Stability. </w:t>
      </w:r>
      <w:r>
        <w:rPr>
          <w:rFonts w:ascii="Arial" w:cs="Arial" w:eastAsia="Arial" w:hAnsi="Arial"/>
          <w:sz w:val="18"/>
          <w:szCs w:val="18"/>
          <w:color w:val="auto"/>
        </w:rPr>
        <w:t>Due to the continued growth in connections to the Company’s ePort Connect service, during the 2015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75% of the Company’s revenues were from licensing and processing fees which are recurring in nature. We believe that this growing scale provides us improved financial stability and the footprint to market and distribute our products and services more effectively and in more markets than most of our competitors.</w:t>
      </w:r>
    </w:p>
    <w:p>
      <w:pPr>
        <w:spacing w:after="0" w:line="186"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Customer-Focused Research and Development. </w:t>
      </w:r>
      <w:r>
        <w:rPr>
          <w:rFonts w:ascii="Arial" w:cs="Arial" w:eastAsia="Arial" w:hAnsi="Arial"/>
          <w:sz w:val="17"/>
          <w:szCs w:val="17"/>
          <w:color w:val="auto"/>
        </w:rPr>
        <w:t>Our research and development initiatives focus primarily on adding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payment solutions based on customer input and emerging market trends. Since we began operations in 1992 and through June 30, 2015, we have been granted 89 patents (US and International) and currently have 12 patent applications pending. We have generated considerable intellectual property and know-how associated with creating a seamless, end-to-end experience for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objective is to continue to enhance our position as a leading provider of technology that enables electronic payment transactions and value-added services primarily at small-ticket, self-service retail locations such as vending, kiosks, commercial laundry, and other similar markets. The Company believes its service-approach business model can create a high-margin stream of recurring revenues that could create a foundation for long-term value and continued growth. Key elements of our strategy are 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Drive Growth in Connections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Leverage Existing Customers/Partners. </w:t>
      </w:r>
      <w:r>
        <w:rPr>
          <w:rFonts w:ascii="Arial" w:cs="Arial" w:eastAsia="Arial" w:hAnsi="Arial"/>
          <w:sz w:val="17"/>
          <w:szCs w:val="17"/>
          <w:color w:val="auto"/>
        </w:rPr>
        <w:t>We have a solid base of key customers across multiple markets, particularly in vending, that have currently deployed</w:t>
      </w:r>
      <w:r>
        <w:rPr>
          <w:rFonts w:ascii="Arial" w:cs="Arial" w:eastAsia="Arial" w:hAnsi="Arial"/>
          <w:sz w:val="17"/>
          <w:szCs w:val="17"/>
          <w:i w:val="1"/>
          <w:iCs w:val="1"/>
          <w:color w:val="auto"/>
        </w:rPr>
        <w:t xml:space="preserve"> </w:t>
      </w:r>
      <w:r>
        <w:rPr>
          <w:rFonts w:ascii="Arial" w:cs="Arial" w:eastAsia="Arial" w:hAnsi="Arial"/>
          <w:sz w:val="17"/>
          <w:szCs w:val="17"/>
          <w:color w:val="auto"/>
        </w:rPr>
        <w:t>our solutions and services to just a small portion of their deployed base.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represent the largest opportunity to scale connections to our service.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Expand Distribution and Sales Reach. </w:t>
      </w:r>
      <w:r>
        <w:rPr>
          <w:rFonts w:ascii="Arial" w:cs="Arial" w:eastAsia="Arial" w:hAnsi="Arial"/>
          <w:sz w:val="18"/>
          <w:szCs w:val="18"/>
          <w:color w:val="auto"/>
        </w:rPr>
        <w:t>We are intently focused on driving profitable growth through efficient sales channels. Added sales resources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relationships have led to approximately 2,300 new ePort Connect customers as well as increased penetration in markets such as amusement and arcade, and commercial laundry in fiscal year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plan to continue to introduce our turnkey solutions and services to various adjacent markets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broad-based kiosk market and other similar markets by leveraging our expertise in cashless payment integration combined with the capacity and uniqueness of our ePort Connect solution.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Capitalize on Opportunities in International Markets</w:t>
      </w:r>
      <w:r>
        <w:rPr>
          <w:rFonts w:ascii="Arial" w:cs="Arial" w:eastAsia="Arial" w:hAnsi="Arial"/>
          <w:sz w:val="17"/>
          <w:szCs w:val="17"/>
          <w:color w:val="auto"/>
        </w:rPr>
        <w:t>. We are currently focused on the U.S. and Canadian markets for our ePort devices and related ePort</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service but may seek to establish a 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the Value of our Service</w:t>
      </w:r>
    </w:p>
    <w:p>
      <w:pPr>
        <w:sectPr>
          <w:pgSz w:w="11900" w:h="16838" w:orient="portrait"/>
          <w:cols w:equalWidth="0" w:num="1">
            <w:col w:w="11420"/>
          </w:cols>
          <w:pgMar w:left="240" w:top="904" w:right="239" w:bottom="32"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i w:val="1"/>
          <w:iCs w:val="1"/>
          <w:color w:val="auto"/>
        </w:rPr>
        <w:t xml:space="preserve">Capitalize on the emerging NFC and growing mobile payments trends. </w:t>
      </w:r>
      <w:r>
        <w:rPr>
          <w:rFonts w:ascii="Arial" w:cs="Arial" w:eastAsia="Arial" w:hAnsi="Arial"/>
          <w:sz w:val="17"/>
          <w:szCs w:val="17"/>
          <w:color w:val="auto"/>
        </w:rPr>
        <w:t>With over 70% of our connected base contactless enabled to accept NFC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mobile wallets), the Company believes that continued increases in consumer preferences towards contactless payments, including mobile wallets like Apple Pay and Android Pay, represent a significant opportunity for the Company to further drive adoption. According to a market research study conducted in June 2015, </w:t>
      </w:r>
      <w:r>
        <w:rPr>
          <w:rFonts w:ascii="Arial" w:cs="Arial" w:eastAsia="Arial" w:hAnsi="Arial"/>
          <w:sz w:val="17"/>
          <w:szCs w:val="17"/>
          <w:color w:val="262626"/>
        </w:rPr>
        <w:t>almost one in six US consumers (15%) had used a mobile wallet in the past six months, up from 9% in the same period in 2013, and</w:t>
      </w:r>
      <w:r>
        <w:rPr>
          <w:rFonts w:ascii="Arial" w:cs="Arial" w:eastAsia="Arial" w:hAnsi="Arial"/>
          <w:sz w:val="17"/>
          <w:szCs w:val="17"/>
          <w:color w:val="auto"/>
        </w:rPr>
        <w:t xml:space="preserve"> </w:t>
      </w:r>
      <w:r>
        <w:rPr>
          <w:rFonts w:ascii="Arial" w:cs="Arial" w:eastAsia="Arial" w:hAnsi="Arial"/>
          <w:sz w:val="17"/>
          <w:szCs w:val="17"/>
          <w:color w:val="262626"/>
        </w:rPr>
        <w:t xml:space="preserve">an additional 22% are likely to adopt mobile wallet functionality in the coming six months (The Future of the Mobile Wallet - </w:t>
      </w:r>
      <w:r>
        <w:rPr>
          <w:rFonts w:ascii="Arial" w:cs="Arial" w:eastAsia="Arial" w:hAnsi="Arial"/>
          <w:sz w:val="17"/>
          <w:szCs w:val="17"/>
          <w:color w:val="000000"/>
        </w:rPr>
        <w:t>Chadwick Martin Bailey</w:t>
      </w:r>
      <w:r>
        <w:rPr>
          <w:rFonts w:ascii="Arial" w:cs="Arial" w:eastAsia="Arial" w:hAnsi="Arial"/>
          <w:sz w:val="17"/>
          <w:szCs w:val="17"/>
          <w:color w:val="262626"/>
        </w:rPr>
        <w:t xml:space="preserve">). As </w:t>
      </w:r>
      <w:r>
        <w:rPr>
          <w:rFonts w:ascii="Arial" w:cs="Arial" w:eastAsia="Arial" w:hAnsi="Arial"/>
          <w:sz w:val="17"/>
          <w:szCs w:val="17"/>
          <w:color w:val="000000"/>
        </w:rPr>
        <w:t>consumers continue to adopt these new methods of cashless payments, it is our belief that adoption will continue to accelerate at a rapid pace and result in more rapid adoption of cashless solutions like USA Technologies’ ePort in the markets that we serve.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i w:val="1"/>
          <w:iCs w:val="1"/>
          <w:color w:val="auto"/>
        </w:rPr>
        <w:t xml:space="preserve">Continuous Innovation. </w:t>
      </w:r>
      <w:r>
        <w:rPr>
          <w:rFonts w:ascii="Arial" w:cs="Arial" w:eastAsia="Arial" w:hAnsi="Arial"/>
          <w:sz w:val="18"/>
          <w:szCs w:val="18"/>
          <w:color w:val="auto"/>
        </w:rPr>
        <w:t>We are continuously enhancing our solutions and services in order to satisfy our customers and the end-consumers relying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the POS locations. Our product innovation team is always working to enhance the design, size, and speed of data transmission, as well as security and compatibility with other electronic payment solution providers’ technologies. We believe our continued innovation will lead to further adoption of USAT’s solutions and services in the unattended POS payments market.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Comprehensive Service and Support. </w:t>
      </w:r>
      <w:r>
        <w:rPr>
          <w:rFonts w:ascii="Arial" w:cs="Arial" w:eastAsia="Arial" w:hAnsi="Arial"/>
          <w:sz w:val="16"/>
          <w:szCs w:val="16"/>
          <w:color w:val="auto"/>
        </w:rPr>
        <w:t>In addition to its industry-leading ePort cashless payments system, USA Technologies seeks to provide its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comprehensive, value-added ePort Connect service that is designed to encourage optimal ROI through business planning and performance optimization; business metrics through the company’s KnowledgeBase of data; a loyalty and rewards program for consumer engagement; marketing strategy and executional support; sales data and machine alerts; DEX data transmission; and the ability to extend cashless payments capabilities and the full suite of services across multiple aspects of an operators’ business including micro-markets, online payments, mobile payments and dining/retail POS.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Leverage Intellectual Property</w:t>
      </w:r>
      <w:r>
        <w:rPr>
          <w:rFonts w:ascii="Arial" w:cs="Arial" w:eastAsia="Arial" w:hAnsi="Arial"/>
          <w:sz w:val="18"/>
          <w:szCs w:val="18"/>
          <w:color w:val="auto"/>
        </w:rPr>
        <w:t>. Through June 30, 2015, we have been granted 89 patents which contain various claims, including claims relating to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networking and energy management devices. In addition, we own numerous trademarks, copyrights, and trade secrets. We will continue to explore ways to leverage this intellectual property in order to add value for our customers, attain an increased share of the market, and possibly generate licensing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August 31, 2015, the Company was marketing and selling its products through its full and part-time sales staff consisting of nineteen people.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 sales efforts are currently primarily focused on the beverage and food vending industry, although we continue to further develop our presence in our ancillary market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strategy to expand our sales reach while optimizing resources, we also have agreements with select resellers in the car wash, amusement and arcade, and vending markets. We also have a strategic marketing relationship in the commercial laundry market that makes the Company the exclusive service provider to Setomatic Systems’ POS offering, SpyderWash. We have also entered into agreements with resellers and distributors in connection with our energy management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t>
      </w:r>
      <w:r>
        <w:rPr>
          <w:rFonts w:ascii="Arial" w:cs="Arial" w:eastAsia="Arial" w:hAnsi="Arial"/>
          <w:sz w:val="18"/>
          <w:szCs w:val="18"/>
          <w:u w:val="single" w:color="auto"/>
          <w:color w:val="auto"/>
        </w:rPr>
        <w:t>www.usatech.com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www.energymisers.com,</w:t>
      </w:r>
      <w:r>
        <w:rPr>
          <w:rFonts w:ascii="Arial" w:cs="Arial" w:eastAsia="Arial" w:hAnsi="Arial"/>
          <w:sz w:val="18"/>
          <w:szCs w:val="18"/>
          <w:color w:val="auto"/>
        </w:rPr>
        <w:t xml:space="preserve">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2011, we signed an agreement with Verizon for access to their digital wireless wide area network for the transport of data, including credit card transactions and inventory management data. The initial term of the agreement was three years, which was extended until April 2016. At the end of the term, the agreement automatically renews for successive one month periods unless terminated by either party upon thirty days’ notice.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becomes a customer of the Company. The Verizon Marketing Agreement is terminable by either party upon 45 days’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As previously reported, following implementation of the Durbin Amendment, Visa had significantly increased its interchange fees for small ticket regulated debit card transactions effective October 1, 2011. The promotional interchange reimbursement fees provided by the aforementioned agreement will continue until October 31, 2017.</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MasterCard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12, 2015, we entered into a three-year MasterCard Acceptance Agreement (“MasterCard Agreement”) with MasterCard International Incorporated ("MasterCard"), pursuant to which MasterCard has agreed to make available to us reduced interchange rates for small ticket debit card transactions in certain merchant category codes. As previously reported, MasterCard had significantly increased its interchange rates for small ticket regulated debit card transactions effective October 1, 2011, and as a result, the Company ceased accepting MasterCard debit card products in mid-November 2011. Pursuant to the MasterCard Agreement, however, the Company is currently accepting MasterCard debit card products for small ticket debit card transactions in the unattended beverage and food vending merchant category code. The Company and MasterCard entered into a first amendment on April 27, 2015, pursuant to which the condition under, or the transactions to, which the MasterCard custom pricing would be available, was amended. The reduced interchange rates became effective on April 20,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Chase Paymentech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entered into a five-year Third Party Payment Processor Agreement, dated April 24, 2015 with Paymentech, LLC, through its member, JPMorgan Chase Bank, N.A. (“Chase Paymentech”), pursuant to which Chase Paymentech will act as the provider of credit and debit card transaction processing services (including authorization, conveyance and settlement of transactions) to the Company and its customers. The Agreement provides that Chase Paymentech will act as the exclusive provider of transaction processing services to the Company and its customers for at least 250,000,000 transactions per year. The Agreement provides that Chase Paymentech may modify the pricing for its services upon 30-days’ notice, and in connection with certain such increases, the Company has the right to terminate the Agreement upon 120-days’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Compass/Foodbuy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per its website, Compass is a $13 billion organization with locations worldwide, is the leader in vending, food service management and support services, is the largest national vending operating company, has over 500,000 associates, and is one of the leading owners and operators of vending machines in the United States. Compass is a division of UK-based Compass Group PLC.</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30, 2009, we entered into a Master Purchase Agreement (“MPA”) with Foodbuy, LLC (“Foodbuy”), the procurement company for Compass Group USA, Inc. (“Compass”) and other customers. 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from the effective date of the agreement, USAT shall be a preferred supplier and provider to Foodbuy and its customers, including Compass, of USAT’s products and services. The MPA automatically renews for successive one-year periods unless terminated by either party upon sixty days’ notice prior to the end of any such one year renewal period. In addition, on July 1, 2009, USAT and Compass, in conjunction with the MPA described above, also entered into a three 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 year periods unless terminated by either party upon sixty days’ notice prior to the end of any such one year renewal period. During the fiscal year ended June 30, 2015, Compass, represented approximately 20% of our total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Entertainment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 year periods thereafter, subject to notice of non-renewal by either party; the agreement renewed for one year in August 2015. AMI manufactures various types of amusement, entertainment and music equipment for sale to third party users.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Setomatic Systems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we entered into an three-year exclusive agreement with Setomatic Systems (“Setomatic”), a privately owned and operated developer and manufacturer of both open and closed loop card payment systems, drop coin meters and electronic timers for the commercial laundry industry. Under the terms of the agreement, the Company, through our ePort Connect® service, will act as the exclusive service provider for all credit/debit card processing for all new customers of Setomatic’s SpyderWash, a credit/debit card acceptance product. Similarly, the Company will market its ePort Connect service in the United States laundry market exclusively through Setomatic.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 START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customers’ upfront capital costs associated with the ePort hardware, the Company makes available to its customers the Quick 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its introduction in September 2014 and through approximately mid-March 2015, the Company entered into these leases directly with its customers. In the third and fourth quarter of fiscal 2015, however, the Company signed vendor agreements with two leasing companies, whereby our customers could enter into leases directly with the leasing companies.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has been a shift by our customers from acquiring our product via JumpStart, which accounted for 65% of our gross connections in fiscal year 2014, to QuickStart or a straight purchase, which was approximately 89% of gross connections for fiscal 2015. The shift to a straight purchase, along with our ability to increase cash collections under QuickStart sales by utilizing leasing companies, has improved cash provided by operating activities.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Due to the success of the QuickStart program as measured by customer utilization of the program and the positive impact on the Company’s cash flows from operating activities when a leasing company is utilized, the Company intends to expand this program by entering into additional vendor agreements with leasing companies and/or expanding its relationship with the two incumbent leasing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 START PROGRAM</w:t>
      </w:r>
    </w:p>
    <w:p>
      <w:pPr>
        <w:sectPr>
          <w:pgSz w:w="11900" w:h="16838" w:orient="portrait"/>
          <w:cols w:equalWidth="0" w:num="1">
            <w:col w:w="11420"/>
          </w:cols>
          <w:pgMar w:left="240" w:top="904" w:right="239" w:bottom="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Pursuant to the JumpStart Program, customers acquire the ePort cashless device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a one-time activation fee, and is later obligated to pay monthly ePort Connect service fees in accordance with the terms of the customer’s contract with the Company, in addition to transaction processing fees generated from the device. In fiscal 2015, the Company added approximately 11% of its gross connections through JumpStart.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independent third 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leading provider of cashless payments systems for the small-ticket, unattended market and believe we have the largest installed base of unattended POS electronic payment systems in the beverage and food vending industry. Factors that we consider to be our competitive advantages are described above under “OUR COMPETITIVE STRENGTHS.” Our competitors are increasingly and actively marketing products and services that compete with our products and services in the vending space including manufacturers who may include in their new vending machines their own (or another third party’s) cashless payment systems and services. These major competitors include Crane Payment Innovations and Cantaloupe Systems, Inc..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Customer concentrations for the years ended June 30, 2015, 2014 and 2013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jc w:val="right"/>
              <w:ind w:right="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Trade accounts and finance receivables- one customer</w:t>
            </w:r>
          </w:p>
        </w:tc>
        <w:tc>
          <w:tcPr>
            <w:tcW w:w="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35%</w:t>
            </w: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License and transaction processing revenues- two customers: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First customer</w:t>
            </w:r>
          </w:p>
        </w:tc>
        <w:tc>
          <w:tcPr>
            <w:tcW w:w="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21%</w:t>
            </w: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Second customer</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Equipment sales revenue- one customer</w:t>
            </w:r>
          </w:p>
        </w:tc>
        <w:tc>
          <w:tcPr>
            <w:tcW w:w="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17%</w:t>
            </w: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(1) Less than 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owns US federal registrations for the following trademarks and service marks: Blue Light Sequence®, Business Express®, CM2iQ®, Creating Value Through Innovation®, EnergyMiser®, ePort®, ePort Connect®, ePort Edge®, ePort GO®, ePort Mobile®, eSuds®, Intelligent Vending®, Public PC®, SnackMiser®, TransAct®, USA Technologies® USALive®, VendingMiser®, and VM2iQ®. The Company owns pending applications for US federal registration of the following trademarks and service marks: Horizontal Blue Light Sequence™and USA Technologies.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June 30, 2015, 89 patents have been granted to the Company, including 76 United States patents and 13 foreign patents, and 6 United States and 6 international patent applications are pending. Of the 89 patents, 73 are still in force.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filed for re-examination of U.S. Patent No. 7,131,575 (Reexamination Control No. 90/008,437) and for reexamination of U.S. Patent No. 6,505,095 (Reexamination Control No. 90/008,448). On January 6, 2009, the U.S. Patent Office issued an Ex Parte Reexamination Certificate in connection with U.S. Patent No. 7,131,575 confirming patentability without any amendment to the claims. On August 11, 2009, the U.S. Patent Office issued an Ex Parte Reexamination Certificate in connection with U.S. Patent No. 6,505,095 which, among other things, approved amendments to certain of the prior claims and approved twelve new claims, for a total of 43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which are included in selling, general and administrative expense in the Consolidated Statements of Operations, were approximately $1,457,000, $1,018,000, and $901,000 for the years ended June 30,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2015, the Company had 64 full-time employees and 2 part-time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85" w:gutter="0" w:footer="0" w:header="0"/>
        </w:sectPr>
      </w:pPr>
    </w:p>
    <w:bookmarkStart w:id="15" w:name="page16"/>
    <w:bookmarkEnd w:id="1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experienced losses from inception through June 30, 2012, with net income for the years ended June 30, 2013 and June 30, 2014. However, we experienced losses for the 2015 fiscal year, and continued profitability is not assured. From our inception through June 30, 2015, our cumulative losses from operations are approximately $172 million. Until the Company’s products and services can generate sufficient annual revenues, the Company will be required to use its cash and cash equivalents on hand, its line of credit, and may raise capital to meet its cash flow requirements including the issuance of Common Stock or debt financing. For the year ended June 30, 2015 and 2014, we incurred a net loss of $1,089,482 and earned a net income of $27,530,652 which includes a benefit for income taxes of $27,255,398, respectively. If we incur losses in the future, the price of our common stock can be expected to fall.</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occurrence of unusual or unanticipated non-operational expenses may require us to divert our cash resources from achieving our business plan, adversely affecting our financial performance and resulting in the decline of our stock price.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fiscal year 2016 business plan assumes that no material unusual or unanticipated non-operational expenses would be incurred by us. In the event we would incur any such expenses, we would anticipate diverting our cash resources from our JumpStart program in order to fund any such expenses. Any such occurrence may cause our anticipated connections, revenues, gross profits, adjusted EBITDA, and other financial metrics for the 2016 fiscal year and beyond to be materially adversely affected. In such event, the price of our common stock could be expected to fall.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of our customers to utilize third party leasing companies under our QuickStart program would materially adversely affect our cash generated from operating activities and/or attaining our business plan.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use of third party leasing companies by our customers under our QuickStart program positively affects our net cash provided by operating activities because we receive the purchase price from the leasing company at the time of the sale. There can be no assurance that we will be able to obtain such third party leasing companies. To the extent that third party leasing companies would not be available, we would lease the equipment directly to our customers. In such event, our net cash from operating activities would be adversely affected and we may be required to incur additional equity or debt financing to fund operations. In the alternative, we would not be able to attain our business plan, including anticipated connections and revenues.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2015, we had net working capital of $6,293,137. We had net cash provided by operating activities of $(1,697,742), $7,085,400, and $6,038,952 for the fiscal years ended June 30, 2015, 2014, and 2013, respectively. Although we believe that we have adequate existing resources (used in) to provide for our funding requirements through at least July 1, 2016, there can be no assurances that we will be able to continue to generate sufficient funds thereafter. Unless we maintain or grow our current level of operations, we may need additional funds to continue these operations. We may also need additional capital to update our technology or respond to unusual or unanticipated non-operational events.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fluctuate.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future operating results will depend significantly on our ability to continue to drive revenues from license and transaction fees and our ability to develop and commercialize new products and services. Our operating results may fluctuate based upon many factors, including:</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revenue generated by our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operating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or maintain effective relationships with significant partners and suppliers on acceptable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debit or credit card interchange rates that are charged by Visa and MasterCard;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fees that we charge our customers for processing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operation of our network;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 success of our customers, which could be affected by such factors as general economic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product and 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cost of, and our ability to develop and successfully commercialize, new or enhanced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activities of, and acquisitions or announcements by,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from any impairment of inventory, goodwill, fixed assets or intangibles;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increase the number of customer connections to our network;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programs which delay realization by us of monthly service fees on our new connections;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breach of security of any of the Company’s systems or third party systems utilized by the Company; and</w:t>
      </w:r>
    </w:p>
    <w:p>
      <w:pPr>
        <w:sectPr>
          <w:pgSz w:w="11900" w:h="16874" w:orient="portrait"/>
          <w:cols w:equalWidth="0" w:num="1">
            <w:col w:w="11420"/>
          </w:cols>
          <w:pgMar w:left="240" w:top="904" w:right="239" w:bottom="0" w:gutter="0" w:footer="0" w:header="0"/>
        </w:sectPr>
      </w:pPr>
    </w:p>
    <w:bookmarkStart w:id="16" w:name="page17"/>
    <w:bookmarkEnd w:id="16"/>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anticipation of and response to technological changes.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fail to gain substantial increased market acceptance. As a result, we may not generate sufficient revenues or profit margins to achieve our financial objectives or growth plans.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assurances that demand for our products will be sufficient to enable us to generate sufficient revenue or become profitable on a sustainable basis. Likewise, no assurance can be given that we will be able to have a sufficient number of ePorts</w:t>
      </w:r>
      <w:r>
        <w:rPr>
          <w:rFonts w:ascii="Arial" w:cs="Arial" w:eastAsia="Arial" w:hAnsi="Arial"/>
          <w:sz w:val="18"/>
          <w:szCs w:val="18"/>
          <w:i w:val="1"/>
          <w:iCs w:val="1"/>
          <w:color w:val="auto"/>
        </w:rPr>
        <w:t>®</w:t>
      </w:r>
      <w:r>
        <w:rPr>
          <w:rFonts w:ascii="Arial" w:cs="Arial" w:eastAsia="Arial" w:hAnsi="Arial"/>
          <w:sz w:val="18"/>
          <w:szCs w:val="18"/>
          <w:color w:val="auto"/>
        </w:rPr>
        <w:t xml:space="preserve"> connected to our network or sell or lease equipment utilizing our network to enough locations to achieve significant revenues. Alternatively, the locations which utilize the network may not be successful locations and our revenues would be adversely affected. We may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 In any such event we may not be able to achieve our growth plans, including anticipated connections and revenue growth.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ind w:right="240"/>
        <w:spacing w:after="0" w:line="386" w:lineRule="auto"/>
        <w:rPr>
          <w:sz w:val="20"/>
          <w:szCs w:val="20"/>
          <w:color w:val="auto"/>
        </w:rPr>
      </w:pPr>
      <w:r>
        <w:rPr>
          <w:rFonts w:ascii="Arial" w:cs="Arial" w:eastAsia="Arial" w:hAnsi="Arial"/>
          <w:sz w:val="15"/>
          <w:szCs w:val="15"/>
          <w:b w:val="1"/>
          <w:bCs w:val="1"/>
          <w:color w:val="auto"/>
        </w:rPr>
        <w:t>We may be required to incur further debt to meet future capital requirements of our business. Should we be required to incur additional debt, the restrictions imposed by the terms of such debt could adversely affect our financial condition and our ability to respond to changes in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If we incur additional debt, we may be subject to the following risks:</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limited;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covenants may affect our flexibility in planning for, and reacting to, changes in the economy and in our industry;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may limit our ability to borrow additional funds, dispose of assets and make certain investments;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sensitive to fluctuations in interest rates if any of our debt obligations are subject to variable interest rates;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key customers could significantly reduce our revenues, results of operations, and 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derived, and believe we may continue to derive, a significant portion of our revenues from one large customer or a limited number of large customers. Customer concentrations for the years ended June 30, 2015, 2014 and 2013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F0FFFF"/>
          </w:tcPr>
          <w:p>
            <w:pPr>
              <w:spacing w:after="0"/>
              <w:rPr>
                <w:sz w:val="20"/>
                <w:szCs w:val="20"/>
                <w:color w:val="auto"/>
              </w:rPr>
            </w:pPr>
            <w:r>
              <w:rPr>
                <w:rFonts w:ascii="Arial" w:cs="Arial" w:eastAsia="Arial" w:hAnsi="Arial"/>
                <w:sz w:val="18"/>
                <w:szCs w:val="18"/>
                <w:color w:val="auto"/>
              </w:rPr>
              <w:t>Trade accounts and finance receivables- one customer</w:t>
            </w:r>
          </w:p>
        </w:tc>
        <w:tc>
          <w:tcPr>
            <w:tcW w:w="10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35%</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center"/>
              <w:ind w:left="10"/>
              <w:spacing w:after="0"/>
              <w:rPr>
                <w:sz w:val="20"/>
                <w:szCs w:val="20"/>
                <w:color w:val="auto"/>
              </w:rPr>
            </w:pPr>
            <w:r>
              <w:rPr>
                <w:rFonts w:ascii="Arial" w:cs="Arial" w:eastAsia="Arial" w:hAnsi="Arial"/>
                <w:sz w:val="18"/>
                <w:szCs w:val="18"/>
                <w:color w:val="auto"/>
                <w:w w:val="88"/>
              </w:rPr>
              <w:t>22%</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License and transaction processing revenues- two customers: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First customer</w:t>
            </w:r>
          </w:p>
        </w:tc>
        <w:tc>
          <w:tcPr>
            <w:tcW w:w="10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21%</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center"/>
              <w:ind w:left="10"/>
              <w:spacing w:after="0"/>
              <w:rPr>
                <w:sz w:val="20"/>
                <w:szCs w:val="20"/>
                <w:color w:val="auto"/>
              </w:rPr>
            </w:pPr>
            <w:r>
              <w:rPr>
                <w:rFonts w:ascii="Arial" w:cs="Arial" w:eastAsia="Arial" w:hAnsi="Arial"/>
                <w:sz w:val="18"/>
                <w:szCs w:val="18"/>
                <w:color w:val="auto"/>
                <w:w w:val="88"/>
              </w:rPr>
              <w:t>26%</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26%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Second customer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F0FFFF"/>
          </w:tcPr>
          <w:p>
            <w:pPr>
              <w:spacing w:after="0"/>
              <w:rPr>
                <w:sz w:val="20"/>
                <w:szCs w:val="20"/>
                <w:color w:val="auto"/>
              </w:rPr>
            </w:pPr>
            <w:r>
              <w:rPr>
                <w:rFonts w:ascii="Arial" w:cs="Arial" w:eastAsia="Arial" w:hAnsi="Arial"/>
                <w:sz w:val="18"/>
                <w:szCs w:val="18"/>
                <w:color w:val="auto"/>
              </w:rPr>
              <w:t>Equipment sales revenue- one customer</w:t>
            </w:r>
          </w:p>
        </w:tc>
        <w:tc>
          <w:tcPr>
            <w:tcW w:w="10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17%</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center"/>
              <w:ind w:left="10"/>
              <w:spacing w:after="0"/>
              <w:rPr>
                <w:sz w:val="20"/>
                <w:szCs w:val="20"/>
                <w:color w:val="auto"/>
              </w:rPr>
            </w:pPr>
            <w:r>
              <w:rPr>
                <w:rFonts w:ascii="Arial" w:cs="Arial" w:eastAsia="Arial" w:hAnsi="Arial"/>
                <w:sz w:val="18"/>
                <w:szCs w:val="18"/>
                <w:color w:val="auto"/>
                <w:w w:val="90"/>
              </w:rPr>
              <w:t>(1)</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(1) Less than 10%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key personnel and if they would leave us, our business could be adversely affected</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key management personnel, particularly the Chairman and Chief Executive Officer, Stephen P. Herbert and our Chief Services Officer, David DeMedio. The loss of services of Mr. Herbert or Mr. DeMedio or other officers could dramatically affect our business prospects. Our executive officers and certain of our officers and employees are particularly valuable to us because:</w:t>
      </w:r>
    </w:p>
    <w:p>
      <w:pPr>
        <w:spacing w:after="0" w:line="18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an employment agreement with Mr. Herbert that expires on January 1, 2016 and with Mr. DeMedio which expires on June 30, 2016, each of which contains confidentiality and non-compete agreements.</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dependence on proprietary technology and limited ability to protect our intellectual property may adversely affect our ability to compete.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ectPr>
          <w:pgSz w:w="11900" w:h="16838" w:orient="portrait"/>
          <w:cols w:equalWidth="0" w:num="1">
            <w:col w:w="11420"/>
          </w:cols>
          <w:pgMar w:left="240" w:top="904" w:right="239" w:bottom="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Through June 30, 2015, we had 12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 United States Government and other countries have granted us 89 patents as of June 30, 2015. There can be no assurance that:</w:t>
      </w:r>
    </w:p>
    <w:p>
      <w:pPr>
        <w:spacing w:after="0" w:line="187" w:lineRule="exact"/>
        <w:rPr>
          <w:sz w:val="20"/>
          <w:szCs w:val="20"/>
          <w:color w:val="auto"/>
        </w:rPr>
      </w:pPr>
    </w:p>
    <w:p>
      <w:pPr>
        <w:jc w:val="right"/>
        <w:ind w:left="5640" w:right="5600" w:hanging="4984"/>
        <w:spacing w:after="0" w:line="906" w:lineRule="auto"/>
        <w:tabs>
          <w:tab w:leader="none" w:pos="13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of the remaining patent applications will be granted to us;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line="10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do not infringe the patents of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 Even if a patent application is granted for any of our products, there can be no assurance that the patented technology will be a commercial success or result in any profits to us.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others could prevent the Company from increasing revenue and achieving its growth plans.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are a leading provider and believe we have the largest installed base of unattended POS electronic payment systems in the small ticket, beverage and food vending industry, our competitors are increasingly and actively marketing products and services that compete with our products and services in this vending space. The competition includes manufacturers who may include in their new vending machines their own (or another third party’s) cashless payment systems and services other than our systems and services.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 Competition from other companies, including those that are well established and have substantially greater resources, may reduce our profitability or reduce our business opportunities.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arrangements with third parties for a variety of component parts used in our products. We have contracted with various suppliers to assist us to develop and manufacture our ePort® products. For other components, we do not have supply contracts with any of our third-party suppliers and we purchase components as needed from time to time. We have contracted with a third-party data system recovery vendor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 disruption in the manufacturing capabilities of our third-party manufacturers, suppliers or distributors would negatively impact our ability to meet customer requirements.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Substantially all of the network service contracts with our customers are terminable for any or no reason upon thirty to sixty days’ advance notice.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operation of our wireless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w:t>
      </w:r>
    </w:p>
    <w:p>
      <w:pPr>
        <w:sectPr>
          <w:pgSz w:w="11900" w:h="16941" w:orient="portrait"/>
          <w:cols w:equalWidth="0" w:num="1">
            <w:col w:w="11420"/>
          </w:cols>
          <w:pgMar w:left="240" w:top="908" w:right="239" w:bottom="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7"/>
          <w:szCs w:val="17"/>
          <w:i w:val="1"/>
          <w:iCs w:val="1"/>
          <w:color w:val="auto"/>
        </w:rPr>
        <w:t>®</w:t>
      </w:r>
      <w:r>
        <w:rPr>
          <w:rFonts w:ascii="Arial" w:cs="Arial" w:eastAsia="Arial" w:hAnsi="Arial"/>
          <w:sz w:val="17"/>
          <w:szCs w:val="17"/>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ind w:right="20"/>
        <w:spacing w:after="0" w:line="282" w:lineRule="auto"/>
        <w:rPr>
          <w:sz w:val="20"/>
          <w:szCs w:val="20"/>
          <w:color w:val="auto"/>
        </w:rPr>
      </w:pPr>
      <w:r>
        <w:rPr>
          <w:rFonts w:ascii="Arial" w:cs="Arial" w:eastAsia="Arial" w:hAnsi="Arial"/>
          <w:sz w:val="18"/>
          <w:szCs w:val="18"/>
          <w:b w:val="1"/>
          <w:bCs w:val="1"/>
          <w:color w:val="auto"/>
        </w:rPr>
        <w:t>We may accumulate excess or obsolete inventory that could result in unanticipated price reductions and write downs and adversely affect our financial results.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Managing the proper inventory levels for components and finished products is challenging. In formulating our product offerings, we have focused our efforts on providing products with greater capability and functionality, which requires us to develop and incorporate the most current technologies in our products. This approach tends to increase the risk of obsolescence for products and components we hold in inventory and may compound the difficulties posed by other factors that affect our inventory levels, including the following:</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maintain significant inventory of components that are in limited supply;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buying components in bulk for the best pricing;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responding to the unpredictable demand for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responding to customer requests for short lead-time delivery schedules;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customers to take delivery of ordered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accumulate excess or obsolete inventory, price reductions and inventory write-downs may result, which could adversely affect our results of operation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adapt to changing technology and our customers’ technology needs.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rapidly changing technology and frequent new service offerings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and continue to sell existing products. Our inability to respond effectively to any of these challenges may have a material adverse effect on our business and financial success.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industry security standards and our products and methodologies are under periodic review and improvement. We also maintain the highest level PCI validation standard as mandated by the card industry and engage third party auditors not only to ensure that we meet the highest industry standards, but also to advise us on improving our security methods. Nevertheless, our products and services and third party products and services that are utilized by us may be vulnerable to breaches in security due to defects in our security mechanisms, the operating system and applications in our hardware platform. Security vulnerabilities could jeopardize the security of information transmitted or stored using our products.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 may be vulnerable to security breach.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or third party products and services utilized by us are invulnerable to unauthorized access or hacking. When there is unauthorized access to credit card data that results in financial loss, there is the potential that parties could seek damages from us, and our business reputation may be materially adversely affected.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 In such event, our business plan and/or competitive advantages in the market place could be materially adversely affected.</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other card payment processors; if they fail or no longer agree to provide their services, our customer relationships could be adversely affected and we could lose business.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agreements with other large payment processing organizations, primarily Chase Paymentech, to enable us to provide card authorization, data capture, settlement and merchant accounting services and access to various reporting tools for the customers we serve. The termination by our card processing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ectPr>
          <w:pgSz w:w="11900" w:h="16838" w:orient="portrait"/>
          <w:cols w:equalWidth="0" w:num="1">
            <w:col w:w="11420"/>
          </w:cols>
          <w:pgMar w:left="240" w:top="904" w:right="239" w:bottom="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Similarly, MasterCard International Incorporated ("MasterCard") has agreed to make available to us reduced interchange rates for small ticket debit card transactions pursuant to a three-year MasterCard Acceptance Agreement dated January 12, 2015, as amended by a First Amendment thereto dated April 27, 2015. If the foregoing agreements with Visa and MasterCard are not extended, our financial results would be materially adversely affected unless we are able to pass these significant additional charges to our customers.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term of the Visa Agreement, the Company does not anticipate accepting any debit cards with interchange fees that are higher than the rates provided under the Visa Agreement. The Company will continue to accept Visa- and MasterCard- branded debit cards in addition to all major credit cards, including Visa, MasterCard, Discover and American Express at its current processing rates. If the Visa or MasterCard Agreements are not extended, our financial results would be materially adversely affected unless we are able to pass these significant additional charges to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recruit, retain and develop qualified personnel is critical to the Company’s success and growth.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Company to successfully compete and grow, it must retain, recruit and develop the necessary personnel who can provide the needed expertise required in its business. In addition, the Company must develop its personnel to provide succession plans capable of maintaining continuity in the midst of the inevitable unpredictability of human capital. However, the market for qualified personnel is competitive and the Company may not succeed in recruiting additional personnel or may fail to effectively replace current personnel who depart with qualified or effective successors. The Company’s effort to retain and develop personnel may also result in significant additional expenses. The Company cannot assure that key personnel, including executive officers, will continue to be employed or that it will be able to attract and retain qualified personnel in the future. Failure to retain or attract key personnel could have a material adverse effect on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expect to pay cash dividends in the foreseeable future and therefore investors should not anticipate cash dividends on their investment.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articles of incorporation prohibit the declaration of any dividends on our common stock unless and until all unpaid and accumulated dividends on the series A convertible preferred stock have been declared and paid. Through September 15, 2015, the unpaid and cumulative dividends on the series A convertible preferred stock are $13,257,454. As of June 30, 2015, each share of series A convertible preferred stock was convertible into 0.1940 of a share of common stock at the option of the holder and is subject to further adjustment as provided in our Articles of Incorporation. The unpaid and cumulative dividends on the series A convertible preferred stock are convertible into shares of our common stock at the rate of $1,000 per share at the option of the holder. During the year ended June 30, 2015, none of our series A convertible preferred stock and no cumulative preferred dividends were converted into shares of 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also provide that the preferred stock has a liquidation preference over the common stock in the amount of $10 per share plus accrued and unpaid dividends. As of June 30, 2015, the liquidation preference was $17,354,908.</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as well as cash payments to certain of our warrant holders which would reduce the amount of the distributions otherwise to be made to the holders of our common stock in connection with such transactions.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2015 is equal to $17,354,908.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terms of the warrants that were issued in March 2011 to acquire up to 3,900,000 shares of common stock at $2.6058 per share which expire in September 2016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w:t>
      </w:r>
    </w:p>
    <w:p>
      <w:pPr>
        <w:sectPr>
          <w:pgSz w:w="11900" w:h="16838" w:orient="portrait"/>
          <w:cols w:equalWidth="0" w:num="1">
            <w:col w:w="11420"/>
          </w:cols>
          <w:pgMar w:left="240" w:top="908" w:right="239" w:bottom="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if any person shall acquire 50% or more of the voting power of our shares. The Black Scholes Value (as defined in the warrant) payable for the 3,900,000 warrants as of June 30, 2015 was approximately $5.3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We may issue additional shares of our common stock, which could depress the market price of our common stock and dilute your ownership.</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15, 2015, we had issued and outstanding warrants to purchase 4,298,000 shares of our common stock. The shares underlying 4,253,000 of these warrants have been registered and may be freely sold.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is expected to be subject to significant fluctuations in response to various factors including, but not limited to, the following:</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operating results and achievement of key business metrics;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if 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differences between reported results and securities analysts’ published or unpublished expectations;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contracts, service offerings or technological innovations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reaction to any acquisitions, joint ventures or strategic investments announced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our services and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common stock being sold pursuant to Rule 144 or upon exercise of warrants;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about our financial position, operating results, litigation, government regulation, developments or disputes relating to agreements, patents or proprietary rights;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dilutive effects of future sales of shares of common stock by shareholders and by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average daily trading volume in our common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working capital financing;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or stock market conditions unrelated to our operating performance.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substantial market overhang of our shares may tend to depress the market price of our shares.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15, 2015, the Company has 4,253,000 of our shares underlying warrants exercisable at $2.6058 per share at any time before September 18, 2016 which are required to be registered by us for resale under applicable securities laws. Sales in the public market of a substantial number of the shares underlying these warrants, or the perception that these sales may occur, could cause the market price of our common stock to decline. In addition, the sale of these shares could impair our ability to raise capital, should we wish to do so, through the sale of additional common stock. We are unable to estimate the number of shares that may be sold because this will depend on the market price for our common stock, the personal circumstances of the sellers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is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ectPr>
          <w:pgSz w:w="11900" w:h="16838" w:orient="portrait"/>
          <w:cols w:equalWidth="0" w:num="1">
            <w:col w:w="11420"/>
          </w:cols>
          <w:pgMar w:left="240" w:top="904"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conducts its operations from various facilities under operating leases. The Company leases 17,249 square feet of space located in Malvern, Pennsylvania for its principal executive office and for general administrative functions, sales activities, product development, and customer support. The lease term expires on April 30, 2016. As of June 30, 2015, the Company’s rent payment for this facility is approximately $32,000 per month.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The Company also leases 11,250 square feet of space in Malvern, Pennsylvania for its product warehousing and shipping under a lease agreement, which expires on February 28, 2016. As of June 30, 2015, the Company’s rent payment is approximately $5,000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26, 2015, Universal Clearing Solutions, LLC (“Universal Clearing”), a former non-vending customer of the Company, filed a complaint against the Company in the United States District Court for the District of Arizona. On April 10, 2015, Universal Clearing filed an amended complaint, and on June 19, 2015, Universal Clearing filed a second amended complaint, which alleged causes of action against the Company for breach of contract, breach of fiduciary duty, and defamation. The allegations in the complaint relate to an agreement entered into between the Company and Universal Clearing pursuant to which Universal Clearing could board certain sub-merchants on the Company’s service. The complaint seeks monetary damages allegedly incurred by Universal Clearing as a result of, among other things, the Company’s refusal to board on its service certain sub-merchants of Universal Clearing. On July 24, 2015, the Company filed an answer to the defamation count of the complaint denying the allegations, and filed a motion to dismiss the remaining counts. The court has not yet ruled on the Company’s motion to dismiss.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2015, the Company filed a counterclaim against Universal Clearing seeking damages of approximately $680,000 which were incurred by the Company in connection with chargebacks relating to Universal Clearing’s sub-merchants which had been boarded on the Company’s service. The counterclaim alleges that Universal Clearing is responsible under the agreement for these chargebacks, and Universal Clearing misrepresented to the Company the business practices and other matters relating to these sub-merchants. On August 17, 2015, Universal Clearing filed an answer to the counterclaim denying that it was responsible for the chargebacks or had made any misrepresentations.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7, 2015, the Company filed a third party complaint in the pending action against Steven Juliver, the manager of Universal Clearing, as well as against Universal Tranware, LLC, and Secureswype, LLC, entities affiliated with Universal Clearing. The third party complaint sets forth causes of action for fraud and breach of contract, and seeks to recover from these defendants the chargebacks relating to Universal Clearing’s sub-merchants described above. On September 14, 2015, the third party defendants filed a motion to dismiss the third party complaint. The court has not yet ruled on the motion to dismiss.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believe that the claims set forth in the second amended complaint have merit and intends to vigorously defend this matter. The Company does not believe that this action would have a material adverse effect on its financial statements, results of operations or cash flows. The Company also intends to pursue its claims for damages set forth in the counterclaim and third party complaint.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of the Company trades on The NASDAQ Global Market under the symbol USAT. The high and low bid prices on The NASDAQ Global Market for the common stock were as follows: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5100" w:type="dxa"/>
            <w:vAlign w:val="bottom"/>
            <w:gridSpan w:val="2"/>
          </w:tcPr>
          <w:p>
            <w:pPr>
              <w:spacing w:after="0"/>
              <w:rPr>
                <w:sz w:val="20"/>
                <w:szCs w:val="20"/>
                <w:color w:val="auto"/>
              </w:rPr>
            </w:pPr>
            <w:r>
              <w:rPr>
                <w:rFonts w:ascii="Arial" w:cs="Arial" w:eastAsia="Arial" w:hAnsi="Arial"/>
                <w:sz w:val="18"/>
                <w:szCs w:val="18"/>
                <w:color w:val="auto"/>
              </w:rPr>
              <w:t>Year ended June 30, 2015</w:t>
            </w:r>
          </w:p>
        </w:tc>
        <w:tc>
          <w:tcPr>
            <w:tcW w:w="1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High</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Low</w:t>
            </w:r>
          </w:p>
        </w:tc>
      </w:tr>
      <w:tr>
        <w:trPr>
          <w:trHeight w:val="216"/>
        </w:trPr>
        <w:tc>
          <w:tcPr>
            <w:tcW w:w="5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First Quarter (through September 30, 2014)</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Second Quarter (through December 31,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Third Quarter (through March 31, 2015)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2.76</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1.55</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Fourth Quarter (through June 30,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r>
      <w:tr>
        <w:trPr>
          <w:trHeight w:val="438"/>
        </w:trPr>
        <w:tc>
          <w:tcPr>
            <w:tcW w:w="5100" w:type="dxa"/>
            <w:vAlign w:val="bottom"/>
            <w:gridSpan w:val="2"/>
          </w:tcPr>
          <w:p>
            <w:pPr>
              <w:spacing w:after="0"/>
              <w:rPr>
                <w:sz w:val="20"/>
                <w:szCs w:val="20"/>
                <w:color w:val="auto"/>
              </w:rPr>
            </w:pPr>
            <w:r>
              <w:rPr>
                <w:rFonts w:ascii="Arial" w:cs="Arial" w:eastAsia="Arial" w:hAnsi="Arial"/>
                <w:sz w:val="18"/>
                <w:szCs w:val="18"/>
                <w:color w:val="auto"/>
              </w:rPr>
              <w:t>Year ended June 30, 2014</w:t>
            </w:r>
          </w:p>
        </w:tc>
        <w:tc>
          <w:tcPr>
            <w:tcW w:w="14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High</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Low</w:t>
            </w:r>
          </w:p>
        </w:tc>
      </w:tr>
      <w:tr>
        <w:trPr>
          <w:trHeight w:val="216"/>
        </w:trPr>
        <w:tc>
          <w:tcPr>
            <w:tcW w:w="5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First Quarter (through September 30, 2013)</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Second Quarter (through December 31, 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Third Quarter (through March 31, 2014)</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2.48</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1.80</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Fourth Quarter (through June 30,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2015, there were 614 record holders of the common stock and 306 record holders of the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September 15, 2015, such accumulated unpaid dividends amounted to $13,257,454. The preferred stock is also entitled to a liquidation preference over the common stock which as of June 30, 2015 equaled $17,354,908.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equity securities authorized for issuance by the Company with respect to compensation plans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23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 of Securities</w:t>
            </w: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Weighted average</w:t>
            </w:r>
          </w:p>
        </w:tc>
        <w:tc>
          <w:tcPr>
            <w:tcW w:w="20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to be issued upon</w:t>
            </w: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price of</w:t>
            </w:r>
          </w:p>
        </w:tc>
        <w:tc>
          <w:tcPr>
            <w:tcW w:w="2020" w:type="dxa"/>
            <w:vAlign w:val="bottom"/>
            <w:gridSpan w:val="2"/>
          </w:tcPr>
          <w:p>
            <w:pPr>
              <w:jc w:val="center"/>
              <w:ind w:right="250"/>
              <w:spacing w:after="0"/>
              <w:rPr>
                <w:sz w:val="20"/>
                <w:szCs w:val="20"/>
                <w:color w:val="auto"/>
              </w:rPr>
            </w:pPr>
            <w:r>
              <w:rPr>
                <w:rFonts w:ascii="Arial" w:cs="Arial" w:eastAsia="Arial" w:hAnsi="Arial"/>
                <w:sz w:val="18"/>
                <w:szCs w:val="18"/>
                <w:color w:val="auto"/>
                <w:w w:val="88"/>
              </w:rPr>
              <w:t>future issuance</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exercise of outstanding</w:t>
            </w: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outstanding options</w:t>
            </w:r>
          </w:p>
        </w:tc>
        <w:tc>
          <w:tcPr>
            <w:tcW w:w="202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options and warrants</w:t>
            </w: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and warrants</w:t>
            </w:r>
          </w:p>
        </w:tc>
        <w:tc>
          <w:tcPr>
            <w:tcW w:w="20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reflected in column (a))</w:t>
            </w:r>
          </w:p>
        </w:tc>
      </w:tr>
      <w:tr>
        <w:trPr>
          <w:trHeight w:val="237"/>
        </w:trPr>
        <w:tc>
          <w:tcPr>
            <w:tcW w:w="586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2020" w:type="dxa"/>
            <w:vAlign w:val="bottom"/>
            <w:gridSpan w:val="2"/>
          </w:tcPr>
          <w:p>
            <w:pPr>
              <w:jc w:val="center"/>
              <w:ind w:right="250"/>
              <w:spacing w:after="0"/>
              <w:rPr>
                <w:sz w:val="20"/>
                <w:szCs w:val="20"/>
                <w:color w:val="auto"/>
              </w:rPr>
            </w:pPr>
            <w:r>
              <w:rPr>
                <w:rFonts w:ascii="Arial" w:cs="Arial" w:eastAsia="Arial" w:hAnsi="Arial"/>
                <w:sz w:val="18"/>
                <w:szCs w:val="18"/>
                <w:color w:val="auto"/>
                <w:w w:val="95"/>
              </w:rPr>
              <w:t>(c)</w:t>
            </w:r>
          </w:p>
        </w:tc>
      </w:tr>
      <w:tr>
        <w:trPr>
          <w:trHeight w:val="216"/>
        </w:trPr>
        <w:tc>
          <w:tcPr>
            <w:tcW w:w="57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F0FFFF"/>
            </w:tcBorders>
            <w:shd w:val="clear" w:color="auto" w:fill="F0FFFF"/>
          </w:tcPr>
          <w:p>
            <w:pPr>
              <w:spacing w:after="0"/>
              <w:rPr>
                <w:sz w:val="18"/>
                <w:szCs w:val="18"/>
                <w:color w:val="auto"/>
              </w:rPr>
            </w:pPr>
          </w:p>
        </w:tc>
        <w:tc>
          <w:tcPr>
            <w:tcW w:w="1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513,888</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F0FFFF"/>
            </w:tcBorders>
            <w:shd w:val="clear" w:color="auto" w:fill="F0FFFF"/>
          </w:tcPr>
          <w:p>
            <w:pPr>
              <w:spacing w:after="0"/>
              <w:rPr>
                <w:sz w:val="18"/>
                <w:szCs w:val="18"/>
                <w:color w:val="auto"/>
              </w:rPr>
            </w:pPr>
          </w:p>
        </w:tc>
        <w:tc>
          <w:tcPr>
            <w:tcW w:w="1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1,491,119</w:t>
            </w:r>
          </w:p>
        </w:tc>
        <w:tc>
          <w:tcPr>
            <w:tcW w:w="3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bl>
    <w:p>
      <w:pPr>
        <w:spacing w:after="0" w:line="202" w:lineRule="exact"/>
        <w:rPr>
          <w:sz w:val="20"/>
          <w:szCs w:val="20"/>
          <w:color w:val="auto"/>
        </w:rPr>
      </w:pPr>
    </w:p>
    <w:p>
      <w:pPr>
        <w:ind w:right="120" w:firstLine="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1,250,000 shares of common stock issuable under the 2015 Equity Incentive Plan as approved by shareholders on June 18, 2015, and 241,119 shares of common stock issuable under the Company’s 2013 Stock Incentive Plan as approved by shareholders on June 21, 2013 for use in compensating employees, officers and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15, 2015, shares of common stock reserved for future issuance were as follows:</w:t>
      </w:r>
    </w:p>
    <w:p>
      <w:pPr>
        <w:spacing w:after="0" w:line="225" w:lineRule="exact"/>
        <w:rPr>
          <w:sz w:val="20"/>
          <w:szCs w:val="20"/>
          <w:color w:val="auto"/>
        </w:rPr>
      </w:pPr>
    </w:p>
    <w:p>
      <w:pPr>
        <w:ind w:left="700" w:hanging="233"/>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4,298,000 shares issuable upon the exercise of common stock warrants at exercise prices ranging from $2.10 to $2.6058 per share; all warrants were exercisable as of September 15, 2015;</w:t>
      </w:r>
    </w:p>
    <w:p>
      <w:pPr>
        <w:spacing w:after="0" w:line="170" w:lineRule="exact"/>
        <w:rPr>
          <w:rFonts w:ascii="Arial" w:cs="Arial" w:eastAsia="Arial" w:hAnsi="Arial"/>
          <w:sz w:val="18"/>
          <w:szCs w:val="18"/>
          <w:color w:val="auto"/>
        </w:rPr>
      </w:pPr>
    </w:p>
    <w:p>
      <w:pPr>
        <w:ind w:left="700" w:hanging="23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99,193 shares issuable upon the conversion of outstanding preferred stock and cumulative preferred stock dividends;</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241,119 shares issuable under the 2013 Stock Incentive Plan;</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750,000 shares underlying stock options issued or to be issued under the 2014 Stock Option Incentive Plan;</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1,250,000 shares issuable under the 2015 Equity Incentive Plan;</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140,000 shares issuable to our former CEO upon the occurrence of a USA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graph shows a comparison of the 5-year cumulative total shareholder return for our common stock with The NASDAQ Composite Index and the S&amp;P 500 Information Technology Index for small cap companies in the United States. The graph assumes a $100 investment on June 30, 2010 in our common stock and in the NASDAQ Composite Index and the S&amp;P 500 Information Technology Index, including reinvestment of dividends.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152400</wp:posOffset>
            </wp:positionV>
            <wp:extent cx="4845050" cy="2941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4505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Total Return For: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Jun-10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Jun-11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Jun-12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Jun-13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Jun-14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Jun-15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USA Technologies, Inc.</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290</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348</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NASDAQ Composite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S&amp;P 500 Information Technology Index</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for the five years ended June 30, 2015 are derived from the audited consolidated financial statements of USA Technologies, Inc. The data should be read in conjunction with the consolidated financial statements, related notes, and other financial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87"/>
              </w:rPr>
              <w:t>Year ended June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Borders>
              <w:bottom w:val="single" w:sz="8" w:color="F0FFFF"/>
            </w:tcBorders>
          </w:tcPr>
          <w:p>
            <w:pPr>
              <w:spacing w:after="0"/>
              <w:rPr>
                <w:sz w:val="20"/>
                <w:szCs w:val="20"/>
                <w:color w:val="auto"/>
              </w:rPr>
            </w:pPr>
          </w:p>
        </w:tc>
        <w:tc>
          <w:tcPr>
            <w:tcW w:w="30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 (1)</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OPERATIONS DATA:</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58,077,474</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42,344,964</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35,940,244</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29,017,243</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22,868,789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(240,303)</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436,332</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713,925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(7,000,392)</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(5,688,217)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(1,089,482)</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27,530,652</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854,123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(5,211,238)</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(6,457,067)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(665,577)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3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(1,753,934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26,866,200</w:t>
            </w: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189,671</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(5,875,690</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(7,122,644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5"/>
              </w:rPr>
              <w:t>Net earnings (loss) per common share - basic and diluted</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3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BALANCE SHEET DATA:</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73,835,195</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70,764,242</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36,576,196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33,219,657</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2,331,946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422,776</w:t>
            </w:r>
          </w:p>
        </w:tc>
        <w:tc>
          <w:tcPr>
            <w:tcW w:w="3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369,906</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728,330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53,310,709</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53,736,667</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23,379,191</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21,655,022</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CASH FLOW DATA:</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(1,697,742)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7,085,400</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6,038,952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78,236</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(908,227)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3,353,491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(7,917,452)</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(9,180,837)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(6,232,814)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(4,554,692)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645,904</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3,923,372</w:t>
            </w: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2,696,240</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(410,288)</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10,850,106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2,301,653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3,091,320</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(445,645)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(6,564,866)</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5,387,187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9,072,320</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5,981,000</w:t>
            </w: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6,426,645</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12,991,511</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7,604,324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F0FFFF"/>
          </w:tcPr>
          <w:p>
            <w:pPr>
              <w:spacing w:after="0"/>
              <w:rPr>
                <w:sz w:val="22"/>
                <w:szCs w:val="22"/>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11,373,973</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9,072,320</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5,981,000</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6,426,645</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CONNECTIONS AND TRANSACTION DATA</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New Connections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Total Connections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333,000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266,000</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214,000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164,000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New Customers Added</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2,250</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Customers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Number of Transactions (millions)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Transaction Volume ($millions)</w:t>
            </w:r>
          </w:p>
        </w:tc>
        <w:tc>
          <w:tcPr>
            <w:tcW w:w="5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388.9</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293.8</w:t>
            </w:r>
          </w:p>
        </w:tc>
        <w:tc>
          <w:tcPr>
            <w:tcW w:w="3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171.3</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1240" w:hanging="5632"/>
        <w:spacing w:after="0" w:line="778" w:lineRule="auto"/>
        <w:tabs>
          <w:tab w:leader="none" w:pos="3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for the year ended June 30, 2014 includes an income tax benefit of $27,255,398 for the reduction of tax valuation allowance.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The following unaudited quarterly financial operations data for the years ended June 30, 2015 and June 30, 2014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2015</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First Quarter</w:t>
            </w:r>
          </w:p>
        </w:tc>
        <w:tc>
          <w:tcPr>
            <w:tcW w:w="10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12,252,602</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12,820,937</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15,357,740</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17,646,195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58,077,474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3,135,238</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3,733,256</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5,146,139</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4,808,001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16,822,634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(666,652)</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51,455</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731,406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(356,512)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(240,303)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(60,956)</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(260,915)</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(566,610)</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(201,001)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(1,089,482)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(393,182)</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(260,915)</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(898,836)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(201,001)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(1,753,934)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 - basic and diluted</w:t>
            </w: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35,586,455</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35,657,519</w:t>
            </w: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35,687,650</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35,716,603</w:t>
            </w:r>
          </w:p>
        </w:tc>
        <w:tc>
          <w:tcPr>
            <w:tcW w:w="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35,663,386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2014</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First Quarter</w:t>
            </w:r>
          </w:p>
        </w:tc>
        <w:tc>
          <w:tcPr>
            <w:tcW w:w="10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10,123,058</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10,570,514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10,443,932</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11,207,460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42,344,964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3,582,771</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3,830,133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3,997,788</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3,662,144</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15,072,836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128,918</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509,690</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365,535</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(567,811)</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436,332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293,654</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409,191</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26,866,526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(38,719)</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27,530,652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(38,572)</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409,191</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26,534,300</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(38,719)</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26,866,200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0.75</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33,324,295</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34,136,884</w:t>
            </w: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35,504,911</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35,517,099</w:t>
            </w:r>
          </w:p>
        </w:tc>
        <w:tc>
          <w:tcPr>
            <w:tcW w:w="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34,613,497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0.75</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6"/>
              </w:rPr>
              <w:t>Diluted weighted average number of common shares</w:t>
            </w: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33,324,295</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34,222,731</w:t>
            </w: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35,504,911</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35,517,099</w:t>
            </w:r>
          </w:p>
        </w:tc>
        <w:tc>
          <w:tcPr>
            <w:tcW w:w="6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34,613,497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gridSpan w:val="2"/>
          </w:tcPr>
          <w:p>
            <w:pPr>
              <w:ind w:left="100"/>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can be installed and/or embedded into everyday devices such as vending machines, a variety of kiosks, amusement, commercial laundry, kiosk and smartphones via our ePort Mobile™ solution. Our associated service, ePort Connect</w:t>
      </w:r>
      <w:r>
        <w:rPr>
          <w:rFonts w:ascii="Arial" w:cs="Arial" w:eastAsia="Arial" w:hAnsi="Arial"/>
          <w:sz w:val="17"/>
          <w:szCs w:val="17"/>
          <w:i w:val="1"/>
          <w:iCs w:val="1"/>
          <w:color w:val="auto"/>
        </w:rPr>
        <w:t>®</w:t>
      </w:r>
      <w:r>
        <w:rPr>
          <w:rFonts w:ascii="Arial" w:cs="Arial" w:eastAsia="Arial" w:hAnsi="Arial"/>
          <w:sz w:val="17"/>
          <w:szCs w:val="17"/>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7"/>
          <w:szCs w:val="17"/>
          <w:i w:val="1"/>
          <w:iCs w:val="1"/>
          <w:color w:val="auto"/>
        </w:rPr>
        <w:t>®</w:t>
      </w:r>
      <w:r>
        <w:rPr>
          <w:rFonts w:ascii="Arial" w:cs="Arial" w:eastAsia="Arial" w:hAnsi="Arial"/>
          <w:sz w:val="17"/>
          <w:szCs w:val="17"/>
          <w:color w:val="auto"/>
        </w:rPr>
        <w:t xml:space="preserve"> and CoolerMiser™, which reduce energy consumption in vending machines and coolers.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generates revenue in multiple ways. 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generates equipment revenue through the direct sale, lease, or rental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as well as our stand-alone, non-networked energy management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2015 COMPARED TO FISCAL YEAR ENDED JUNE 30, 2014</w:t>
      </w:r>
    </w:p>
    <w:p>
      <w:pPr>
        <w:sectPr>
          <w:pgSz w:w="11900" w:h="16838" w:orient="portrait"/>
          <w:cols w:equalWidth="0" w:num="1">
            <w:col w:w="11420"/>
          </w:cols>
          <w:pgMar w:left="240" w:top="904" w:right="239" w:bottom="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Results for the fiscal year ended June 30, 2015 continued to demonstrate growth toward achieving our long-term goals. Highlights of year over year improvements include:</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net new connections of 67,000;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revenue up 37% to $58.1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22% to $43.6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Improvements in cash flows from operating activities in third and fourth quarters, as a result of QuickStart reintroduced during the fiscal year.</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Revenues for the fiscal year ended June 30, 2015 were $58,077,474, consisting of $43,633,462 of license and transactions fees and $14,444,012 of equipment sales, compared to $42,344,964 for the fiscal year ended June 30, 2014, consisting of $35,638,121 of license and transaction fees and $6,706,843 of equipment sales. The increase in total revenue of $15,732,510, or 37%, was equally attributable to the increase in equipment sales of $7,737,169 or 115% and the increase in license and transaction fees of $7,995,341, or 22%, from the prior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75% of total revenue for fiscal 2015, is primarily attributable to monthly ePort Connect® service fees and transaction processing fees. Highlights for fiscal 2015 include:</w:t>
      </w:r>
    </w:p>
    <w:p>
      <w:pPr>
        <w:spacing w:after="0" w:line="170" w:lineRule="exact"/>
        <w:rPr>
          <w:sz w:val="20"/>
          <w:szCs w:val="20"/>
          <w:color w:val="auto"/>
        </w:rPr>
      </w:pPr>
    </w:p>
    <w:p>
      <w:pPr>
        <w:ind w:left="980" w:hanging="378"/>
        <w:spacing w:after="0" w:line="25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67,000 net connections to our service, consisting of 82,000 new connections to our ePort Connect service in fiscal 2015, offset by 15,000 deactivations, compared to 52,000 net connections added in fiscal 2014;</w:t>
      </w:r>
    </w:p>
    <w:p>
      <w:pPr>
        <w:spacing w:after="0" w:line="1" w:lineRule="exact"/>
        <w:rPr>
          <w:rFonts w:ascii="Arial" w:cs="Arial" w:eastAsia="Arial" w:hAnsi="Arial"/>
          <w:sz w:val="18"/>
          <w:szCs w:val="18"/>
          <w:color w:val="auto"/>
        </w:rPr>
      </w:pPr>
    </w:p>
    <w:p>
      <w:pPr>
        <w:ind w:left="980" w:hanging="378"/>
        <w:spacing w:after="0" w:line="265"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of June 30, 2015, the Company had approximately 333,000 connections to the ePort Connect service compared to approximately 266,000 connections to the ePort Connect service as of June 30, 2014, an increase of 67,000 net connections or 25%;</w:t>
      </w:r>
    </w:p>
    <w:p>
      <w:pPr>
        <w:ind w:left="980" w:hanging="378"/>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2015 of 29% and 32%, respectively, compared to the same period a year ago; and</w:t>
      </w:r>
    </w:p>
    <w:p>
      <w:pPr>
        <w:ind w:left="980" w:hanging="37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ePort Connect customer base grew 32% from June 30, 2014.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year ended June 30, 2015, the Company processed approximately 216.6 million transactions totaling approximately $388.9 million compared to approximately 168.5 million transactions totaling approximately $293.8 million during the year ended June 30, 2014, an increase of approximately 29% in the number of transactions and approximately 32% in the value of transactions processed.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fiscal year ended June 30, 2015 totaled 2,300, bringing the total number of customers to approximately 9,600 as of June 30, 2015. The Company added approximately 2,250 new customers in the year ended June 30, 2014. By comparison, the Company had approximately 7,300 customers as of June 30, 2014, representing a 32%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$7,737,169 increase in equipment sales was a result of an increase of approximately $8,159,507 related to ePort® products, offset by decreases of approximately $433,130 in Energy Miser products. The increase in ePort products is directly attributable to selling more units, versus renting units via the JumpStart program, during the current fiscal year due to the reintroduction of the QuickStart program in September 2014. The decrease in Energy Miser products is directly attributable to selling fewer units during the current fiscal year.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sales consisted of cost of services for license and transaction fees of $29,429,385 and $23,018,001 and equipment costs of $11,825,455 and $4,254,127, for the years ended June 30, 2015 and 2014, respectively. The increase in total cost of sales of $13,982,712, or 51%, was due to an increase in cost of equipment sales of $7,571,328 due to selling more units during the period under the QuickStart program. In fiscal 2014, the JumpStart program accounted for a significant percentage of the Company’s net new connections. Under this program, the cost of the device is depreciated to cost of services for license and transaction fees over the expected rental period. There was also an increase in cost of services of $6,411,384 that stemmed from the greater number of connections to the Company’s ePort Connect service and increases in transaction dollars processed by those connections.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(“GP”) for the year ended June 30, 2015 was $16,822,634 compared to GP of $15,072,836 for the previous fiscal year, an increase of $1,749,798, or 12%, of which $14,204,077 is attributable to license and transaction fees GP and $2,618,557 of equipment sales GP. Overall gross profit margins decreased from 36% to 29% due to a decrease in license and transaction fees margins to 33%, from 35% in the prior fiscal year and by a decrease in equipment sales margins to 18%, from 37% in the prior fiscal year.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License and transaction fees margins decreased due to the impact of certain JumpStart connections added during the third and fourth quarters of 2014 fiscal year with fee grace periods extending into fiscal year 2015 under sales incentives, as well as approximately $1,716,000 of net rent expense during the year ended June 30, 2015 related to the Sale Leaseback transactions, which is approximately $535,000 higher than the depreciation the Company would have recorded on the ePorts during the same period had the Sale Leaseback transactions not occurred. Also contributing to the decrease of license and transaction fee margins was a charge of approximately $410,000 connection with a customer billing dispute.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equipment revenue margins is attributable to sales under the QuickStart program, which has generally lower margins than what is recognized under a rental, or JumpStart. In addition, there were approximately $878,000 less in activation fees recorded during fiscal 2015 versus fiscal 2014, which are a higher margin revenue source, and to date have not been part of the QuickStart program.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$166,000 increase in equipment sales GP includes one-time recoveries of $747,000 and $152,000 in the years ended June 30, 2015 and 2014, respectively. The $747,000 relates to recoveries arising from a customer agreement; and, the $152,000 was a reversal of a prior charge for equipment rebates. Excluding these one-time items, equipment sales GP decreased $429,000 from the prior year, which was mostly attributable to having $878,000 less GP from ePort activation fees, which are a higher margin revenue source and which to date are not part of the QuickStart Program and $215,000 less GP related to fewer energy miser offset by a higher dollar volume of gross profit from the large increase in equipment revenue dollars as compared to a year ago.</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expenses of $16,451,255 for the fiscal year ended June 30, 2015, increased by $2,415,239 or 17%, from the prior fiscal year. Approximately $1,130,000, or 47% of the increase, were non-cash expenses. The overall increase in SG&amp;A is attributable to increases of approximately $1,100,000 in bad debt estimates, $588,000 in employee and director compensation and benefits expenses, $552,000 in consulting and professional services, and by a net increase of $175,000 for various other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Other income and expense for the year ended June 30, 2015, primarily consisted of a $393,144 non-cash charge for the change in the fair value of the Company’s warrant liabilities. The primary factor affecting the change in fair value is the increase in the Black-Scholes value of the warrants from June 30, 2014 to June 30, 2015, which factored in the increase in the Company’s stock price as well as a decrease in its volatility used for this calculation during that period.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fiscal year ended June 30, 2015 resulted in net loss of $1,089,482 compared to net income of $27,530,652 for the fiscal year ended June 30, 2014. Included in net income for the fiscal year ended June 30, 2014 is a benefit from a reduction in income tax valuation allowances of $26,713,897. After preferred dividends of $664,452 for each fiscal year, net (loss)/income applicable to common shareholders was $(1,753,934) and $26,866,200 for the fiscal years ended 2015 and 2014, respectively. For the fiscal year ended June 30, 2015, net loss per common share (basic and diluted) were $0.05, compared to net earnings per common share (basic and diluted) of $0.78.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loss was $470,262 for the year ended June 30, 2015, compared to non-GAAP net income of $188,804 for the year ended June 30, 2014. Management believes that non-GAAP net income is an important measure of USAT’s business. Management uses the aforementioned non-GAAP measures to monitor and evaluate ongoing operating results and trends and to gain an understanding of our comparative operating performance. We believe that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income to Non-GAAP net income for the years ended June 30, 2015 and 2014 is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3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(1,089,482)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27,530,652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Non-GAAP adjustments:</w:t>
            </w: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Non-cash portion of income tax provision (benefit)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(27,276,419)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13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393,144</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Non-GAAP net income (loss)</w:t>
            </w:r>
          </w:p>
        </w:tc>
        <w:tc>
          <w:tcPr>
            <w:tcW w:w="13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(470,262</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188,804</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F0FFFF"/>
            </w:tcBorders>
          </w:tcPr>
          <w:p>
            <w:pPr>
              <w:spacing w:after="0" w:line="20" w:lineRule="exact"/>
              <w:rPr>
                <w:sz w:val="1"/>
                <w:szCs w:val="1"/>
                <w:color w:val="auto"/>
              </w:rPr>
            </w:pPr>
          </w:p>
        </w:tc>
        <w:tc>
          <w:tcPr>
            <w:tcW w:w="13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(1,089,482)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27,530,652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3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13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(1,753,934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26,866,200</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F0FFFF"/>
            </w:tcBorders>
          </w:tcPr>
          <w:p>
            <w:pPr>
              <w:spacing w:after="0" w:line="20" w:lineRule="exact"/>
              <w:rPr>
                <w:sz w:val="1"/>
                <w:szCs w:val="1"/>
                <w:color w:val="auto"/>
              </w:rPr>
            </w:pPr>
          </w:p>
        </w:tc>
        <w:tc>
          <w:tcPr>
            <w:tcW w:w="13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(470,262)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3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Non-GAAP net loss applicable to common shares</w:t>
            </w:r>
          </w:p>
        </w:tc>
        <w:tc>
          <w:tcPr>
            <w:tcW w:w="13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(1,134,714</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(475,648</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F0FFFF"/>
            </w:tcBorders>
          </w:tcPr>
          <w:p>
            <w:pPr>
              <w:spacing w:after="0" w:line="20" w:lineRule="exact"/>
              <w:rPr>
                <w:sz w:val="1"/>
                <w:szCs w:val="1"/>
                <w:color w:val="auto"/>
              </w:rPr>
            </w:pPr>
          </w:p>
        </w:tc>
        <w:tc>
          <w:tcPr>
            <w:tcW w:w="13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earnings (loss) per common share - basic and diluted</w:t>
            </w:r>
          </w:p>
        </w:tc>
        <w:tc>
          <w:tcPr>
            <w:tcW w:w="1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F0FFFF"/>
            </w:tcBorders>
          </w:tcPr>
          <w:p>
            <w:pPr>
              <w:spacing w:after="0" w:line="20" w:lineRule="exact"/>
              <w:rPr>
                <w:sz w:val="1"/>
                <w:szCs w:val="1"/>
                <w:color w:val="auto"/>
              </w:rPr>
            </w:pPr>
          </w:p>
        </w:tc>
        <w:tc>
          <w:tcPr>
            <w:tcW w:w="13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8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loss per common share - basic and diluted</w:t>
            </w:r>
          </w:p>
        </w:tc>
        <w:tc>
          <w:tcPr>
            <w:tcW w:w="13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13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35,663,386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34,613,497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income for the year ended June 30, 2014 includes an income tax benefit of $27,255,398 for the reduction on tax valuation allowances.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non-GAAP net income (loss) represents GAAP net income (loss) excluding costs or benefits relating to any adjustment for fair value of warrant liabilities and non-cash portions of the Company’s income tax benefit (provision). Non-GAAP net earnings (loss) per common share - diluted is calculated by dividing non-GAAP net income (loss) applicable to common shares by the number of diluted weighted average shares outstanding.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For the fiscal year ended June 30, 2015, the Company had Adjusted EBITDA of $6,258,993. Reconciliation of net income (loss) to Adjusted EBITDA for the years ended June 30, 2015 and 2014 is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Borders>
              <w:bottom w:val="single" w:sz="8" w:color="F0FF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F0FFFF"/>
            </w:tcBorders>
          </w:tcPr>
          <w:p>
            <w:pPr>
              <w:spacing w:after="0"/>
              <w:rPr>
                <w:sz w:val="20"/>
                <w:szCs w:val="20"/>
                <w:color w:val="auto"/>
              </w:rPr>
            </w:pPr>
          </w:p>
        </w:tc>
        <w:tc>
          <w:tcPr>
            <w:tcW w:w="80" w:type="dxa"/>
            <w:vAlign w:val="bottom"/>
            <w:tcBorders>
              <w:top w:val="single" w:sz="8" w:color="auto"/>
              <w:bottom w:val="single" w:sz="8" w:color="F0FF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(1,089,482)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27,530,652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(82,695)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301,767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256,844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 (benefit)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289,141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(27,255,398)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5,731,356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5,463,985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change in fair value of warrant liabilities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393,144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715,762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529,041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6,258,993</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6,451,311</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2014 COMPARED TO FISCAL YEAR ENDED JUNE 30, 2013</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for the fiscal year ended June 30, 2014 continued to demonstrate growth and improvements in the Company’s operations as compared to the fiscal year ended June 30, 2013. Highlights of year over year improvements include: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$27.3 million of deferred tax assets recognized;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revenue up 18% to $42.3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19% to $35.6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connections to its ePort Connect service base as of June 30, 2014 up 24% as compared to June 30, 2013.</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fiscal year ended June 30, 2014 were $42,344,964, consisting of $35,638,121 of license and transactions fees and $6,706,843 of equipment sales, compared to $35,940,244 for the fiscal year ended June 30, 2013, consisting of $30,044,429 of license and transaction fees and $5,895,815 of equipment sales. The increase in total revenue of $6,404,720, or 18%, was primarily due to an increase in license and transaction fees of $5,593,692, or 19%, from the prior year, and an increase in equipment sales of $811,028 or 14%, from the prior year.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84% of total revenue for fiscal 2014, is primarily attributable to monthly ePort Connect® service fees and transaction processing fees. Highlights for fiscal 2014 include:</w:t>
      </w:r>
    </w:p>
    <w:p>
      <w:pPr>
        <w:spacing w:after="0" w:line="170" w:lineRule="exact"/>
        <w:rPr>
          <w:sz w:val="20"/>
          <w:szCs w:val="20"/>
          <w:color w:val="auto"/>
        </w:rPr>
      </w:pPr>
    </w:p>
    <w:p>
      <w:pPr>
        <w:ind w:left="980" w:hanging="378"/>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52,000 net connections to our service, consisting of 76,000 new connections to our ePort Connect service in fiscal 2014, offset by 24,000 deactivations, compared to 50,000 net connections added in fiscal 2013;</w:t>
      </w:r>
    </w:p>
    <w:p>
      <w:pPr>
        <w:spacing w:after="0" w:line="1" w:lineRule="exact"/>
        <w:rPr>
          <w:rFonts w:ascii="Arial" w:cs="Arial" w:eastAsia="Arial" w:hAnsi="Arial"/>
          <w:sz w:val="18"/>
          <w:szCs w:val="18"/>
          <w:color w:val="auto"/>
        </w:rPr>
      </w:pPr>
    </w:p>
    <w:p>
      <w:pPr>
        <w:ind w:left="980" w:hanging="378"/>
        <w:spacing w:after="0" w:line="26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June 30, 2014, the Company had approximately 266,000 connections to the ePort Connect service compared to approximately 214,000 connections to the ePort Connect service as of June 30, 2013, an increase of 52,000 net connections or 24%;</w:t>
      </w:r>
    </w:p>
    <w:p>
      <w:pPr>
        <w:ind w:left="980" w:hanging="378"/>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2014 of 31% and 34%, respectively, compared to the same period a year ago; and</w:t>
      </w:r>
    </w:p>
    <w:p>
      <w:pPr>
        <w:ind w:left="980" w:hanging="37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ePort Connect customer base grew 24% from June 30, 2013.</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license and transaction fees was due to the growth in ePort Connect service fees and transaction dollars that stems from the increased number of connections to our ePort Connect service. As of June 30, 2014, the Company had approximately 266,000 connections to the ePort Connect service compared to approximately 214,000 connections to the ePort Connect service as of June 30, 2013. During the year ended June 30, 2014, the Company added approximately 52,000 net connections to our network compared to approximately 50,000 net connections added during the year ended June 30, 2013.</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its agreements with customers, in addition to ePort Connect service fees, the Company earns transaction processing fees equal to a percentage of the dollar volume processed by the Company. During the year ended June 30, 2014, the Company processed approximately 169 million transactions totaling approximately $294 million compared to approximately 129 million transactions totaling approximately $219 million during the year ended June 30, 2013, an increase of approximately 31% in the number of transactions and approximately 34% in the value of transactions processed.</w:t>
      </w:r>
    </w:p>
    <w:p>
      <w:pPr>
        <w:sectPr>
          <w:pgSz w:w="11900" w:h="16838" w:orient="portrait"/>
          <w:cols w:equalWidth="0" w:num="1">
            <w:col w:w="11420"/>
          </w:cols>
          <w:pgMar w:left="240" w:top="908" w:right="239" w:bottom="19" w:gutter="0" w:footer="0" w:header="0"/>
        </w:sectPr>
      </w:pPr>
    </w:p>
    <w:bookmarkStart w:id="37" w:name="page38"/>
    <w:bookmarkEnd w:id="37"/>
    <w:p>
      <w:pPr>
        <w:jc w:val="center"/>
        <w:ind w:right="-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fiscal year ended June 30, 2014 totaled 2,250, bringing the total number of customers to approximately 7,300 as of June 30, 2014. The Company added approximately 1,750 new customers in the year ended June 30, 2013. By comparison, the Company had approximately 5,050 customers as of June 30, 2013, representing a 45%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$811,028 increase in equipment sales was a result of an increase of approximately $1,058,000 related to ePort® products, offset by decreases of approximately $174,000 in Energy Miser products and approximately $73,000 in other products. The $1,058,000 increase in ePort products is directly attributable to selling more units and an increase in activation fees during the current fiscal year. The $174,000 decrease in Energy Miser products is directly attributable to selling fewer units during the current fiscal year.</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sales consisted of cost of services for license and transaction fee related costs of $23,018,001 and $18,219,945 and equipment costs of $4,254,127 and $3,623,686, for the years ended June 30, 2014 and 2013, respectively. The increase in total cost of sales of $5,428,497, or 25%, was due to an increase in cost of services of $4,798,056 that stemmed from the greater number of connections to the Company’s ePort Connect service and increases in transaction dollars processed by those connections. Also, there was an increase in cost of equipment sales of $630,441 due to selling more units during the period.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(“GP”) for the year ended June 30, 2014 was $15,072,836 compared to GP of $14,096,613 for the previous fiscal year, an increase of $976,223, or 7%, of which $12,620,120 is attributable to license and transaction fees GP and $2,452,716 of equipment sales GP. Overall gross profit margins decreased from 39% to 36% due to a decrease in license and transaction fees margins to 35%, from 39% in the prior fiscal year and by a decrease in equipment sales margins to 37%, from 39% in the prior fiscal year. Lower license and transaction fee margins are largely attributable to approximately 24,000 deactivations that occurred during the fiscal year primarily attributable to one customer as well as the impact of certain new JumpStart connections associated with grace periods under sales incentives. For the new connections associated with the grace periods, the Company incurred costs without receiving the associated monthly service fees.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(“SG&amp;A”) expenses of $14,036,016 for the fiscal year ended June 30, 2014, increased by $1,967,450 or 16%, from the prior fiscal year. The overall increase is comprised of approximately a $1,207,000 increase in employee and director compensation and benefit expenses; $329,000 in professional services, $224,000 increase in sales and marketing expenses; and, smaller, numerous, net increases in several other expenses totaling $207,000. The increase in employee and director compensation and benefits expenses predominantly related to expanding our base of employees, sales commissions and bonuses for record connections added in fiscal 2014 as well as bonus accruals related to performance-based compensation arrangements.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for the year ended June 30, 2014, primarily consisted of a reduction of $26.7 million of the valuation allowance we had on our deferred tax assets as the Company believes that it is more likely than not it will be able to utilize net operating loss carryforwards to offset future taxable earnings. Also included is $65,429 of non-cash gain for the change in the fair value of the Company’s warrant liabilities. The primary factor affecting the change in fair value is the decrease in the Black-Scholes value of the warrants from June 30, 2013 to June 30, 2014, which factored in the increase in the Company’s stock price as well as a decrease in its volatility during that period.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fiscal year ended June 30, 2014 resulted in net income of $27,530,652 compared to net income of $854,123 for the fiscal year ended June 30, 2013, an improvement of $26,676,529 between fiscal years. Included in net income for the fiscal year ended June 30, 2014 is a benefit from reduction income tax valuation allowances of $26,713,897. After preferred dividends of $664,452 for each fiscal year, net income applicable to common shareholders was $26,866,200 and $189,671 for the fiscal years ended 2014 and 2013, respectively. For the fiscal year ended June 30, 2014, net earnings per common share (basic and diluted) were $0.78, compared to net earnings per common share (basic and diluted) of $0.01.</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$751,326 for the year ended June 30, 2014, compared to non-GAAP net income of $914,195 for the year ended June 30, 2013. Management believes that non-GAAP net income, non-GAAP net income is an important measure of USAT’s business. Management uses the aforementioned non-GAAP measures to monitor and evaluate ongoing operating results and trends and to gain an understanding of our comparative operating performance. We believe that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 reconciliation of net income to Non-GAAP net income for the years ended June 30, 2014 and 2013 is as follows:</w:t>
      </w:r>
    </w:p>
    <w:p>
      <w:pPr>
        <w:spacing w:after="0" w:line="235" w:lineRule="exact"/>
        <w:rPr>
          <w:sz w:val="20"/>
          <w:szCs w:val="20"/>
          <w:color w:val="auto"/>
        </w:rPr>
      </w:pPr>
    </w:p>
    <w:p>
      <w:pPr>
        <w:jc w:val="right"/>
        <w:ind w:right="700"/>
        <w:spacing w:after="0"/>
        <w:rPr>
          <w:sz w:val="20"/>
          <w:szCs w:val="20"/>
          <w:color w:val="auto"/>
        </w:rPr>
      </w:pPr>
      <w:r>
        <w:rPr>
          <w:rFonts w:ascii="Arial" w:cs="Arial" w:eastAsia="Arial" w:hAnsi="Arial"/>
          <w:sz w:val="18"/>
          <w:szCs w:val="18"/>
          <w:b w:val="1"/>
          <w:bCs w:val="1"/>
          <w:color w:val="auto"/>
        </w:rPr>
        <w:t>Year ended June 30,</w:t>
      </w:r>
    </w:p>
    <w:p>
      <w:pPr>
        <w:sectPr>
          <w:pgSz w:w="11900" w:h="16838" w:orient="portrait"/>
          <w:cols w:equalWidth="0" w:num="1">
            <w:col w:w="11420"/>
          </w:cols>
          <w:pgMar w:left="240" w:top="908" w:right="2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Non-GAAP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related costs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Non-cash portion of income tax provision/benefit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warrant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 (1)</w:t>
            </w:r>
          </w:p>
        </w:tc>
        <w:tc>
          <w:tcPr>
            <w:tcW w:w="2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27,530,652</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854,123</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2140" w:hanging="927"/>
        <w:spacing w:after="0"/>
        <w:tabs>
          <w:tab w:leader="none" w:pos="2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328,000</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(27,276,419)</w:t>
      </w:r>
      <w:r>
        <w:rPr>
          <w:rFonts w:ascii="Arial" w:cs="Arial" w:eastAsia="Arial" w:hAnsi="Arial"/>
          <w:sz w:val="16"/>
          <w:szCs w:val="16"/>
          <w:color w:val="auto"/>
        </w:rPr>
        <w:t>27,646</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(65,429)</w:t>
      </w:r>
      <w:r>
        <w:rPr>
          <w:rFonts w:ascii="Arial" w:cs="Arial" w:eastAsia="Arial" w:hAnsi="Arial"/>
          <w:sz w:val="16"/>
          <w:szCs w:val="16"/>
          <w:color w:val="auto"/>
        </w:rPr>
        <w:t>(267,928)</w:t>
      </w:r>
    </w:p>
    <w:p>
      <w:pPr>
        <w:spacing w:after="0" w:line="49" w:lineRule="exact"/>
        <w:rPr>
          <w:sz w:val="20"/>
          <w:szCs w:val="20"/>
          <w:color w:val="auto"/>
        </w:rPr>
      </w:pPr>
    </w:p>
    <w:p>
      <w:pPr>
        <w:spacing w:after="0"/>
        <w:tabs>
          <w:tab w:leader="none" w:pos="660" w:val="left"/>
          <w:tab w:leader="none" w:pos="146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188,804</w:t>
        <w:tab/>
        <w:t>$</w:t>
      </w:r>
      <w:r>
        <w:rPr>
          <w:sz w:val="20"/>
          <w:szCs w:val="20"/>
          <w:color w:val="auto"/>
        </w:rPr>
        <w:tab/>
      </w:r>
      <w:r>
        <w:rPr>
          <w:rFonts w:ascii="Arial" w:cs="Arial" w:eastAsia="Arial" w:hAnsi="Arial"/>
          <w:sz w:val="16"/>
          <w:szCs w:val="16"/>
          <w:color w:val="auto"/>
        </w:rPr>
        <w:t>941,841</w:t>
      </w:r>
    </w:p>
    <w:p>
      <w:pPr>
        <w:spacing w:after="0" w:line="23"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6620" w:type="dxa"/>
            <w:vAlign w:val="bottom"/>
            <w:tcBorders>
              <w:top w:val="single" w:sz="8" w:color="F0FFFF"/>
            </w:tcBorders>
            <w:shd w:val="clear" w:color="auto" w:fill="F0FFFF"/>
          </w:tcPr>
          <w:p>
            <w:pPr>
              <w:spacing w:after="0"/>
              <w:rPr>
                <w:sz w:val="21"/>
                <w:szCs w:val="21"/>
                <w:color w:val="auto"/>
              </w:rPr>
            </w:pPr>
          </w:p>
        </w:tc>
        <w:tc>
          <w:tcPr>
            <w:tcW w:w="194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1000" w:type="dxa"/>
            <w:vAlign w:val="bottom"/>
            <w:tcBorders>
              <w:top w:val="single" w:sz="8" w:color="auto"/>
            </w:tcBorders>
            <w:shd w:val="clear" w:color="auto" w:fill="F0FFFF"/>
          </w:tcPr>
          <w:p>
            <w:pPr>
              <w:spacing w:after="0"/>
              <w:rPr>
                <w:sz w:val="21"/>
                <w:szCs w:val="21"/>
                <w:color w:val="auto"/>
              </w:rPr>
            </w:pPr>
          </w:p>
        </w:tc>
        <w:tc>
          <w:tcPr>
            <w:tcW w:w="14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9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27,530,652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applicable to common shares</w:t>
            </w:r>
          </w:p>
        </w:tc>
        <w:tc>
          <w:tcPr>
            <w:tcW w:w="19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26,866,200</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189,671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Non-GAAP net income</w:t>
            </w:r>
          </w:p>
        </w:tc>
        <w:tc>
          <w:tcPr>
            <w:tcW w:w="2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188,804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941,841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9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(475,648</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277,389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2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basic</w:t>
            </w:r>
          </w:p>
        </w:tc>
        <w:tc>
          <w:tcPr>
            <w:tcW w:w="194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F0FFFF"/>
            </w:tcBorders>
          </w:tcPr>
          <w:p>
            <w:pPr>
              <w:spacing w:after="0" w:line="20" w:lineRule="exact"/>
              <w:rPr>
                <w:sz w:val="1"/>
                <w:szCs w:val="1"/>
                <w:color w:val="auto"/>
              </w:rPr>
            </w:pPr>
          </w:p>
        </w:tc>
        <w:tc>
          <w:tcPr>
            <w:tcW w:w="19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34,613,497</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32,787,673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Net earnings per common share - diluted</w:t>
            </w:r>
          </w:p>
        </w:tc>
        <w:tc>
          <w:tcPr>
            <w:tcW w:w="222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0.78</w:t>
            </w:r>
          </w:p>
        </w:tc>
        <w:tc>
          <w:tcPr>
            <w:tcW w:w="34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Non-GAAP net earnings (loss) per common share - diluted</w:t>
            </w:r>
          </w:p>
        </w:tc>
        <w:tc>
          <w:tcPr>
            <w:tcW w:w="194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34,613,497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33,613,346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Net income for the year ended June 30, 2014 includes an income tax benefit of $27,255,398 for the reduction on tax valuation allowances.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used herein, non-GAAP net income represents GAAP net income excluding costs relating to the proxy contest, any adjustment for fair value of warrant liabilities and changes in the Company’s valuation allowances for taxes. As used herein, non-GAAP net earnings per common share is calculated by dividing non-GAAP net income applicable to common shares by the weighted average number of shares outstanding, and where diluted shares are required, adds back the preferred dividend since the conversion of preferred shares are accounted for in the diluted share count.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0" w:name="page41"/>
    <w:bookmarkEnd w:id="40"/>
    <w:p>
      <w:pPr>
        <w:spacing w:after="0" w:line="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fiscal year ended June 30, 2014, the Company had Adjusted EBITDA of $6,451,311. Reconciliation of net income to Adjusted EBITDA for the years ended June 30, 2014 and 2013 is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8"/>
              </w:rPr>
              <w:t>Year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F0FFFF"/>
            </w:tcBorders>
          </w:tcPr>
          <w:p>
            <w:pPr>
              <w:spacing w:after="0"/>
              <w:rPr>
                <w:sz w:val="20"/>
                <w:szCs w:val="20"/>
                <w:color w:val="auto"/>
              </w:rPr>
            </w:pPr>
          </w:p>
        </w:tc>
        <w:tc>
          <w:tcPr>
            <w:tcW w:w="1800" w:type="dxa"/>
            <w:vAlign w:val="bottom"/>
            <w:tcBorders>
              <w:bottom w:val="single" w:sz="8" w:color="F0FF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27,530,652</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854,123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(30,337)</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(57,121)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256,844</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157,205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 (benefit)</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2"/>
              </w:rPr>
              <w:t>(27,255,398)</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5,463,985</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3,837,174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742,400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Plus change in fair value of warrant liabilities</w:t>
            </w:r>
          </w:p>
        </w:tc>
        <w:tc>
          <w:tcPr>
            <w:tcW w:w="1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(65,429)</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(267,928)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18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529,041</w:t>
            </w:r>
          </w:p>
        </w:tc>
        <w:tc>
          <w:tcPr>
            <w:tcW w:w="1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502,907</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6,451,311</w:t>
            </w:r>
          </w:p>
        </w:tc>
        <w:tc>
          <w:tcPr>
            <w:tcW w:w="100" w:type="dxa"/>
            <w:vAlign w:val="bottom"/>
            <w:shd w:val="clear" w:color="auto" w:fill="F0FFFF"/>
          </w:tcPr>
          <w:p>
            <w:pPr>
              <w:spacing w:after="0"/>
              <w:rPr>
                <w:sz w:val="22"/>
                <w:szCs w:val="22"/>
                <w:color w:val="auto"/>
              </w:rPr>
            </w:pPr>
          </w:p>
        </w:tc>
        <w:tc>
          <w:tcPr>
            <w:tcW w:w="2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5,796,406</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F0FFFF"/>
            </w:tcBorders>
          </w:tcPr>
          <w:p>
            <w:pPr>
              <w:spacing w:after="0" w:line="20" w:lineRule="exact"/>
              <w:rPr>
                <w:sz w:val="1"/>
                <w:szCs w:val="1"/>
                <w:color w:val="auto"/>
              </w:rPr>
            </w:pPr>
          </w:p>
        </w:tc>
        <w:tc>
          <w:tcPr>
            <w:tcW w:w="18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or gai n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year ended June 30, 2015, net cash used by operating activities was $1,697,742 as a result of a net loss of $1,089,482, offset by non-cash operating activities net benefit of $7,251,674, and net cash used by the change in operating assets and liabilities of $7,859,934. Of the $7,251,674 of non-cash activities, the most significant during fiscal year 2015 was $5,731,356 depreciation expense, of which, $5,119,674 related to depreciation on JumpStart equipment allocated to cost of services. In addition to depreciation expense, other non-cash charges included $715,762 related to the vesting of equity-based compensation for employees and directors, $1,099,528 of bad debt expense, $393,144 expense due to the change in the fair value of warrant liabilities and $395,038 of deferred income taxes. These non-cash charges were offset by an $833,619 non-cash gain from sale-leaseback transactions. The $7,859,934 cash used in the change in the Company’s operating assets and liabilities was the result of increases in finance receivables of $4,113,898 related to the QuickStart program, accounts receivable of $2,517,493, predominately related to sales of hardware sold with credit terms, $1,930,857 in inventory; these uses of cash were partially offset by an increase of $918,761 in accounts payable.</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fiscal year the Company reintroduced QuickStart, a program whereby our customers are able to purchase our ePort hardware via a five-year, non-cancellable lease. From its introduction in September 2014 and through approximately mid-March 2015, the Company was entering into these leases directly with its customers. Under this scenario, the Company recorded a long-term and short-term receivable for the five-year leases. The $4,113,898 increase in finance receivables is directly due to leases the Company entered into directly with its customers. In the third and fourth quarters of fiscal 2015, the Company signed vendor agreements with two leasing companies, whereby our customers would enter into leases directly with the leasing companies. Under this scenario, the Company invoiced the leasing company for the equipment leased by our customer, and recorded as an accounts receivable. Unlike its finance receivables, which the cash would be collected over a five-year period, the accounts receivable due from the leasing company is typically collected within 30 days. Since entering into the vendor agreements, and through June 30, 2015, the majority of QuickStart sales consummated were with the customer entering into the lease directly with the leasing company, which contributed to the $2,517,493 increase in accounts receivable, whereby amounts due from the leasing companies had not yet been collected by June 30, 2015.</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has been a shift by our customers from acquiring our product via JumpStart, which accounted for 60% of our gross connections in fiscal year 2014, and was just 4% in our 2015 fourth quarter, to QuickStart or a straight purchase, which accounted for 89% of our gross connections in fiscal year 2015 and was approximately 54% of gross connections for our fiscal 2015 fourth quarter. This is further illustrated in our cash flow statement whereby the cash used for the purchase of property for rental program reduced from $10,883,473 in fiscal 2014 to just $1,641,993 in fiscal 2015. This shift, as well as our ability to increase the cash collection under QuickStart sales, by utilizing leasing companies (as described above) if available, significantly improves cash flows from operating activities. We believe we will continue to be able to utilize third party leasing companies in our QuickStart program, and therefore do not expect finance receivables to increase in the future. The exception being, for any customer unable to secure third party leasing for which the Company may decide to enter in a lease directly with the customer or if we are unable to procure satisfactory and/or sufficient third party leasing arrangements.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June 30, 2015, $3,353,491 of cash was provided by investing activities of which $4,993,879 was received from the sale of rental equipment under sale-leaseback transactions, which were offset by cash used of $1,641,993 related to the purchase of equipment for the JumpStart program.</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88" w:orient="portrait"/>
          <w:cols w:equalWidth="0" w:num="1">
            <w:col w:w="11420"/>
          </w:cols>
          <w:pgMar w:left="240" w:top="909" w:right="239" w:bottom="0"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Net cash provided by financing activities was $645,904 predominately from $2,056,724 of proceeds received by selling finance receivables with recourse and/or the rights to the cash flows from the finance receivables to a third party leasing company, offset by the repayment of $1,000,000 on the Line of Credit and $358,582 of debt.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for the year ended June 30, 2015 was $6,258,993 compared to $6,451,311 for the prior fiscal year. The Company reports Adjusted EBITDA to reflect the liquidity of operations and a measure of operational cash flow. Adjusted EBITDA excludes significant non-cash charges such as depreciation, fair value warrant liability changes, stock-based compensation from net income and changes to the Company’s valuation allowances for taxes. We believe that, provided there are no unusual or unanticipated material non-operational expenses, achieving positive Adjusted EBITDA is sustainable, and will continue to increase, as our connection base increases.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continued growth in connections to our ePort Connect service that has resulted in strong growth in recurring revenue from license and transaction fees and the improvement in GP dollars, as well as the significant reduction in cash used for JumpStart, and the utilization of third party leasing companies in our QuickStart program, the Company generated positive free cash flow (defined as net cash provided by operating activities less cash used for the purchase of rental equipment/JumpStart) for its third and fourth quarters in fiscal year 2015. Free cash flow for the fourth quarter was $2,681,155, and the Company believes it will continue to generate positive free cash flow for the 2016 fiscal year, assuming QuickStart remains a significant component of connections, and third party leasing companies continue to enter into leases directly with our customers.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three sources of cash available to fund and grow the business as of June 30, 2015: (1) cash and cash equivalents on hand of approximately $11 million; (2) the anticipated cash provided by operating activities from our QuickStart program; and (3) $3 million available under the line of credit with a commercial bank, provided we continue to satisfy the various covenants set forth in the loan agreement. The line of credit matures on August 17, 2017. In addition, the Company believes the capital markets, debt and equity, would be available to provide additional sources of cash, if required.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as of June 30, 2015, would provide sufficient funds through at least July 1, 2016 in order to meet its cash requirements, including payment of its accrued expenses and payables, any cash resources to be utilized for the JumpStart program, other anticipated capital expenditures, and the repayment of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the Company had certain contractual obligations due over a period of time as summarized in the following table: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Payments due by period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Less Than</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More than</w:t>
            </w:r>
          </w:p>
        </w:tc>
      </w:tr>
      <w:tr>
        <w:trPr>
          <w:trHeight w:val="241"/>
        </w:trPr>
        <w:tc>
          <w:tcPr>
            <w:tcW w:w="43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1-3 years</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3-5 years</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5 years</w:t>
            </w:r>
          </w:p>
        </w:tc>
      </w:tr>
      <w:tr>
        <w:trPr>
          <w:trHeight w:val="216"/>
        </w:trPr>
        <w:tc>
          <w:tcPr>
            <w:tcW w:w="43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tcBorders>
              <w:top w:val="single" w:sz="8" w:color="F0FFFF"/>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2"/>
              </w:rPr>
              <w:t>$ 2,483,072</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519,472</w:t>
            </w:r>
          </w:p>
        </w:tc>
        <w:tc>
          <w:tcPr>
            <w:tcW w:w="18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0"/>
              </w:rPr>
              <w:t>$ 1,572,269</w:t>
            </w:r>
          </w:p>
        </w:tc>
        <w:tc>
          <w:tcPr>
            <w:tcW w:w="1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391,330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382,666</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157,304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225,362</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Operating Lease Obligations, other</w:t>
            </w:r>
          </w:p>
        </w:tc>
        <w:tc>
          <w:tcPr>
            <w:tcW w:w="12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362,737</w:t>
            </w: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361,927</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Lease Obligations under Sale Leaseback</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5,420,041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2,641,155</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2,778,886</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$ 8,648,516</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9"/>
              </w:rPr>
              <w:t>3,679,859</w:t>
            </w:r>
          </w:p>
        </w:tc>
        <w:tc>
          <w:tcPr>
            <w:tcW w:w="18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0"/>
              </w:rPr>
              <w:t>$ 4,577,328</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391,330</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The Company has no exposure to market risks related to Available-for-sale securities. Market risks related to fluctuations of foreign currencies are not significant and the Company has no derivative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gridSpan w:val="7"/>
            <w:shd w:val="clear" w:color="auto" w:fill="F0FFFF"/>
          </w:tcPr>
          <w:p>
            <w:pPr>
              <w:spacing w:after="0"/>
              <w:rPr>
                <w:sz w:val="20"/>
                <w:szCs w:val="20"/>
                <w:color w:val="auto"/>
              </w:rPr>
            </w:pPr>
            <w:r>
              <w:rPr>
                <w:rFonts w:ascii="Arial" w:cs="Arial" w:eastAsia="Arial" w:hAnsi="Arial"/>
                <w:sz w:val="18"/>
                <w:szCs w:val="18"/>
                <w:color w:val="auto"/>
              </w:rPr>
              <w:t>Financial Statements:</w:t>
            </w:r>
          </w:p>
        </w:tc>
        <w:tc>
          <w:tcPr>
            <w:tcW w:w="65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7"/>
            <w:shd w:val="clear" w:color="auto" w:fill="F0FF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6500" w:type="dxa"/>
            <w:vAlign w:val="bottom"/>
            <w:shd w:val="clear" w:color="auto" w:fill="F0FFFF"/>
          </w:tcPr>
          <w:p>
            <w:pPr>
              <w:ind w:left="592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700" w:type="dxa"/>
            <w:vAlign w:val="bottom"/>
            <w:tcBorders>
              <w:top w:val="single" w:sz="8" w:color="F0FFFF"/>
            </w:tcBorders>
          </w:tcPr>
          <w:p>
            <w:pPr>
              <w:spacing w:after="0"/>
              <w:rPr>
                <w:sz w:val="15"/>
                <w:szCs w:val="15"/>
                <w:color w:val="auto"/>
              </w:rPr>
            </w:pPr>
          </w:p>
        </w:tc>
        <w:tc>
          <w:tcPr>
            <w:tcW w:w="6500" w:type="dxa"/>
            <w:vAlign w:val="bottom"/>
            <w:tcBorders>
              <w:top w:val="single" w:sz="8" w:color="F0FFFF"/>
            </w:tcBorders>
          </w:tcPr>
          <w:p>
            <w:pPr>
              <w:ind w:left="592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7"/>
            <w:shd w:val="clear" w:color="auto" w:fill="F0FF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w:t>
              </w:r>
            </w:hyperlink>
          </w:p>
        </w:tc>
        <w:tc>
          <w:tcPr>
            <w:tcW w:w="6500" w:type="dxa"/>
            <w:vAlign w:val="bottom"/>
            <w:shd w:val="clear" w:color="auto" w:fill="F0FFFF"/>
          </w:tcPr>
          <w:p>
            <w:pPr>
              <w:ind w:left="592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F0FFFF"/>
          </w:tcPr>
          <w:p>
            <w:pPr>
              <w:spacing w:after="0" w:line="20" w:lineRule="exact"/>
              <w:rPr>
                <w:sz w:val="1"/>
                <w:szCs w:val="1"/>
                <w:color w:val="auto"/>
              </w:rPr>
            </w:pPr>
          </w:p>
        </w:tc>
        <w:tc>
          <w:tcPr>
            <w:tcW w:w="7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66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65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7"/>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Shareholders’ Equity</w:t>
              </w:r>
            </w:hyperlink>
          </w:p>
        </w:tc>
        <w:tc>
          <w:tcPr>
            <w:tcW w:w="6500" w:type="dxa"/>
            <w:vAlign w:val="bottom"/>
          </w:tcPr>
          <w:p>
            <w:pPr>
              <w:ind w:left="592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3"/>
            <w:shd w:val="clear" w:color="auto" w:fill="F0FFFF"/>
          </w:tcPr>
          <w:p>
            <w:pPr>
              <w:spacing w:after="0" w:line="17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2040" w:type="dxa"/>
            <w:vAlign w:val="bottom"/>
            <w:tcBorders>
              <w:bottom w:val="single" w:sz="8" w:color="F0FFFF"/>
            </w:tcBorders>
            <w:gridSpan w:val="4"/>
            <w:shd w:val="clear" w:color="auto" w:fill="F0FFFF"/>
          </w:tcPr>
          <w:p>
            <w:pPr>
              <w:spacing w:after="0"/>
              <w:rPr>
                <w:sz w:val="17"/>
                <w:szCs w:val="17"/>
                <w:color w:val="auto"/>
              </w:rPr>
            </w:pPr>
          </w:p>
        </w:tc>
        <w:tc>
          <w:tcPr>
            <w:tcW w:w="6500" w:type="dxa"/>
            <w:vAlign w:val="bottom"/>
            <w:tcBorders>
              <w:bottom w:val="single" w:sz="8" w:color="F0FFFF"/>
            </w:tcBorders>
            <w:shd w:val="clear" w:color="auto" w:fill="F0FFFF"/>
          </w:tcPr>
          <w:p>
            <w:pPr>
              <w:ind w:left="592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7"/>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6500" w:type="dxa"/>
            <w:vAlign w:val="bottom"/>
          </w:tcPr>
          <w:p>
            <w:pPr>
              <w:ind w:left="592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DCDCDC"/>
            </w:tcBorders>
          </w:tcPr>
          <w:p>
            <w:pPr>
              <w:spacing w:after="0"/>
              <w:rPr>
                <w:sz w:val="24"/>
                <w:szCs w:val="24"/>
                <w:color w:val="auto"/>
              </w:rPr>
            </w:pPr>
          </w:p>
        </w:tc>
        <w:tc>
          <w:tcPr>
            <w:tcW w:w="7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280" w:type="dxa"/>
            <w:vAlign w:val="bottom"/>
            <w:tcBorders>
              <w:top w:val="single" w:sz="8" w:color="0000EE"/>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6500" w:type="dxa"/>
            <w:vAlign w:val="bottom"/>
            <w:tcBorders>
              <w:bottom w:val="single" w:sz="8" w:color="DCDCDC"/>
            </w:tcBorders>
          </w:tcPr>
          <w:p>
            <w:pPr>
              <w:ind w:left="7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USA Technologies, Inc. and subsidiaries as of June 30, 2015 and 2014, and the related consolidated statements of operations, shareholders’ equity, and cash flows for each of the three years in the period ended June 30, 2015. Our audits also included the financial statement schedule of USA Technologies, Inc. listed in Item 15(a). These financial statements and schedule are the responsibility of the Company’s management. Our responsibility is to express an opinion on these financial statements based on our audits.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presents fairly, in all material respects, the financial position of USA Technologies, Inc. and subsidiaries as of June 30, 2015 and 2014, and the results of their operations and their cash flows for each of the three years in the period ended June 30,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McGladrey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11,373,973</w:t>
            </w:r>
          </w:p>
        </w:tc>
        <w:tc>
          <w:tcPr>
            <w:tcW w:w="3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9,072,320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uncollectible accounts of $494,000 and $63,000, respectively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4,671,544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941,150</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4,216,396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574,479</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363,367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1,257,796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23,035,338</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14,633,527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3,697,513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350,041</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12,868,808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21,138,580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25,788,187</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26,353,330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432,100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432,100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7,663,208</w:t>
            </w:r>
          </w:p>
        </w:tc>
        <w:tc>
          <w:tcPr>
            <w:tcW w:w="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3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73,835,195</w:t>
            </w:r>
          </w:p>
        </w:tc>
        <w:tc>
          <w:tcPr>
            <w:tcW w:w="1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70,764,242</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9,242,672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7,753,911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2,107,530</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1,915,799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477,522</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54,086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2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860,391</w:t>
            </w:r>
          </w:p>
        </w:tc>
        <w:tc>
          <w:tcPr>
            <w:tcW w:w="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380,895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16,742,201</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15,244,537</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1,854,424</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49,160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978,353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585,209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900,348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761,790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3,782,285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1,783,038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20,524,486</w:t>
            </w:r>
          </w:p>
        </w:tc>
        <w:tc>
          <w:tcPr>
            <w:tcW w:w="14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17,027,575</w:t>
            </w:r>
          </w:p>
        </w:tc>
        <w:tc>
          <w:tcPr>
            <w:tcW w:w="1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w w:val="92"/>
              </w:rPr>
              <w:t>Authorized shares- 1,800,000 Series A convertible preferred- Authorized shares- 900,000 Issued and outstanding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shares- 442,968 (liquidation preference of $17,354,908 and $16,690,456,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3,138,056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Common stock, no par value: Authorized shares- 640,000,000 Issued and outstanding shares- 35,747,242 and</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35,514,685, respectively</w:t>
            </w:r>
          </w:p>
        </w:tc>
        <w:tc>
          <w:tcPr>
            <w:tcW w:w="2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224,873,721</w:t>
            </w:r>
          </w:p>
        </w:tc>
        <w:tc>
          <w:tcPr>
            <w:tcW w:w="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224,210,197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(174,701,068)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(173,611,586)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53,310,709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53,736,667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73,835,195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70,764,242</w:t>
            </w: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DCDCDC"/>
            </w:tcBorders>
          </w:tcPr>
          <w:p>
            <w:pPr>
              <w:ind w:left="560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Year ended 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17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43,633,462</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35,638,121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30,044,429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Equipment sales</w:t>
            </w:r>
          </w:p>
        </w:tc>
        <w:tc>
          <w:tcPr>
            <w:tcW w:w="14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14,444,012</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6,706,843</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5,895,815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48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58,077,474</w:t>
            </w: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42,344,964</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35,940,244</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services</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29,429,385</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23,018,001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18,219,945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 of equipment</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11,825,455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4,254,127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3,623,686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costs</w:t>
            </w:r>
          </w:p>
        </w:tc>
        <w:tc>
          <w:tcPr>
            <w:tcW w:w="148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41,254,840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27,272,128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21,843,631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16,822,634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15,072,836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14,096,613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16,451,255</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14,036,016</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12,068,566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611,682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600,488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1,314,122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17,062,937</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14,636,504</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13,382,688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(240,303)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436,332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713,925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82,695</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30,337</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52,178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(301,767)</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(256,844)</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(157,205)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(393,144)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65,429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148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(560,038</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(161,078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167,844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14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(800,341)</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275,254</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881,769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(289,141)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27,255,398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shd w:val="clear" w:color="auto" w:fill="F0FFFF"/>
          </w:tcPr>
          <w:p>
            <w:pPr>
              <w:spacing w:after="0"/>
              <w:rPr>
                <w:sz w:val="18"/>
                <w:szCs w:val="18"/>
                <w:color w:val="auto"/>
              </w:rPr>
            </w:pPr>
          </w:p>
        </w:tc>
        <w:tc>
          <w:tcPr>
            <w:tcW w:w="14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(1,089,482)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27,530,652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48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148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(1,753,934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26,866,200</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189,671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48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 w:lineRule="exact"/>
        <w:rPr>
          <w:sz w:val="20"/>
          <w:szCs w:val="20"/>
          <w:color w:val="auto"/>
        </w:rPr>
      </w:pPr>
    </w:p>
    <w:p>
      <w:pPr>
        <w:ind w:right="1820"/>
        <w:spacing w:after="0" w:line="308" w:lineRule="auto"/>
        <w:rPr>
          <w:sz w:val="20"/>
          <w:szCs w:val="20"/>
          <w:color w:val="auto"/>
        </w:rPr>
      </w:pPr>
      <w:r>
        <w:rPr>
          <w:rFonts w:ascii="Arial" w:cs="Arial" w:eastAsia="Arial" w:hAnsi="Arial"/>
          <w:sz w:val="17"/>
          <w:szCs w:val="17"/>
          <w:color w:val="auto"/>
        </w:rPr>
        <w:t>Basic weighted average number of common shares outstanding Net earnings (loss) per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Diluted weighted average number of common shares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35,663,386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34,613,497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32,787,673</w:t>
            </w:r>
          </w:p>
        </w:tc>
        <w:tc>
          <w:tcPr>
            <w:tcW w:w="0" w:type="dxa"/>
            <w:vAlign w:val="bottom"/>
          </w:tcPr>
          <w:p>
            <w:pPr>
              <w:spacing w:after="0"/>
              <w:rPr>
                <w:sz w:val="1"/>
                <w:szCs w:val="1"/>
                <w:color w:val="auto"/>
              </w:rPr>
            </w:pPr>
          </w:p>
        </w:tc>
      </w:tr>
      <w:tr>
        <w:trPr>
          <w:trHeight w:val="257"/>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(0.05)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35,663,386</w:t>
            </w:r>
          </w:p>
        </w:tc>
        <w:tc>
          <w:tcPr>
            <w:tcW w:w="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34,613,497</w:t>
            </w: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33,613,346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94" w:lineRule="exact"/>
        <w:rPr>
          <w:sz w:val="20"/>
          <w:szCs w:val="20"/>
          <w:color w:val="auto"/>
        </w:rPr>
      </w:pPr>
    </w:p>
    <w:p>
      <w:pPr>
        <w:sectPr>
          <w:pgSz w:w="11900" w:h="16838" w:orient="portrait"/>
          <w:cols w:equalWidth="0" w:num="2">
            <w:col w:w="6380" w:space="720"/>
            <w:col w:w="4320"/>
          </w:cols>
          <w:pgMar w:left="240" w:top="905" w:right="239" w:bottom="1440" w:gutter="0" w:footer="0" w:header="0"/>
          <w:type w:val="continuous"/>
        </w:sect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Series A</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Convertible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6"/>
              </w:rPr>
              <w:t>Accumulated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280" w:type="dxa"/>
            <w:vAlign w:val="bottom"/>
            <w:gridSpan w:val="5"/>
          </w:tcPr>
          <w:p>
            <w:pPr>
              <w:jc w:val="right"/>
              <w:ind w:right="6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June 30, 2012</w:t>
            </w: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442,968</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$ 3,138,056</w:t>
            </w: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32,510,069</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$ 220,513,327</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3"/>
              </w:rPr>
              <w:t>$ (201,996,361)</w:t>
            </w: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$21,655,022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Exercise of warrants</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399,597</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432,229</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432,229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Warrants issued in conjunction with Line of Credit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55,962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2010 Stock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62,942</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68,723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640"/>
              <w:spacing w:after="0"/>
              <w:rPr>
                <w:sz w:val="20"/>
                <w:szCs w:val="20"/>
                <w:color w:val="auto"/>
              </w:rPr>
            </w:pPr>
            <w:r>
              <w:rPr>
                <w:rFonts w:ascii="Arial" w:cs="Arial" w:eastAsia="Arial" w:hAnsi="Arial"/>
                <w:sz w:val="18"/>
                <w:szCs w:val="18"/>
                <w:color w:val="auto"/>
              </w:rPr>
              <w:t>2011 Stock Incentive Plan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96,665</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157,645</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2012 Stock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279,806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276,539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(64,847)</w:t>
            </w:r>
          </w:p>
        </w:tc>
        <w:tc>
          <w:tcPr>
            <w:tcW w:w="12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(121,052)</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(121,052)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854,123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Balance, June 30, 2013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442,968</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3,138,056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33,284,232</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221,383,373</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(201,142,238)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23,379,191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Borders>
              <w:top w:val="single" w:sz="8" w:color="F0FFFF"/>
            </w:tcBorders>
            <w:shd w:val="clear" w:color="auto" w:fill="F0FFFF"/>
          </w:tcPr>
          <w:p>
            <w:pPr>
              <w:spacing w:after="0"/>
              <w:rPr>
                <w:sz w:val="17"/>
                <w:szCs w:val="17"/>
                <w:color w:val="auto"/>
              </w:rPr>
            </w:pPr>
          </w:p>
        </w:tc>
        <w:tc>
          <w:tcPr>
            <w:tcW w:w="780" w:type="dxa"/>
            <w:vAlign w:val="bottom"/>
            <w:tcBorders>
              <w:top w:val="single" w:sz="8" w:color="auto"/>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F0FFFF"/>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F0FFFF"/>
            </w:tcBorders>
            <w:shd w:val="clear" w:color="auto" w:fill="F0FFFF"/>
          </w:tcPr>
          <w:p>
            <w:pPr>
              <w:spacing w:after="0"/>
              <w:rPr>
                <w:sz w:val="17"/>
                <w:szCs w:val="17"/>
                <w:color w:val="auto"/>
              </w:rPr>
            </w:pPr>
          </w:p>
        </w:tc>
        <w:tc>
          <w:tcPr>
            <w:tcW w:w="60" w:type="dxa"/>
            <w:vAlign w:val="bottom"/>
            <w:tcBorders>
              <w:top w:val="single" w:sz="8" w:color="F0FFFF"/>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F0FFFF"/>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Exercise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2,090,226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2,361,956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2010 Stock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6,668</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6,024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480"/>
              <w:spacing w:after="0"/>
              <w:rPr>
                <w:sz w:val="20"/>
                <w:szCs w:val="20"/>
                <w:color w:val="auto"/>
              </w:rPr>
            </w:pPr>
            <w:r>
              <w:rPr>
                <w:rFonts w:ascii="Arial" w:cs="Arial" w:eastAsia="Arial" w:hAnsi="Arial"/>
                <w:sz w:val="18"/>
                <w:szCs w:val="18"/>
                <w:color w:val="auto"/>
              </w:rPr>
              <w:t>2011 Stock Incentive Plan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51,667</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17,366</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2012 Stock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278,471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480"/>
              <w:spacing w:after="0"/>
              <w:rPr>
                <w:sz w:val="20"/>
                <w:szCs w:val="20"/>
                <w:color w:val="auto"/>
              </w:rPr>
            </w:pPr>
            <w:r>
              <w:rPr>
                <w:rFonts w:ascii="Arial" w:cs="Arial" w:eastAsia="Arial" w:hAnsi="Arial"/>
                <w:sz w:val="18"/>
                <w:szCs w:val="18"/>
                <w:color w:val="auto"/>
              </w:rPr>
              <w:t>2013 Stock Incentive Plan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131,203</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227,180</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(49,311)</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(89,020)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Excess tax benefits from stock-based compensation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24,847</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27,530,652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27,530,652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Balance, June 30, 2014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442,968</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$ 3,138,056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35,514,685</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224,210,197</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 (173,611,586)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53,736,667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480"/>
              <w:spacing w:after="0"/>
              <w:rPr>
                <w:sz w:val="20"/>
                <w:szCs w:val="20"/>
                <w:color w:val="auto"/>
              </w:rPr>
            </w:pPr>
            <w:r>
              <w:rPr>
                <w:rFonts w:ascii="Arial" w:cs="Arial" w:eastAsia="Arial" w:hAnsi="Arial"/>
                <w:sz w:val="18"/>
                <w:szCs w:val="18"/>
                <w:color w:val="auto"/>
              </w:rPr>
              <w:t>2011 Stock Incentive Plan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10,002</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604</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2012 Stock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88,991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51,941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480"/>
              <w:spacing w:after="0"/>
              <w:rPr>
                <w:sz w:val="20"/>
                <w:szCs w:val="20"/>
                <w:color w:val="auto"/>
              </w:rPr>
            </w:pPr>
            <w:r>
              <w:rPr>
                <w:rFonts w:ascii="Arial" w:cs="Arial" w:eastAsia="Arial" w:hAnsi="Arial"/>
                <w:sz w:val="18"/>
                <w:szCs w:val="18"/>
                <w:color w:val="auto"/>
              </w:rPr>
              <w:t>2013 Stock Incentive Plan</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165,463</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292,782</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2014 Stock Option Incentive Plan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370,435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(31,899)</w:t>
            </w:r>
          </w:p>
        </w:tc>
        <w:tc>
          <w:tcPr>
            <w:tcW w:w="12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(61,987)</w:t>
            </w: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Excess tax benefits from stock-based compensation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9,749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(1,089,482)</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(1,089,482)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Borders>
              <w:top w:val="single" w:sz="8" w:color="F0FF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2015</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442,968</w:t>
            </w:r>
          </w:p>
        </w:tc>
        <w:tc>
          <w:tcPr>
            <w:tcW w:w="120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$ 3,138,056</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35,747,242</w:t>
            </w:r>
          </w:p>
        </w:tc>
        <w:tc>
          <w:tcPr>
            <w:tcW w:w="12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224,873,721</w:t>
            </w:r>
          </w:p>
        </w:tc>
        <w:tc>
          <w:tcPr>
            <w:tcW w:w="138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w w:val="94"/>
              </w:rPr>
              <w:t>$ (174,701,068)</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53,310,709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6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gridSpan w:val="3"/>
          </w:tcPr>
          <w:p>
            <w:pPr>
              <w:ind w:left="80"/>
              <w:spacing w:after="0"/>
              <w:rPr>
                <w:sz w:val="20"/>
                <w:szCs w:val="20"/>
                <w:color w:val="auto"/>
              </w:rPr>
            </w:pPr>
            <w:r>
              <w:rPr>
                <w:rFonts w:ascii="Arial" w:cs="Arial" w:eastAsia="Arial" w:hAnsi="Arial"/>
                <w:sz w:val="18"/>
                <w:szCs w:val="18"/>
                <w:color w:val="auto"/>
              </w:rPr>
              <w:t>F-4</w:t>
            </w: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Year ended June 30,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  (1,089,482)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$ 27,530,652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715,762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529,041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(Gain) Loss on disposal of property and equipment</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(17,357)</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4,245</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Non-cash interest and amortization of debt discount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Bad debt expense</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1,099,528</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134,176</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5,731,356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5,463,985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3,837,174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Amortization</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21,953</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393,144</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(65,429)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income taxes, net</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215,038</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(27,301,266)</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Gain on sale of finance receivables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(52,178)</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(833,619)</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(9,522)</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receivable</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(2,517,493)</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(157,071)</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(247,358)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Finance receivables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(4,113,898)</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52,531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Inventory</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(1,930,857)</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370,104</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(304,229)</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(190,783)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payable</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918,761</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412,664</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54,717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267,004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(1,915,091)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taxes payable</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33,065</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21,021</w:t>
            </w:r>
          </w:p>
        </w:tc>
        <w:tc>
          <w:tcPr>
            <w:tcW w:w="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(1,697,742)</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7,085,400</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6,038,952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(60,309)</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(111,121)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for rental program</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(1,641,993)</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(10,883,473)</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(9,092,394)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4,993,879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2,995,095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property and equipment</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61,914</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82,047</w:t>
            </w:r>
          </w:p>
        </w:tc>
        <w:tc>
          <w:tcPr>
            <w:tcW w:w="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3,353,491</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(7,917,452)</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(9,180,837)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1"/>
              </w:rPr>
              <w:t>Net proceeds (payments) from the issuance (retirement) of common stock and exercise of common stock</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(61,987)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2,272,936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Excess tax benefits from share-based compensation</w:t>
            </w:r>
          </w:p>
        </w:tc>
        <w:tc>
          <w:tcPr>
            <w:tcW w:w="130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9,749</w:t>
            </w:r>
          </w:p>
        </w:tc>
        <w:tc>
          <w:tcPr>
            <w:tcW w:w="130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24,847</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(payments) from line of credit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13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(358,582)</w:t>
            </w:r>
          </w:p>
        </w:tc>
        <w:tc>
          <w:tcPr>
            <w:tcW w:w="130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(374,411)</w:t>
            </w: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(614,937)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2,056,724</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645,904</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3,923,372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2,696,240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640" w:gutter="0" w:footer="0" w:header="0"/>
        </w:sect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2,301,653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3,091,320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(445,645)</w:t>
            </w:r>
          </w:p>
        </w:tc>
      </w:tr>
      <w:tr>
        <w:trPr>
          <w:trHeight w:val="237"/>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9,072,320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5,981,000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6,426,645</w:t>
            </w:r>
          </w:p>
        </w:tc>
        <w:tc>
          <w:tcPr>
            <w:tcW w:w="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11,373,973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9,072,320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5,981,000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060" w:space="720"/>
            <w:col w:w="3640"/>
          </w:cols>
          <w:pgMar w:left="240" w:top="905" w:right="239" w:bottom="6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420" w:type="dxa"/>
            <w:vAlign w:val="bottom"/>
            <w:shd w:val="clear" w:color="auto" w:fill="F0FFFF"/>
          </w:tcPr>
          <w:p>
            <w:pPr>
              <w:spacing w:after="0"/>
              <w:rPr>
                <w:sz w:val="17"/>
                <w:szCs w:val="17"/>
                <w:color w:val="auto"/>
              </w:rPr>
            </w:pPr>
          </w:p>
        </w:tc>
        <w:tc>
          <w:tcPr>
            <w:tcW w:w="13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Interest paid in cash</w:t>
            </w:r>
          </w:p>
        </w:tc>
        <w:tc>
          <w:tcPr>
            <w:tcW w:w="15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305,566</w:t>
            </w:r>
          </w:p>
        </w:tc>
        <w:tc>
          <w:tcPr>
            <w:tcW w:w="32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259,820</w:t>
            </w:r>
          </w:p>
        </w:tc>
        <w:tc>
          <w:tcPr>
            <w:tcW w:w="200" w:type="dxa"/>
            <w:vAlign w:val="bottom"/>
            <w:gridSpan w:val="2"/>
            <w:shd w:val="clear" w:color="auto" w:fill="F0FF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118,934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Depreciation expense allocated to cost of services</w:t>
            </w:r>
          </w:p>
        </w:tc>
        <w:tc>
          <w:tcPr>
            <w:tcW w:w="136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tcBorders>
              <w:bottom w:val="single" w:sz="8" w:color="F0FFFF"/>
            </w:tcBorders>
            <w:vMerge w:val="continue"/>
          </w:tcPr>
          <w:p>
            <w:pPr>
              <w:spacing w:after="0"/>
              <w:rPr>
                <w:sz w:val="20"/>
                <w:szCs w:val="20"/>
                <w:color w:val="auto"/>
              </w:rPr>
            </w:pPr>
          </w:p>
        </w:tc>
        <w:tc>
          <w:tcPr>
            <w:tcW w:w="1360" w:type="dxa"/>
            <w:vAlign w:val="bottom"/>
            <w:tcBorders>
              <w:bottom w:val="single" w:sz="8" w:color="F0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5,119,674</w:t>
            </w:r>
          </w:p>
        </w:tc>
        <w:tc>
          <w:tcPr>
            <w:tcW w:w="120" w:type="dxa"/>
            <w:vAlign w:val="bottom"/>
            <w:tcBorders>
              <w:bottom w:val="single" w:sz="8" w:color="F0FFFF"/>
            </w:tcBorders>
            <w:vMerge w:val="continue"/>
          </w:tcPr>
          <w:p>
            <w:pPr>
              <w:spacing w:after="0"/>
              <w:rPr>
                <w:sz w:val="20"/>
                <w:szCs w:val="20"/>
                <w:color w:val="auto"/>
              </w:rPr>
            </w:pPr>
          </w:p>
        </w:tc>
        <w:tc>
          <w:tcPr>
            <w:tcW w:w="14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4,880,529</w:t>
            </w:r>
          </w:p>
        </w:tc>
        <w:tc>
          <w:tcPr>
            <w:tcW w:w="220" w:type="dxa"/>
            <w:vAlign w:val="bottom"/>
            <w:tcBorders>
              <w:bottom w:val="single" w:sz="8" w:color="F0FFFF"/>
            </w:tcBorders>
            <w:vMerge w:val="continue"/>
          </w:tcPr>
          <w:p>
            <w:pPr>
              <w:spacing w:after="0"/>
              <w:rPr>
                <w:sz w:val="20"/>
                <w:szCs w:val="20"/>
                <w:color w:val="auto"/>
              </w:rPr>
            </w:pPr>
          </w:p>
        </w:tc>
        <w:tc>
          <w:tcPr>
            <w:tcW w:w="2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3,265,452</w:t>
            </w:r>
          </w:p>
        </w:tc>
        <w:tc>
          <w:tcPr>
            <w:tcW w:w="20" w:type="dxa"/>
            <w:vAlign w:val="bottom"/>
            <w:tcBorders>
              <w:bottom w:val="single" w:sz="8" w:color="F0FFFF"/>
            </w:tcBorders>
            <w:vMerge w:val="continue"/>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420" w:type="dxa"/>
            <w:vAlign w:val="bottom"/>
            <w:tcBorders>
              <w:bottom w:val="single" w:sz="8" w:color="F0FFFF"/>
            </w:tcBorders>
            <w:shd w:val="clear" w:color="auto" w:fill="F0FFFF"/>
          </w:tcPr>
          <w:p>
            <w:pPr>
              <w:spacing w:after="0" w:line="190" w:lineRule="exact"/>
              <w:rPr>
                <w:sz w:val="20"/>
                <w:szCs w:val="20"/>
                <w:color w:val="auto"/>
              </w:rPr>
            </w:pPr>
            <w:r>
              <w:rPr>
                <w:rFonts w:ascii="Arial" w:cs="Arial" w:eastAsia="Arial" w:hAnsi="Arial"/>
                <w:sz w:val="18"/>
                <w:szCs w:val="18"/>
                <w:color w:val="auto"/>
              </w:rPr>
              <w:t>Reclass of rental program property to inventory, net</w:t>
            </w:r>
          </w:p>
        </w:tc>
        <w:tc>
          <w:tcPr>
            <w:tcW w:w="136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674,280</w:t>
            </w:r>
          </w:p>
        </w:tc>
        <w:tc>
          <w:tcPr>
            <w:tcW w:w="1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33,266</w:t>
            </w:r>
          </w:p>
        </w:tc>
        <w:tc>
          <w:tcPr>
            <w:tcW w:w="220" w:type="dxa"/>
            <w:vAlign w:val="bottom"/>
            <w:tcBorders>
              <w:bottom w:val="single" w:sz="8" w:color="F0FFFF"/>
            </w:tcBorders>
            <w:shd w:val="clear" w:color="auto" w:fill="F0FFFF"/>
          </w:tcPr>
          <w:p>
            <w:pPr>
              <w:spacing w:after="0"/>
              <w:rPr>
                <w:sz w:val="17"/>
                <w:szCs w:val="17"/>
                <w:color w:val="auto"/>
              </w:rPr>
            </w:pPr>
          </w:p>
        </w:tc>
        <w:tc>
          <w:tcPr>
            <w:tcW w:w="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28,337</w:t>
            </w:r>
          </w:p>
        </w:tc>
        <w:tc>
          <w:tcPr>
            <w:tcW w:w="2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Prepaid items financed with debt</w:t>
            </w:r>
          </w:p>
        </w:tc>
        <w:tc>
          <w:tcPr>
            <w:tcW w:w="13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tcBorders>
              <w:bottom w:val="single" w:sz="8" w:color="F0FFFF"/>
            </w:tcBorders>
            <w:vMerge w:val="continue"/>
          </w:tcPr>
          <w:p>
            <w:pPr>
              <w:spacing w:after="0"/>
              <w:rPr>
                <w:sz w:val="20"/>
                <w:szCs w:val="20"/>
                <w:color w:val="auto"/>
              </w:rPr>
            </w:pPr>
          </w:p>
        </w:tc>
        <w:tc>
          <w:tcPr>
            <w:tcW w:w="1360" w:type="dxa"/>
            <w:vAlign w:val="bottom"/>
            <w:tcBorders>
              <w:bottom w:val="single" w:sz="8" w:color="F0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103,125</w:t>
            </w:r>
          </w:p>
        </w:tc>
        <w:tc>
          <w:tcPr>
            <w:tcW w:w="120" w:type="dxa"/>
            <w:vAlign w:val="bottom"/>
            <w:tcBorders>
              <w:bottom w:val="single" w:sz="8" w:color="F0FFFF"/>
            </w:tcBorders>
            <w:vMerge w:val="continue"/>
          </w:tcPr>
          <w:p>
            <w:pPr>
              <w:spacing w:after="0"/>
              <w:rPr>
                <w:sz w:val="20"/>
                <w:szCs w:val="20"/>
                <w:color w:val="auto"/>
              </w:rPr>
            </w:pPr>
          </w:p>
        </w:tc>
        <w:tc>
          <w:tcPr>
            <w:tcW w:w="14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101,850</w:t>
            </w:r>
          </w:p>
        </w:tc>
        <w:tc>
          <w:tcPr>
            <w:tcW w:w="220" w:type="dxa"/>
            <w:vAlign w:val="bottom"/>
            <w:tcBorders>
              <w:bottom w:val="single" w:sz="8" w:color="F0FFFF"/>
            </w:tcBorders>
            <w:vMerge w:val="continue"/>
          </w:tcPr>
          <w:p>
            <w:pPr>
              <w:spacing w:after="0"/>
              <w:rPr>
                <w:sz w:val="20"/>
                <w:szCs w:val="20"/>
                <w:color w:val="auto"/>
              </w:rPr>
            </w:pPr>
          </w:p>
        </w:tc>
        <w:tc>
          <w:tcPr>
            <w:tcW w:w="2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133,588</w:t>
            </w:r>
          </w:p>
        </w:tc>
        <w:tc>
          <w:tcPr>
            <w:tcW w:w="20" w:type="dxa"/>
            <w:vAlign w:val="bottom"/>
            <w:tcBorders>
              <w:bottom w:val="single" w:sz="8" w:color="F0FFFF"/>
            </w:tcBorders>
            <w:vMerge w:val="continue"/>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420" w:type="dxa"/>
            <w:vAlign w:val="bottom"/>
            <w:tcBorders>
              <w:bottom w:val="single" w:sz="8" w:color="F0FFFF"/>
            </w:tcBorders>
            <w:shd w:val="clear" w:color="auto" w:fill="F0FFFF"/>
          </w:tcPr>
          <w:p>
            <w:pPr>
              <w:spacing w:after="0" w:line="190" w:lineRule="exact"/>
              <w:rPr>
                <w:sz w:val="20"/>
                <w:szCs w:val="20"/>
                <w:color w:val="auto"/>
              </w:rPr>
            </w:pPr>
            <w:r>
              <w:rPr>
                <w:rFonts w:ascii="Arial" w:cs="Arial" w:eastAsia="Arial" w:hAnsi="Arial"/>
                <w:sz w:val="18"/>
                <w:szCs w:val="18"/>
                <w:color w:val="auto"/>
              </w:rPr>
              <w:t>Prepaid interest from issuance of warrants for debt costs</w:t>
            </w:r>
          </w:p>
        </w:tc>
        <w:tc>
          <w:tcPr>
            <w:tcW w:w="136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17"/>
                <w:szCs w:val="17"/>
                <w:color w:val="auto"/>
              </w:rPr>
            </w:pPr>
          </w:p>
        </w:tc>
        <w:tc>
          <w:tcPr>
            <w:tcW w:w="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55,962</w:t>
            </w:r>
          </w:p>
        </w:tc>
        <w:tc>
          <w:tcPr>
            <w:tcW w:w="2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Equipment and software acquired under capital lease</w:t>
            </w:r>
          </w:p>
        </w:tc>
        <w:tc>
          <w:tcPr>
            <w:tcW w:w="13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tcBorders>
              <w:bottom w:val="single" w:sz="8" w:color="F0FFFF"/>
            </w:tcBorders>
            <w:vMerge w:val="continue"/>
          </w:tcPr>
          <w:p>
            <w:pPr>
              <w:spacing w:after="0"/>
              <w:rPr>
                <w:sz w:val="20"/>
                <w:szCs w:val="20"/>
                <w:color w:val="auto"/>
              </w:rPr>
            </w:pPr>
          </w:p>
        </w:tc>
        <w:tc>
          <w:tcPr>
            <w:tcW w:w="1360" w:type="dxa"/>
            <w:vAlign w:val="bottom"/>
            <w:tcBorders>
              <w:bottom w:val="single" w:sz="8" w:color="F0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107,903</w:t>
            </w:r>
          </w:p>
        </w:tc>
        <w:tc>
          <w:tcPr>
            <w:tcW w:w="120" w:type="dxa"/>
            <w:vAlign w:val="bottom"/>
            <w:tcBorders>
              <w:bottom w:val="single" w:sz="8" w:color="F0FFFF"/>
            </w:tcBorders>
            <w:vMerge w:val="continue"/>
          </w:tcPr>
          <w:p>
            <w:pPr>
              <w:spacing w:after="0"/>
              <w:rPr>
                <w:sz w:val="20"/>
                <w:szCs w:val="20"/>
                <w:color w:val="auto"/>
              </w:rPr>
            </w:pPr>
          </w:p>
        </w:tc>
        <w:tc>
          <w:tcPr>
            <w:tcW w:w="14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325,431</w:t>
            </w:r>
          </w:p>
        </w:tc>
        <w:tc>
          <w:tcPr>
            <w:tcW w:w="220" w:type="dxa"/>
            <w:vAlign w:val="bottom"/>
            <w:tcBorders>
              <w:bottom w:val="single" w:sz="8" w:color="F0FFFF"/>
            </w:tcBorders>
            <w:vMerge w:val="continue"/>
          </w:tcPr>
          <w:p>
            <w:pPr>
              <w:spacing w:after="0"/>
              <w:rPr>
                <w:sz w:val="20"/>
                <w:szCs w:val="20"/>
                <w:color w:val="auto"/>
              </w:rPr>
            </w:pPr>
          </w:p>
        </w:tc>
        <w:tc>
          <w:tcPr>
            <w:tcW w:w="20" w:type="dxa"/>
            <w:vAlign w:val="bottom"/>
            <w:tcBorders>
              <w:bottom w:val="single" w:sz="8" w:color="F0FFFF"/>
            </w:tcBorders>
            <w:vMerge w:val="continue"/>
          </w:tcPr>
          <w:p>
            <w:pPr>
              <w:spacing w:after="0"/>
              <w:rPr>
                <w:sz w:val="20"/>
                <w:szCs w:val="20"/>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124,917</w:t>
            </w:r>
          </w:p>
        </w:tc>
        <w:tc>
          <w:tcPr>
            <w:tcW w:w="20" w:type="dxa"/>
            <w:vAlign w:val="bottom"/>
            <w:tcBorders>
              <w:bottom w:val="single" w:sz="8" w:color="F0FFFF"/>
            </w:tcBorders>
            <w:vMerge w:val="continue"/>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420" w:type="dxa"/>
            <w:vAlign w:val="bottom"/>
            <w:tcBorders>
              <w:bottom w:val="single" w:sz="8" w:color="F0FFFF"/>
            </w:tcBorders>
            <w:shd w:val="clear" w:color="auto" w:fill="F0FFFF"/>
          </w:tcPr>
          <w:p>
            <w:pPr>
              <w:spacing w:after="0" w:line="190" w:lineRule="exact"/>
              <w:rPr>
                <w:sz w:val="20"/>
                <w:szCs w:val="20"/>
                <w:color w:val="auto"/>
              </w:rPr>
            </w:pPr>
            <w:r>
              <w:rPr>
                <w:rFonts w:ascii="Arial" w:cs="Arial" w:eastAsia="Arial" w:hAnsi="Arial"/>
                <w:sz w:val="18"/>
                <w:szCs w:val="18"/>
                <w:color w:val="auto"/>
              </w:rPr>
              <w:t>Disposal of property and equipment</w:t>
            </w:r>
          </w:p>
        </w:tc>
        <w:tc>
          <w:tcPr>
            <w:tcW w:w="136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842,204</w:t>
            </w:r>
          </w:p>
        </w:tc>
        <w:tc>
          <w:tcPr>
            <w:tcW w:w="1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709,638</w:t>
            </w:r>
          </w:p>
        </w:tc>
        <w:tc>
          <w:tcPr>
            <w:tcW w:w="220" w:type="dxa"/>
            <w:vAlign w:val="bottom"/>
            <w:tcBorders>
              <w:bottom w:val="single" w:sz="8" w:color="F0FFFF"/>
            </w:tcBorders>
            <w:shd w:val="clear" w:color="auto" w:fill="F0FFFF"/>
          </w:tcPr>
          <w:p>
            <w:pPr>
              <w:spacing w:after="0"/>
              <w:rPr>
                <w:sz w:val="17"/>
                <w:szCs w:val="17"/>
                <w:color w:val="auto"/>
              </w:rPr>
            </w:pPr>
          </w:p>
        </w:tc>
        <w:tc>
          <w:tcPr>
            <w:tcW w:w="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98,928</w:t>
            </w:r>
          </w:p>
        </w:tc>
        <w:tc>
          <w:tcPr>
            <w:tcW w:w="2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13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3,873,275</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1,918,920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 are reported at their outstanding unpaid principal balances reduced by an allowance for doubtful accounts. The Company estimates doubtful accounts for accounts receivable and finance receivables based on historical bad debts, factors related to specific customers’ ability to pay and current economic trends.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include goodwill, trademarks and patents.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during the fiscal years ended June 30, 2015, 2014 and 2013,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25" w:gutter="0" w:footer="0" w:header="0"/>
        </w:sectPr>
      </w:pPr>
    </w:p>
    <w:bookmarkStart w:id="50" w:name="page51"/>
    <w:bookmarkEnd w:id="50"/>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indefinite-life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has concluded there has been no impairment of trademarks during the fiscal years ended June 30, 2015, 2014 and 2013,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Patents and trademarks, with an estimated economic life, are carried at cost less accumulated amortization, which is calculated on a straight-line basis over their estimated economic life. Intangible assets with an estimated economic life were fully amortized as of June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LIVED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2015 and June 30,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credit agreements and the long-term portion of its finance receivables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r>
        <w:rPr>
          <w:rFonts w:ascii="Arial" w:cs="Arial" w:eastAsia="Arial" w:hAnsi="Arial"/>
          <w:sz w:val="18"/>
          <w:szCs w:val="18"/>
          <w:color w:val="auto"/>
        </w:rPr>
        <w: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subject the Company to a concentration of credit risk consist principally of cash and accounts and finance receivables. The Company maintains cash with various financial institutions where accounts may exceed federally insured limits at times. Approximately 35% and 22% of the Company’s trade accounts and finance receivables at June 30, 2015 and 2014, respectively, were concentrated with one customer.</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Concentration of revenues with customers subject the Company to operating risks. Approximately 21%, 26% and 26% of the Company’s license and transaction processing revenues for the years ended June 30, 2015, 2014 and 2013, respectively, were concentrated with one customer. Additionally for the year ended June 30, 2013, approximately 11% of the license and transaction processing fees were with another customer. There was a 17% concentration of equipment sales revenue with one customer for the year ended June 30, 2015 with no concentrations for the years ended June 30, 2014 and 2013. The Company’s customers are principally located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w:t>
      </w:r>
    </w:p>
    <w:p>
      <w:pPr>
        <w:sectPr>
          <w:pgSz w:w="11900" w:h="16975" w:orient="portrait"/>
          <w:cols w:equalWidth="0" w:num="1">
            <w:col w:w="11420"/>
          </w:cols>
          <w:pgMar w:left="240" w:top="905"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device for a nominal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its customers a rental program for its ePort devices, the JumpStart program (“JumpStart”). JumpStart terms are typically 36 months and are cancellable with thirty to sixty days’ written notice. In accordance with ASC 840, “Leases”, the Company classifies the rental agreements as operating leases, with service fee revenue related to the leases included in license and transaction fees in the Consolidated Statements of Operations. Cost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which are included in selling, general and administrative expenses in the Consolidated Statements of Operations, were approximately $1,457,000, $1,018,000 and $901,000, for the years ended June 30, 2015, 2014, and 2013, respectively. Our research and development initiatives focus on adding features and functionality to our system solutions through the development and utilization of our processing and reporting network and new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requisite service period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years ended June 30, 2015, 2014, and 2013.</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2012 through June 30, 2015 remain open to examination by taxing jurisdictions to which the Company is subject. As of June 30, 2015, the Company did not have any income tax examinations in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is anti-dilutive. For the years ended June 30, 2015 and 2014 no effect for common stock equivalents was considered in the calculation of diluted earnings (loss) per share because their effect was anti-dilutive. For the year ended June 30, 2013 the dilutive effect for 825,673 shares of common stock equivalents was considered in the calculation of diluted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its years ended June 30, 2015, 2014 or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2014, the Financial Accounting Standards Board issued ASU 2014-09 Revenue from Contracts with Customers (Topic 606). This pronouncement will be effective for the Company beginning with the year ending June 30,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the Financial Accounting Standards Board issued ASU 2014-12 Compensation- Stock Compensation (Topic 718); Accounting for share-based payments when the terms of the award provide that a performance target could be achieved after the requisite service period. This pronouncement will be effective for the Company beginning with the year ending June 30,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2014, the Financial Accounting Standards Board issued ASU 2014-15 Presentation of Financial Statements- Going Concern (Subtopic 205-40): Disclosure of uncertainties about an entity’s ability to continue as a going concern. This pronouncement will be effective for the Company beginning with the year ending June 30, 2018.</w:t>
      </w:r>
    </w:p>
    <w:p>
      <w:pPr>
        <w:sectPr>
          <w:pgSz w:w="11900" w:h="16918" w:orient="portrait"/>
          <w:cols w:equalWidth="0" w:num="1">
            <w:col w:w="11420"/>
          </w:cols>
          <w:pgMar w:left="240" w:top="905" w:right="239" w:bottom="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In April 2015, the Financial Accounting Standards Board issued ASU 2015-03 Interest- Imputation of Interest (Subtopic 835-30): Simplifying the presentation of debt issuance costs. This pronouncement will be effective for the Company beginning with the year ending June 30,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2015, the Financial Accounting Standards Board issued ASU 2015-11 Inventory (Topic 330): Simplifying the measurement of inventory. This pronouncement will be effective for the Company beginning with the year ending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financial statements have been reclassified to conform to the current period presentation.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center"/>
        <w:ind w:right="-113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3. FINANCE RECEIVABLES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40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44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finance receivables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4,638,663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941,150</w:t>
            </w:r>
          </w:p>
        </w:tc>
        <w:tc>
          <w:tcPr>
            <w:tcW w:w="1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119,793</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44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finance receivables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3,697,513</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352,794</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and 2014, there was no allowance for credit losses of finance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quality indicators consist of the following:</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Credit risk profile based on payment activity:</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w w:val="89"/>
              </w:rPr>
              <w:t>June 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29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jc w:val="right"/>
              <w:ind w:right="390"/>
              <w:spacing w:after="0"/>
              <w:rPr>
                <w:sz w:val="20"/>
                <w:szCs w:val="20"/>
                <w:color w:val="auto"/>
              </w:rPr>
            </w:pPr>
            <w:r>
              <w:rPr>
                <w:rFonts w:ascii="Arial" w:cs="Arial" w:eastAsia="Arial" w:hAnsi="Arial"/>
                <w:sz w:val="18"/>
                <w:szCs w:val="18"/>
                <w:color w:val="auto"/>
              </w:rPr>
              <w:t>2014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170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56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4,618,458</w:t>
            </w:r>
          </w:p>
        </w:tc>
        <w:tc>
          <w:tcPr>
            <w:tcW w:w="600" w:type="dxa"/>
            <w:vAlign w:val="bottom"/>
            <w:gridSpan w:val="2"/>
            <w:shd w:val="clear" w:color="auto" w:fill="F0FFFF"/>
          </w:tcPr>
          <w:p>
            <w:pPr>
              <w:jc w:val="right"/>
              <w:ind w:right="297"/>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472,587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bottom w:val="single" w:sz="8" w:color="F0FFFF"/>
            </w:tcBorders>
            <w:gridSpan w:val="3"/>
          </w:tcPr>
          <w:p>
            <w:pPr>
              <w:spacing w:after="0"/>
              <w:rPr>
                <w:sz w:val="20"/>
                <w:szCs w:val="20"/>
                <w:color w:val="auto"/>
              </w:rPr>
            </w:pPr>
            <w:r>
              <w:rPr>
                <w:rFonts w:ascii="Arial" w:cs="Arial" w:eastAsia="Arial" w:hAnsi="Arial"/>
                <w:sz w:val="18"/>
                <w:szCs w:val="18"/>
                <w:color w:val="auto"/>
              </w:rPr>
              <w:t>Nonperforming</w:t>
            </w:r>
          </w:p>
        </w:tc>
        <w:tc>
          <w:tcPr>
            <w:tcW w:w="16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88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114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20,205</w:t>
            </w:r>
          </w:p>
        </w:tc>
        <w:tc>
          <w:tcPr>
            <w:tcW w:w="140" w:type="dxa"/>
            <w:vAlign w:val="bottom"/>
            <w:tcBorders>
              <w:bottom w:val="single" w:sz="8" w:color="F0FF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4,638,663</w:t>
            </w:r>
          </w:p>
        </w:tc>
        <w:tc>
          <w:tcPr>
            <w:tcW w:w="14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auto"/>
            </w:tcBorders>
            <w:shd w:val="clear" w:color="auto" w:fill="F0FFFF"/>
          </w:tcPr>
          <w:p>
            <w:pPr>
              <w:jc w:val="right"/>
              <w:ind w:right="29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472,587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tcBorders>
            <w:gridSpan w:val="3"/>
          </w:tcPr>
          <w:p>
            <w:pPr>
              <w:spacing w:after="0" w:line="20" w:lineRule="exact"/>
              <w:rPr>
                <w:sz w:val="1"/>
                <w:szCs w:val="1"/>
                <w:color w:val="auto"/>
              </w:rPr>
            </w:pPr>
          </w:p>
        </w:tc>
        <w:tc>
          <w:tcPr>
            <w:tcW w:w="1420" w:type="dxa"/>
            <w:vAlign w:val="bottom"/>
            <w:tcBorders>
              <w:top w:val="single" w:sz="8" w:color="F0FFFF"/>
            </w:tcBorders>
            <w:gridSpan w:val="3"/>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gridSpan w:val="2"/>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gridSpan w:val="11"/>
          </w:tcPr>
          <w:p>
            <w:pPr>
              <w:ind w:left="120"/>
              <w:spacing w:after="0"/>
              <w:rPr>
                <w:sz w:val="20"/>
                <w:szCs w:val="20"/>
                <w:color w:val="auto"/>
              </w:rPr>
            </w:pPr>
            <w:r>
              <w:rPr>
                <w:rFonts w:ascii="Arial" w:cs="Arial" w:eastAsia="Arial" w:hAnsi="Arial"/>
                <w:sz w:val="18"/>
                <w:szCs w:val="18"/>
                <w:color w:val="auto"/>
              </w:rPr>
              <w:t>Age Analysis of Past Due Finance Receivables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As of June 30,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31 – 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w w:val="99"/>
              </w:rPr>
              <w:t>61 – 90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0"/>
              </w:rPr>
              <w:t>Greater 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color w:val="auto"/>
                <w:w w:val="86"/>
              </w:rPr>
              <w:t>Days Past Due</w:t>
            </w:r>
          </w:p>
        </w:tc>
        <w:tc>
          <w:tcPr>
            <w:tcW w:w="1180" w:type="dxa"/>
            <w:vAlign w:val="bottom"/>
            <w:gridSpan w:val="3"/>
          </w:tcPr>
          <w:p>
            <w:pPr>
              <w:ind w:left="120"/>
              <w:spacing w:after="0"/>
              <w:rPr>
                <w:sz w:val="20"/>
                <w:szCs w:val="20"/>
                <w:color w:val="auto"/>
              </w:rPr>
            </w:pPr>
            <w:r>
              <w:rPr>
                <w:rFonts w:ascii="Arial" w:cs="Arial" w:eastAsia="Arial" w:hAnsi="Arial"/>
                <w:sz w:val="18"/>
                <w:szCs w:val="18"/>
                <w:color w:val="auto"/>
                <w:w w:val="86"/>
              </w:rPr>
              <w:t>Days Past Due</w:t>
            </w:r>
          </w:p>
        </w:tc>
        <w:tc>
          <w:tcPr>
            <w:tcW w:w="1420" w:type="dxa"/>
            <w:vAlign w:val="bottom"/>
            <w:gridSpan w:val="3"/>
          </w:tcPr>
          <w:p>
            <w:pPr>
              <w:ind w:left="140"/>
              <w:spacing w:after="0"/>
              <w:rPr>
                <w:sz w:val="20"/>
                <w:szCs w:val="20"/>
                <w:color w:val="auto"/>
              </w:rPr>
            </w:pPr>
            <w:r>
              <w:rPr>
                <w:rFonts w:ascii="Arial" w:cs="Arial" w:eastAsia="Arial" w:hAnsi="Arial"/>
                <w:sz w:val="18"/>
                <w:szCs w:val="18"/>
                <w:color w:val="auto"/>
                <w:w w:val="86"/>
              </w:rPr>
              <w:t>90 Days Past Due</w:t>
            </w:r>
          </w:p>
        </w:tc>
        <w:tc>
          <w:tcPr>
            <w:tcW w:w="1320" w:type="dxa"/>
            <w:vAlign w:val="bottom"/>
            <w:gridSpan w:val="5"/>
          </w:tcPr>
          <w:p>
            <w:pPr>
              <w:ind w:left="140"/>
              <w:spacing w:after="0"/>
              <w:rPr>
                <w:sz w:val="20"/>
                <w:szCs w:val="20"/>
                <w:color w:val="auto"/>
              </w:rPr>
            </w:pPr>
            <w:r>
              <w:rPr>
                <w:rFonts w:ascii="Arial" w:cs="Arial" w:eastAsia="Arial" w:hAnsi="Arial"/>
                <w:sz w:val="18"/>
                <w:szCs w:val="18"/>
                <w:color w:val="auto"/>
                <w:w w:val="95"/>
              </w:rPr>
              <w:t>Total Past Due</w:t>
            </w:r>
          </w:p>
        </w:tc>
        <w:tc>
          <w:tcPr>
            <w:tcW w:w="840" w:type="dxa"/>
            <w:vAlign w:val="bottom"/>
            <w:gridSpan w:val="3"/>
          </w:tcPr>
          <w:p>
            <w:pPr>
              <w:jc w:val="right"/>
              <w:ind w:right="77"/>
              <w:spacing w:after="0"/>
              <w:rPr>
                <w:sz w:val="20"/>
                <w:szCs w:val="20"/>
                <w:color w:val="auto"/>
              </w:rPr>
            </w:pPr>
            <w:r>
              <w:rPr>
                <w:rFonts w:ascii="Arial" w:cs="Arial" w:eastAsia="Arial" w:hAnsi="Arial"/>
                <w:sz w:val="18"/>
                <w:szCs w:val="18"/>
                <w:color w:val="auto"/>
              </w:rPr>
              <w:t>Current</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w w:val="89"/>
              </w:rPr>
              <w:t>Finance Receivables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QuickStart</w:t>
            </w:r>
          </w:p>
        </w:tc>
        <w:tc>
          <w:tcPr>
            <w:tcW w:w="40" w:type="dxa"/>
            <w:vAlign w:val="bottom"/>
            <w:shd w:val="clear" w:color="auto" w:fill="F0FFFF"/>
          </w:tcPr>
          <w:p>
            <w:pPr>
              <w:spacing w:after="0"/>
              <w:rPr>
                <w:sz w:val="17"/>
                <w:szCs w:val="17"/>
                <w:color w:val="auto"/>
              </w:rPr>
            </w:pPr>
          </w:p>
        </w:tc>
        <w:tc>
          <w:tcPr>
            <w:tcW w:w="600" w:type="dxa"/>
            <w:vAlign w:val="bottom"/>
            <w:shd w:val="clear" w:color="auto" w:fill="F0FFFF"/>
          </w:tcPr>
          <w:p>
            <w:pPr>
              <w:ind w:left="40"/>
              <w:spacing w:after="0" w:line="201" w:lineRule="exact"/>
              <w:rPr>
                <w:sz w:val="20"/>
                <w:szCs w:val="20"/>
                <w:color w:val="auto"/>
              </w:rPr>
            </w:pPr>
            <w:r>
              <w:rPr>
                <w:rFonts w:ascii="Arial" w:cs="Arial" w:eastAsia="Arial" w:hAnsi="Arial"/>
                <w:sz w:val="18"/>
                <w:szCs w:val="18"/>
                <w:color w:val="auto"/>
                <w:w w:val="92"/>
              </w:rPr>
              <w:t>Leases</w:t>
            </w:r>
          </w:p>
        </w:tc>
        <w:tc>
          <w:tcPr>
            <w:tcW w:w="200" w:type="dxa"/>
            <w:vAlign w:val="bottom"/>
            <w:shd w:val="clear" w:color="auto" w:fill="F0FF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tcBorders>
              <w:right w:val="single" w:sz="8" w:color="F0FFFF"/>
            </w:tcBorders>
            <w:shd w:val="clear" w:color="auto" w:fill="F0FFFF"/>
          </w:tcPr>
          <w:p>
            <w:pPr>
              <w:spacing w:after="0"/>
              <w:rPr>
                <w:sz w:val="17"/>
                <w:szCs w:val="17"/>
                <w:color w:val="auto"/>
              </w:rPr>
            </w:pPr>
          </w:p>
        </w:tc>
        <w:tc>
          <w:tcPr>
            <w:tcW w:w="860" w:type="dxa"/>
            <w:vAlign w:val="bottom"/>
            <w:tcBorders>
              <w:right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0" w:type="dxa"/>
            <w:vAlign w:val="bottom"/>
            <w:shd w:val="clear" w:color="auto" w:fill="F0FFFF"/>
          </w:tcPr>
          <w:p>
            <w:pPr>
              <w:spacing w:after="0"/>
              <w:rPr>
                <w:sz w:val="20"/>
                <w:szCs w:val="20"/>
                <w:color w:val="auto"/>
              </w:rPr>
            </w:pPr>
            <w:r>
              <w:rPr>
                <w:rFonts w:ascii="Arial" w:cs="Arial" w:eastAsia="Arial" w:hAnsi="Arial"/>
                <w:sz w:val="18"/>
                <w:szCs w:val="18"/>
                <w:color w:val="auto"/>
              </w:rPr>
              <w:t>2015</w:t>
            </w:r>
          </w:p>
        </w:tc>
        <w:tc>
          <w:tcPr>
            <w:tcW w:w="4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15,574</w:t>
            </w:r>
          </w:p>
        </w:tc>
        <w:tc>
          <w:tcPr>
            <w:tcW w:w="28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4,630</w:t>
            </w:r>
          </w:p>
        </w:tc>
        <w:tc>
          <w:tcPr>
            <w:tcW w:w="3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20,205</w:t>
            </w:r>
          </w:p>
        </w:tc>
        <w:tc>
          <w:tcPr>
            <w:tcW w:w="120" w:type="dxa"/>
            <w:vAlign w:val="bottom"/>
            <w:tcBorders>
              <w:right w:val="single" w:sz="8" w:color="F0FFFF"/>
            </w:tcBorders>
            <w:shd w:val="clear" w:color="auto" w:fill="F0FFFF"/>
          </w:tcPr>
          <w:p>
            <w:pPr>
              <w:spacing w:after="0"/>
              <w:rPr>
                <w:sz w:val="21"/>
                <w:szCs w:val="21"/>
                <w:color w:val="auto"/>
              </w:rPr>
            </w:pPr>
          </w:p>
        </w:tc>
        <w:tc>
          <w:tcPr>
            <w:tcW w:w="840" w:type="dxa"/>
            <w:vAlign w:val="bottom"/>
            <w:gridSpan w:val="3"/>
            <w:shd w:val="clear" w:color="auto" w:fill="F0FF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4,618,458</w:t>
            </w:r>
          </w:p>
        </w:tc>
        <w:tc>
          <w:tcPr>
            <w:tcW w:w="800" w:type="dxa"/>
            <w:vAlign w:val="bottom"/>
            <w:tcBorders>
              <w:right w:val="single" w:sz="8" w:color="F0FFFF"/>
            </w:tcBorders>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7"/>
              </w:rPr>
              <w:t>4,638,663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QuickStart</w:t>
            </w:r>
          </w:p>
        </w:tc>
        <w:tc>
          <w:tcPr>
            <w:tcW w:w="40" w:type="dxa"/>
            <w:vAlign w:val="bottom"/>
            <w:shd w:val="clear" w:color="auto" w:fill="F0FFFF"/>
          </w:tcPr>
          <w:p>
            <w:pPr>
              <w:spacing w:after="0"/>
              <w:rPr>
                <w:sz w:val="17"/>
                <w:szCs w:val="17"/>
                <w:color w:val="auto"/>
              </w:rPr>
            </w:pPr>
          </w:p>
        </w:tc>
        <w:tc>
          <w:tcPr>
            <w:tcW w:w="600" w:type="dxa"/>
            <w:vAlign w:val="bottom"/>
            <w:shd w:val="clear" w:color="auto" w:fill="F0FFFF"/>
          </w:tcPr>
          <w:p>
            <w:pPr>
              <w:ind w:left="40"/>
              <w:spacing w:after="0" w:line="201" w:lineRule="exact"/>
              <w:rPr>
                <w:sz w:val="20"/>
                <w:szCs w:val="20"/>
                <w:color w:val="auto"/>
              </w:rPr>
            </w:pPr>
            <w:r>
              <w:rPr>
                <w:rFonts w:ascii="Arial" w:cs="Arial" w:eastAsia="Arial" w:hAnsi="Arial"/>
                <w:sz w:val="18"/>
                <w:szCs w:val="18"/>
                <w:color w:val="auto"/>
                <w:w w:val="92"/>
              </w:rPr>
              <w:t>Leases</w:t>
            </w:r>
          </w:p>
        </w:tc>
        <w:tc>
          <w:tcPr>
            <w:tcW w:w="200" w:type="dxa"/>
            <w:vAlign w:val="bottom"/>
            <w:shd w:val="clear" w:color="auto" w:fill="F0FF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tcBorders>
              <w:right w:val="single" w:sz="8" w:color="F0FFFF"/>
            </w:tcBorders>
            <w:shd w:val="clear" w:color="auto" w:fill="F0FFFF"/>
          </w:tcPr>
          <w:p>
            <w:pPr>
              <w:spacing w:after="0"/>
              <w:rPr>
                <w:sz w:val="17"/>
                <w:szCs w:val="17"/>
                <w:color w:val="auto"/>
              </w:rPr>
            </w:pPr>
          </w:p>
        </w:tc>
        <w:tc>
          <w:tcPr>
            <w:tcW w:w="860" w:type="dxa"/>
            <w:vAlign w:val="bottom"/>
            <w:tcBorders>
              <w:right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F0FFFF"/>
          </w:tcPr>
          <w:p>
            <w:pPr>
              <w:spacing w:after="0"/>
              <w:rPr>
                <w:sz w:val="20"/>
                <w:szCs w:val="20"/>
                <w:color w:val="auto"/>
              </w:rPr>
            </w:pPr>
            <w:r>
              <w:rPr>
                <w:rFonts w:ascii="Arial" w:cs="Arial" w:eastAsia="Arial" w:hAnsi="Arial"/>
                <w:sz w:val="18"/>
                <w:szCs w:val="18"/>
                <w:color w:val="auto"/>
              </w:rPr>
              <w:t>2014</w:t>
            </w:r>
          </w:p>
        </w:tc>
        <w:tc>
          <w:tcPr>
            <w:tcW w:w="4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909</w:t>
            </w:r>
          </w:p>
        </w:tc>
        <w:tc>
          <w:tcPr>
            <w:tcW w:w="28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right w:val="single" w:sz="8" w:color="F0FFFF"/>
            </w:tcBorders>
            <w:shd w:val="clear" w:color="auto" w:fill="F0FFFF"/>
          </w:tcPr>
          <w:p>
            <w:pPr>
              <w:spacing w:after="0"/>
              <w:rPr>
                <w:sz w:val="21"/>
                <w:szCs w:val="21"/>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86"/>
              </w:rPr>
              <w:t>471,300</w:t>
            </w:r>
          </w:p>
        </w:tc>
        <w:tc>
          <w:tcPr>
            <w:tcW w:w="800" w:type="dxa"/>
            <w:vAlign w:val="bottom"/>
            <w:tcBorders>
              <w:right w:val="single" w:sz="8" w:color="F0FFFF"/>
            </w:tcBorders>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472,587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60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860" w:type="dxa"/>
            <w:vAlign w:val="bottom"/>
            <w:tcBorders>
              <w:right w:val="single" w:sz="8" w:color="F0FF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904" w:right="1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Property and equipment, at cost,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2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Useful</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June 30, 2015</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Lives</w:t>
            </w:r>
          </w:p>
        </w:tc>
        <w:tc>
          <w:tcPr>
            <w:tcW w:w="26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Depreciation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56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3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4,669,485</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(4,016,635)</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652,850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26,469,057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(14,475,816)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11,993,241</w:t>
            </w:r>
          </w:p>
        </w:tc>
        <w:tc>
          <w:tcPr>
            <w:tcW w:w="0" w:type="dxa"/>
            <w:vAlign w:val="bottom"/>
          </w:tcPr>
          <w:p>
            <w:pPr>
              <w:spacing w:after="0"/>
              <w:rPr>
                <w:sz w:val="1"/>
                <w:szCs w:val="1"/>
                <w:color w:val="auto"/>
              </w:rPr>
            </w:pPr>
          </w:p>
        </w:tc>
      </w:tr>
      <w:tr>
        <w:trPr>
          <w:trHeight w:val="216"/>
        </w:trPr>
        <w:tc>
          <w:tcPr>
            <w:tcW w:w="562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50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w w:val="90"/>
              </w:rPr>
              <w:t>3-7 years</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723,047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(571,933)</w:t>
            </w:r>
          </w:p>
        </w:tc>
        <w:tc>
          <w:tcPr>
            <w:tcW w:w="34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151,114</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4"/>
              </w:rPr>
              <w:t>Lesser of life or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lease term</w:t>
            </w: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575,343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(503,740)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71,603</w:t>
            </w:r>
          </w:p>
        </w:tc>
        <w:tc>
          <w:tcPr>
            <w:tcW w:w="0" w:type="dxa"/>
            <w:vAlign w:val="bottom"/>
          </w:tcPr>
          <w:p>
            <w:pPr>
              <w:spacing w:after="0"/>
              <w:rPr>
                <w:sz w:val="1"/>
                <w:szCs w:val="1"/>
                <w:color w:val="auto"/>
              </w:rPr>
            </w:pPr>
          </w:p>
        </w:tc>
      </w:tr>
      <w:tr>
        <w:trPr>
          <w:trHeight w:val="255"/>
        </w:trPr>
        <w:tc>
          <w:tcPr>
            <w:tcW w:w="5620" w:type="dxa"/>
            <w:vAlign w:val="bottom"/>
            <w:tcBorders>
              <w:top w:val="single" w:sz="8" w:color="F0FFFF"/>
              <w:bottom w:val="single" w:sz="8" w:color="F0FFFF"/>
            </w:tcBorders>
            <w:shd w:val="clear" w:color="auto" w:fill="F0FFFF"/>
          </w:tcPr>
          <w:p>
            <w:pPr>
              <w:spacing w:after="0"/>
              <w:rPr>
                <w:sz w:val="21"/>
                <w:szCs w:val="21"/>
                <w:color w:val="auto"/>
              </w:rPr>
            </w:pPr>
          </w:p>
        </w:tc>
        <w:tc>
          <w:tcPr>
            <w:tcW w:w="13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32,436,932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(19,568,124</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12,868,808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1500" w:type="dxa"/>
            <w:vAlign w:val="bottom"/>
            <w:tcBorders>
              <w:top w:val="single" w:sz="8" w:color="F0FFFF"/>
              <w:bottom w:val="single" w:sz="8" w:color="F0FFFF"/>
            </w:tcBorders>
            <w:gridSpan w:val="2"/>
            <w:vMerge w:val="restart"/>
          </w:tcPr>
          <w:p>
            <w:pPr>
              <w:jc w:val="center"/>
              <w:ind w:right="140"/>
              <w:spacing w:after="0"/>
              <w:rPr>
                <w:sz w:val="20"/>
                <w:szCs w:val="20"/>
                <w:color w:val="auto"/>
              </w:rPr>
            </w:pPr>
            <w:r>
              <w:rPr>
                <w:rFonts w:ascii="Arial" w:cs="Arial" w:eastAsia="Arial" w:hAnsi="Arial"/>
                <w:sz w:val="18"/>
                <w:szCs w:val="18"/>
                <w:color w:val="auto"/>
                <w:w w:val="93"/>
              </w:rPr>
              <w:t>Useful</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6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June 30, 2014</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Lives</w:t>
            </w:r>
          </w:p>
        </w:tc>
        <w:tc>
          <w:tcPr>
            <w:tcW w:w="26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Depreciation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56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3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4,581,001</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(3,612,551)</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968,450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30,348,918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(10,524,701)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19,824,217</w:t>
            </w:r>
          </w:p>
        </w:tc>
        <w:tc>
          <w:tcPr>
            <w:tcW w:w="0" w:type="dxa"/>
            <w:vAlign w:val="bottom"/>
          </w:tcPr>
          <w:p>
            <w:pPr>
              <w:spacing w:after="0"/>
              <w:rPr>
                <w:sz w:val="1"/>
                <w:szCs w:val="1"/>
                <w:color w:val="auto"/>
              </w:rPr>
            </w:pPr>
          </w:p>
        </w:tc>
      </w:tr>
      <w:tr>
        <w:trPr>
          <w:trHeight w:val="216"/>
        </w:trPr>
        <w:tc>
          <w:tcPr>
            <w:tcW w:w="562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50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w w:val="90"/>
              </w:rPr>
              <w:t>3-7 years</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681,717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(498,995)</w:t>
            </w:r>
          </w:p>
        </w:tc>
        <w:tc>
          <w:tcPr>
            <w:tcW w:w="34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182,722</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4"/>
              </w:rPr>
              <w:t>Lesser of life or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1"/>
                <w:szCs w:val="21"/>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lease term</w:t>
            </w: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575,343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(412,152)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163,191</w:t>
            </w:r>
          </w:p>
        </w:tc>
        <w:tc>
          <w:tcPr>
            <w:tcW w:w="0" w:type="dxa"/>
            <w:vAlign w:val="bottom"/>
          </w:tcPr>
          <w:p>
            <w:pPr>
              <w:spacing w:after="0"/>
              <w:rPr>
                <w:sz w:val="1"/>
                <w:szCs w:val="1"/>
                <w:color w:val="auto"/>
              </w:rPr>
            </w:pPr>
          </w:p>
        </w:tc>
      </w:tr>
      <w:tr>
        <w:trPr>
          <w:trHeight w:val="255"/>
        </w:trPr>
        <w:tc>
          <w:tcPr>
            <w:tcW w:w="5620" w:type="dxa"/>
            <w:vAlign w:val="bottom"/>
            <w:tcBorders>
              <w:top w:val="single" w:sz="8" w:color="F0FFFF"/>
              <w:bottom w:val="single" w:sz="8" w:color="F0FFFF"/>
            </w:tcBorders>
            <w:shd w:val="clear" w:color="auto" w:fill="F0FFFF"/>
          </w:tcPr>
          <w:p>
            <w:pPr>
              <w:spacing w:after="0"/>
              <w:rPr>
                <w:sz w:val="21"/>
                <w:szCs w:val="21"/>
                <w:color w:val="auto"/>
              </w:rPr>
            </w:pPr>
          </w:p>
        </w:tc>
        <w:tc>
          <w:tcPr>
            <w:tcW w:w="13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36,186,979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(15,048,399</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21,138,580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620" w:type="dxa"/>
            <w:vAlign w:val="bottom"/>
            <w:tcBorders>
              <w:bottom w:val="single" w:sz="8" w:color="F0FFFF"/>
            </w:tcBorders>
          </w:tcPr>
          <w:p>
            <w:pPr>
              <w:spacing w:after="0"/>
              <w:rPr>
                <w:sz w:val="24"/>
                <w:szCs w:val="24"/>
                <w:color w:val="auto"/>
              </w:rPr>
            </w:pPr>
          </w:p>
        </w:tc>
        <w:tc>
          <w:tcPr>
            <w:tcW w:w="138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F0FFFF"/>
            </w:tcBorders>
          </w:tcPr>
          <w:p>
            <w:pPr>
              <w:spacing w:after="0"/>
              <w:rPr>
                <w:sz w:val="24"/>
                <w:szCs w:val="24"/>
                <w:color w:val="auto"/>
              </w:rPr>
            </w:pPr>
          </w:p>
        </w:tc>
        <w:tc>
          <w:tcPr>
            <w:tcW w:w="6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F0FFFF"/>
          </w:tcPr>
          <w:p>
            <w:pPr>
              <w:spacing w:after="0"/>
              <w:rPr>
                <w:sz w:val="20"/>
                <w:szCs w:val="20"/>
                <w:color w:val="auto"/>
              </w:rPr>
            </w:pPr>
            <w:r>
              <w:rPr>
                <w:rFonts w:ascii="Arial" w:cs="Arial" w:eastAsia="Arial" w:hAnsi="Arial"/>
                <w:sz w:val="18"/>
                <w:szCs w:val="18"/>
                <w:color w:val="auto"/>
              </w:rPr>
              <w:t>Depreciation expense</w:t>
            </w:r>
          </w:p>
        </w:tc>
        <w:tc>
          <w:tcPr>
            <w:tcW w:w="13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5,694,452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5,459,064</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3,837,174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Assets under capital leases totaled approximately $2,139,000 and $2,031,000 as of June 30, 2015 and 2014, respectively. Capital lease amortization of approximately $349,000, $305,000 and $265,000, is included in depreciation expense for the years ended June 30, 2015, 2014, and 2013,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relating to all acquired intangible assets was approximately $0, $22,000 and $742,000 during each of the years ended June 30, 2015, 2014, and 2013, respectively. Intangible asset balances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Beginning</w:t>
            </w:r>
          </w:p>
        </w:tc>
        <w:tc>
          <w:tcPr>
            <w:tcW w:w="120" w:type="dxa"/>
            <w:vAlign w:val="bottom"/>
          </w:tcPr>
          <w:p>
            <w:pPr>
              <w:spacing w:after="0"/>
              <w:rPr>
                <w:sz w:val="21"/>
                <w:szCs w:val="21"/>
                <w:color w:val="auto"/>
              </w:rPr>
            </w:pPr>
          </w:p>
        </w:tc>
        <w:tc>
          <w:tcPr>
            <w:tcW w:w="2340" w:type="dxa"/>
            <w:vAlign w:val="bottom"/>
            <w:gridSpan w:val="6"/>
          </w:tcPr>
          <w:p>
            <w:pPr>
              <w:jc w:val="right"/>
              <w:ind w:right="270"/>
              <w:spacing w:after="0"/>
              <w:rPr>
                <w:sz w:val="20"/>
                <w:szCs w:val="20"/>
                <w:color w:val="auto"/>
              </w:rPr>
            </w:pPr>
            <w:r>
              <w:rPr>
                <w:rFonts w:ascii="Arial" w:cs="Arial" w:eastAsia="Arial" w:hAnsi="Arial"/>
                <w:sz w:val="18"/>
                <w:szCs w:val="18"/>
                <w:color w:val="auto"/>
                <w:w w:val="92"/>
              </w:rPr>
              <w:t>Year ended June 30, 2015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Ending</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6"/>
              </w:rPr>
              <w:t>Additions/</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Balance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July 1, 2014</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20"/>
                <w:szCs w:val="20"/>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Amortization</w:t>
            </w:r>
          </w:p>
        </w:tc>
        <w:tc>
          <w:tcPr>
            <w:tcW w:w="60" w:type="dxa"/>
            <w:vAlign w:val="bottom"/>
          </w:tcPr>
          <w:p>
            <w:pPr>
              <w:spacing w:after="0"/>
              <w:rPr>
                <w:sz w:val="20"/>
                <w:szCs w:val="20"/>
                <w:color w:val="auto"/>
              </w:rPr>
            </w:pPr>
          </w:p>
        </w:tc>
        <w:tc>
          <w:tcPr>
            <w:tcW w:w="1080" w:type="dxa"/>
            <w:vAlign w:val="bottom"/>
            <w:gridSpan w:val="5"/>
          </w:tcPr>
          <w:p>
            <w:pPr>
              <w:jc w:val="center"/>
              <w:spacing w:after="0"/>
              <w:rPr>
                <w:sz w:val="20"/>
                <w:szCs w:val="20"/>
                <w:color w:val="auto"/>
              </w:rPr>
            </w:pPr>
            <w:r>
              <w:rPr>
                <w:rFonts w:ascii="Arial" w:cs="Arial" w:eastAsia="Arial" w:hAnsi="Arial"/>
                <w:sz w:val="18"/>
                <w:szCs w:val="18"/>
                <w:color w:val="auto"/>
                <w:w w:val="87"/>
              </w:rPr>
              <w:t>June 30, 2015</w:t>
            </w:r>
          </w:p>
        </w:tc>
        <w:tc>
          <w:tcPr>
            <w:tcW w:w="180" w:type="dxa"/>
            <w:vAlign w:val="bottom"/>
          </w:tcPr>
          <w:p>
            <w:pPr>
              <w:spacing w:after="0"/>
              <w:rPr>
                <w:sz w:val="20"/>
                <w:szCs w:val="20"/>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7,663,208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7,663,208</w:t>
            </w:r>
          </w:p>
        </w:tc>
        <w:tc>
          <w:tcPr>
            <w:tcW w:w="180" w:type="dxa"/>
            <w:vAlign w:val="bottom"/>
            <w:shd w:val="clear" w:color="auto" w:fill="F0FFFF"/>
          </w:tcPr>
          <w:p>
            <w:pPr>
              <w:spacing w:after="0"/>
              <w:rPr>
                <w:sz w:val="18"/>
                <w:szCs w:val="18"/>
                <w:color w:val="auto"/>
              </w:rPr>
            </w:pPr>
          </w:p>
        </w:tc>
        <w:tc>
          <w:tcPr>
            <w:tcW w:w="1160" w:type="dxa"/>
            <w:vAlign w:val="bottom"/>
            <w:gridSpan w:val="4"/>
            <w:shd w:val="clear" w:color="auto" w:fill="F0FF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Trademarks - Indefinite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432,100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432,100</w:t>
            </w:r>
          </w:p>
        </w:tc>
        <w:tc>
          <w:tcPr>
            <w:tcW w:w="1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Trademarks - Amortizable</w:t>
            </w: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160" w:type="dxa"/>
            <w:vAlign w:val="bottom"/>
            <w:gridSpan w:val="4"/>
            <w:shd w:val="clear" w:color="auto" w:fill="F0FFFF"/>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1"/>
                <w:szCs w:val="21"/>
                <w:color w:val="auto"/>
              </w:rPr>
            </w:pPr>
          </w:p>
        </w:tc>
        <w:tc>
          <w:tcPr>
            <w:tcW w:w="35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8,095,308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shd w:val="clear" w:color="auto" w:fill="F0FFFF"/>
          </w:tcPr>
          <w:p>
            <w:pPr>
              <w:jc w:val="right"/>
              <w:spacing w:after="0"/>
              <w:rPr>
                <w:sz w:val="20"/>
                <w:szCs w:val="20"/>
                <w:color w:val="auto"/>
              </w:rPr>
            </w:pPr>
            <w:r>
              <w:rPr>
                <w:rFonts w:ascii="Arial" w:cs="Arial" w:eastAsia="Arial" w:hAnsi="Arial"/>
                <w:sz w:val="18"/>
                <w:szCs w:val="18"/>
                <w:color w:val="auto"/>
              </w:rPr>
              <w:t>8,095,308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6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7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1080" w:type="dxa"/>
            <w:vAlign w:val="bottom"/>
            <w:tcBorders>
              <w:top w:val="single" w:sz="8" w:color="F0FFFF"/>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Beginning</w:t>
            </w:r>
          </w:p>
        </w:tc>
        <w:tc>
          <w:tcPr>
            <w:tcW w:w="120" w:type="dxa"/>
            <w:vAlign w:val="bottom"/>
          </w:tcPr>
          <w:p>
            <w:pPr>
              <w:spacing w:after="0"/>
              <w:rPr>
                <w:sz w:val="24"/>
                <w:szCs w:val="24"/>
                <w:color w:val="auto"/>
              </w:rPr>
            </w:pPr>
          </w:p>
        </w:tc>
        <w:tc>
          <w:tcPr>
            <w:tcW w:w="2340" w:type="dxa"/>
            <w:vAlign w:val="bottom"/>
            <w:gridSpan w:val="6"/>
          </w:tcPr>
          <w:p>
            <w:pPr>
              <w:jc w:val="right"/>
              <w:ind w:right="270"/>
              <w:spacing w:after="0"/>
              <w:rPr>
                <w:sz w:val="20"/>
                <w:szCs w:val="20"/>
                <w:color w:val="auto"/>
              </w:rPr>
            </w:pPr>
            <w:r>
              <w:rPr>
                <w:rFonts w:ascii="Arial" w:cs="Arial" w:eastAsia="Arial" w:hAnsi="Arial"/>
                <w:sz w:val="18"/>
                <w:szCs w:val="18"/>
                <w:color w:val="auto"/>
                <w:w w:val="92"/>
              </w:rPr>
              <w:t>Year ended June 30, 2014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Ending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6"/>
              </w:rPr>
              <w:t>Additions/</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9"/>
              </w:rPr>
              <w:t>Balance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July 1, 2013</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20"/>
                <w:szCs w:val="20"/>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Amortization</w:t>
            </w:r>
          </w:p>
        </w:tc>
        <w:tc>
          <w:tcPr>
            <w:tcW w:w="60" w:type="dxa"/>
            <w:vAlign w:val="bottom"/>
          </w:tcPr>
          <w:p>
            <w:pPr>
              <w:spacing w:after="0"/>
              <w:rPr>
                <w:sz w:val="20"/>
                <w:szCs w:val="20"/>
                <w:color w:val="auto"/>
              </w:rPr>
            </w:pPr>
          </w:p>
        </w:tc>
        <w:tc>
          <w:tcPr>
            <w:tcW w:w="1080" w:type="dxa"/>
            <w:vAlign w:val="bottom"/>
            <w:gridSpan w:val="5"/>
          </w:tcPr>
          <w:p>
            <w:pPr>
              <w:jc w:val="center"/>
              <w:spacing w:after="0"/>
              <w:rPr>
                <w:sz w:val="20"/>
                <w:szCs w:val="20"/>
                <w:color w:val="auto"/>
              </w:rPr>
            </w:pPr>
            <w:r>
              <w:rPr>
                <w:rFonts w:ascii="Arial" w:cs="Arial" w:eastAsia="Arial" w:hAnsi="Arial"/>
                <w:sz w:val="18"/>
                <w:szCs w:val="18"/>
                <w:color w:val="auto"/>
                <w:w w:val="87"/>
              </w:rPr>
              <w:t>June 30, 2014</w:t>
            </w:r>
          </w:p>
        </w:tc>
        <w:tc>
          <w:tcPr>
            <w:tcW w:w="180" w:type="dxa"/>
            <w:vAlign w:val="bottom"/>
          </w:tcPr>
          <w:p>
            <w:pPr>
              <w:spacing w:after="0"/>
              <w:rPr>
                <w:sz w:val="20"/>
                <w:szCs w:val="20"/>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5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7,663,208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7,663,208</w:t>
            </w:r>
          </w:p>
        </w:tc>
        <w:tc>
          <w:tcPr>
            <w:tcW w:w="180" w:type="dxa"/>
            <w:vAlign w:val="bottom"/>
            <w:shd w:val="clear" w:color="auto" w:fill="F0FFFF"/>
          </w:tcPr>
          <w:p>
            <w:pPr>
              <w:spacing w:after="0"/>
              <w:rPr>
                <w:sz w:val="18"/>
                <w:szCs w:val="18"/>
                <w:color w:val="auto"/>
              </w:rPr>
            </w:pPr>
          </w:p>
        </w:tc>
        <w:tc>
          <w:tcPr>
            <w:tcW w:w="1160" w:type="dxa"/>
            <w:vAlign w:val="bottom"/>
            <w:gridSpan w:val="4"/>
            <w:shd w:val="clear" w:color="auto" w:fill="F0FF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Trademarks - Indefinite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432,100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432,100</w:t>
            </w:r>
          </w:p>
        </w:tc>
        <w:tc>
          <w:tcPr>
            <w:tcW w:w="1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Trademarks - Amortizable</w:t>
            </w: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21,953</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(21,953)</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160" w:type="dxa"/>
            <w:vAlign w:val="bottom"/>
            <w:gridSpan w:val="4"/>
            <w:shd w:val="clear" w:color="auto" w:fill="F0FFFF"/>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8,117,261</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(21,953</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4"/>
            <w:shd w:val="clear" w:color="auto" w:fill="F0FFFF"/>
          </w:tcPr>
          <w:p>
            <w:pPr>
              <w:jc w:val="right"/>
              <w:spacing w:after="0"/>
              <w:rPr>
                <w:sz w:val="20"/>
                <w:szCs w:val="20"/>
                <w:color w:val="auto"/>
              </w:rPr>
            </w:pPr>
            <w:r>
              <w:rPr>
                <w:rFonts w:ascii="Arial" w:cs="Arial" w:eastAsia="Arial" w:hAnsi="Arial"/>
                <w:sz w:val="18"/>
                <w:szCs w:val="18"/>
                <w:color w:val="auto"/>
              </w:rPr>
              <w:t>8,095,308</w:t>
            </w: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60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8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shd w:val="clear" w:color="auto" w:fill="F0FFFF"/>
          </w:tcPr>
          <w:p>
            <w:pPr>
              <w:spacing w:after="0" w:line="20" w:lineRule="exact"/>
              <w:rPr>
                <w:sz w:val="1"/>
                <w:szCs w:val="1"/>
                <w:color w:val="auto"/>
              </w:rPr>
            </w:pPr>
          </w:p>
        </w:tc>
        <w:tc>
          <w:tcPr>
            <w:tcW w:w="27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9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00" w:type="dxa"/>
            <w:vAlign w:val="bottom"/>
            <w:shd w:val="clear" w:color="auto" w:fill="F0FFFF"/>
          </w:tcPr>
          <w:p>
            <w:pPr>
              <w:spacing w:after="0" w:line="20" w:lineRule="exact"/>
              <w:rPr>
                <w:sz w:val="1"/>
                <w:szCs w:val="1"/>
                <w:color w:val="auto"/>
              </w:rPr>
            </w:pPr>
          </w:p>
        </w:tc>
        <w:tc>
          <w:tcPr>
            <w:tcW w:w="7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66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60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3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ACCRUED EXPENSES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18"/>
                <w:szCs w:val="18"/>
                <w:color w:val="auto"/>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5"/>
          </w:tcPr>
          <w:p>
            <w:pPr>
              <w:jc w:val="right"/>
              <w:ind w:right="72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gridSpan w:val="4"/>
            <w:shd w:val="clear" w:color="auto" w:fill="F0FFFF"/>
          </w:tcPr>
          <w:p>
            <w:pPr>
              <w:spacing w:after="0"/>
              <w:rPr>
                <w:sz w:val="20"/>
                <w:szCs w:val="20"/>
                <w:color w:val="auto"/>
              </w:rPr>
            </w:pPr>
            <w:r>
              <w:rPr>
                <w:rFonts w:ascii="Arial" w:cs="Arial" w:eastAsia="Arial" w:hAnsi="Arial"/>
                <w:sz w:val="18"/>
                <w:szCs w:val="18"/>
                <w:color w:val="auto"/>
                <w:w w:val="93"/>
              </w:rPr>
              <w:t>Accrued compensation and related sales commissions</w:t>
            </w: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ind w:left="7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8"/>
              </w:rPr>
              <w:t>672,628</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545,110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301,150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214,615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8"/>
              </w:rPr>
              <w:t>505,300</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640,958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390,023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370,040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74,601</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155,712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Accrued other</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212,988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175,538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w w:val="99"/>
              </w:rPr>
              <w:t>2,156,690</w:t>
            </w: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w w:val="94"/>
              </w:rPr>
              <w:t>2,101,973</w:t>
            </w:r>
          </w:p>
        </w:tc>
        <w:tc>
          <w:tcPr>
            <w:tcW w:w="80" w:type="dxa"/>
            <w:vAlign w:val="bottom"/>
            <w:tcBorders>
              <w:top w:val="single" w:sz="8" w:color="F0FFFF"/>
            </w:tcBorders>
            <w:shd w:val="clear" w:color="auto" w:fill="F0FF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(2,107,530)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(1,915,799)</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7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9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7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49,160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186,174</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2012, the Company entered into a Loan and Security Agreement and other ancillary documents (the “Loan Agreement”) with a commercial bank (the “Bank”), which, as amended, provides for a secured line of credit of up to $7 million, secured by substantially all of the Company’s assets, until August 17, 2017. The outstanding balance of the amounts advanced under the line of credit will bear interest at 2% above the prime rate as published in The Wall Street Journal or 5% whichever is higher.</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Loan Agreement contains customary affirmative and negative covenants, including achieving a minimum Adjusted EBITDA and minimum liquidity, and customary events of default. During the period of the Line of Credit, the Company has obtained waivers from the Bank for failure to satisfy certain covenants. As of June 30, 2015, the Company was in violation a covenant of the Loan Agreement which was subsequently waived by the Bank on July 31, 2015.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Bank extending the Line of Credit, in January 2013, the Company issued to the Bank warrants to purchase up to 45,000 shares of common stock of the Company at any time prior to December 31, 2017 at an exercise price of $2.10 per share. The fair value of the warrants of $55,962 was amortized as interest expense in the years ended June 30, 2014 and 2013 of $2,095 and $53,867, respectively.</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8"/>
                <w:szCs w:val="18"/>
                <w:color w:val="auto"/>
                <w:w w:val="92"/>
              </w:rPr>
              <w:t>As of or Twelve Months Ended</w:t>
            </w: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F0FFFF"/>
            </w:tcBorders>
          </w:tcPr>
          <w:p>
            <w:pPr>
              <w:spacing w:after="0"/>
              <w:rPr>
                <w:sz w:val="20"/>
                <w:szCs w:val="20"/>
                <w:color w:val="auto"/>
              </w:rPr>
            </w:pPr>
          </w:p>
        </w:tc>
        <w:tc>
          <w:tcPr>
            <w:tcW w:w="156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Balance at period-end</w:t>
            </w:r>
          </w:p>
        </w:tc>
        <w:tc>
          <w:tcPr>
            <w:tcW w:w="15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ind w:left="120"/>
              <w:spacing w:after="0"/>
              <w:rPr>
                <w:sz w:val="20"/>
                <w:szCs w:val="20"/>
                <w:color w:val="auto"/>
              </w:rPr>
            </w:pPr>
            <w:r>
              <w:rPr>
                <w:rFonts w:ascii="Arial" w:cs="Arial" w:eastAsia="Arial" w:hAnsi="Arial"/>
                <w:sz w:val="18"/>
                <w:szCs w:val="18"/>
                <w:color w:val="auto"/>
                <w:w w:val="87"/>
              </w:rPr>
              <w:t>4,000,000</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ind w:left="80"/>
              <w:spacing w:after="0"/>
              <w:rPr>
                <w:sz w:val="20"/>
                <w:szCs w:val="20"/>
                <w:color w:val="auto"/>
              </w:rPr>
            </w:pPr>
            <w:r>
              <w:rPr>
                <w:rFonts w:ascii="Arial" w:cs="Arial" w:eastAsia="Arial" w:hAnsi="Arial"/>
                <w:sz w:val="18"/>
                <w:szCs w:val="18"/>
                <w:color w:val="auto"/>
                <w:w w:val="87"/>
              </w:rPr>
              <w:t>5,000,000</w:t>
            </w:r>
          </w:p>
        </w:tc>
        <w:tc>
          <w:tcPr>
            <w:tcW w:w="16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Maximum amount outstanding at any month end</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w w:val="87"/>
              </w:rPr>
              <w:t>5,000,000</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5,000,000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Average balance outstanding during the period</w:t>
            </w:r>
          </w:p>
        </w:tc>
        <w:tc>
          <w:tcPr>
            <w:tcW w:w="17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ind w:left="120"/>
              <w:spacing w:after="0"/>
              <w:rPr>
                <w:sz w:val="20"/>
                <w:szCs w:val="20"/>
                <w:color w:val="auto"/>
              </w:rPr>
            </w:pPr>
            <w:r>
              <w:rPr>
                <w:rFonts w:ascii="Arial" w:cs="Arial" w:eastAsia="Arial" w:hAnsi="Arial"/>
                <w:sz w:val="18"/>
                <w:szCs w:val="18"/>
                <w:color w:val="auto"/>
                <w:w w:val="87"/>
              </w:rPr>
              <w:t>4,077,000</w:t>
            </w:r>
          </w:p>
        </w:tc>
        <w:tc>
          <w:tcPr>
            <w:tcW w:w="50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ind w:left="80"/>
              <w:spacing w:after="0"/>
              <w:rPr>
                <w:sz w:val="20"/>
                <w:szCs w:val="20"/>
                <w:color w:val="auto"/>
              </w:rPr>
            </w:pPr>
            <w:r>
              <w:rPr>
                <w:rFonts w:ascii="Arial" w:cs="Arial" w:eastAsia="Arial" w:hAnsi="Arial"/>
                <w:sz w:val="18"/>
                <w:szCs w:val="18"/>
                <w:color w:val="auto"/>
                <w:w w:val="87"/>
              </w:rPr>
              <w:t>4,154,000</w:t>
            </w:r>
          </w:p>
        </w:tc>
        <w:tc>
          <w:tcPr>
            <w:tcW w:w="160" w:type="dxa"/>
            <w:vAlign w:val="bottom"/>
            <w:shd w:val="clear" w:color="auto" w:fill="F0FFFF"/>
          </w:tcPr>
          <w:p>
            <w:pPr>
              <w:spacing w:after="0"/>
              <w:rPr>
                <w:sz w:val="18"/>
                <w:szCs w:val="18"/>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interest rate:</w:t>
            </w:r>
          </w:p>
        </w:tc>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As of the period-end</w:t>
            </w:r>
          </w:p>
        </w:tc>
        <w:tc>
          <w:tcPr>
            <w:tcW w:w="34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5.25%</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Paid during the period</w:t>
            </w: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5.25%</w:t>
            </w: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line of credit was approximately $211,000, $221,000 and $84,000 during each of the years ended June 30,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capital lease obligations to finance certain office and network equipment for use in its daily operations. During the 12 month periods ended June 30, 2015, 2014, and 2013, the company entered into capital lease obligations of $108,000, $325,000 and $108,000, respectively. The interest rates on these obligations range from 4.89% to 13.88%. The value of the acquired equipment is included in property and equipment and depreciated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capital lease obligations as of June 30, 2015 and 2014 and the related future obligations are shown in the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LOAN AGREEMENTS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periodically enters into other loan agreements to finance the purchase of various assets as needed, including computer equipment, insurance premiums, network equipment and software for use in its daily operations. During the twelve-month periods ended June 30, 2015, 2014 and 2013, the company entered into capital lease obligations of $108,000, $325,000, and $108,000, respectively. The interest rates on these obligations range from approximately 4.9% to 13.9%. The value of these financed assets acquired is included in property and equipment or other assets and depreciated accordingly.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other loan agreements as of June 30, 2015 and 2014 and the related future obligations is shown in the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OF QUICKSTART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and May 2015, the Company assigned its interest in certain finance receivables (various 60 month QuickStart leases) to a third party finance company in exchange for cash and the assumption of financing obligations in the aggregate of $1,752,717 and $304,008, respectively. The assignment transaction contains recourse provisions for the Company which requires the proceeds from the assignment to be treated as long-term debt. The financing obligations range in rate from 9.41% to 9.45%.</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8. LONG-TERM DEBT (CONTINUED)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The balance of the financing obligations is shown in the table below.</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24"/>
                <w:szCs w:val="24"/>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337,597</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414,525</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loan agreements</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3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Lease financing obligations</w:t>
            </w:r>
          </w:p>
        </w:tc>
        <w:tc>
          <w:tcPr>
            <w:tcW w:w="24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1,994,349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2,331,946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422,776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477,522</w:t>
            </w: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172,911</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9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1,854,424</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249,865</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for each of the fiscal years following June 30, 2015 are as follows:</w:t>
      </w:r>
    </w:p>
    <w:p>
      <w:pPr>
        <w:spacing w:after="0" w:line="240"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122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980" w:type="dxa"/>
            <w:vAlign w:val="bottom"/>
            <w:gridSpan w:val="2"/>
            <w:shd w:val="clear" w:color="auto" w:fill="F0FF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477,522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502,749</w:t>
            </w:r>
          </w:p>
        </w:tc>
      </w:tr>
      <w:tr>
        <w:trPr>
          <w:trHeight w:val="243"/>
        </w:trPr>
        <w:tc>
          <w:tcPr>
            <w:tcW w:w="122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460" w:type="dxa"/>
            <w:vAlign w:val="bottom"/>
            <w:shd w:val="clear" w:color="auto" w:fill="F0FFFF"/>
          </w:tcPr>
          <w:p>
            <w:pPr>
              <w:spacing w:after="0"/>
              <w:rPr>
                <w:sz w:val="21"/>
                <w:szCs w:val="21"/>
                <w:color w:val="auto"/>
              </w:rPr>
            </w:pPr>
          </w:p>
        </w:tc>
        <w:tc>
          <w:tcPr>
            <w:tcW w:w="5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488,929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486,928</w:t>
            </w:r>
          </w:p>
        </w:tc>
      </w:tr>
      <w:tr>
        <w:trPr>
          <w:trHeight w:val="216"/>
        </w:trPr>
        <w:tc>
          <w:tcPr>
            <w:tcW w:w="122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371,237</w:t>
            </w: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4,581</w:t>
            </w:r>
          </w:p>
        </w:tc>
      </w:tr>
      <w:tr>
        <w:trPr>
          <w:trHeight w:val="255"/>
        </w:trPr>
        <w:tc>
          <w:tcPr>
            <w:tcW w:w="1220" w:type="dxa"/>
            <w:vAlign w:val="bottom"/>
            <w:tcBorders>
              <w:top w:val="single" w:sz="8" w:color="F0FFFF"/>
              <w:bottom w:val="single" w:sz="8" w:color="F0FFFF"/>
            </w:tcBorders>
            <w:shd w:val="clear" w:color="auto" w:fill="F0FFFF"/>
          </w:tcPr>
          <w:p>
            <w:pPr>
              <w:spacing w:after="0"/>
              <w:rPr>
                <w:sz w:val="21"/>
                <w:szCs w:val="21"/>
                <w:color w:val="auto"/>
              </w:rPr>
            </w:pPr>
          </w:p>
        </w:tc>
        <w:tc>
          <w:tcPr>
            <w:tcW w:w="460" w:type="dxa"/>
            <w:vAlign w:val="bottom"/>
            <w:tcBorders>
              <w:top w:val="single" w:sz="8" w:color="F0FFFF"/>
              <w:bottom w:val="single" w:sz="8" w:color="F0FFFF"/>
            </w:tcBorders>
            <w:shd w:val="clear" w:color="auto" w:fill="F0FFFF"/>
          </w:tcPr>
          <w:p>
            <w:pPr>
              <w:spacing w:after="0"/>
              <w:rPr>
                <w:sz w:val="21"/>
                <w:szCs w:val="21"/>
                <w:color w:val="auto"/>
              </w:rPr>
            </w:pPr>
          </w:p>
        </w:tc>
        <w:tc>
          <w:tcPr>
            <w:tcW w:w="520" w:type="dxa"/>
            <w:vAlign w:val="bottom"/>
            <w:tcBorders>
              <w:top w:val="single" w:sz="8" w:color="auto"/>
              <w:bottom w:val="single" w:sz="8" w:color="auto"/>
            </w:tcBorders>
            <w:shd w:val="clear" w:color="auto" w:fill="F0FF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2,331,946</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12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June 30, 2015 and 2014: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Common stock warrant liability, warrants exercisable at</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w w:val="94"/>
              </w:rPr>
              <w:t>$2.6058 from September 18, 2011 through September 18,</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978,353</w:t>
            </w:r>
          </w:p>
        </w:tc>
        <w:tc>
          <w:tcPr>
            <w:tcW w:w="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978,353</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00" w:type="dxa"/>
            <w:vAlign w:val="bottom"/>
            <w:gridSpan w:val="2"/>
          </w:tcPr>
          <w:p>
            <w:pPr>
              <w:spacing w:after="0"/>
              <w:rPr>
                <w:sz w:val="20"/>
                <w:szCs w:val="20"/>
                <w:color w:val="auto"/>
              </w:rPr>
            </w:pPr>
            <w:r>
              <w:rPr>
                <w:rFonts w:ascii="Arial" w:cs="Arial" w:eastAsia="Arial" w:hAnsi="Arial"/>
                <w:sz w:val="18"/>
                <w:szCs w:val="18"/>
                <w:color w:val="auto"/>
              </w:rPr>
              <w:t>June 30, 2014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Common stock warrant liability, warrants exercisable at</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w w:val="94"/>
              </w:rPr>
              <w:t>$2.6058 from September 18, 2011 through September 18,</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Level 3 financial instrument consists of common stock warrants issued by the Company in March 2011 include features requiring liability treatment of the warrants. The fair value of warrants issued in March 2011 (see Note 13)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years ended June 30, 2015 and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the Company’s Level 3 financial instruments for the years ended:</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36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32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Gain (loss) due to change in fair value of warrant liabilities, net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(393,144)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7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(978,353</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(585,209</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will continue into future years, the Company determined during the year ended June 30, 2014 that it was more likely than not that a substantial portion of its deferred tax assets would be realized and reduced its valuation allowances recorded in prior years by approximately $27 million, which includes $40,245 of deferred tax liabilities recorded as of June 30, 2013 reversing in the current year.</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considering recent periods’ performance, the evaluation of the amount of deferred tax assets expected to be realized involves forecasting the amount of taxable income that will be generated in future years. The Company has forecasted future results using estimates that management believes to be conservative. The number of connections added in a service year are a key metric, which in the Company’s recurring revenue service model become an important ingredient in driving future growth and earnings. The forecasts the Company used assumes that significantly fewer net connections would be added to its service year than what it has historically achieved during each of its previous five fiscal years. With respect to its forecasts, the Company also has taken into account several industry analysts who have projected that demand for technology and services similar to the Company’s will continue to grow in the markets the Company serves. Using these forecasts, the Company estimated that it was more likely than not that approximately $64 million of its operating loss carryforwards would be utilized to offset corresponding future years’ taxable income.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in future periods the Company demonstrates its ability to grow taxable income in excess of the forecasts described above, it will re-evaluate the need to keep some, or all, of the remaining valuation allowances of approximately $23 million on its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for the years ended June 30, 2015, 2014 and 2013 is comprised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Borders>
              <w:bottom w:val="single" w:sz="8" w:color="F0FFFF"/>
            </w:tcBorders>
          </w:tcPr>
          <w:p>
            <w:pPr>
              <w:spacing w:after="0"/>
              <w:rPr>
                <w:sz w:val="20"/>
                <w:szCs w:val="20"/>
                <w:color w:val="auto"/>
              </w:rPr>
            </w:pPr>
          </w:p>
        </w:tc>
        <w:tc>
          <w:tcPr>
            <w:tcW w:w="24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Current:</w:t>
            </w:r>
          </w:p>
        </w:tc>
        <w:tc>
          <w:tcPr>
            <w:tcW w:w="24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(21,021)</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State</w:t>
            </w:r>
          </w:p>
        </w:tc>
        <w:tc>
          <w:tcPr>
            <w:tcW w:w="24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(6,325)</w:t>
            </w:r>
          </w:p>
        </w:tc>
        <w:tc>
          <w:tcPr>
            <w:tcW w:w="14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F0FFFF"/>
            </w:tcBorders>
          </w:tcPr>
          <w:p>
            <w:pPr>
              <w:spacing w:after="0"/>
              <w:rPr>
                <w:sz w:val="17"/>
                <w:szCs w:val="17"/>
                <w:color w:val="auto"/>
              </w:rPr>
            </w:pPr>
          </w:p>
        </w:tc>
        <w:tc>
          <w:tcPr>
            <w:tcW w:w="246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(64,353)</w:t>
            </w:r>
          </w:p>
        </w:tc>
        <w:tc>
          <w:tcPr>
            <w:tcW w:w="1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(21,021)</w:t>
            </w:r>
          </w:p>
        </w:tc>
        <w:tc>
          <w:tcPr>
            <w:tcW w:w="1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24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Federal</w:t>
            </w:r>
          </w:p>
        </w:tc>
        <w:tc>
          <w:tcPr>
            <w:tcW w:w="24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365,143</w:t>
            </w: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3"/>
              </w:rPr>
              <w:t>20,970,149</w:t>
            </w:r>
          </w:p>
        </w:tc>
        <w:tc>
          <w:tcPr>
            <w:tcW w:w="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(20,842)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State</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(589,931)</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6,306,270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F0FFFF"/>
              <w:bottom w:val="single" w:sz="8" w:color="F0FFFF"/>
            </w:tcBorders>
            <w:shd w:val="clear" w:color="auto" w:fill="F0FFFF"/>
          </w:tcPr>
          <w:p>
            <w:pPr>
              <w:spacing w:after="0"/>
              <w:rPr>
                <w:sz w:val="19"/>
                <w:szCs w:val="19"/>
                <w:color w:val="auto"/>
              </w:rPr>
            </w:pPr>
          </w:p>
        </w:tc>
        <w:tc>
          <w:tcPr>
            <w:tcW w:w="246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(224,788</w:t>
            </w:r>
          </w:p>
        </w:tc>
        <w:tc>
          <w:tcPr>
            <w:tcW w:w="18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27,276,419</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4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shd w:val="clear" w:color="auto" w:fill="F0FFFF"/>
          </w:tcPr>
          <w:p>
            <w:pPr>
              <w:spacing w:after="0"/>
              <w:rPr>
                <w:sz w:val="22"/>
                <w:szCs w:val="22"/>
                <w:color w:val="auto"/>
              </w:rPr>
            </w:pPr>
          </w:p>
        </w:tc>
        <w:tc>
          <w:tcPr>
            <w:tcW w:w="26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(289,141)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3"/>
              </w:rPr>
              <w:t>27,255,398</w:t>
            </w:r>
          </w:p>
        </w:tc>
        <w:tc>
          <w:tcPr>
            <w:tcW w:w="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F0FFFF"/>
            </w:tcBorders>
          </w:tcPr>
          <w:p>
            <w:pPr>
              <w:spacing w:after="0" w:line="20" w:lineRule="exact"/>
              <w:rPr>
                <w:sz w:val="1"/>
                <w:szCs w:val="1"/>
                <w:color w:val="auto"/>
              </w:rPr>
            </w:pPr>
          </w:p>
        </w:tc>
        <w:tc>
          <w:tcPr>
            <w:tcW w:w="24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for the year ended June 30, 2015 includes $395,605 for the state and federal income tax effects of a decrease in the applicable state tax rate used to tax effect deferred tax assets caused by a state income tax law change. The provision for income taxes for the years ended June 30, 2013 was recorded for the future potential income tax effects for basis differences between financial reporting and income tax purposes for indefinite life intangible assets and goodwill that are being amortized for income tax purposes but not for financial reporting. Because there was a full valuation allowance reflected against deferred tax assets as of June 30, 2013, the potential future income tax effects associated with such indefinite life assets were not subject to offset deferred tax assets with finite lives.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benefit (provision) for income taxes for the years ended June 30, 2015, 2014 and 2013 to the indicated benefit (provision) based on income (loss) before benefit (provision) for income taxes at the federal statutory rate of 34% is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Indicated benefit (provision) at federal statutory rate of 34%</w:t>
            </w:r>
          </w:p>
        </w:tc>
        <w:tc>
          <w:tcPr>
            <w:tcW w:w="108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272,116</w:t>
            </w:r>
          </w:p>
        </w:tc>
        <w:tc>
          <w:tcPr>
            <w:tcW w:w="12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(93,586)</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(299,801)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Effects of permanent differences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State income taxes, net of federal benefit</w:t>
            </w: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(410,410)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(17,989)</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credits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Changes related to prior years</w:t>
            </w: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187,373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 in valuation allowances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(162,949)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27,375,141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6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(289,141</w:t>
            </w:r>
          </w:p>
        </w:tc>
        <w:tc>
          <w:tcPr>
            <w:tcW w:w="12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5"/>
              </w:rPr>
              <w:t>27,255,398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2015 the Company had federal operating loss carryforwards of approximately $163 million to offset future taxable income expiring through approximately 2035. The timing and extent to which the Company can utilize operating loss carryforwards in any year may be limited by provisions of the Internal Revenue Code regarding changes in ownership of corporations (i.e. IRS Code Section 382). The changes in ownership limitations under IRS Code Section 382 have had the effect of limiting the maximum amount of operating loss carryforwards as of June 30, 2015 available for use to offset future years’ taxable income to approximately $125 million. Those operating loss carryforwards start to expire June 30, 2022.</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6"/>
          </w:tcPr>
          <w:p>
            <w:pPr>
              <w:jc w:val="right"/>
              <w:ind w:right="88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5440" w:type="dxa"/>
            <w:vAlign w:val="bottom"/>
            <w:tcBorders>
              <w:bottom w:val="single" w:sz="8" w:color="F0FFFF"/>
            </w:tcBorders>
          </w:tcPr>
          <w:p>
            <w:pPr>
              <w:spacing w:after="0"/>
              <w:rPr>
                <w:sz w:val="20"/>
                <w:szCs w:val="20"/>
                <w:color w:val="auto"/>
              </w:rPr>
            </w:pPr>
          </w:p>
        </w:tc>
        <w:tc>
          <w:tcPr>
            <w:tcW w:w="14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Deferred tax assets:</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46,919,363</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47,776,042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Asset reserves</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791,915</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391,155</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 research and development costs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1,009,303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710,640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Intangibles</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605,836</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907,274</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 gain on assets under sale-leaseback transaction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632,317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460,902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223,883</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250,426</w:t>
            </w:r>
          </w:p>
        </w:tc>
        <w:tc>
          <w:tcPr>
            <w:tcW w:w="80" w:type="dxa"/>
            <w:vAlign w:val="bottom"/>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436,510</w:t>
            </w:r>
          </w:p>
        </w:tc>
        <w:tc>
          <w:tcPr>
            <w:tcW w:w="1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348,885</w:t>
            </w:r>
          </w:p>
        </w:tc>
        <w:tc>
          <w:tcPr>
            <w:tcW w:w="8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18"/>
                <w:szCs w:val="18"/>
                <w:color w:val="auto"/>
              </w:rPr>
            </w:pP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50,619,127</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50,845,324</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Fixed assets</w:t>
            </w:r>
          </w:p>
        </w:tc>
        <w:tc>
          <w:tcPr>
            <w:tcW w:w="14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(491,990)</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(683,159)</w:t>
            </w: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Intangibles and goodwill</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(84,520)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(67,459)</w:t>
            </w:r>
          </w:p>
        </w:tc>
      </w:tr>
      <w:tr>
        <w:trPr>
          <w:trHeight w:val="216"/>
        </w:trPr>
        <w:tc>
          <w:tcPr>
            <w:tcW w:w="20" w:type="dxa"/>
            <w:vAlign w:val="bottom"/>
          </w:tcPr>
          <w:p>
            <w:pPr>
              <w:spacing w:after="0"/>
              <w:rPr>
                <w:sz w:val="18"/>
                <w:szCs w:val="18"/>
                <w:color w:val="auto"/>
              </w:rPr>
            </w:pPr>
          </w:p>
        </w:tc>
        <w:tc>
          <w:tcPr>
            <w:tcW w:w="5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net</w:t>
            </w:r>
          </w:p>
        </w:tc>
        <w:tc>
          <w:tcPr>
            <w:tcW w:w="14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50,042,617</w:t>
            </w:r>
          </w:p>
        </w:tc>
        <w:tc>
          <w:tcPr>
            <w:tcW w:w="1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50,094,706</w:t>
            </w:r>
          </w:p>
        </w:tc>
        <w:tc>
          <w:tcPr>
            <w:tcW w:w="80" w:type="dxa"/>
            <w:vAlign w:val="bottom"/>
            <w:tcBorders>
              <w:top w:val="single" w:sz="8" w:color="F0FFFF"/>
            </w:tcBorders>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Valuation allowance</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(22,996,634)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(22,833,685)</w:t>
            </w:r>
          </w:p>
        </w:tc>
      </w:tr>
      <w:tr>
        <w:trPr>
          <w:trHeight w:val="216"/>
        </w:trPr>
        <w:tc>
          <w:tcPr>
            <w:tcW w:w="20" w:type="dxa"/>
            <w:vAlign w:val="bottom"/>
          </w:tcPr>
          <w:p>
            <w:pPr>
              <w:spacing w:after="0"/>
              <w:rPr>
                <w:sz w:val="18"/>
                <w:szCs w:val="18"/>
                <w:color w:val="auto"/>
              </w:rPr>
            </w:pPr>
          </w:p>
        </w:tc>
        <w:tc>
          <w:tcPr>
            <w:tcW w:w="5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(liabilties), net of allowance</w:t>
            </w:r>
          </w:p>
        </w:tc>
        <w:tc>
          <w:tcPr>
            <w:tcW w:w="14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27,045,983</w:t>
            </w:r>
          </w:p>
        </w:tc>
        <w:tc>
          <w:tcPr>
            <w:tcW w:w="1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27,261,021</w:t>
            </w:r>
          </w:p>
        </w:tc>
        <w:tc>
          <w:tcPr>
            <w:tcW w:w="80" w:type="dxa"/>
            <w:vAlign w:val="bottom"/>
            <w:tcBorders>
              <w:top w:val="single" w:sz="8" w:color="F0FFFF"/>
            </w:tcBorders>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Less current portion</w:t>
            </w:r>
          </w:p>
        </w:tc>
        <w:tc>
          <w:tcPr>
            <w:tcW w:w="14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1,257,796</w:t>
            </w:r>
          </w:p>
        </w:tc>
        <w:tc>
          <w:tcPr>
            <w:tcW w:w="1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907,691</w:t>
            </w:r>
          </w:p>
        </w:tc>
        <w:tc>
          <w:tcPr>
            <w:tcW w:w="80" w:type="dxa"/>
            <w:vAlign w:val="bottom"/>
            <w:tcBorders>
              <w:bottom w:val="single" w:sz="8" w:color="F0FFFF"/>
            </w:tcBorders>
          </w:tcPr>
          <w:p>
            <w:pPr>
              <w:spacing w:after="0"/>
              <w:rPr>
                <w:sz w:val="20"/>
                <w:szCs w:val="20"/>
                <w:color w:val="auto"/>
              </w:rPr>
            </w:pPr>
          </w:p>
        </w:tc>
      </w:tr>
      <w:tr>
        <w:trPr>
          <w:trHeight w:val="255"/>
        </w:trPr>
        <w:tc>
          <w:tcPr>
            <w:tcW w:w="20" w:type="dxa"/>
            <w:vAlign w:val="bottom"/>
          </w:tcPr>
          <w:p>
            <w:pPr>
              <w:spacing w:after="0"/>
              <w:rPr>
                <w:sz w:val="21"/>
                <w:szCs w:val="21"/>
                <w:color w:val="auto"/>
              </w:rPr>
            </w:pPr>
          </w:p>
        </w:tc>
        <w:tc>
          <w:tcPr>
            <w:tcW w:w="5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(liabilties), non-current</w:t>
            </w:r>
          </w:p>
        </w:tc>
        <w:tc>
          <w:tcPr>
            <w:tcW w:w="14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25,788,187</w:t>
            </w:r>
          </w:p>
        </w:tc>
        <w:tc>
          <w:tcPr>
            <w:tcW w:w="1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26,353,330</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F0FFFF"/>
            </w:tcBorders>
          </w:tcPr>
          <w:p>
            <w:pPr>
              <w:spacing w:after="0" w:line="20" w:lineRule="exact"/>
              <w:rPr>
                <w:sz w:val="1"/>
                <w:szCs w:val="1"/>
                <w:color w:val="auto"/>
              </w:rPr>
            </w:pPr>
          </w:p>
        </w:tc>
        <w:tc>
          <w:tcPr>
            <w:tcW w:w="1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June 30, 2015 each share of Series A Preferred Stock is convertible into 0.194 of a share of Common Stock and each share of Series A Preferred Stock is entitled to 0.194 of a vote on all matters on which the holders of Common Stock are entitled to vote .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Preferred Stock may be called for redemption at the option of the Board of Directors for a price of $11.00 per share plus payment of all accrued and unpaid dividends. No such redemption has occurred as of June 30, 2015.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2015 and 2014 is as follows: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98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F0FFFF"/>
            </w:tcBorders>
          </w:tcPr>
          <w:p>
            <w:pPr>
              <w:spacing w:after="0"/>
              <w:rPr>
                <w:sz w:val="20"/>
                <w:szCs w:val="20"/>
                <w:color w:val="auto"/>
              </w:rPr>
            </w:pPr>
          </w:p>
        </w:tc>
      </w:tr>
      <w:tr>
        <w:trPr>
          <w:trHeight w:val="216"/>
        </w:trPr>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Shares outstanding at $10.00 per share</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4,429,680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4,429,680</w:t>
            </w:r>
          </w:p>
        </w:tc>
        <w:tc>
          <w:tcPr>
            <w:tcW w:w="60" w:type="dxa"/>
            <w:vAlign w:val="bottom"/>
            <w:shd w:val="clear" w:color="auto" w:fill="F0FF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Cumulative unpaid dividends</w:t>
            </w: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12,925,228</w:t>
            </w: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12,260,776</w:t>
            </w:r>
          </w:p>
        </w:tc>
      </w:tr>
      <w:tr>
        <w:trPr>
          <w:trHeight w:val="255"/>
        </w:trPr>
        <w:tc>
          <w:tcPr>
            <w:tcW w:w="59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8"/>
              </w:rPr>
              <w:t>17,354,908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8"/>
              </w:rPr>
              <w:t>16,690,456</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9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Cumulative unpaid dividends are convertible into common shares at $1,000 per common share at the option of the shareholder. During the years ended June 30, 2015, 2014 and 2013, no shares of Preferred Stock nor cumulative preferred dividends were converted into shares of common stock.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active stock based compensation plans at June 30, 2015 as shown in the table below:</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Authorized</w:t>
            </w:r>
          </w:p>
        </w:tc>
      </w:tr>
      <w:tr>
        <w:trPr>
          <w:trHeight w:val="241"/>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2"/>
              </w:rPr>
              <w:t>Date Approved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gridSpan w:val="2"/>
          </w:tcPr>
          <w:p>
            <w:pPr>
              <w:ind w:left="320"/>
              <w:spacing w:after="0"/>
              <w:rPr>
                <w:sz w:val="20"/>
                <w:szCs w:val="20"/>
                <w:color w:val="auto"/>
              </w:rPr>
            </w:pPr>
            <w:r>
              <w:rPr>
                <w:rFonts w:ascii="Arial" w:cs="Arial" w:eastAsia="Arial" w:hAnsi="Arial"/>
                <w:sz w:val="18"/>
                <w:szCs w:val="18"/>
                <w:b w:val="1"/>
                <w:bCs w:val="1"/>
                <w:color w:val="auto"/>
              </w:rPr>
              <w:t>Name of Plan</w:t>
            </w:r>
          </w:p>
        </w:tc>
        <w:tc>
          <w:tcPr>
            <w:tcW w:w="2580" w:type="dxa"/>
            <w:vAlign w:val="bottom"/>
            <w:gridSpan w:val="2"/>
          </w:tcPr>
          <w:p>
            <w:pPr>
              <w:ind w:left="740"/>
              <w:spacing w:after="0"/>
              <w:rPr>
                <w:sz w:val="20"/>
                <w:szCs w:val="20"/>
                <w:color w:val="auto"/>
              </w:rPr>
            </w:pPr>
            <w:r>
              <w:rPr>
                <w:rFonts w:ascii="Arial" w:cs="Arial" w:eastAsia="Arial" w:hAnsi="Arial"/>
                <w:sz w:val="18"/>
                <w:szCs w:val="18"/>
                <w:b w:val="1"/>
                <w:bCs w:val="1"/>
                <w:color w:val="auto"/>
              </w:rPr>
              <w:t>Type of Plan</w:t>
            </w:r>
          </w:p>
        </w:tc>
        <w:tc>
          <w:tcPr>
            <w:tcW w:w="2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5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7"/>
              </w:rPr>
              <w:t>June 2013</w:t>
            </w:r>
          </w:p>
        </w:tc>
        <w:tc>
          <w:tcPr>
            <w:tcW w:w="1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4"/>
              </w:rPr>
              <w:t>2013</w:t>
            </w:r>
          </w:p>
        </w:tc>
        <w:tc>
          <w:tcPr>
            <w:tcW w:w="206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120" w:type="dxa"/>
            <w:vAlign w:val="bottom"/>
            <w:tcBorders>
              <w:top w:val="single" w:sz="8" w:color="F0FFFF"/>
            </w:tcBorders>
            <w:shd w:val="clear" w:color="auto" w:fill="F0FFFF"/>
          </w:tcPr>
          <w:p>
            <w:pPr>
              <w:spacing w:after="0"/>
              <w:rPr>
                <w:sz w:val="18"/>
                <w:szCs w:val="18"/>
                <w:color w:val="auto"/>
              </w:rPr>
            </w:pPr>
          </w:p>
        </w:tc>
        <w:tc>
          <w:tcPr>
            <w:tcW w:w="24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Stock</w:t>
            </w:r>
          </w:p>
        </w:tc>
        <w:tc>
          <w:tcPr>
            <w:tcW w:w="120" w:type="dxa"/>
            <w:vAlign w:val="bottom"/>
            <w:tcBorders>
              <w:top w:val="single" w:sz="8" w:color="F0FFFF"/>
            </w:tcBorders>
            <w:shd w:val="clear" w:color="auto" w:fill="F0FFFF"/>
          </w:tcPr>
          <w:p>
            <w:pPr>
              <w:spacing w:after="0"/>
              <w:rPr>
                <w:sz w:val="18"/>
                <w:szCs w:val="18"/>
                <w:color w:val="auto"/>
              </w:rPr>
            </w:pPr>
          </w:p>
        </w:tc>
        <w:tc>
          <w:tcPr>
            <w:tcW w:w="23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w w:val="96"/>
              </w:rPr>
              <w:t>Stock Option Incentive Plan</w:t>
            </w:r>
          </w:p>
        </w:tc>
        <w:tc>
          <w:tcPr>
            <w:tcW w:w="25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50"/>
        </w:trPr>
        <w:tc>
          <w:tcPr>
            <w:tcW w:w="258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7"/>
              </w:rPr>
              <w:t>June 2015</w:t>
            </w:r>
          </w:p>
        </w:tc>
        <w:tc>
          <w:tcPr>
            <w:tcW w:w="4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1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Equity Incentive Plan</w:t>
            </w:r>
          </w:p>
        </w:tc>
        <w:tc>
          <w:tcPr>
            <w:tcW w:w="25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Stock + Stock Options</w:t>
            </w:r>
          </w:p>
        </w:tc>
        <w:tc>
          <w:tcPr>
            <w:tcW w:w="2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F0FFFF"/>
          </w:tcPr>
          <w:p>
            <w:pPr>
              <w:spacing w:after="0"/>
              <w:rPr>
                <w:sz w:val="21"/>
                <w:szCs w:val="21"/>
                <w:color w:val="auto"/>
              </w:rPr>
            </w:pPr>
          </w:p>
        </w:tc>
      </w:tr>
      <w:tr>
        <w:trPr>
          <w:trHeight w:val="217"/>
        </w:trPr>
        <w:tc>
          <w:tcPr>
            <w:tcW w:w="25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20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3"/>
          </w:tcPr>
          <w:p>
            <w:pPr>
              <w:spacing w:after="0"/>
              <w:rPr>
                <w:sz w:val="20"/>
                <w:szCs w:val="20"/>
                <w:color w:val="auto"/>
              </w:rPr>
            </w:pPr>
            <w:r>
              <w:rPr>
                <w:rFonts w:ascii="Arial" w:cs="Arial" w:eastAsia="Arial" w:hAnsi="Arial"/>
                <w:sz w:val="18"/>
                <w:szCs w:val="18"/>
                <w:color w:val="auto"/>
              </w:rPr>
              <w:t>As of June 30, 2015, the Company had reserved shares of Common Stock for future issuance for the following:</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760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Exercise of Common Stock Warrants</w:t>
            </w:r>
          </w:p>
        </w:tc>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80" w:type="dxa"/>
            <w:vAlign w:val="bottom"/>
            <w:shd w:val="clear" w:color="auto" w:fill="F0FF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Conversions of Preferred Stock and cumulative Preferred Stock dividends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98,861</w:t>
            </w:r>
          </w:p>
        </w:tc>
      </w:tr>
      <w:tr>
        <w:trPr>
          <w:trHeight w:val="216"/>
        </w:trPr>
        <w:tc>
          <w:tcPr>
            <w:tcW w:w="1300" w:type="dxa"/>
            <w:vAlign w:val="bottom"/>
          </w:tcPr>
          <w:p>
            <w:pPr>
              <w:spacing w:after="0"/>
              <w:rPr>
                <w:sz w:val="18"/>
                <w:szCs w:val="18"/>
                <w:color w:val="auto"/>
              </w:rPr>
            </w:pPr>
          </w:p>
        </w:tc>
        <w:tc>
          <w:tcPr>
            <w:tcW w:w="1500" w:type="dxa"/>
            <w:vAlign w:val="bottom"/>
            <w:shd w:val="clear" w:color="auto" w:fill="F0FFFF"/>
          </w:tcPr>
          <w:p>
            <w:pPr>
              <w:spacing w:after="0"/>
              <w:rPr>
                <w:sz w:val="20"/>
                <w:szCs w:val="20"/>
                <w:color w:val="auto"/>
              </w:rPr>
            </w:pPr>
            <w:r>
              <w:rPr>
                <w:rFonts w:ascii="Arial" w:cs="Arial" w:eastAsia="Arial" w:hAnsi="Arial"/>
                <w:sz w:val="18"/>
                <w:szCs w:val="18"/>
                <w:color w:val="auto"/>
                <w:w w:val="88"/>
              </w:rPr>
              <w:t>Issuance under 2013</w:t>
            </w:r>
          </w:p>
        </w:tc>
        <w:tc>
          <w:tcPr>
            <w:tcW w:w="6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15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321,111</w:t>
            </w:r>
          </w:p>
        </w:tc>
      </w:tr>
      <w:tr>
        <w:trPr>
          <w:trHeight w:val="216"/>
        </w:trPr>
        <w:tc>
          <w:tcPr>
            <w:tcW w:w="130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88"/>
              </w:rPr>
              <w:t>Issuance under 2014</w:t>
            </w:r>
          </w:p>
        </w:tc>
        <w:tc>
          <w:tcPr>
            <w:tcW w:w="6100" w:type="dxa"/>
            <w:vAlign w:val="bottom"/>
          </w:tcPr>
          <w:p>
            <w:pPr>
              <w:ind w:left="20"/>
              <w:spacing w:after="0"/>
              <w:rPr>
                <w:sz w:val="20"/>
                <w:szCs w:val="20"/>
                <w:color w:val="auto"/>
              </w:rPr>
            </w:pPr>
            <w:r>
              <w:rPr>
                <w:rFonts w:ascii="Arial" w:cs="Arial" w:eastAsia="Arial" w:hAnsi="Arial"/>
                <w:sz w:val="18"/>
                <w:szCs w:val="18"/>
                <w:color w:val="auto"/>
              </w:rPr>
              <w:t>Stock Option Incentive Plan</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750,000</w:t>
            </w:r>
          </w:p>
        </w:tc>
      </w:tr>
      <w:tr>
        <w:trPr>
          <w:trHeight w:val="216"/>
        </w:trPr>
        <w:tc>
          <w:tcPr>
            <w:tcW w:w="1300" w:type="dxa"/>
            <w:vAlign w:val="bottom"/>
          </w:tcPr>
          <w:p>
            <w:pPr>
              <w:spacing w:after="0"/>
              <w:rPr>
                <w:sz w:val="18"/>
                <w:szCs w:val="18"/>
                <w:color w:val="auto"/>
              </w:rPr>
            </w:pPr>
          </w:p>
        </w:tc>
        <w:tc>
          <w:tcPr>
            <w:tcW w:w="1500" w:type="dxa"/>
            <w:vAlign w:val="bottom"/>
            <w:shd w:val="clear" w:color="auto" w:fill="F0FFFF"/>
          </w:tcPr>
          <w:p>
            <w:pPr>
              <w:spacing w:after="0"/>
              <w:rPr>
                <w:sz w:val="20"/>
                <w:szCs w:val="20"/>
                <w:color w:val="auto"/>
              </w:rPr>
            </w:pPr>
            <w:r>
              <w:rPr>
                <w:rFonts w:ascii="Arial" w:cs="Arial" w:eastAsia="Arial" w:hAnsi="Arial"/>
                <w:sz w:val="18"/>
                <w:szCs w:val="18"/>
                <w:color w:val="auto"/>
                <w:w w:val="88"/>
              </w:rPr>
              <w:t>Issuance under 2015</w:t>
            </w:r>
          </w:p>
        </w:tc>
        <w:tc>
          <w:tcPr>
            <w:tcW w:w="6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Equity Incentive Plan</w:t>
            </w:r>
          </w:p>
        </w:tc>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F0FFFF"/>
          </w:tcPr>
          <w:p>
            <w:pPr>
              <w:spacing w:after="0"/>
              <w:rPr>
                <w:sz w:val="18"/>
                <w:szCs w:val="18"/>
                <w:color w:val="auto"/>
              </w:rPr>
            </w:pPr>
          </w:p>
        </w:tc>
      </w:tr>
      <w:tr>
        <w:trPr>
          <w:trHeight w:val="237"/>
        </w:trPr>
        <w:tc>
          <w:tcPr>
            <w:tcW w:w="130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Issuance to former Chief Executive Officer upon a prescribed transaction</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r>
      <w:tr>
        <w:trPr>
          <w:trHeight w:val="255"/>
        </w:trPr>
        <w:tc>
          <w:tcPr>
            <w:tcW w:w="1300" w:type="dxa"/>
            <w:vAlign w:val="bottom"/>
          </w:tcPr>
          <w:p>
            <w:pPr>
              <w:spacing w:after="0"/>
              <w:rPr>
                <w:sz w:val="21"/>
                <w:szCs w:val="21"/>
                <w:color w:val="auto"/>
              </w:rPr>
            </w:pPr>
          </w:p>
        </w:tc>
        <w:tc>
          <w:tcPr>
            <w:tcW w:w="760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 shares reserved for future issuance</w:t>
            </w:r>
          </w:p>
        </w:tc>
        <w:tc>
          <w:tcPr>
            <w:tcW w:w="1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6,868,972</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500" w:type="dxa"/>
            <w:vAlign w:val="bottom"/>
            <w:tcBorders>
              <w:top w:val="single" w:sz="8" w:color="F0FFFF"/>
            </w:tcBorders>
          </w:tcPr>
          <w:p>
            <w:pPr>
              <w:spacing w:after="0" w:line="20" w:lineRule="exact"/>
              <w:rPr>
                <w:sz w:val="1"/>
                <w:szCs w:val="1"/>
                <w:color w:val="auto"/>
              </w:rPr>
            </w:pPr>
          </w:p>
        </w:tc>
        <w:tc>
          <w:tcPr>
            <w:tcW w:w="610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 There were no options granted during the fiscal year ended June 30,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Year ended</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Year ended</w:t>
            </w: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2015</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30, 2014</w:t>
            </w:r>
          </w:p>
        </w:tc>
      </w:tr>
      <w:tr>
        <w:trPr>
          <w:trHeight w:val="216"/>
        </w:trPr>
        <w:tc>
          <w:tcPr>
            <w:tcW w:w="20" w:type="dxa"/>
            <w:vAlign w:val="bottom"/>
          </w:tcPr>
          <w:p>
            <w:pPr>
              <w:spacing w:after="0"/>
              <w:rPr>
                <w:sz w:val="18"/>
                <w:szCs w:val="18"/>
                <w:color w:val="auto"/>
              </w:rPr>
            </w:pPr>
          </w:p>
        </w:tc>
        <w:tc>
          <w:tcPr>
            <w:tcW w:w="42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0"/>
              </w:rPr>
              <w:t>78-79%</w:t>
            </w:r>
          </w:p>
        </w:tc>
        <w:tc>
          <w:tcPr>
            <w:tcW w:w="240" w:type="dxa"/>
            <w:vAlign w:val="bottom"/>
            <w:tcBorders>
              <w:top w:val="single" w:sz="8" w:color="F0FFFF"/>
            </w:tcBorders>
            <w:shd w:val="clear" w:color="auto" w:fill="F0FFFF"/>
          </w:tcPr>
          <w:p>
            <w:pPr>
              <w:spacing w:after="0"/>
              <w:rPr>
                <w:sz w:val="18"/>
                <w:szCs w:val="18"/>
                <w:color w:val="auto"/>
              </w:rPr>
            </w:pPr>
          </w:p>
        </w:tc>
        <w:tc>
          <w:tcPr>
            <w:tcW w:w="22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8"/>
              </w:rPr>
              <w:t>79%</w:t>
            </w:r>
          </w:p>
        </w:tc>
        <w:tc>
          <w:tcPr>
            <w:tcW w:w="12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Expected life</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7 years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 years</w:t>
            </w: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22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F0FFFF"/>
          </w:tcPr>
          <w:p>
            <w:pPr>
              <w:spacing w:after="0"/>
              <w:rPr>
                <w:sz w:val="18"/>
                <w:szCs w:val="18"/>
                <w:color w:val="auto"/>
              </w:rPr>
            </w:pPr>
          </w:p>
        </w:tc>
        <w:tc>
          <w:tcPr>
            <w:tcW w:w="22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1.59-2.04%</w:t>
            </w:r>
          </w:p>
        </w:tc>
        <w:tc>
          <w:tcPr>
            <w:tcW w:w="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2.22%</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2014 Stock Option Incentive Plan was approved in June 2014 therefore there was no stock based compensation expense related to stock options for the years ended June 30, 2013 and June 30, 2014. Stock based compensation related to stock options for the year ended June 30, 2015 was $370,435. Unrecognized compensation related to stock option grants as of June 30, 2015 was $297,202.</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BASED COMPENSATION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options outstanding: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color w:val="auto"/>
              </w:rPr>
              <w:t>For the Twelve Months Ended June 30,</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w w:val="91"/>
              </w:rPr>
              <w:t>Weighted</w:t>
            </w:r>
          </w:p>
        </w:tc>
        <w:tc>
          <w:tcPr>
            <w:tcW w:w="120" w:type="dxa"/>
            <w:vAlign w:val="bottom"/>
          </w:tcPr>
          <w:p>
            <w:pPr>
              <w:spacing w:after="0"/>
              <w:rPr>
                <w:sz w:val="11"/>
                <w:szCs w:val="11"/>
                <w:color w:val="auto"/>
              </w:rPr>
            </w:pPr>
          </w:p>
        </w:tc>
        <w:tc>
          <w:tcPr>
            <w:tcW w:w="760" w:type="dxa"/>
            <w:vAlign w:val="bottom"/>
          </w:tcPr>
          <w:p>
            <w:pPr>
              <w:jc w:val="center"/>
              <w:ind w:right="48"/>
              <w:spacing w:after="0" w:line="130"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w w:val="94"/>
              </w:rPr>
              <w:t>Weighted</w:t>
            </w:r>
          </w:p>
        </w:tc>
        <w:tc>
          <w:tcPr>
            <w:tcW w:w="120" w:type="dxa"/>
            <w:vAlign w:val="bottom"/>
          </w:tcPr>
          <w:p>
            <w:pPr>
              <w:spacing w:after="0"/>
              <w:rPr>
                <w:sz w:val="11"/>
                <w:szCs w:val="11"/>
                <w:color w:val="auto"/>
              </w:rPr>
            </w:pPr>
          </w:p>
        </w:tc>
        <w:tc>
          <w:tcPr>
            <w:tcW w:w="78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97"/>
              </w:rPr>
              <w:t>Weighted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w w:val="94"/>
              </w:rPr>
              <w:t>Weighted</w:t>
            </w:r>
          </w:p>
        </w:tc>
        <w:tc>
          <w:tcPr>
            <w:tcW w:w="120" w:type="dxa"/>
            <w:vAlign w:val="bottom"/>
          </w:tcPr>
          <w:p>
            <w:pPr>
              <w:spacing w:after="0"/>
              <w:rPr>
                <w:sz w:val="11"/>
                <w:szCs w:val="11"/>
                <w:color w:val="auto"/>
              </w:rPr>
            </w:pPr>
          </w:p>
        </w:tc>
        <w:tc>
          <w:tcPr>
            <w:tcW w:w="78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97"/>
              </w:rPr>
              <w:t>Weighted</w:t>
            </w:r>
          </w:p>
        </w:tc>
        <w:tc>
          <w:tcPr>
            <w:tcW w:w="100" w:type="dxa"/>
            <w:vAlign w:val="bottom"/>
          </w:tcPr>
          <w:p>
            <w:pPr>
              <w:spacing w:after="0"/>
              <w:rPr>
                <w:sz w:val="11"/>
                <w:szCs w:val="11"/>
                <w:color w:val="auto"/>
              </w:rPr>
            </w:pPr>
          </w:p>
        </w:tc>
      </w:tr>
      <w:tr>
        <w:trPr>
          <w:trHeight w:val="149"/>
        </w:trPr>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Average</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Average Grant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Average Grant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Average</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Grant</w:t>
            </w:r>
          </w:p>
        </w:tc>
      </w:tr>
      <w:tr>
        <w:trPr>
          <w:trHeight w:val="174"/>
        </w:trPr>
        <w:tc>
          <w:tcPr>
            <w:tcW w:w="21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1120" w:type="dxa"/>
            <w:vAlign w:val="bottom"/>
            <w:gridSpan w:val="4"/>
          </w:tcPr>
          <w:p>
            <w:pPr>
              <w:ind w:left="80"/>
              <w:spacing w:after="0"/>
              <w:rPr>
                <w:sz w:val="20"/>
                <w:szCs w:val="20"/>
                <w:color w:val="auto"/>
              </w:rPr>
            </w:pPr>
            <w:r>
              <w:rPr>
                <w:rFonts w:ascii="Arial" w:cs="Arial" w:eastAsia="Arial" w:hAnsi="Arial"/>
                <w:sz w:val="14"/>
                <w:szCs w:val="14"/>
                <w:color w:val="auto"/>
              </w:rPr>
              <w:t>Exercise Price</w:t>
            </w:r>
          </w:p>
        </w:tc>
        <w:tc>
          <w:tcPr>
            <w:tcW w:w="1100" w:type="dxa"/>
            <w:vAlign w:val="bottom"/>
            <w:gridSpan w:val="3"/>
          </w:tcPr>
          <w:p>
            <w:pPr>
              <w:spacing w:after="0"/>
              <w:rPr>
                <w:sz w:val="20"/>
                <w:szCs w:val="20"/>
                <w:color w:val="auto"/>
              </w:rPr>
            </w:pPr>
            <w:r>
              <w:rPr>
                <w:rFonts w:ascii="Arial" w:cs="Arial" w:eastAsia="Arial" w:hAnsi="Arial"/>
                <w:sz w:val="14"/>
                <w:szCs w:val="14"/>
                <w:color w:val="auto"/>
              </w:rPr>
              <w:t>Date Fair Value</w:t>
            </w: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Exercise Price</w:t>
            </w:r>
          </w:p>
        </w:tc>
        <w:tc>
          <w:tcPr>
            <w:tcW w:w="1120" w:type="dxa"/>
            <w:vAlign w:val="bottom"/>
            <w:gridSpan w:val="3"/>
          </w:tcPr>
          <w:p>
            <w:pPr>
              <w:spacing w:after="0"/>
              <w:rPr>
                <w:sz w:val="20"/>
                <w:szCs w:val="20"/>
                <w:color w:val="auto"/>
              </w:rPr>
            </w:pPr>
            <w:r>
              <w:rPr>
                <w:rFonts w:ascii="Arial" w:cs="Arial" w:eastAsia="Arial" w:hAnsi="Arial"/>
                <w:sz w:val="14"/>
                <w:szCs w:val="14"/>
                <w:color w:val="auto"/>
              </w:rPr>
              <w:t>Date Fair Value</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Shares</w:t>
            </w:r>
          </w:p>
        </w:tc>
        <w:tc>
          <w:tcPr>
            <w:tcW w:w="1120" w:type="dxa"/>
            <w:vAlign w:val="bottom"/>
            <w:gridSpan w:val="4"/>
          </w:tcPr>
          <w:p>
            <w:pPr>
              <w:ind w:left="80"/>
              <w:spacing w:after="0"/>
              <w:rPr>
                <w:sz w:val="20"/>
                <w:szCs w:val="20"/>
                <w:color w:val="auto"/>
              </w:rPr>
            </w:pPr>
            <w:r>
              <w:rPr>
                <w:rFonts w:ascii="Arial" w:cs="Arial" w:eastAsia="Arial" w:hAnsi="Arial"/>
                <w:sz w:val="14"/>
                <w:szCs w:val="14"/>
                <w:color w:val="auto"/>
              </w:rPr>
              <w:t>Exercise Price</w:t>
            </w:r>
          </w:p>
        </w:tc>
        <w:tc>
          <w:tcPr>
            <w:tcW w:w="1000" w:type="dxa"/>
            <w:vAlign w:val="bottom"/>
            <w:gridSpan w:val="3"/>
          </w:tcPr>
          <w:p>
            <w:pPr>
              <w:spacing w:after="0"/>
              <w:rPr>
                <w:sz w:val="20"/>
                <w:szCs w:val="20"/>
                <w:color w:val="auto"/>
              </w:rPr>
            </w:pPr>
            <w:r>
              <w:rPr>
                <w:rFonts w:ascii="Arial" w:cs="Arial" w:eastAsia="Arial" w:hAnsi="Arial"/>
                <w:sz w:val="14"/>
                <w:szCs w:val="14"/>
                <w:color w:val="auto"/>
              </w:rPr>
              <w:t>Date Fair Value</w:t>
            </w:r>
          </w:p>
        </w:tc>
      </w:tr>
      <w:tr>
        <w:trPr>
          <w:trHeight w:val="116"/>
        </w:trPr>
        <w:tc>
          <w:tcPr>
            <w:tcW w:w="2120" w:type="dxa"/>
            <w:vAlign w:val="bottom"/>
            <w:tcBorders>
              <w:top w:val="single" w:sz="8" w:color="F0FFFF"/>
            </w:tcBorders>
            <w:shd w:val="clear" w:color="auto" w:fill="F0FFFF"/>
          </w:tcPr>
          <w:p>
            <w:pPr>
              <w:spacing w:after="0" w:line="116" w:lineRule="exact"/>
              <w:rPr>
                <w:sz w:val="20"/>
                <w:szCs w:val="20"/>
                <w:color w:val="auto"/>
              </w:rPr>
            </w:pPr>
            <w:r>
              <w:rPr>
                <w:rFonts w:ascii="Arial" w:cs="Arial" w:eastAsia="Arial" w:hAnsi="Arial"/>
                <w:sz w:val="13"/>
                <w:szCs w:val="13"/>
                <w:color w:val="auto"/>
              </w:rPr>
              <w:t>Options outstanding, beginning of</w:t>
            </w:r>
          </w:p>
        </w:tc>
        <w:tc>
          <w:tcPr>
            <w:tcW w:w="780" w:type="dxa"/>
            <w:vAlign w:val="bottom"/>
            <w:tcBorders>
              <w:top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7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7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6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78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r>
      <w:tr>
        <w:trPr>
          <w:trHeight w:val="167"/>
        </w:trPr>
        <w:tc>
          <w:tcPr>
            <w:tcW w:w="2120" w:type="dxa"/>
            <w:vAlign w:val="bottom"/>
            <w:shd w:val="clear" w:color="auto" w:fill="F0FFFF"/>
          </w:tcPr>
          <w:p>
            <w:pPr>
              <w:spacing w:after="0"/>
              <w:rPr>
                <w:sz w:val="20"/>
                <w:szCs w:val="20"/>
                <w:color w:val="auto"/>
              </w:rPr>
            </w:pPr>
            <w:r>
              <w:rPr>
                <w:rFonts w:ascii="Arial" w:cs="Arial" w:eastAsia="Arial" w:hAnsi="Arial"/>
                <w:sz w:val="14"/>
                <w:szCs w:val="14"/>
                <w:color w:val="auto"/>
              </w:rPr>
              <w:t>period</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120,000</w:t>
            </w: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1.49</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45,333</w:t>
            </w: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F0FFFF"/>
          </w:tcPr>
          <w:p>
            <w:pPr>
              <w:spacing w:after="0"/>
              <w:rPr>
                <w:sz w:val="14"/>
                <w:szCs w:val="14"/>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438,888</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120,000</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Forfeited</w:t>
            </w: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18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2.05</w:t>
            </w:r>
          </w:p>
        </w:tc>
        <w:tc>
          <w:tcPr>
            <w:tcW w:w="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8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18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Expired</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(45,333)</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100" w:type="dxa"/>
            <w:vAlign w:val="bottom"/>
          </w:tcPr>
          <w:p>
            <w:pPr>
              <w:spacing w:after="0"/>
              <w:rPr>
                <w:sz w:val="12"/>
                <w:szCs w:val="12"/>
                <w:color w:val="auto"/>
              </w:rPr>
            </w:pPr>
          </w:p>
        </w:tc>
      </w:tr>
      <w:tr>
        <w:trPr>
          <w:trHeight w:val="182"/>
        </w:trPr>
        <w:tc>
          <w:tcPr>
            <w:tcW w:w="2120" w:type="dxa"/>
            <w:vAlign w:val="bottom"/>
            <w:shd w:val="clear" w:color="auto" w:fill="F0FFFF"/>
          </w:tcPr>
          <w:p>
            <w:pPr>
              <w:spacing w:after="0"/>
              <w:rPr>
                <w:sz w:val="20"/>
                <w:szCs w:val="20"/>
                <w:color w:val="auto"/>
              </w:rPr>
            </w:pPr>
            <w:r>
              <w:rPr>
                <w:rFonts w:ascii="Arial" w:cs="Arial" w:eastAsia="Arial" w:hAnsi="Arial"/>
                <w:sz w:val="14"/>
                <w:szCs w:val="14"/>
                <w:color w:val="auto"/>
              </w:rPr>
              <w:t>Exercised</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18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12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w w:val="98"/>
              </w:rPr>
              <w:t>Options outstanding, end of period</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538,888</w:t>
            </w:r>
          </w:p>
        </w:tc>
        <w:tc>
          <w:tcPr>
            <w:tcW w:w="14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F0FFFF"/>
            </w:tcBorders>
            <w:gridSpan w:val="2"/>
          </w:tcPr>
          <w:p>
            <w:pPr>
              <w:jc w:val="right"/>
              <w:ind w:right="220"/>
              <w:spacing w:after="0" w:line="149" w:lineRule="exact"/>
              <w:rPr>
                <w:sz w:val="20"/>
                <w:szCs w:val="20"/>
                <w:color w:val="auto"/>
              </w:rPr>
            </w:pPr>
            <w:r>
              <w:rPr>
                <w:rFonts w:ascii="Arial" w:cs="Arial" w:eastAsia="Arial" w:hAnsi="Arial"/>
                <w:sz w:val="14"/>
                <w:szCs w:val="14"/>
                <w:color w:val="auto"/>
              </w:rPr>
              <w:t>1.86</w:t>
            </w:r>
          </w:p>
        </w:tc>
        <w:tc>
          <w:tcPr>
            <w:tcW w:w="12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F0FFFF"/>
            </w:tcBorders>
            <w:gridSpan w:val="2"/>
          </w:tcPr>
          <w:p>
            <w:pPr>
              <w:jc w:val="right"/>
              <w:ind w:right="220"/>
              <w:spacing w:after="0" w:line="149" w:lineRule="exact"/>
              <w:rPr>
                <w:sz w:val="20"/>
                <w:szCs w:val="20"/>
                <w:color w:val="auto"/>
              </w:rPr>
            </w:pPr>
            <w:r>
              <w:rPr>
                <w:rFonts w:ascii="Arial" w:cs="Arial" w:eastAsia="Arial" w:hAnsi="Arial"/>
                <w:sz w:val="14"/>
                <w:szCs w:val="14"/>
                <w:color w:val="auto"/>
              </w:rPr>
              <w:t>1.33</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120,000</w:t>
            </w: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F0FF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2.05</w:t>
            </w:r>
          </w:p>
        </w:tc>
        <w:tc>
          <w:tcPr>
            <w:tcW w:w="12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F0FFFF"/>
            </w:tcBorders>
            <w:gridSpan w:val="2"/>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7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F0FFFF"/>
              <w:bottom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F0FFFF"/>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F0FFFF"/>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options as of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jc w:val="right"/>
              <w:ind w:right="440"/>
              <w:spacing w:after="0"/>
              <w:rPr>
                <w:sz w:val="20"/>
                <w:szCs w:val="20"/>
                <w:color w:val="auto"/>
              </w:rPr>
            </w:pPr>
            <w:r>
              <w:rPr>
                <w:rFonts w:ascii="Arial" w:cs="Arial" w:eastAsia="Arial" w:hAnsi="Arial"/>
                <w:sz w:val="18"/>
                <w:szCs w:val="18"/>
                <w:color w:val="auto"/>
              </w:rPr>
              <w:t>Options Outstanding</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Arial" w:cs="Arial" w:eastAsia="Arial" w:hAnsi="Arial"/>
                <w:sz w:val="18"/>
                <w:szCs w:val="18"/>
                <w:color w:val="auto"/>
              </w:rPr>
              <w:t>Options Exercisable</w:t>
            </w:r>
          </w:p>
        </w:tc>
      </w:tr>
      <w:tr>
        <w:trPr>
          <w:trHeight w:val="202"/>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Remaining</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color w:val="auto"/>
                <w:w w:val="90"/>
              </w:rPr>
              <w:t>Remaining</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Contractual</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Life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Exercisable</w:t>
            </w:r>
          </w:p>
        </w:tc>
        <w:tc>
          <w:tcPr>
            <w:tcW w:w="2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Exercise Price</w:t>
            </w:r>
          </w:p>
        </w:tc>
      </w:tr>
      <w:tr>
        <w:trPr>
          <w:trHeight w:val="216"/>
        </w:trPr>
        <w:tc>
          <w:tcPr>
            <w:tcW w:w="58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$1.62 to $1.68</w:t>
            </w:r>
          </w:p>
        </w:tc>
        <w:tc>
          <w:tcPr>
            <w:tcW w:w="12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328,888</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100,000</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5.97</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33,335</w:t>
            </w:r>
          </w:p>
        </w:tc>
        <w:tc>
          <w:tcPr>
            <w:tcW w:w="11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5.97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50"/>
        </w:trPr>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25,000</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6.77</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N/A</w:t>
            </w:r>
          </w:p>
        </w:tc>
      </w:tr>
      <w:tr>
        <w:trPr>
          <w:trHeight w:val="217"/>
        </w:trPr>
        <w:tc>
          <w:tcPr>
            <w:tcW w:w="58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538,888</w:t>
            </w:r>
          </w:p>
        </w:tc>
        <w:tc>
          <w:tcPr>
            <w:tcW w:w="22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6.21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33,335</w:t>
            </w:r>
          </w:p>
        </w:tc>
        <w:tc>
          <w:tcPr>
            <w:tcW w:w="20" w:type="dxa"/>
            <w:vAlign w:val="bottom"/>
            <w:tcBorders>
              <w:top w:val="single" w:sz="8" w:color="F0FFFF"/>
              <w:bottom w:val="single" w:sz="8" w:color="auto"/>
            </w:tcBorders>
          </w:tcPr>
          <w:p>
            <w:pPr>
              <w:spacing w:after="0"/>
              <w:rPr>
                <w:sz w:val="18"/>
                <w:szCs w:val="18"/>
                <w:color w:val="auto"/>
              </w:rPr>
            </w:pPr>
          </w:p>
        </w:tc>
        <w:tc>
          <w:tcPr>
            <w:tcW w:w="1160" w:type="dxa"/>
            <w:vAlign w:val="bottom"/>
            <w:tcBorders>
              <w:top w:val="single" w:sz="8" w:color="F0FFFF"/>
            </w:tcBorders>
            <w:gridSpan w:val="3"/>
          </w:tcPr>
          <w:p>
            <w:pPr>
              <w:jc w:val="right"/>
              <w:ind w:right="100"/>
              <w:spacing w:after="0"/>
              <w:rPr>
                <w:sz w:val="20"/>
                <w:szCs w:val="20"/>
                <w:color w:val="auto"/>
              </w:rPr>
            </w:pPr>
            <w:r>
              <w:rPr>
                <w:rFonts w:ascii="Arial" w:cs="Arial" w:eastAsia="Arial" w:hAnsi="Arial"/>
                <w:sz w:val="18"/>
                <w:szCs w:val="18"/>
                <w:color w:val="auto"/>
              </w:rPr>
              <w:t>5.97</w:t>
            </w:r>
          </w:p>
        </w:tc>
        <w:tc>
          <w:tcPr>
            <w:tcW w:w="24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The following table provides information about unvested options: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center"/>
              <w:ind w:left="730"/>
              <w:spacing w:after="0"/>
              <w:rPr>
                <w:sz w:val="20"/>
                <w:szCs w:val="20"/>
                <w:color w:val="auto"/>
              </w:rPr>
            </w:pPr>
            <w:r>
              <w:rPr>
                <w:rFonts w:ascii="Arial" w:cs="Arial" w:eastAsia="Arial" w:hAnsi="Arial"/>
                <w:sz w:val="18"/>
                <w:szCs w:val="18"/>
                <w:color w:val="auto"/>
                <w:w w:val="90"/>
              </w:rPr>
              <w:t>For the Twelve Months Ended June 30,</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5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w w:val="94"/>
              </w:rPr>
              <w:t>2015</w:t>
            </w: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99"/>
              </w:rPr>
              <w:t>2013</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94"/>
              </w:rPr>
              <w:t>Weighted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Average Grant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Average Grant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Grant</w:t>
            </w:r>
          </w:p>
        </w:tc>
      </w:tr>
      <w:tr>
        <w:trPr>
          <w:trHeight w:val="237"/>
        </w:trPr>
        <w:tc>
          <w:tcPr>
            <w:tcW w:w="45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Date Fair Value</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color w:val="auto"/>
                <w:w w:val="89"/>
              </w:rPr>
              <w:t>Date Fair Value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Date Fair Value</w:t>
            </w:r>
          </w:p>
        </w:tc>
      </w:tr>
      <w:tr>
        <w:trPr>
          <w:trHeight w:val="216"/>
        </w:trPr>
        <w:tc>
          <w:tcPr>
            <w:tcW w:w="45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beginning of period</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F0FFFF"/>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438,888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120,000</w:t>
            </w:r>
          </w:p>
        </w:tc>
        <w:tc>
          <w:tcPr>
            <w:tcW w:w="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(33,335)</w:t>
            </w:r>
          </w:p>
        </w:tc>
        <w:tc>
          <w:tcPr>
            <w:tcW w:w="3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w:t>
            </w:r>
          </w:p>
        </w:tc>
        <w:tc>
          <w:tcPr>
            <w:tcW w:w="8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5"/>
        </w:trPr>
        <w:tc>
          <w:tcPr>
            <w:tcW w:w="45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505,553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F0FFFF"/>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1.32</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F0FFFF"/>
              <w:bottom w:val="single" w:sz="8" w:color="F0FFFF"/>
            </w:tcBorders>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F0FFFF"/>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F0FFFF"/>
              <w:bottom w:val="single" w:sz="8" w:color="F0FFFF"/>
            </w:tcBorders>
            <w:gridSpan w:val="2"/>
            <w:shd w:val="clear" w:color="auto" w:fill="F0FFFF"/>
          </w:tcPr>
          <w:p>
            <w:pPr>
              <w:jc w:val="right"/>
              <w:ind w:right="8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options outstanding and exercisable options: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8"/>
                <w:szCs w:val="18"/>
                <w:color w:val="auto"/>
                <w:w w:val="90"/>
              </w:rPr>
              <w:t>As of June 30,</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2013</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6"/>
              </w:rPr>
              <w:t>Options</w:t>
            </w:r>
          </w:p>
        </w:tc>
        <w:tc>
          <w:tcPr>
            <w:tcW w:w="10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6"/>
              </w:rPr>
              <w:t>Options</w:t>
            </w:r>
          </w:p>
        </w:tc>
        <w:tc>
          <w:tcPr>
            <w:tcW w:w="100" w:type="dxa"/>
            <w:vAlign w:val="bottom"/>
          </w:tcPr>
          <w:p>
            <w:pPr>
              <w:spacing w:after="0"/>
              <w:rPr>
                <w:sz w:val="17"/>
                <w:szCs w:val="17"/>
                <w:color w:val="auto"/>
              </w:rPr>
            </w:pPr>
          </w:p>
        </w:tc>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17"/>
                <w:szCs w:val="17"/>
                <w:color w:val="auto"/>
              </w:rPr>
            </w:pPr>
          </w:p>
        </w:tc>
      </w:tr>
      <w:tr>
        <w:trPr>
          <w:trHeight w:val="237"/>
        </w:trPr>
        <w:tc>
          <w:tcPr>
            <w:tcW w:w="3780" w:type="dxa"/>
            <w:vAlign w:val="bottom"/>
          </w:tcPr>
          <w:p>
            <w:pPr>
              <w:spacing w:after="0"/>
              <w:rPr>
                <w:sz w:val="20"/>
                <w:szCs w:val="20"/>
                <w:color w:val="auto"/>
              </w:rPr>
            </w:pPr>
          </w:p>
        </w:tc>
        <w:tc>
          <w:tcPr>
            <w:tcW w:w="2260" w:type="dxa"/>
            <w:vAlign w:val="bottom"/>
            <w:gridSpan w:val="4"/>
          </w:tcPr>
          <w:p>
            <w:pPr>
              <w:ind w:left="12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100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100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Options</w:t>
            </w:r>
          </w:p>
        </w:tc>
      </w:tr>
      <w:tr>
        <w:trPr>
          <w:trHeight w:val="216"/>
        </w:trPr>
        <w:tc>
          <w:tcPr>
            <w:tcW w:w="37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Number</w:t>
            </w:r>
          </w:p>
        </w:tc>
        <w:tc>
          <w:tcPr>
            <w:tcW w:w="1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380" w:type="dxa"/>
            <w:vAlign w:val="bottom"/>
            <w:gridSpan w:val="2"/>
          </w:tcPr>
          <w:p>
            <w:pPr>
              <w:ind w:left="12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Aggregate intrinsic value</w:t>
            </w:r>
          </w:p>
        </w:tc>
        <w:tc>
          <w:tcPr>
            <w:tcW w:w="1380" w:type="dxa"/>
            <w:vAlign w:val="bottom"/>
            <w:gridSpan w:val="2"/>
            <w:shd w:val="clear" w:color="auto" w:fill="F0FFFF"/>
          </w:tcPr>
          <w:p>
            <w:pPr>
              <w:ind w:left="12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451,177</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21,668</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7,200</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Weighted average contractual term</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F0FFFF"/>
          </w:tcPr>
          <w:p>
            <w:pPr>
              <w:spacing w:after="0"/>
              <w:rPr>
                <w:sz w:val="20"/>
                <w:szCs w:val="20"/>
                <w:color w:val="auto"/>
              </w:rPr>
            </w:pPr>
            <w:r>
              <w:rPr>
                <w:rFonts w:ascii="Arial" w:cs="Arial" w:eastAsia="Arial" w:hAnsi="Arial"/>
                <w:sz w:val="18"/>
                <w:szCs w:val="18"/>
                <w:color w:val="auto"/>
              </w:rPr>
              <w:t>Share price as of June 30</w:t>
            </w:r>
          </w:p>
        </w:tc>
        <w:tc>
          <w:tcPr>
            <w:tcW w:w="1380" w:type="dxa"/>
            <w:vAlign w:val="bottom"/>
            <w:gridSpan w:val="2"/>
            <w:shd w:val="clear" w:color="auto" w:fill="F0FFFF"/>
          </w:tcPr>
          <w:p>
            <w:pPr>
              <w:ind w:left="12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2.70</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2.11</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1.74</w:t>
            </w:r>
          </w:p>
        </w:tc>
        <w:tc>
          <w:tcPr>
            <w:tcW w:w="2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summary of the status of the Company’s nonvested common shares as of June 30, 2015, 2014, and 2013, and changes during the years then ended is presented below:</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Nonvested Shares</w:t>
            </w:r>
          </w:p>
        </w:tc>
        <w:tc>
          <w:tcPr>
            <w:tcW w:w="124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4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1180" w:type="dxa"/>
            <w:vAlign w:val="bottom"/>
            <w:tcBorders>
              <w:top w:val="single" w:sz="8" w:color="auto"/>
            </w:tcBorders>
            <w:shd w:val="clear" w:color="auto" w:fill="F0FFFF"/>
          </w:tcPr>
          <w:p>
            <w:pPr>
              <w:spacing w:after="0"/>
              <w:rPr>
                <w:sz w:val="15"/>
                <w:szCs w:val="15"/>
                <w:color w:val="auto"/>
              </w:rPr>
            </w:pPr>
          </w:p>
        </w:tc>
        <w:tc>
          <w:tcPr>
            <w:tcW w:w="6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shd w:val="clear" w:color="auto" w:fill="F0FFFF"/>
          </w:tcPr>
          <w:p>
            <w:pPr>
              <w:spacing w:after="0" w:line="20" w:lineRule="exact"/>
              <w:rPr>
                <w:sz w:val="1"/>
                <w:szCs w:val="1"/>
                <w:color w:val="auto"/>
              </w:rPr>
            </w:pPr>
          </w:p>
        </w:tc>
        <w:tc>
          <w:tcPr>
            <w:tcW w:w="2780" w:type="dxa"/>
            <w:vAlign w:val="bottom"/>
            <w:tcBorders>
              <w:top w:val="single" w:sz="8" w:color="F0FFFF"/>
            </w:tcBorders>
            <w:shd w:val="clear" w:color="auto" w:fill="F0FFFF"/>
          </w:tcPr>
          <w:p>
            <w:pPr>
              <w:spacing w:after="0" w:line="20" w:lineRule="exact"/>
              <w:rPr>
                <w:sz w:val="1"/>
                <w:szCs w:val="1"/>
                <w:color w:val="auto"/>
              </w:rPr>
            </w:pPr>
          </w:p>
        </w:tc>
        <w:tc>
          <w:tcPr>
            <w:tcW w:w="12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1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Nonvested at June 30, 2012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172,003</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156,429</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(204,587)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Forfeited, Employee shares not earned</w:t>
            </w:r>
          </w:p>
        </w:tc>
        <w:tc>
          <w:tcPr>
            <w:tcW w:w="1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(26,699)</w:t>
            </w:r>
          </w:p>
        </w:tc>
        <w:tc>
          <w:tcPr>
            <w:tcW w:w="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Borders>
              <w:top w:val="single" w:sz="8" w:color="F0FFFF"/>
            </w:tcBorders>
            <w:gridSpan w:val="2"/>
          </w:tcPr>
          <w:p>
            <w:pPr>
              <w:spacing w:after="0" w:line="203" w:lineRule="exact"/>
              <w:rPr>
                <w:sz w:val="20"/>
                <w:szCs w:val="20"/>
                <w:color w:val="auto"/>
              </w:rPr>
            </w:pPr>
            <w:r>
              <w:rPr>
                <w:rFonts w:ascii="Arial" w:cs="Arial" w:eastAsia="Arial" w:hAnsi="Arial"/>
                <w:sz w:val="18"/>
                <w:szCs w:val="18"/>
                <w:color w:val="auto"/>
              </w:rPr>
              <w:t>Nonvested at June 30, 2013</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97,146</w:t>
            </w: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gridSpan w:val="2"/>
          </w:tcPr>
          <w:p>
            <w:pPr>
              <w:jc w:val="right"/>
              <w:ind w:right="8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ectPr>
          <w:pgSz w:w="11900" w:h="16857" w:orient="portrait"/>
          <w:cols w:equalWidth="0" w:num="1">
            <w:col w:w="11420"/>
          </w:cols>
          <w:pgMar w:left="240" w:top="904" w:right="239" w:bottom="0" w:gutter="0" w:footer="0" w:header="0"/>
        </w:sectPr>
      </w:pPr>
    </w:p>
    <w:bookmarkStart w:id="63" w:name="page64"/>
    <w:bookmarkEnd w:id="63"/>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(55,001)</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4060" w:type="dxa"/>
            <w:vAlign w:val="bottom"/>
            <w:shd w:val="clear" w:color="auto" w:fill="F0FFFF"/>
          </w:tcPr>
          <w:p>
            <w:pPr>
              <w:spacing w:after="0"/>
              <w:rPr>
                <w:sz w:val="20"/>
                <w:szCs w:val="20"/>
                <w:color w:val="auto"/>
              </w:rPr>
            </w:pPr>
            <w:r>
              <w:rPr>
                <w:rFonts w:ascii="Arial" w:cs="Arial" w:eastAsia="Arial" w:hAnsi="Arial"/>
                <w:sz w:val="18"/>
                <w:szCs w:val="18"/>
                <w:color w:val="auto"/>
              </w:rPr>
              <w:t>Forfeited, Director changes</w:t>
            </w:r>
          </w:p>
        </w:tc>
        <w:tc>
          <w:tcPr>
            <w:tcW w:w="13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(3,334)</w:t>
            </w:r>
          </w:p>
        </w:tc>
        <w:tc>
          <w:tcPr>
            <w:tcW w:w="5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0.94</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Forfeited, Employee shares not earned</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40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Nonvested at June 30, 2014</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43,811</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F0FFFF"/>
            </w:tcBorders>
            <w:shd w:val="clear" w:color="auto" w:fill="F0FF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155,927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406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(181,134)</w:t>
            </w:r>
          </w:p>
        </w:tc>
        <w:tc>
          <w:tcPr>
            <w:tcW w:w="58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1.89</w:t>
            </w:r>
          </w:p>
        </w:tc>
      </w:tr>
      <w:tr>
        <w:trPr>
          <w:trHeight w:val="217"/>
        </w:trPr>
        <w:tc>
          <w:tcPr>
            <w:tcW w:w="40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Nonvested at June 30, 2015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580" w:type="dxa"/>
            <w:vAlign w:val="bottom"/>
            <w:tcBorders>
              <w:top w:val="single" w:sz="8" w:color="F0FFFF"/>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1.88</w:t>
            </w:r>
          </w:p>
        </w:tc>
      </w:tr>
      <w:tr>
        <w:trPr>
          <w:trHeight w:val="21"/>
        </w:trPr>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warrants outstanding as of June 30, 2015 were exercisable. The following table shows exercise prices and expiration dates for warrants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Exercise</w:t>
            </w:r>
          </w:p>
        </w:tc>
        <w:tc>
          <w:tcPr>
            <w:tcW w:w="2540" w:type="dxa"/>
            <w:vAlign w:val="bottom"/>
          </w:tcPr>
          <w:p>
            <w:pPr>
              <w:spacing w:after="0"/>
              <w:rPr>
                <w:sz w:val="18"/>
                <w:szCs w:val="18"/>
                <w:color w:val="auto"/>
              </w:rPr>
            </w:pPr>
          </w:p>
        </w:tc>
      </w:tr>
      <w:tr>
        <w:trPr>
          <w:trHeight w:val="230"/>
        </w:trPr>
        <w:tc>
          <w:tcPr>
            <w:tcW w:w="2660" w:type="dxa"/>
            <w:vAlign w:val="bottom"/>
            <w:gridSpan w:val="2"/>
          </w:tcPr>
          <w:p>
            <w:pPr>
              <w:jc w:val="right"/>
              <w:ind w:right="106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Price</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2660" w:type="dxa"/>
            <w:vAlign w:val="bottom"/>
            <w:gridSpan w:val="2"/>
          </w:tcPr>
          <w:p>
            <w:pPr>
              <w:jc w:val="right"/>
              <w:ind w:right="9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Per Share</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2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4,264,000</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jc w:val="right"/>
              <w:ind w:right="34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F0FFFF"/>
            </w:tcBorders>
            <w:shd w:val="clear" w:color="auto" w:fill="F0FFFF"/>
          </w:tcPr>
          <w:p>
            <w:pPr>
              <w:spacing w:after="0"/>
              <w:rPr>
                <w:sz w:val="18"/>
                <w:szCs w:val="18"/>
                <w:color w:val="auto"/>
              </w:rPr>
            </w:pPr>
          </w:p>
        </w:tc>
        <w:tc>
          <w:tcPr>
            <w:tcW w:w="25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9"/>
              </w:rPr>
              <w:t>September 18, 2016</w:t>
            </w:r>
          </w:p>
        </w:tc>
      </w:tr>
      <w:tr>
        <w:trPr>
          <w:trHeight w:val="237"/>
        </w:trPr>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5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r>
      <w:tr>
        <w:trPr>
          <w:trHeight w:val="255"/>
        </w:trPr>
        <w:tc>
          <w:tcPr>
            <w:tcW w:w="2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500" w:type="dxa"/>
            <w:vAlign w:val="bottom"/>
            <w:tcBorders>
              <w:top w:val="single" w:sz="8" w:color="F0FFFF"/>
              <w:bottom w:val="single" w:sz="8" w:color="F0FFFF"/>
            </w:tcBorders>
            <w:shd w:val="clear" w:color="auto" w:fill="F0FFFF"/>
          </w:tcPr>
          <w:p>
            <w:pPr>
              <w:spacing w:after="0"/>
              <w:rPr>
                <w:sz w:val="21"/>
                <w:szCs w:val="21"/>
                <w:color w:val="auto"/>
              </w:rPr>
            </w:pPr>
          </w:p>
        </w:tc>
        <w:tc>
          <w:tcPr>
            <w:tcW w:w="20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54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2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tcBorders>
          </w:tcPr>
          <w:p>
            <w:pPr>
              <w:spacing w:after="0" w:line="20" w:lineRule="exact"/>
              <w:rPr>
                <w:sz w:val="1"/>
                <w:szCs w:val="1"/>
                <w:color w:val="auto"/>
              </w:rPr>
            </w:pPr>
          </w:p>
        </w:tc>
        <w:tc>
          <w:tcPr>
            <w:tcW w:w="20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54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Warrant activity for the years ended June 30, 2015, 2014, and 2013 was as follows:</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17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r>
      <w:tr>
        <w:trPr>
          <w:trHeight w:val="216"/>
        </w:trPr>
        <w:tc>
          <w:tcPr>
            <w:tcW w:w="1720" w:type="dxa"/>
            <w:vAlign w:val="bottom"/>
          </w:tcPr>
          <w:p>
            <w:pPr>
              <w:spacing w:after="0"/>
              <w:rPr>
                <w:sz w:val="18"/>
                <w:szCs w:val="18"/>
                <w:color w:val="auto"/>
              </w:rPr>
            </w:pPr>
          </w:p>
        </w:tc>
        <w:tc>
          <w:tcPr>
            <w:tcW w:w="6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2012</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8,045,619</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Issued</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45,000</w:t>
            </w:r>
          </w:p>
        </w:tc>
      </w:tr>
      <w:tr>
        <w:trPr>
          <w:trHeight w:val="216"/>
        </w:trPr>
        <w:tc>
          <w:tcPr>
            <w:tcW w:w="1720" w:type="dxa"/>
            <w:vAlign w:val="bottom"/>
          </w:tcPr>
          <w:p>
            <w:pPr>
              <w:spacing w:after="0"/>
              <w:rPr>
                <w:sz w:val="18"/>
                <w:szCs w:val="18"/>
                <w:color w:val="auto"/>
              </w:rPr>
            </w:pPr>
          </w:p>
        </w:tc>
        <w:tc>
          <w:tcPr>
            <w:tcW w:w="66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(399,597)</w:t>
            </w:r>
          </w:p>
        </w:tc>
      </w:tr>
      <w:tr>
        <w:trPr>
          <w:trHeight w:val="237"/>
        </w:trPr>
        <w:tc>
          <w:tcPr>
            <w:tcW w:w="17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(329,314)</w:t>
            </w:r>
          </w:p>
        </w:tc>
      </w:tr>
      <w:tr>
        <w:trPr>
          <w:trHeight w:val="216"/>
        </w:trPr>
        <w:tc>
          <w:tcPr>
            <w:tcW w:w="1720" w:type="dxa"/>
            <w:vAlign w:val="bottom"/>
          </w:tcPr>
          <w:p>
            <w:pPr>
              <w:spacing w:after="0"/>
              <w:rPr>
                <w:sz w:val="18"/>
                <w:szCs w:val="18"/>
                <w:color w:val="auto"/>
              </w:rPr>
            </w:pPr>
          </w:p>
        </w:tc>
        <w:tc>
          <w:tcPr>
            <w:tcW w:w="6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2013</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7,361,708</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6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(2,090,226)</w:t>
            </w:r>
          </w:p>
        </w:tc>
      </w:tr>
      <w:tr>
        <w:trPr>
          <w:trHeight w:val="237"/>
        </w:trPr>
        <w:tc>
          <w:tcPr>
            <w:tcW w:w="17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(962,482)</w:t>
            </w:r>
          </w:p>
        </w:tc>
      </w:tr>
      <w:tr>
        <w:trPr>
          <w:trHeight w:val="216"/>
        </w:trPr>
        <w:tc>
          <w:tcPr>
            <w:tcW w:w="1720" w:type="dxa"/>
            <w:vAlign w:val="bottom"/>
          </w:tcPr>
          <w:p>
            <w:pPr>
              <w:spacing w:after="0"/>
              <w:rPr>
                <w:sz w:val="18"/>
                <w:szCs w:val="18"/>
                <w:color w:val="auto"/>
              </w:rPr>
            </w:pPr>
          </w:p>
        </w:tc>
        <w:tc>
          <w:tcPr>
            <w:tcW w:w="6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2014</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6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66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tcPr>
          <w:p>
            <w:pPr>
              <w:spacing w:after="0"/>
              <w:rPr>
                <w:sz w:val="20"/>
                <w:szCs w:val="20"/>
                <w:color w:val="auto"/>
              </w:rPr>
            </w:pPr>
          </w:p>
        </w:tc>
      </w:tr>
      <w:tr>
        <w:trPr>
          <w:trHeight w:val="255"/>
        </w:trPr>
        <w:tc>
          <w:tcPr>
            <w:tcW w:w="1720" w:type="dxa"/>
            <w:vAlign w:val="bottom"/>
          </w:tcPr>
          <w:p>
            <w:pPr>
              <w:spacing w:after="0"/>
              <w:rPr>
                <w:sz w:val="21"/>
                <w:szCs w:val="21"/>
                <w:color w:val="auto"/>
              </w:rPr>
            </w:pPr>
          </w:p>
        </w:tc>
        <w:tc>
          <w:tcPr>
            <w:tcW w:w="6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2015</w:t>
            </w:r>
          </w:p>
        </w:tc>
        <w:tc>
          <w:tcPr>
            <w:tcW w:w="1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60" w:type="dxa"/>
            <w:vAlign w:val="bottom"/>
            <w:tcBorders>
              <w:bottom w:val="single" w:sz="8" w:color="F0FFFF"/>
            </w:tcBorders>
            <w:shd w:val="clear" w:color="auto" w:fill="F0FFFF"/>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664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2010, in conjunction with a public offering, the Company issued warrants to purchase 2,753,454 shares of Common Stock, exercisable at $1.13 per share at any time prior to December 31, 2013. During the years ended June 30, 2014 and 2013, 2,090,226 and 369,287 of these warrants were exercised at $1.13 per share for cash proceeds of $2,361,956 and $417,294, respectively. Warrants to purchase 58,527 shares of Common Stock expired unexercised on December 31, 2013.</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conjunction with this public offering, the Company also issued to the placement agent warrants to purchase 165,207 and 15,717 shares of Common Stock, exercisable at $1.13 per share at any time prior to May 12, and July 7, 2013, respectively. During the year ended June 30, 2013 the placement agent elected cashless exercises of 36,186 warrants resulting in the issuance of 17,094 shares of Common Stock and exercised warrants to purchase 13,216 shares of Common Stock at $1.13 per share for cash proceeds of $14,934. Warrants to purchase 1,258 shares of Common Stock expired unexercised in May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17, 2011, in conjunction with a private placement offering the Company issued warrants to purchase up to 3,900,000 shares of Common Stock, exercisable at $2.6058 per share. Additionally, the Company issued the placement agent in this offering warrants to purchase 364,000 shares of common stock at $2.6058 per share. The 4,264,000 warrants are exercisable from September 18, 2011 through September 18, 2016. As of June 30, 2015, no warrants have been exercised under this offering.</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3,900,000 warrants issued under this private placement offering contain a provision that if a Fundamental Transaction occurs, notably a change in control, the warrant holder may require the Company to pay the Black-Scholes calculated value of the then unexercised warrant to the warrant holder in cash. As such the Company has recorded a liability of $978,353 and $585,209 at June 30, 2015 and 2014, respectively, for the estimated fair value of the warrants in its Consolidated Balance Sheet (see Note 9). Period to period changes in the fair value of these warrants are reflected through income.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and Security agreement (Note 7) and 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warrants, the fair value of the warrants was $55,962 using a Black Scholes model, which was recorded as prepaid interest and included in other assets on the Consolidated Balance Sheet, and is being amortized as non-cash interest expense over the remaining term of the Line of Credit as amended in January 2013. Non-cash interest of $0, $2,095 and $53,867 has been recognized for the years ended June 30, 2015, 2014 and 2013, respectively. As of June 30, 2015 none of these warrants has been exercised.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2015, 2014 and 2013, the Company elected and made a safe harbor matching contributions of 100% of the participant’s first 3% and 50% of the next 2% of compensation deferred into the Retirement Plan. The Company’s safe harbor contributions for the years ended June 30, 2015, 2014 and 2013 approximated $192,000, $168,000 and $176,000,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years ended June 30, 2015, 2014 and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and a third party finance company, entered into six Sale Leaseback Agreements (the “Sale Leaseback Agreements” or a “Sale Leaseback Agreement”) pursuant to which a third-party finance company purchased ePort equipment owned by the Company and used by the Company in its JumpStart Program. As of June 30, 2014, a third-party finance company completed the purchase from the Company, the ePort equipment under the first two of the Sale Leaseback Agreements.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quarter ended September 2014, a third-party finance company completed the purchase from the Company of the ePort equipment described in the last four of the Sale Leaseback Agreements. Upon the completion of the sale under these agreements, the Company computed a gain on the sale of its ePort equipment, which is deferred and will be amortized in proportion to the related gross rental charged to expense over the lease terms in accordance with the FASB topic ASC 840-40, “Sale Leaseback Transactions”. The computed gain on the sale will be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Varilease a base monthly rental for this equipment during the 36-month lease term. The future lease payment obligations under these agreements are included in the table at the bottom of this note.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the sales, the Company computed gains on the sale of its ePort equipment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June 30,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June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cost</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3,873,275</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1,918,920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Rental equipment sold, accumulated depreciation upon sale</w:t>
            </w: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(331,069)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Rental equipment sold, net book value</w:t>
            </w:r>
          </w:p>
        </w:tc>
        <w:tc>
          <w:tcPr>
            <w:tcW w:w="1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3,542,206</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1,842,888</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Proceeds from sale</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4,993,879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2,995,095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9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Gain on sale of rental equipment</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1,451,673</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1,152,207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FASB topic ASC 840-40, “Sale Leaseback Transactions”, any gain shall be deferred and shall be amortized in proportion to the related gross rental charged to expense over the lease term. The computed gain on the sale will be recognized ratably over the 36 month term and charged as a reduction to the Company’s JumpStart rent expense included in costs of services in the Company’s Consolidated Statement of Operations. For the years ended June 30, 2015 and 2014 the Company recognized gains as follows: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Year ended</w:t>
            </w: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w w:val="98"/>
              </w:rPr>
              <w:t>June 30, 2015</w:t>
            </w:r>
          </w:p>
        </w:tc>
        <w:tc>
          <w:tcPr>
            <w:tcW w:w="1080" w:type="dxa"/>
            <w:vAlign w:val="bottom"/>
            <w:gridSpan w:val="4"/>
          </w:tcPr>
          <w:p>
            <w:pPr>
              <w:spacing w:after="0"/>
              <w:rPr>
                <w:sz w:val="20"/>
                <w:szCs w:val="20"/>
                <w:color w:val="auto"/>
              </w:rPr>
            </w:pPr>
            <w:r>
              <w:rPr>
                <w:rFonts w:ascii="Arial" w:cs="Arial" w:eastAsia="Arial" w:hAnsi="Arial"/>
                <w:sz w:val="18"/>
                <w:szCs w:val="18"/>
                <w:color w:val="auto"/>
                <w:w w:val="92"/>
              </w:rPr>
              <w:t>June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660" w:type="dxa"/>
            <w:vAlign w:val="bottom"/>
            <w:gridSpan w:val="2"/>
            <w:shd w:val="clear" w:color="auto" w:fill="F0FFFF"/>
          </w:tcPr>
          <w:p>
            <w:pPr>
              <w:ind w:left="15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1,142,685</w:t>
            </w:r>
          </w:p>
        </w:tc>
        <w:tc>
          <w:tcPr>
            <w:tcW w:w="100" w:type="dxa"/>
            <w:vAlign w:val="bottom"/>
            <w:shd w:val="clear" w:color="auto" w:fill="F0FF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1,451,673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1,152,207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1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(833,619)</w:t>
            </w:r>
          </w:p>
        </w:tc>
        <w:tc>
          <w:tcPr>
            <w:tcW w:w="100" w:type="dxa"/>
            <w:vAlign w:val="bottom"/>
            <w:shd w:val="clear" w:color="auto" w:fill="F0FFFF"/>
          </w:tcPr>
          <w:p>
            <w:pPr>
              <w:spacing w:after="0"/>
              <w:rPr>
                <w:sz w:val="21"/>
                <w:szCs w:val="21"/>
                <w:color w:val="auto"/>
              </w:rPr>
            </w:pPr>
          </w:p>
        </w:tc>
        <w:tc>
          <w:tcPr>
            <w:tcW w:w="9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15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1,760,739</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1,142,685</w:t>
            </w:r>
          </w:p>
        </w:tc>
        <w:tc>
          <w:tcPr>
            <w:tcW w:w="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860,391</w:t>
            </w:r>
          </w:p>
        </w:tc>
        <w:tc>
          <w:tcPr>
            <w:tcW w:w="1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380,895</w:t>
            </w:r>
          </w:p>
        </w:tc>
        <w:tc>
          <w:tcPr>
            <w:tcW w:w="4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15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900,348</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761,790</w:t>
            </w:r>
          </w:p>
        </w:tc>
        <w:tc>
          <w:tcPr>
            <w:tcW w:w="20" w:type="dxa"/>
            <w:vAlign w:val="bottom"/>
            <w:tcBorders>
              <w:top w:val="single" w:sz="8" w:color="F0FFFF"/>
              <w:bottom w:val="single" w:sz="8" w:color="auto"/>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LEASES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lease commitments include leases for its operations from various facilities. The Company leases space located in Malvern, Pennsylvania for its principal executive office and used for general administrative functions, sales activities, product development, and customer support. 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and leasehold improvements of approximately $195,000. The straight-lined rent expense for this office is approximately $25,000 per month for the duration of the lease.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space in Malvern, Pennsylvania for its product warehousing and shipping support. In November 2012, the Company entered into a lease as of January 1, 2013 through February 29, 2016. The lease includes monthly rental payments from $4,406 to $4,678 as well as a two month period of no rent payments. Beginning in January 2013 the straight-lined rent expense for this operations site is approximately $4,300 per month for the duration of the lease period.</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Rent expense under operating leases was approximately $354,000, $372,000 and $432,000 during the years ended June 30,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for fiscal years subsequent to June 30, 2015 under non-cancellable operating leases and capital leases are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w w:val="88"/>
              </w:rPr>
              <w:t>Operating Leases</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w w:val="94"/>
              </w:rPr>
              <w:t>Other Operating</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w w:val="95"/>
              </w:rPr>
              <w:t>Total Operating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w w:val="92"/>
              </w:rPr>
              <w:t>from Sale Leaseback</w:t>
            </w:r>
          </w:p>
        </w:tc>
        <w:tc>
          <w:tcPr>
            <w:tcW w:w="28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Leases</w:t>
            </w:r>
          </w:p>
        </w:tc>
        <w:tc>
          <w:tcPr>
            <w:tcW w:w="28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22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2,641,155</w:t>
            </w:r>
          </w:p>
        </w:tc>
        <w:tc>
          <w:tcPr>
            <w:tcW w:w="280" w:type="dxa"/>
            <w:vAlign w:val="bottom"/>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361,927</w:t>
            </w:r>
          </w:p>
        </w:tc>
        <w:tc>
          <w:tcPr>
            <w:tcW w:w="280" w:type="dxa"/>
            <w:vAlign w:val="bottom"/>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3,003,082</w:t>
            </w:r>
          </w:p>
        </w:tc>
        <w:tc>
          <w:tcPr>
            <w:tcW w:w="8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157,304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2,641,155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2,641,965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137,731</w:t>
            </w: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137,731</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70,416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w:t>
            </w:r>
          </w:p>
        </w:tc>
        <w:tc>
          <w:tcPr>
            <w:tcW w:w="8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5,420,041</w:t>
            </w:r>
          </w:p>
        </w:tc>
        <w:tc>
          <w:tcPr>
            <w:tcW w:w="280" w:type="dxa"/>
            <w:vAlign w:val="bottom"/>
            <w:tcBorders>
              <w:bottom w:val="single" w:sz="8" w:color="auto"/>
            </w:tcBorders>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362,737</w:t>
            </w:r>
          </w:p>
        </w:tc>
        <w:tc>
          <w:tcPr>
            <w:tcW w:w="280" w:type="dxa"/>
            <w:vAlign w:val="bottom"/>
            <w:tcBorders>
              <w:bottom w:val="single" w:sz="8" w:color="auto"/>
            </w:tcBorders>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5,782,778</w:t>
            </w: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382,666</w:t>
            </w:r>
          </w:p>
        </w:tc>
        <w:tc>
          <w:tcPr>
            <w:tcW w:w="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6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00" w:type="dxa"/>
            <w:vAlign w:val="bottom"/>
            <w:tcBorders>
              <w:bottom w:val="single" w:sz="8" w:color="auto"/>
            </w:tcBorders>
            <w:shd w:val="clear" w:color="auto" w:fill="F0FFFF"/>
          </w:tcPr>
          <w:p>
            <w:pPr>
              <w:spacing w:after="0"/>
              <w:rPr>
                <w:sz w:val="3"/>
                <w:szCs w:val="3"/>
                <w:color w:val="auto"/>
              </w:rPr>
            </w:pPr>
          </w:p>
        </w:tc>
        <w:tc>
          <w:tcPr>
            <w:tcW w:w="1480" w:type="dxa"/>
            <w:vAlign w:val="bottom"/>
            <w:tcBorders>
              <w:bottom w:val="single" w:sz="8" w:color="auto"/>
            </w:tcBorders>
            <w:shd w:val="clear" w:color="auto" w:fill="F0FFFF"/>
          </w:tcPr>
          <w:p>
            <w:pPr>
              <w:spacing w:after="0"/>
              <w:rPr>
                <w:sz w:val="3"/>
                <w:szCs w:val="3"/>
                <w:color w:val="auto"/>
              </w:rPr>
            </w:pPr>
          </w:p>
        </w:tc>
        <w:tc>
          <w:tcPr>
            <w:tcW w:w="280" w:type="dxa"/>
            <w:vAlign w:val="bottom"/>
            <w:tcBorders>
              <w:bottom w:val="single" w:sz="8" w:color="auto"/>
            </w:tcBorders>
            <w:shd w:val="clear" w:color="auto" w:fill="F0FFFF"/>
          </w:tcPr>
          <w:p>
            <w:pPr>
              <w:spacing w:after="0"/>
              <w:rPr>
                <w:sz w:val="3"/>
                <w:szCs w:val="3"/>
                <w:color w:val="auto"/>
              </w:rPr>
            </w:pPr>
          </w:p>
        </w:tc>
        <w:tc>
          <w:tcPr>
            <w:tcW w:w="1040" w:type="dxa"/>
            <w:vAlign w:val="bottom"/>
            <w:tcBorders>
              <w:bottom w:val="single" w:sz="8" w:color="auto"/>
            </w:tcBorders>
            <w:shd w:val="clear" w:color="auto" w:fill="F0FFFF"/>
          </w:tcPr>
          <w:p>
            <w:pPr>
              <w:spacing w:after="0"/>
              <w:rPr>
                <w:sz w:val="3"/>
                <w:szCs w:val="3"/>
                <w:color w:val="auto"/>
              </w:rPr>
            </w:pPr>
          </w:p>
        </w:tc>
        <w:tc>
          <w:tcPr>
            <w:tcW w:w="280" w:type="dxa"/>
            <w:vAlign w:val="bottom"/>
            <w:tcBorders>
              <w:bottom w:val="single" w:sz="8" w:color="auto"/>
            </w:tcBorders>
            <w:shd w:val="clear" w:color="auto" w:fill="F0FFFF"/>
          </w:tcPr>
          <w:p>
            <w:pPr>
              <w:spacing w:after="0"/>
              <w:rPr>
                <w:sz w:val="3"/>
                <w:szCs w:val="3"/>
                <w:color w:val="auto"/>
              </w:rPr>
            </w:pPr>
          </w:p>
        </w:tc>
        <w:tc>
          <w:tcPr>
            <w:tcW w:w="920" w:type="dxa"/>
            <w:vAlign w:val="bottom"/>
            <w:tcBorders>
              <w:bottom w:val="single" w:sz="8" w:color="auto"/>
            </w:tcBorders>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120" w:type="dxa"/>
            <w:vAlign w:val="bottom"/>
            <w:tcBorders>
              <w:bottom w:val="single" w:sz="8" w:color="auto"/>
            </w:tcBorders>
            <w:shd w:val="clear" w:color="auto" w:fill="000000"/>
          </w:tcPr>
          <w:p>
            <w:pPr>
              <w:spacing w:after="0"/>
              <w:rPr>
                <w:sz w:val="3"/>
                <w:szCs w:val="3"/>
                <w:color w:val="auto"/>
              </w:rPr>
            </w:pPr>
          </w:p>
        </w:tc>
        <w:tc>
          <w:tcPr>
            <w:tcW w:w="680" w:type="dxa"/>
            <w:vAlign w:val="bottom"/>
            <w:tcBorders>
              <w:bottom w:val="single" w:sz="8" w:color="auto"/>
            </w:tcBorders>
            <w:shd w:val="clear" w:color="auto" w:fill="000000"/>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line="190" w:lineRule="exact"/>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45,069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Present value of net minimum lease payments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8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F0FFFF"/>
              <w:bottom w:val="single" w:sz="8" w:color="F0FFFF"/>
            </w:tcBorders>
            <w:shd w:val="clear" w:color="auto" w:fill="F0FFFF"/>
          </w:tcPr>
          <w:p>
            <w:pPr>
              <w:spacing w:after="0"/>
              <w:rPr>
                <w:sz w:val="20"/>
                <w:szCs w:val="20"/>
                <w:color w:val="auto"/>
              </w:rPr>
            </w:pPr>
          </w:p>
        </w:tc>
        <w:tc>
          <w:tcPr>
            <w:tcW w:w="10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F0FFFF"/>
              <w:bottom w:val="single" w:sz="8" w:color="F0FFFF"/>
            </w:tcBorders>
            <w:shd w:val="clear" w:color="auto" w:fill="F0FFFF"/>
          </w:tcPr>
          <w:p>
            <w:pPr>
              <w:spacing w:after="0"/>
              <w:rPr>
                <w:sz w:val="20"/>
                <w:szCs w:val="20"/>
                <w:color w:val="auto"/>
              </w:rPr>
            </w:pPr>
          </w:p>
        </w:tc>
        <w:tc>
          <w:tcPr>
            <w:tcW w:w="9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337,597</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Less current obligations under capital leases</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480" w:type="dxa"/>
            <w:vAlign w:val="bottom"/>
            <w:tcBorders>
              <w:bottom w:val="single" w:sz="8" w:color="F0FFFF"/>
            </w:tcBorders>
          </w:tcPr>
          <w:p>
            <w:pPr>
              <w:spacing w:after="0"/>
              <w:rPr>
                <w:sz w:val="18"/>
                <w:szCs w:val="18"/>
                <w:color w:val="auto"/>
              </w:rPr>
            </w:pPr>
          </w:p>
        </w:tc>
        <w:tc>
          <w:tcPr>
            <w:tcW w:w="280" w:type="dxa"/>
            <w:vAlign w:val="bottom"/>
            <w:tcBorders>
              <w:bottom w:val="single" w:sz="8" w:color="F0FFFF"/>
            </w:tcBorders>
          </w:tcPr>
          <w:p>
            <w:pPr>
              <w:spacing w:after="0"/>
              <w:rPr>
                <w:sz w:val="18"/>
                <w:szCs w:val="18"/>
                <w:color w:val="auto"/>
              </w:rPr>
            </w:pPr>
          </w:p>
        </w:tc>
        <w:tc>
          <w:tcPr>
            <w:tcW w:w="1040" w:type="dxa"/>
            <w:vAlign w:val="bottom"/>
            <w:tcBorders>
              <w:bottom w:val="single" w:sz="8" w:color="F0FFFF"/>
            </w:tcBorders>
          </w:tcPr>
          <w:p>
            <w:pPr>
              <w:spacing w:after="0"/>
              <w:rPr>
                <w:sz w:val="18"/>
                <w:szCs w:val="18"/>
                <w:color w:val="auto"/>
              </w:rPr>
            </w:pPr>
          </w:p>
        </w:tc>
        <w:tc>
          <w:tcPr>
            <w:tcW w:w="280" w:type="dxa"/>
            <w:vAlign w:val="bottom"/>
            <w:tcBorders>
              <w:bottom w:val="single" w:sz="8" w:color="F0FFFF"/>
            </w:tcBorders>
          </w:tcPr>
          <w:p>
            <w:pPr>
              <w:spacing w:after="0"/>
              <w:rPr>
                <w:sz w:val="18"/>
                <w:szCs w:val="18"/>
                <w:color w:val="auto"/>
              </w:rPr>
            </w:pPr>
          </w:p>
        </w:tc>
        <w:tc>
          <w:tcPr>
            <w:tcW w:w="9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131,583</w:t>
            </w: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w w:val="91"/>
              </w:rPr>
              <w:t>Obligations under capital leases, less current portion</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8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206,014</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2014, the Company settled a legal action brought in connection with a customer billing dispute. Under the settlement, the Company agreed to pay approximately $690,000. Approximately $280,000 of this amount was recorded in fiscal 2014 and $410,000 of this amount was recorded in fiscal 2015 and was reflected in Cost of Services in the Consolidated Statements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the Company became involved in a legal proceeding with a former non- vending customer and entities affiliated with the former customer. The Company is seeking to recoup approximately $680,000 relating to certain credit card chargebacks due under the customer agreement, while the former customer is seeking to recover damages alleged to have been incurred as a result of the breach by the Company of the agreement. The Company does not believe any of the claims asserted against it have merit and intends to vigorously defend this matter. Additionally, the Company intends to pursue its claims in order to recoup the chargebacks ..</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principal executive officer and principal financial officer have evaluated the Company’s disclosure controls and procedures as of June 30, 2015. Based on this evaluation, they conclude that because of the material weakness in our internal control over financial reporting discussed below, the disclosure controls and procedures were not effective to ensure that the information required to be disclosed by the Company in the reports that it files or submits under the Securities Exchange Act of 1934 are recorded, processed, summarized and reported, within the time periods specified in the Commission’s rules and forms and to ensure that information required to be disclosed by the Company in the reports that it files or submits under the Securities Exchange Act of 1934 are accumulated and communicated to the Company’s management, including its principal executive and principal financial officers, or persons performing similar functions, as appropriate to allow timely decisions regarding required disclosure.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material weakness discussed below, our management, including our Chief Executive Officer and Chief Financial Officer, has concluded that the consolidated financial statements included in this Form 10-K present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Exchange Act Rules 13a-15(f). The Company’s internal control over financial reporting is a process affected by the Company’s management to provide reasonable assurance regarding the reliability of financial reporting and the preparation of the Company’s financial statements for external purposes in accordance with U.S. generally accepted accounting principles.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designing and evaluating our internal controls and procedures, our management recognized that internal controls and procedures, no matter how well conceived and operated, can provide only a reasonable, not absolute, assurance that the objectives of the internal controls and procedures are met.</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management assessed the effectiveness of its internal control over financial reporting as of June 30, 2015. In making this assessment, it used the criteria set forth by the Committee of Sponsoring Organizations (COSO) of the Treadway Commission’s 2013 Internal Control—Integrated Framework. Based on its assessment, management identified deficiencies in both the design and operating effectiveness of the Company’s internal control over financial reporting, which when aggregated, represent a material weakness in internal control. The most significant of these was the process over the reconcilement, analysis and management oversight of certain customer accounts receivable balances related to customer processing and service fees. The procedures in place did not identify a large number of small balance accounts that may be uncollectible and were not appropriately dispositioned, collected, remediated, reserved-for and/or written-off. As a result, the Company changed its June 30, 2015 financial results included in its September 10, 2015 press release by increasing its bad debt reserve by approximately $450,000, resulting in an after-tax charge of approximately $270,000 relating to these customer accounts receivable.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management concluded that the Company did not maintain effective control over financial reporting as of June 30, 2015.</w:t>
      </w:r>
    </w:p>
    <w:p>
      <w:pPr>
        <w:spacing w:after="0" w:line="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internal controls over financial reporting with respect to the reconcilement, analysis and management oversight of certain customer accounts receivable balances are being evaluated and will be adjusted appropriately and remediated as soon as is practical.</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an exemption for smaller reporting companies under Section 989G of the Dodd-Frank Wall Street Reform and Consumer Protection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have been no changes during the quarter ended June 30, 2015 in the Company’s internal controls over financial reporting that have materially affected, or are reasonably likely to materially affect, internal control over financial reporting except those reported in section 9 A (b) above.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on September 15, 2015, together with their ages and business backgrounds were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3240" w:type="dxa"/>
            <w:vAlign w:val="bottom"/>
            <w:gridSpan w:val="3"/>
          </w:tcPr>
          <w:p>
            <w:pPr>
              <w:spacing w:after="0"/>
              <w:rPr>
                <w:sz w:val="20"/>
                <w:szCs w:val="20"/>
                <w:color w:val="auto"/>
              </w:rPr>
            </w:pPr>
            <w:r>
              <w:rPr>
                <w:rFonts w:ascii="Arial" w:cs="Arial" w:eastAsia="Arial" w:hAnsi="Arial"/>
                <w:sz w:val="18"/>
                <w:szCs w:val="18"/>
                <w:color w:val="auto"/>
              </w:rPr>
              <w:t>Name</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Position(s) Held</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Steven D. Barnhart (2)(3)</w:t>
            </w:r>
          </w:p>
        </w:tc>
        <w:tc>
          <w:tcPr>
            <w:tcW w:w="200" w:type="dxa"/>
            <w:vAlign w:val="bottom"/>
            <w:tcBorders>
              <w:top w:val="single" w:sz="8" w:color="F0FFFF"/>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Borders>
              <w:top w:val="single" w:sz="8" w:color="F0FFFF"/>
            </w:tcBorders>
            <w:shd w:val="clear" w:color="auto" w:fill="F0FFFF"/>
          </w:tcPr>
          <w:p>
            <w:pPr>
              <w:spacing w:after="0"/>
              <w:rPr>
                <w:sz w:val="18"/>
                <w:szCs w:val="18"/>
                <w:color w:val="auto"/>
              </w:rPr>
            </w:pPr>
          </w:p>
        </w:tc>
        <w:tc>
          <w:tcPr>
            <w:tcW w:w="50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Joel Brooks (1)</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7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9"/>
              </w:rPr>
              <w:t>44</w:t>
            </w:r>
          </w:p>
        </w:tc>
        <w:tc>
          <w:tcPr>
            <w:tcW w:w="518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Chief Services Officer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Albin F. Moschner(1)(3)</w:t>
            </w:r>
          </w:p>
        </w:tc>
        <w:tc>
          <w:tcPr>
            <w:tcW w:w="7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9"/>
              </w:rPr>
              <w:t>62</w:t>
            </w:r>
          </w:p>
        </w:tc>
        <w:tc>
          <w:tcPr>
            <w:tcW w:w="518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William J. Reilly, Jr.(1)(4)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William J. Schoch (4)</w:t>
            </w:r>
          </w:p>
        </w:tc>
        <w:tc>
          <w:tcPr>
            <w:tcW w:w="7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 Duncan Smith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Each member of the Board of Directors will hold office until the 2016 annual shareholders’ meeting and until his or her successor has been elected and qualified.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Steven D. Barnhart </w:t>
      </w:r>
      <w:r>
        <w:rPr>
          <w:rFonts w:ascii="Arial" w:cs="Arial" w:eastAsia="Arial" w:hAnsi="Arial"/>
          <w:sz w:val="17"/>
          <w:szCs w:val="17"/>
          <w:color w:val="auto"/>
        </w:rPr>
        <w:t>was appointed to the Board of Directors in October 2009. Mr. Barnhart is the Company’s lead independent director and is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Since September 2014, Mr. Barnhart has served as the Senior Vice President and Chief Financial Officer for Bankrate, Inc. From August 2012 to June 2014, Mr. Barnhart served as the Senior Vice President and Chief Financial Officer of Sears Hometown and Outlet Stores, Inc.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held various finance and strategy roles at PepsiCo. Mr. Barnhart received a Bachelor of Arts degree in Economics in 1984 from the College of the University of Chicago and a Masters in Business Administration in 1988 from the University of Chicago-Booth School of Business.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Joel Brooks </w:t>
      </w:r>
      <w:r>
        <w:rPr>
          <w:rFonts w:ascii="Arial" w:cs="Arial" w:eastAsia="Arial" w:hAnsi="Arial"/>
          <w:sz w:val="17"/>
          <w:szCs w:val="17"/>
          <w:color w:val="auto"/>
        </w:rPr>
        <w:t>joined the Board of Directors of the Company during March 2007. Mr. Brooks is the Chair of our Audit Committee. Since May 2015, Mr. Brooks</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Vice President, Finance, for MeiraGTx Limited. From December 2000 until May 2015, Mr. Brooks served as the Chief Financial Officer, Treasurer and Secretary of Sevion Therapeutics, Inc. (formerly Senesco Technologies, Inc.), a biotechnology company whose shares are traded on the OTCQB.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Sevion Therapeutics, Inc. provide the requisite qualifications, skills, perspectives, and experiences to serve on our Board of Directors.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David M. DeMedio </w:t>
      </w:r>
      <w:r>
        <w:rPr>
          <w:rFonts w:ascii="Arial" w:cs="Arial" w:eastAsia="Arial" w:hAnsi="Arial"/>
          <w:sz w:val="17"/>
          <w:szCs w:val="17"/>
          <w:color w:val="auto"/>
        </w:rPr>
        <w:t>joined the Company on a full-time basis in March 1999 as Controller. In the summer of 2001, Mr. DeMedio was promoted to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Services where he was responsible for the sales and financial data reporting to customers, the Company’s turnkey banking services and maintaining and developing relationships with credit card processors and card associations. In July 2003, Mr. DeMedio served as interim Chief Financial Officer through April 2004. From April 2004 until April 2005, Mr. DeMedio served as Vice President - Financial &amp; Data Services. On April 12, 2005, he was appointed as the Company’s Chief Financial Officer and continued in that role until August 31, 2015, when he was appointed as the Company’s Chief Services Officer. From 1996 to March 1999, prior to joining the Company, Mr. DeMedio had been employed by Elko, Fischer, Cunnane and Associates, LLC as a supervisor in its accounting and auditing and consulting practice. Prior thereto, Mr. DeMedio held various accounting positions with Intelligent Electronics, Inc., a multi-billion reseller of computer hardware and configuration services. Mr. DeMedio graduated with a Bachelor of Science in Business Administration from Shippensburg University and is a Certified Public Accountant.</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Stephen P. Herbert </w:t>
      </w:r>
      <w:r>
        <w:rPr>
          <w:rFonts w:ascii="Arial" w:cs="Arial" w:eastAsia="Arial" w:hAnsi="Arial"/>
          <w:sz w:val="16"/>
          <w:szCs w:val="16"/>
          <w:color w:val="auto"/>
        </w:rPr>
        <w:t>has been our Chief Executive Officer and Chairman since November 30, 2011. He was elected a director in April 1996, and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w:t>
      </w:r>
    </w:p>
    <w:p>
      <w:pPr>
        <w:sectPr>
          <w:pgSz w:w="11900" w:h="16838" w:orient="portrait"/>
          <w:cols w:equalWidth="0" w:num="1">
            <w:col w:w="11420"/>
          </w:cols>
          <w:pgMar w:left="240" w:top="905" w:right="239" w:bottom="0" w:gutter="0" w:footer="0" w:header="0"/>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extensive vending experience at PepsiCo before joining our Company provide the requisite qualifications, skills, perspectives, and experiences to serve on our Board of Directors.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7"/>
          <w:szCs w:val="17"/>
          <w:i w:val="1"/>
          <w:iCs w:val="1"/>
          <w:color w:val="auto"/>
        </w:rPr>
        <w:t xml:space="preserve">Albin F. Moschner </w:t>
      </w:r>
      <w:r>
        <w:rPr>
          <w:rFonts w:ascii="Arial" w:cs="Arial" w:eastAsia="Arial" w:hAnsi="Arial"/>
          <w:sz w:val="17"/>
          <w:szCs w:val="17"/>
          <w:color w:val="auto"/>
        </w:rPr>
        <w:t>joined the Board of Directors of the Company in April, 2012. He is the Chair of our Compensation Committee and a member of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Moschner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has also been serving on the Board of Wintrust Financial Corporation since 1994.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William J. Reilly, Jr.</w:t>
      </w:r>
      <w:r>
        <w:rPr>
          <w:rFonts w:ascii="Arial" w:cs="Arial" w:eastAsia="Arial" w:hAnsi="Arial"/>
          <w:sz w:val="16"/>
          <w:szCs w:val="16"/>
          <w:color w:val="auto"/>
        </w:rPr>
        <w:t>, joined the Board of Directors of the Company in July 2012. He is a member of our Audit and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He has been an independent consultant since January 2011. From 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bachelors of science degree in Psychology in 1970. We believe that Mr. Reilly’s executive, business development and international experience provide the requisite qualifications, skills, perspectives and experiences to serve on our Board of Directors.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William J. Schoch </w:t>
      </w:r>
      <w:r>
        <w:rPr>
          <w:rFonts w:ascii="Arial" w:cs="Arial" w:eastAsia="Arial" w:hAnsi="Arial"/>
          <w:sz w:val="17"/>
          <w:szCs w:val="17"/>
          <w:color w:val="auto"/>
        </w:rPr>
        <w:t>joined the Board of Directors of the Company in July 2012. He is the chair of our Nominating and Corporate Governance Committee. Mr.</w:t>
      </w:r>
      <w:r>
        <w:rPr>
          <w:rFonts w:ascii="Arial" w:cs="Arial" w:eastAsia="Arial" w:hAnsi="Arial"/>
          <w:sz w:val="17"/>
          <w:szCs w:val="17"/>
          <w:i w:val="1"/>
          <w:iCs w:val="1"/>
          <w:color w:val="auto"/>
        </w:rPr>
        <w:t xml:space="preserve"> </w:t>
      </w:r>
      <w:r>
        <w:rPr>
          <w:rFonts w:ascii="Arial" w:cs="Arial" w:eastAsia="Arial" w:hAnsi="Arial"/>
          <w:sz w:val="17"/>
          <w:szCs w:val="17"/>
          <w:color w:val="auto"/>
        </w:rPr>
        <w:t>Schoch is the President and Chief Executive Officer of Western Payments Alliance, a non-profit payments association and has served in that capacity since March 2008. He serves on the Boards of Western Payments Alliance and NACHA, an industry trade association and the administrator of the Automated Clearing House (ACH) Network, and is on the steering committee of NACHA’s Council for Electronic Billing and Payment.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J. Duncan Smith </w:t>
      </w:r>
      <w:r>
        <w:rPr>
          <w:rFonts w:ascii="Arial" w:cs="Arial" w:eastAsia="Arial" w:hAnsi="Arial"/>
          <w:sz w:val="17"/>
          <w:szCs w:val="17"/>
          <w:color w:val="auto"/>
        </w:rPr>
        <w:t>joined the Company on a full-time basis as its Chief Financial Officer starting August 31, 2015. From April 2005 until July 2015, Mr. Smith</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CFO, Executive Vice President, and Treasurer of Bryn Mawr Bank Corporation, a $3 billion bank holding company for The Bryn Mawr Trust Company and its subsidiaries. In such role, Mr. Smith oversaw all financial functions and was also responsible for treasury functions, capital market activities and investor relations. From March 1993 until March 2005, Mr. Smith was the CFO of First Chester County Corporation in West Chester, Pennsylvania, a community bank holding corporation. From April 1998 to March 1993, Mr. Smith served as CFO of Security First Bank, in Media, Pennsylvania, a start-up banking operation. Mr. Smith also has approximately seven years of experience with several public accounting firms including Grant Thornton and Ernst &amp; Young. Mr. Smith graduated with a Bachelor of Science/ Bachelor of Arts in Accounting degree from Shippensburg University, a Masters in Business Administration from Pennsylvania State University’s School of Graduate Professional Studies and a Masters’ Degree in Taxation from Widener University. Mr. Smith is a certified public accountant.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a standing Audit Committee presently consisting of each of Mr. Brooks (Chairman), and Messrs. Reilly and Moschner. The Company’s Board of Directors has determined that Joel Brooks has met the additional independence criteria required for Audit Committee membership under applicable NASDAQ listing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Board has adopted a Code of Ethics, which applies to all executive officers, directors and employees of the Company, including our Chief Executive Officer, Chief Financial Officer, Chief Services Officer and Controller. A copy of our Code of Business Conduct and Ethics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file with the Securities and Exchange Commission reports of ownership and changes in ownership of Common Stock. Officers, directors and greater than 10% beneficial owners are required by Securities and Exchange Commission regulations to furnish the Company with copies of all Section 16(a) forms they file.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during the 2015 fiscal year, all of the Company’s directors and executive officers filed reports required by Section 16(a) on a timely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Compensation Discussion and Analysis provides information about our compensation program for our named executive officers as of June 30, 2015 (collectively, the “named executive officers”): Stephen P. Herbert- Chairman and Chief Executive Officer; David M. DeMedio- Chief Financial Officer; Michael Lawlor-Senior Vice President of Sales and Business Development; and Maeve Duska- Senior Vice President of Marketing.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2015 Business Highlights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has developed a compensation policy that is designed to attract and retain key executives responsible for the Company’s success and motivate management to enhance long-term shareholder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2015 financial highlights, compared to the prior year, included:</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37% increase in total revenues to $58.1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 increase in license and transaction fee revenues to $43.6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115% increase in equipment sale revenues to $14.4 million primarily attributable to the QuickStart program which was reintroduced in September 2014;</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connections to the Company’s cashless payment and telemetry service, ePort Connect®, grew by 57% to 333,000;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Year-end cash position of $11.4 million as compared to $9.1 million as of the end of the prior fiscal year.</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substantial progress made by the Company during the 2015 fiscal year, the Company did not achieve all of the target goals established by the Compensation Committee for compensation of our executive officers under the Fiscal Year 2015 Short-Term Incentive Plan (“2015 STI Plan”) and Fiscal Year 2015 Long-Term Incentive Performance Share Plan (“2015 LTI Stock Plan”). When the target goals were established, the Committee believed that the attainment of the target goals would represent a significant achievement for management and were designed to stretch individual and corporate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2015 Compensation Goals and Objectives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The compensation of Mr. Lawlor and Ms. Duska was determined by our Chief Executive Officer in consultation with the Compensation Committee. The Chief Executive Officer assisted the Committee in establishing the compensation of our other executive officer, David DeMedio. Our Chief Executive Officer regularly provides information to the Compensation Committee. The Chief Executive Officer is not present during voting or deliberations on his compensation. The Compensation Committee has, from time to time, retained an independent compensation consultant, Buck Consultants, LLC, as deemed necessary to assist the Committee in making appropriate recommendations regarding our executive officers’ compensation.</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The Compensation Committee also ties a significant portion of each executive officer’s compensation to key operational and financial goals and performance.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designed and implemented our compensation package in order to be competitive with other companies in our peer group, as compiled by our compensation consultant, and to motivate and retain our executive officers. Our compensation package also takes into account individual responsibilities and performance.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elements of our compensation reflect different compensation objectives. For example, as base salaries are generally fixed in advance of the year in which the compensation will be earned, the Committee believes that it is appropriate to determine base salaries with a focus on similarly situated officers at comparable peer group companies while also having them reflect the officer’s performance. On the other hand, annual bonuses and long-term incentives are better able to reflect the Company’s performance as measured by total number of connections, total revenues, non-GAAP net income, adjusted EBIDTA, and cash generated from operations. In addition, annual bonuses and long-term incentive awards, including the performance goals they are based on, help us achieve our goal of retaining executives, and motivating executive officers to increase shareholder value. The other elements of compensation reflect the Committee’s and Board’s philosophy that personal benefits, including retirement and health benefits, should be available to all employees on a non-discriminatory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Compensation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our executive officers features many commonly used “best practices” including: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Pay-for-performance. A substantial part of our executive officer’s pay is, in our view, performance based. For the 2015 fiscal year, our Chief Executive Officer had approximately 62% of his total target compensation tied to performance while our Chief Financial Officer had approximately 55% of his total target compensation tied to performance.</w:t>
      </w:r>
    </w:p>
    <w:p>
      <w:pPr>
        <w:sectPr>
          <w:pgSz w:w="11900" w:h="16918" w:orient="portrait"/>
          <w:cols w:equalWidth="0" w:num="1">
            <w:col w:w="11420"/>
          </w:cols>
          <w:pgMar w:left="240" w:top="905" w:right="239" w:bottom="0" w:gutter="0" w:footer="0" w:header="0"/>
        </w:sectPr>
      </w:pPr>
    </w:p>
    <w:bookmarkStart w:id="72" w:name="page73"/>
    <w:bookmarkEnd w:id="72"/>
    <w:p>
      <w:pPr>
        <w:ind w:left="328"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Stretch performance goals. Our performance target goals under our 2015 STI Plan and 2015 LTI Stock Plan are designed to stretch individual and organizational performance in order to receive target payouts.</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25" w:right="239" w:bottom="1440" w:gutter="0" w:footer="0" w:header="0"/>
        </w:sectPr>
      </w:pPr>
    </w:p>
    <w:bookmarkStart w:id="73" w:name="page74"/>
    <w:bookmarkEnd w:id="73"/>
    <w:p>
      <w:pPr>
        <w:ind w:left="66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Capped payouts under incentive plans. Both our long-term and short-term bonus programs have maximum payout amounts in order to discourage excessive risk taking.</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ownership guidelines. We have significant ownership guidelines. Our Chief Executive Officer is required to hold common stock with a value equal to a multiple of three times his base salary and our Chief Financial Officer is required to hold common stock with a value equal to one time his base salary.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Tax Gross-Up Provisions. Our compensation program does not include any excise tax gross-up provisions with respect to payments contingent upon a change of control.</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perquisites for our executives. Perquisites are not a significant portion of our executive officers’ compensation, representing 1% of Mr. Herbert’s and 1% of Mr. DeMedio’s total target compensation.</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compensation consultant. The Committee has from time to time retained an independent compensation consultant, Buck Consultants, LLC, to review the executive compensation programs and practices.</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payment on change of control without a “double trigger”. Payments under our employment agreements require two events for vesting – both the change of control and a “good reason” for termination of employment.</w:t>
      </w:r>
    </w:p>
    <w:p>
      <w:pPr>
        <w:ind w:left="66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repricing of underwater options. Our stock option incentive plan does not permit repricing or the exchange of underwater stock options without shareholder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Pay-for-Performance Review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Pay-for-performance is an important component of our compensation philosophy and is evident in the structure of our compensation program. Our compensation approach is designed to motivate our executive officers to substantially contribute to the Company’s long-term sustainable growth. Our pay-for-performance approach provides that a large portion of our executive officers’ total compensation should be in the form of short-term and long-term incentive awards with performance hurdles designed to stretch individual and organizational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Reinforcing pay-for-performance is a significant underpinning of our compensation program. During the 2015 fiscal year, a total of 62% of Mr. Herbert’s and 55% of Mr. DeMedio’s total target compensation was in the form of performance-based variable compensation designed to motivate them to deliver strong business performance and create shareholder value. These compensation elements were dependent upon the Company’s achievement of pre-established financial and other business goals recommended by the Committee as well as individual goals established by the Committee or consisted of stock option awards which are inherently performance based as they only deliver value if the stock price increases. All stock options awarded by the Committee are exercisable at the closing share price on the date of the grant. Based on actual results, the annual variable compensation amount and the ultimate value of the equity compensation awards could have been significantly reduced if the Company or management did not perform.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 2015, the targeted aggregate compensation of our named executive officers consisted of the following components expressed as a percentage of total compensation: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Long-Term</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Perquisites &amp;</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Named Executive Officer</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Base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4540" w:type="dxa"/>
            <w:vAlign w:val="bottom"/>
            <w:gridSpan w:val="2"/>
            <w:vMerge w:val="continue"/>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Salary</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Compensation</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37%</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15%</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47%</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1%</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44%</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11%</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44%</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1%</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49%</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49%</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92"/>
              </w:rPr>
              <w:t>0%</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2%</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63%</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37%</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92"/>
              </w:rPr>
              <w:t>0%</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0%</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long-term incentive compensation in the above table does not reflect the one-time awards to Mr. Herbert of non-qualified stock options to purchase up to 150,000 shares, to Mr. DeMedio of non-qualified stock options to purchase up to 90,000 shares, to Mr. Lawlor of incentive stock options to purchase up to 25,000 shares, or to Ms. Duska of incentive stock options to purchase up to 25,000 shares. The foregoing awards are, however, reflected in the table set forth below as long-term incentive compensation. The long-term incentive compensation in the above table and in the table set forth below each reflect the awards to Mr. Herbert of incentive stock options to purchase up to 55,555 shares and to Mr. DeMedio of incentive stock options to purchase up to 33,333 shares.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 2015, the aggregate compensation actually paid or awarded to our named executive officers consisted of the following components expressed as a percentage of total compensation: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Long-Term</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Perquisites &amp;</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Named Executive Officer</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Base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4540" w:type="dxa"/>
            <w:vAlign w:val="bottom"/>
            <w:gridSpan w:val="2"/>
            <w:vMerge w:val="continue"/>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Salary</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Compensation</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12%</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47%</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1%</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47%</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2"/>
              </w:rPr>
              <w:t>6%</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46%</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1%</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64%</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15%</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18%</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3%</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73%</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8"/>
              </w:rPr>
              <w:t>15%</w:t>
            </w:r>
          </w:p>
        </w:tc>
        <w:tc>
          <w:tcPr>
            <w:tcW w:w="1300" w:type="dxa"/>
            <w:vAlign w:val="bottom"/>
            <w:gridSpan w:val="2"/>
            <w:shd w:val="clear" w:color="auto" w:fill="F0FFFF"/>
          </w:tcPr>
          <w:p>
            <w:pPr>
              <w:jc w:val="center"/>
              <w:ind w:left="90"/>
              <w:spacing w:after="0"/>
              <w:rPr>
                <w:sz w:val="20"/>
                <w:szCs w:val="20"/>
                <w:color w:val="auto"/>
              </w:rPr>
            </w:pPr>
            <w:r>
              <w:rPr>
                <w:rFonts w:ascii="Arial" w:cs="Arial" w:eastAsia="Arial" w:hAnsi="Arial"/>
                <w:sz w:val="18"/>
                <w:szCs w:val="18"/>
                <w:color w:val="auto"/>
                <w:w w:val="88"/>
              </w:rPr>
              <w:t>12%</w:t>
            </w:r>
          </w:p>
        </w:tc>
        <w:tc>
          <w:tcPr>
            <w:tcW w:w="124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2"/>
              </w:rPr>
              <w:t>0%</w:t>
            </w:r>
          </w:p>
        </w:tc>
        <w:tc>
          <w:tcPr>
            <w:tcW w:w="1300" w:type="dxa"/>
            <w:vAlign w:val="bottom"/>
            <w:gridSpan w:val="2"/>
            <w:shd w:val="clear" w:color="auto" w:fill="F0FFFF"/>
          </w:tcPr>
          <w:p>
            <w:pPr>
              <w:jc w:val="center"/>
              <w:ind w:left="70"/>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Analysis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the Company obtained an updated analysis from Buck Consultants, LLC which contained a new peer group and updated the compensation analysis that had been previously performed. Buck Consultants, LLC assembled a peer group of 15 companies that it deemed comparable to the Company on the basis of size, market capitalization, industry, or financial performance. The peer group consisted of:</w:t>
      </w:r>
    </w:p>
    <w:p>
      <w:pPr>
        <w:sectPr>
          <w:pgSz w:w="11900" w:h="16838" w:orient="portrait"/>
          <w:cols w:equalWidth="0" w:num="1">
            <w:col w:w="11420"/>
          </w:cols>
          <w:pgMar w:left="240" w:top="908" w:right="239" w:bottom="0" w:gutter="0" w:footer="0" w:header="0"/>
        </w:sectPr>
      </w:pPr>
    </w:p>
    <w:bookmarkStart w:id="74" w:name="page75"/>
    <w:bookmarkEnd w:id="74"/>
    <w:p>
      <w:pPr>
        <w:jc w:val="center"/>
        <w:ind w:right="-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80" w:type="dxa"/>
            <w:vAlign w:val="bottom"/>
          </w:tcPr>
          <w:p>
            <w:pPr>
              <w:ind w:left="260"/>
              <w:spacing w:after="0"/>
              <w:rPr>
                <w:sz w:val="20"/>
                <w:szCs w:val="20"/>
                <w:color w:val="auto"/>
              </w:rPr>
            </w:pPr>
            <w:r>
              <w:rPr>
                <w:rFonts w:ascii="Arial" w:cs="Arial" w:eastAsia="Arial" w:hAnsi="Arial"/>
                <w:sz w:val="18"/>
                <w:szCs w:val="18"/>
                <w:color w:val="auto"/>
              </w:rPr>
              <w:t>Clearfield, Inc.</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80" w:type="dxa"/>
            <w:vAlign w:val="bottom"/>
          </w:tcPr>
          <w:p>
            <w:pPr>
              <w:ind w:left="260"/>
              <w:spacing w:after="0"/>
              <w:rPr>
                <w:sz w:val="20"/>
                <w:szCs w:val="20"/>
                <w:color w:val="auto"/>
              </w:rPr>
            </w:pPr>
            <w:r>
              <w:rPr>
                <w:rFonts w:ascii="Arial" w:cs="Arial" w:eastAsia="Arial" w:hAnsi="Arial"/>
                <w:sz w:val="18"/>
                <w:szCs w:val="18"/>
                <w:color w:val="auto"/>
              </w:rPr>
              <w:t>Netsol Technologies, Inc.</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40" w:type="dxa"/>
            <w:vAlign w:val="bottom"/>
          </w:tcPr>
          <w:p>
            <w:pPr>
              <w:ind w:left="260"/>
              <w:spacing w:after="0"/>
              <w:rPr>
                <w:sz w:val="20"/>
                <w:szCs w:val="20"/>
                <w:color w:val="auto"/>
              </w:rPr>
            </w:pPr>
            <w:r>
              <w:rPr>
                <w:rFonts w:ascii="Arial" w:cs="Arial" w:eastAsia="Arial" w:hAnsi="Arial"/>
                <w:sz w:val="18"/>
                <w:szCs w:val="18"/>
                <w:color w:val="auto"/>
              </w:rPr>
              <w:t>Procera Networks, Inc.</w:t>
            </w:r>
          </w:p>
        </w:tc>
      </w:tr>
      <w:tr>
        <w:trPr>
          <w:trHeight w:val="216"/>
        </w:trPr>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80" w:type="dxa"/>
            <w:vAlign w:val="bottom"/>
          </w:tcPr>
          <w:p>
            <w:pPr>
              <w:ind w:left="260"/>
              <w:spacing w:after="0"/>
              <w:rPr>
                <w:sz w:val="20"/>
                <w:szCs w:val="20"/>
                <w:color w:val="auto"/>
              </w:rPr>
            </w:pPr>
            <w:r>
              <w:rPr>
                <w:rFonts w:ascii="Arial" w:cs="Arial" w:eastAsia="Arial" w:hAnsi="Arial"/>
                <w:sz w:val="18"/>
                <w:szCs w:val="18"/>
                <w:color w:val="auto"/>
              </w:rPr>
              <w:t>Immersion Corp.</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80" w:type="dxa"/>
            <w:vAlign w:val="bottom"/>
          </w:tcPr>
          <w:p>
            <w:pPr>
              <w:ind w:left="260"/>
              <w:spacing w:after="0"/>
              <w:rPr>
                <w:sz w:val="20"/>
                <w:szCs w:val="20"/>
                <w:color w:val="auto"/>
              </w:rPr>
            </w:pPr>
            <w:r>
              <w:rPr>
                <w:rFonts w:ascii="Arial" w:cs="Arial" w:eastAsia="Arial" w:hAnsi="Arial"/>
                <w:sz w:val="18"/>
                <w:szCs w:val="18"/>
                <w:color w:val="auto"/>
              </w:rPr>
              <w:t>Local Corp.</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40" w:type="dxa"/>
            <w:vAlign w:val="bottom"/>
          </w:tcPr>
          <w:p>
            <w:pPr>
              <w:ind w:left="260"/>
              <w:spacing w:after="0"/>
              <w:rPr>
                <w:sz w:val="20"/>
                <w:szCs w:val="20"/>
                <w:color w:val="auto"/>
              </w:rPr>
            </w:pPr>
            <w:r>
              <w:rPr>
                <w:rFonts w:ascii="Arial" w:cs="Arial" w:eastAsia="Arial" w:hAnsi="Arial"/>
                <w:sz w:val="18"/>
                <w:szCs w:val="18"/>
                <w:color w:val="auto"/>
              </w:rPr>
              <w:t>Tangoe, Inc.</w:t>
            </w:r>
          </w:p>
        </w:tc>
      </w:tr>
      <w:tr>
        <w:trPr>
          <w:trHeight w:val="216"/>
        </w:trPr>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80" w:type="dxa"/>
            <w:vAlign w:val="bottom"/>
          </w:tcPr>
          <w:p>
            <w:pPr>
              <w:ind w:left="260"/>
              <w:spacing w:after="0"/>
              <w:rPr>
                <w:sz w:val="20"/>
                <w:szCs w:val="20"/>
                <w:color w:val="auto"/>
              </w:rPr>
            </w:pPr>
            <w:r>
              <w:rPr>
                <w:rFonts w:ascii="Arial" w:cs="Arial" w:eastAsia="Arial" w:hAnsi="Arial"/>
                <w:sz w:val="18"/>
                <w:szCs w:val="18"/>
                <w:color w:val="auto"/>
              </w:rPr>
              <w:t>Digimarc Corp.</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80" w:type="dxa"/>
            <w:vAlign w:val="bottom"/>
          </w:tcPr>
          <w:p>
            <w:pPr>
              <w:ind w:left="260"/>
              <w:spacing w:after="0"/>
              <w:rPr>
                <w:sz w:val="20"/>
                <w:szCs w:val="20"/>
                <w:color w:val="auto"/>
              </w:rPr>
            </w:pPr>
            <w:r>
              <w:rPr>
                <w:rFonts w:ascii="Arial" w:cs="Arial" w:eastAsia="Arial" w:hAnsi="Arial"/>
                <w:sz w:val="18"/>
                <w:szCs w:val="18"/>
                <w:color w:val="auto"/>
              </w:rPr>
              <w:t>Numerex Corp.</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40" w:type="dxa"/>
            <w:vAlign w:val="bottom"/>
          </w:tcPr>
          <w:p>
            <w:pPr>
              <w:ind w:left="260"/>
              <w:spacing w:after="0"/>
              <w:rPr>
                <w:sz w:val="20"/>
                <w:szCs w:val="20"/>
                <w:color w:val="auto"/>
              </w:rPr>
            </w:pPr>
            <w:r>
              <w:rPr>
                <w:rFonts w:ascii="Arial" w:cs="Arial" w:eastAsia="Arial" w:hAnsi="Arial"/>
                <w:sz w:val="18"/>
                <w:szCs w:val="18"/>
                <w:color w:val="auto"/>
                <w:w w:val="88"/>
              </w:rPr>
              <w:t>Transact Technologies, Inc.</w:t>
            </w:r>
          </w:p>
        </w:tc>
      </w:tr>
      <w:tr>
        <w:trPr>
          <w:trHeight w:val="216"/>
        </w:trPr>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80" w:type="dxa"/>
            <w:vAlign w:val="bottom"/>
          </w:tcPr>
          <w:p>
            <w:pPr>
              <w:ind w:left="260"/>
              <w:spacing w:after="0"/>
              <w:rPr>
                <w:sz w:val="20"/>
                <w:szCs w:val="20"/>
                <w:color w:val="auto"/>
              </w:rPr>
            </w:pPr>
            <w:r>
              <w:rPr>
                <w:rFonts w:ascii="Arial" w:cs="Arial" w:eastAsia="Arial" w:hAnsi="Arial"/>
                <w:sz w:val="18"/>
                <w:szCs w:val="18"/>
                <w:color w:val="auto"/>
              </w:rPr>
              <w:t>Jive Software, Inc.</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80" w:type="dxa"/>
            <w:vAlign w:val="bottom"/>
          </w:tcPr>
          <w:p>
            <w:pPr>
              <w:ind w:left="260"/>
              <w:spacing w:after="0"/>
              <w:rPr>
                <w:sz w:val="20"/>
                <w:szCs w:val="20"/>
                <w:color w:val="auto"/>
              </w:rPr>
            </w:pPr>
            <w:r>
              <w:rPr>
                <w:rFonts w:ascii="Arial" w:cs="Arial" w:eastAsia="Arial" w:hAnsi="Arial"/>
                <w:sz w:val="18"/>
                <w:szCs w:val="18"/>
                <w:color w:val="auto"/>
              </w:rPr>
              <w:t>Onvia, Inc.</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40" w:type="dxa"/>
            <w:vAlign w:val="bottom"/>
          </w:tcPr>
          <w:p>
            <w:pPr>
              <w:ind w:left="260"/>
              <w:spacing w:after="0"/>
              <w:rPr>
                <w:sz w:val="20"/>
                <w:szCs w:val="20"/>
                <w:color w:val="auto"/>
              </w:rPr>
            </w:pPr>
            <w:r>
              <w:rPr>
                <w:rFonts w:ascii="Arial" w:cs="Arial" w:eastAsia="Arial" w:hAnsi="Arial"/>
                <w:sz w:val="18"/>
                <w:szCs w:val="18"/>
                <w:color w:val="auto"/>
                <w:w w:val="93"/>
              </w:rPr>
              <w:t>Westell Technologies, Inc.</w:t>
            </w:r>
          </w:p>
        </w:tc>
      </w:tr>
      <w:tr>
        <w:trPr>
          <w:trHeight w:val="230"/>
        </w:trPr>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80" w:type="dxa"/>
            <w:vAlign w:val="bottom"/>
          </w:tcPr>
          <w:p>
            <w:pPr>
              <w:ind w:left="260"/>
              <w:spacing w:after="0"/>
              <w:rPr>
                <w:sz w:val="20"/>
                <w:szCs w:val="20"/>
                <w:color w:val="auto"/>
              </w:rPr>
            </w:pPr>
            <w:r>
              <w:rPr>
                <w:rFonts w:ascii="Arial" w:cs="Arial" w:eastAsia="Arial" w:hAnsi="Arial"/>
                <w:sz w:val="18"/>
                <w:szCs w:val="18"/>
                <w:color w:val="auto"/>
              </w:rPr>
              <w:t>LGL Group, Inc.</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80" w:type="dxa"/>
            <w:vAlign w:val="bottom"/>
          </w:tcPr>
          <w:p>
            <w:pPr>
              <w:ind w:left="260"/>
              <w:spacing w:after="0"/>
              <w:rPr>
                <w:sz w:val="20"/>
                <w:szCs w:val="20"/>
                <w:color w:val="auto"/>
              </w:rPr>
            </w:pPr>
            <w:r>
              <w:rPr>
                <w:rFonts w:ascii="Arial" w:cs="Arial" w:eastAsia="Arial" w:hAnsi="Arial"/>
                <w:sz w:val="18"/>
                <w:szCs w:val="18"/>
                <w:color w:val="auto"/>
              </w:rPr>
              <w:t>Planar Systems, Inc.</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40" w:type="dxa"/>
            <w:vAlign w:val="bottom"/>
          </w:tcPr>
          <w:p>
            <w:pPr>
              <w:ind w:left="260"/>
              <w:spacing w:after="0"/>
              <w:rPr>
                <w:sz w:val="20"/>
                <w:szCs w:val="20"/>
                <w:color w:val="auto"/>
              </w:rPr>
            </w:pPr>
            <w:r>
              <w:rPr>
                <w:rFonts w:ascii="Arial" w:cs="Arial" w:eastAsia="Arial" w:hAnsi="Arial"/>
                <w:sz w:val="18"/>
                <w:szCs w:val="18"/>
                <w:color w:val="auto"/>
              </w:rPr>
              <w:t>Planet Payment, Inc.</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making compensation decisions, the Committee reviews the aggregate target compensation paid to an executive officer relative to the compensation paid to similarly situated executives, to the extent available, at our peer companies. For fiscal year 2015, the Committee recommended a compensation program for our executive officers consisting of target level compensation approximately equal to the 50th percentile for similarly situated officers at the peer group companies compiled by Buck Consultants.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various elements of our compensation program for our named executive officers during the 2015 fiscal year. The components of compensation reflected in our named executive officers’ compensation program are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Element</w:t>
            </w:r>
          </w:p>
        </w:tc>
        <w:tc>
          <w:tcPr>
            <w:tcW w:w="3200" w:type="dxa"/>
            <w:vAlign w:val="bottom"/>
          </w:tcPr>
          <w:p>
            <w:pPr>
              <w:spacing w:after="0"/>
              <w:rPr>
                <w:sz w:val="20"/>
                <w:szCs w:val="20"/>
                <w:color w:val="auto"/>
              </w:rPr>
            </w:pPr>
            <w:r>
              <w:rPr>
                <w:rFonts w:ascii="Arial" w:cs="Arial" w:eastAsia="Arial" w:hAnsi="Arial"/>
                <w:sz w:val="18"/>
                <w:szCs w:val="18"/>
                <w:b w:val="1"/>
                <w:bCs w:val="1"/>
                <w:color w:val="auto"/>
              </w:rPr>
              <w:t>Key Characteristics</w:t>
            </w:r>
          </w:p>
        </w:tc>
        <w:tc>
          <w:tcPr>
            <w:tcW w:w="3520" w:type="dxa"/>
            <w:vAlign w:val="bottom"/>
            <w:gridSpan w:val="3"/>
          </w:tcPr>
          <w:p>
            <w:pPr>
              <w:ind w:left="220"/>
              <w:spacing w:after="0"/>
              <w:rPr>
                <w:sz w:val="20"/>
                <w:szCs w:val="20"/>
                <w:color w:val="auto"/>
              </w:rPr>
            </w:pPr>
            <w:r>
              <w:rPr>
                <w:rFonts w:ascii="Arial" w:cs="Arial" w:eastAsia="Arial" w:hAnsi="Arial"/>
                <w:sz w:val="18"/>
                <w:szCs w:val="18"/>
                <w:b w:val="1"/>
                <w:bCs w:val="1"/>
                <w:color w:val="auto"/>
              </w:rPr>
              <w:t>Why We Pay this Element</w:t>
            </w:r>
          </w:p>
        </w:tc>
        <w:tc>
          <w:tcPr>
            <w:tcW w:w="3420" w:type="dxa"/>
            <w:vAlign w:val="bottom"/>
          </w:tcPr>
          <w:p>
            <w:pPr>
              <w:spacing w:after="0"/>
              <w:rPr>
                <w:sz w:val="20"/>
                <w:szCs w:val="20"/>
                <w:color w:val="auto"/>
              </w:rPr>
            </w:pPr>
            <w:r>
              <w:rPr>
                <w:rFonts w:ascii="Arial" w:cs="Arial" w:eastAsia="Arial" w:hAnsi="Arial"/>
                <w:sz w:val="18"/>
                <w:szCs w:val="18"/>
                <w:b w:val="1"/>
                <w:bCs w:val="1"/>
                <w:color w:val="auto"/>
              </w:rPr>
              <w:t>How We Determine the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6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32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Fixed compensation component payable in</w:t>
            </w:r>
          </w:p>
        </w:tc>
        <w:tc>
          <w:tcPr>
            <w:tcW w:w="3520" w:type="dxa"/>
            <w:vAlign w:val="bottom"/>
            <w:gridSpan w:val="3"/>
            <w:shd w:val="clear" w:color="auto" w:fill="F0FFFF"/>
          </w:tcPr>
          <w:p>
            <w:pPr>
              <w:ind w:left="220"/>
              <w:spacing w:after="0" w:line="201" w:lineRule="exact"/>
              <w:rPr>
                <w:sz w:val="20"/>
                <w:szCs w:val="20"/>
                <w:color w:val="auto"/>
              </w:rPr>
            </w:pPr>
            <w:r>
              <w:rPr>
                <w:rFonts w:ascii="Arial" w:cs="Arial" w:eastAsia="Arial" w:hAnsi="Arial"/>
                <w:sz w:val="18"/>
                <w:szCs w:val="18"/>
                <w:color w:val="auto"/>
              </w:rPr>
              <w:t>Provide a base level of competitive cash</w:t>
            </w:r>
          </w:p>
        </w:tc>
        <w:tc>
          <w:tcPr>
            <w:tcW w:w="34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Experience, job scope, peer group,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w w:val="89"/>
              </w:rPr>
              <w:t>cash. Reviewed annually and adjusted when</w:t>
            </w:r>
          </w:p>
        </w:tc>
        <w:tc>
          <w:tcPr>
            <w:tcW w:w="3520" w:type="dxa"/>
            <w:vAlign w:val="bottom"/>
            <w:gridSpan w:val="3"/>
            <w:shd w:val="clear" w:color="auto" w:fill="F0FFFF"/>
          </w:tcPr>
          <w:p>
            <w:pPr>
              <w:ind w:left="220"/>
              <w:spacing w:after="0"/>
              <w:rPr>
                <w:sz w:val="20"/>
                <w:szCs w:val="20"/>
                <w:color w:val="auto"/>
              </w:rPr>
            </w:pPr>
            <w:r>
              <w:rPr>
                <w:rFonts w:ascii="Arial" w:cs="Arial" w:eastAsia="Arial" w:hAnsi="Arial"/>
                <w:sz w:val="18"/>
                <w:szCs w:val="18"/>
                <w:color w:val="auto"/>
              </w:rPr>
              <w:t>compensation for executive talent.</w:t>
            </w: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appropriate.</w:t>
            </w:r>
          </w:p>
        </w:tc>
        <w:tc>
          <w:tcPr>
            <w:tcW w:w="220" w:type="dxa"/>
            <w:vAlign w:val="bottom"/>
            <w:shd w:val="clear" w:color="auto" w:fill="F0FFFF"/>
          </w:tcPr>
          <w:p>
            <w:pPr>
              <w:spacing w:after="0"/>
              <w:rPr>
                <w:sz w:val="20"/>
                <w:szCs w:val="20"/>
                <w:color w:val="auto"/>
              </w:rPr>
            </w:pPr>
          </w:p>
        </w:tc>
        <w:tc>
          <w:tcPr>
            <w:tcW w:w="30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34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6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b w:val="1"/>
                <w:bCs w:val="1"/>
                <w:color w:val="auto"/>
              </w:rPr>
              <w:t>Annual Bonus</w:t>
            </w:r>
          </w:p>
        </w:tc>
        <w:tc>
          <w:tcPr>
            <w:tcW w:w="32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Variable compensation component payable</w:t>
            </w:r>
          </w:p>
        </w:tc>
        <w:tc>
          <w:tcPr>
            <w:tcW w:w="3520" w:type="dxa"/>
            <w:vAlign w:val="bottom"/>
            <w:gridSpan w:val="3"/>
            <w:shd w:val="clear" w:color="auto" w:fill="F0FFFF"/>
          </w:tcPr>
          <w:p>
            <w:pPr>
              <w:ind w:left="220"/>
              <w:spacing w:after="0" w:line="201" w:lineRule="exact"/>
              <w:rPr>
                <w:sz w:val="20"/>
                <w:szCs w:val="20"/>
                <w:color w:val="auto"/>
              </w:rPr>
            </w:pPr>
            <w:r>
              <w:rPr>
                <w:rFonts w:ascii="Arial" w:cs="Arial" w:eastAsia="Arial" w:hAnsi="Arial"/>
                <w:sz w:val="18"/>
                <w:szCs w:val="18"/>
                <w:color w:val="auto"/>
              </w:rPr>
              <w:t>Motivate and reward executives for</w:t>
            </w:r>
          </w:p>
        </w:tc>
        <w:tc>
          <w:tcPr>
            <w:tcW w:w="34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Organizational and individual performance,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w w:val="95"/>
              </w:rPr>
              <w:t>in cash or stock based on performance as</w:t>
            </w:r>
          </w:p>
        </w:tc>
        <w:tc>
          <w:tcPr>
            <w:tcW w:w="3520" w:type="dxa"/>
            <w:vAlign w:val="bottom"/>
            <w:gridSpan w:val="3"/>
            <w:shd w:val="clear" w:color="auto" w:fill="F0FFFF"/>
          </w:tcPr>
          <w:p>
            <w:pPr>
              <w:ind w:left="220"/>
              <w:spacing w:after="0"/>
              <w:rPr>
                <w:sz w:val="20"/>
                <w:szCs w:val="20"/>
                <w:color w:val="auto"/>
              </w:rPr>
            </w:pPr>
            <w:r>
              <w:rPr>
                <w:rFonts w:ascii="Arial" w:cs="Arial" w:eastAsia="Arial" w:hAnsi="Arial"/>
                <w:sz w:val="18"/>
                <w:szCs w:val="18"/>
                <w:color w:val="auto"/>
                <w:w w:val="99"/>
              </w:rPr>
              <w:t>performance on key operational, financial</w:t>
            </w: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with actual payouts based on the extent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w w:val="91"/>
              </w:rPr>
              <w:t>compared to annually-established company</w:t>
            </w:r>
          </w:p>
        </w:tc>
        <w:tc>
          <w:tcPr>
            <w:tcW w:w="3520" w:type="dxa"/>
            <w:vAlign w:val="bottom"/>
            <w:gridSpan w:val="3"/>
            <w:shd w:val="clear" w:color="auto" w:fill="F0FFFF"/>
          </w:tcPr>
          <w:p>
            <w:pPr>
              <w:ind w:left="220"/>
              <w:spacing w:after="0"/>
              <w:rPr>
                <w:sz w:val="20"/>
                <w:szCs w:val="20"/>
                <w:color w:val="auto"/>
              </w:rPr>
            </w:pPr>
            <w:r>
              <w:rPr>
                <w:rFonts w:ascii="Arial" w:cs="Arial" w:eastAsia="Arial" w:hAnsi="Arial"/>
                <w:sz w:val="18"/>
                <w:szCs w:val="18"/>
                <w:color w:val="auto"/>
              </w:rPr>
              <w:t>and personal measures during the year.</w:t>
            </w: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which performance goals are satisfied.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and/or individual performance goals.</w:t>
            </w:r>
          </w:p>
        </w:tc>
        <w:tc>
          <w:tcPr>
            <w:tcW w:w="220" w:type="dxa"/>
            <w:vAlign w:val="bottom"/>
            <w:shd w:val="clear" w:color="auto" w:fill="F0FFFF"/>
          </w:tcPr>
          <w:p>
            <w:pPr>
              <w:spacing w:after="0"/>
              <w:rPr>
                <w:sz w:val="20"/>
                <w:szCs w:val="20"/>
                <w:color w:val="auto"/>
              </w:rPr>
            </w:pPr>
          </w:p>
        </w:tc>
        <w:tc>
          <w:tcPr>
            <w:tcW w:w="30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34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60" w:type="dxa"/>
            <w:vAlign w:val="bottom"/>
            <w:gridSpan w:val="2"/>
            <w:shd w:val="clear" w:color="auto" w:fill="F0FFFF"/>
          </w:tcPr>
          <w:p>
            <w:pPr>
              <w:spacing w:after="0" w:line="198" w:lineRule="exact"/>
              <w:rPr>
                <w:sz w:val="20"/>
                <w:szCs w:val="20"/>
                <w:color w:val="auto"/>
              </w:rPr>
            </w:pPr>
            <w:r>
              <w:rPr>
                <w:rFonts w:ascii="Arial" w:cs="Arial" w:eastAsia="Arial" w:hAnsi="Arial"/>
                <w:sz w:val="18"/>
                <w:szCs w:val="18"/>
                <w:b w:val="1"/>
                <w:bCs w:val="1"/>
                <w:color w:val="auto"/>
              </w:rPr>
              <w:t>Long Term</w:t>
            </w:r>
          </w:p>
        </w:tc>
        <w:tc>
          <w:tcPr>
            <w:tcW w:w="320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w w:val="92"/>
              </w:rPr>
              <w:t>Variable compensation component payable</w:t>
            </w:r>
          </w:p>
        </w:tc>
        <w:tc>
          <w:tcPr>
            <w:tcW w:w="3520" w:type="dxa"/>
            <w:vAlign w:val="bottom"/>
            <w:gridSpan w:val="3"/>
            <w:shd w:val="clear" w:color="auto" w:fill="F0FFFF"/>
          </w:tcPr>
          <w:p>
            <w:pPr>
              <w:ind w:left="220"/>
              <w:spacing w:after="0" w:line="198" w:lineRule="exact"/>
              <w:rPr>
                <w:sz w:val="20"/>
                <w:szCs w:val="20"/>
                <w:color w:val="auto"/>
              </w:rPr>
            </w:pPr>
            <w:r>
              <w:rPr>
                <w:rFonts w:ascii="Arial" w:cs="Arial" w:eastAsia="Arial" w:hAnsi="Arial"/>
                <w:sz w:val="18"/>
                <w:szCs w:val="18"/>
                <w:color w:val="auto"/>
              </w:rPr>
              <w:t>Alignment  of  long  term  interests  of</w:t>
            </w:r>
          </w:p>
        </w:tc>
        <w:tc>
          <w:tcPr>
            <w:tcW w:w="342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w w:val="99"/>
              </w:rPr>
              <w:t>Organizational and individual performance,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Incentives</w:t>
            </w:r>
          </w:p>
        </w:tc>
        <w:tc>
          <w:tcPr>
            <w:tcW w:w="3200" w:type="dxa"/>
            <w:vAlign w:val="bottom"/>
            <w:shd w:val="clear" w:color="auto" w:fill="F0FFFF"/>
          </w:tcPr>
          <w:p>
            <w:pPr>
              <w:spacing w:after="0"/>
              <w:rPr>
                <w:sz w:val="20"/>
                <w:szCs w:val="20"/>
                <w:color w:val="auto"/>
              </w:rPr>
            </w:pPr>
            <w:r>
              <w:rPr>
                <w:rFonts w:ascii="Arial" w:cs="Arial" w:eastAsia="Arial" w:hAnsi="Arial"/>
                <w:sz w:val="18"/>
                <w:szCs w:val="18"/>
                <w:color w:val="auto"/>
              </w:rPr>
              <w:t>in restricted stock or stock options.</w:t>
            </w:r>
          </w:p>
        </w:tc>
        <w:tc>
          <w:tcPr>
            <w:tcW w:w="3520" w:type="dxa"/>
            <w:vAlign w:val="bottom"/>
            <w:gridSpan w:val="3"/>
            <w:shd w:val="clear" w:color="auto" w:fill="F0FFFF"/>
          </w:tcPr>
          <w:p>
            <w:pPr>
              <w:ind w:left="220"/>
              <w:spacing w:after="0"/>
              <w:rPr>
                <w:sz w:val="20"/>
                <w:szCs w:val="20"/>
                <w:color w:val="auto"/>
              </w:rPr>
            </w:pPr>
            <w:r>
              <w:rPr>
                <w:rFonts w:ascii="Arial" w:cs="Arial" w:eastAsia="Arial" w:hAnsi="Arial"/>
                <w:sz w:val="18"/>
                <w:szCs w:val="18"/>
                <w:color w:val="auto"/>
              </w:rPr>
              <w:t>management and shareholders.</w:t>
            </w: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with actual awards based on the extent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200" w:type="dxa"/>
            <w:vAlign w:val="bottom"/>
            <w:shd w:val="clear" w:color="auto" w:fill="F0FFFF"/>
          </w:tcPr>
          <w:p>
            <w:pPr>
              <w:spacing w:after="0"/>
              <w:rPr>
                <w:sz w:val="20"/>
                <w:szCs w:val="20"/>
                <w:color w:val="auto"/>
              </w:rPr>
            </w:pPr>
          </w:p>
        </w:tc>
        <w:tc>
          <w:tcPr>
            <w:tcW w:w="3520" w:type="dxa"/>
            <w:vAlign w:val="bottom"/>
            <w:gridSpan w:val="3"/>
            <w:shd w:val="clear" w:color="auto" w:fill="F0FFFF"/>
          </w:tcPr>
          <w:p>
            <w:pPr>
              <w:ind w:left="220"/>
              <w:spacing w:after="0"/>
              <w:rPr>
                <w:sz w:val="20"/>
                <w:szCs w:val="20"/>
                <w:color w:val="auto"/>
              </w:rPr>
            </w:pPr>
            <w:r>
              <w:rPr>
                <w:rFonts w:ascii="Arial" w:cs="Arial" w:eastAsia="Arial" w:hAnsi="Arial"/>
                <w:sz w:val="18"/>
                <w:szCs w:val="18"/>
                <w:color w:val="auto"/>
              </w:rPr>
              <w:t>Retention of executive talent.</w:t>
            </w: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which goals are satisfied.</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9" w:right="239" w:bottom="208" w:gutter="0" w:footer="0" w:header="0"/>
        </w:sectPr>
      </w:pPr>
    </w:p>
    <w:p>
      <w:pPr>
        <w:spacing w:after="0"/>
        <w:tabs>
          <w:tab w:leader="none" w:pos="1260" w:val="left"/>
        </w:tabs>
        <w:rPr>
          <w:sz w:val="20"/>
          <w:szCs w:val="20"/>
          <w:color w:val="auto"/>
        </w:rPr>
      </w:pPr>
      <w:r>
        <w:rPr>
          <w:rFonts w:ascii="Arial" w:cs="Arial" w:eastAsia="Arial" w:hAnsi="Arial"/>
          <w:sz w:val="16"/>
          <w:szCs w:val="16"/>
          <w:b w:val="1"/>
          <w:bCs w:val="1"/>
          <w:color w:val="auto"/>
        </w:rPr>
        <w:t>Perquisites</w:t>
      </w:r>
      <w:r>
        <w:rPr>
          <w:sz w:val="20"/>
          <w:szCs w:val="20"/>
          <w:color w:val="auto"/>
        </w:rPr>
        <w:tab/>
      </w:r>
      <w:r>
        <w:rPr>
          <w:rFonts w:ascii="Arial" w:cs="Arial" w:eastAsia="Arial" w:hAnsi="Arial"/>
          <w:sz w:val="16"/>
          <w:szCs w:val="16"/>
          <w:color w:val="auto"/>
        </w:rPr>
        <w:t>Fixed compensation component to provide</w:t>
      </w:r>
    </w:p>
    <w:p>
      <w:pPr>
        <w:spacing w:after="0" w:line="5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and Other</w:t>
      </w:r>
      <w:r>
        <w:rPr>
          <w:sz w:val="20"/>
          <w:szCs w:val="20"/>
          <w:color w:val="auto"/>
        </w:rPr>
        <w:tab/>
      </w:r>
      <w:r>
        <w:rPr>
          <w:rFonts w:ascii="Arial" w:cs="Arial" w:eastAsia="Arial" w:hAnsi="Arial"/>
          <w:sz w:val="16"/>
          <w:szCs w:val="16"/>
          <w:color w:val="auto"/>
        </w:rPr>
        <w:t>basic competitive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br w:type="column"/>
      </w:r>
    </w:p>
    <w:p>
      <w:pPr>
        <w:jc w:val="both"/>
        <w:ind w:right="40"/>
        <w:spacing w:after="0" w:line="342" w:lineRule="auto"/>
        <w:rPr>
          <w:sz w:val="20"/>
          <w:szCs w:val="20"/>
          <w:color w:val="auto"/>
        </w:rPr>
      </w:pPr>
      <w:r>
        <w:rPr>
          <w:rFonts w:ascii="Arial" w:cs="Arial" w:eastAsia="Arial" w:hAnsi="Arial"/>
          <w:sz w:val="16"/>
          <w:szCs w:val="16"/>
          <w:color w:val="auto"/>
        </w:rPr>
        <w:t>Provide a base level of competitive compensation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-323215</wp:posOffset>
            </wp:positionV>
            <wp:extent cx="7246620" cy="548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Periodic review of benefits provided generally to all employees.</w:t>
      </w:r>
    </w:p>
    <w:p>
      <w:pPr>
        <w:spacing w:after="0" w:line="591" w:lineRule="exact"/>
        <w:rPr>
          <w:sz w:val="20"/>
          <w:szCs w:val="20"/>
          <w:color w:val="auto"/>
        </w:rPr>
      </w:pPr>
    </w:p>
    <w:p>
      <w:pPr>
        <w:sectPr>
          <w:pgSz w:w="11900" w:h="16838" w:orient="portrait"/>
          <w:cols w:equalWidth="0" w:num="3">
            <w:col w:w="4360" w:space="340"/>
            <w:col w:w="2580" w:space="720"/>
            <w:col w:w="3420"/>
          </w:cols>
          <w:pgMar w:left="240" w:top="909" w:right="239" w:bottom="20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 salary is the fixed component of our named executive officers’ annual cash compensation and is set with the goal of attracting talented executives and adequately compensating and rewarding them for services rendered during the fiscal year. The Compensation Committee reviews our executive officers’ base salary on an annual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 salaries of each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and its knowledge of base salaries paid to executive officers of our peer group. The base salaries of each of Ms. Duska and Mr. Lawlor were established by our Chief Executive Officer after discussions with each employee.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base salaries were increased during the 2015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Bonus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Performance-based annual bonuses are based on each named executive officer’s achievement of performance goals. Annual bonuses are intended to provide officers with an opportunity to receive additional cash compensation based on their individual performance and Company results, including the achievement of pre-determined Company and/or individual performance goals. Performance-based bonuses are included in the compensation package because they incentivize our named executive officers, in any particular year, to pursue particular objectives that are consistent with the overall goals and strategic direction that the Board has set for the Company for that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that the annual performance-based bonus reinforces the pay-for-performance nature of our compensation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Short-Term Incentive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recommendation of the Compensation Committee, the Board of Directors adopted the 2015 STI Plan covering Messrs. Herbert and DeMedio. Pursuant to the 2015 STI Plan, each executive officer would earn a cash bonus in the event that the Company achieved during the 2015 fiscal year certain annual financial goals (80% weighting) and certain annual specific performance goals relating to the executive officer which were established by the Compensation Committee (20% weighting). The annual financial goals are total revenues (30% weighting), cash generated from operations (30% weighting), and non-GAAP net income (40% weighting).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208" w:gutter="0" w:footer="0" w:header="0"/>
          <w:type w:val="continuous"/>
        </w:sectPr>
      </w:pPr>
    </w:p>
    <w:bookmarkStart w:id="76" w:name="page77"/>
    <w:bookmarkEnd w:id="76"/>
    <w:p>
      <w:pPr>
        <w:jc w:val="both"/>
        <w:ind w:right="20"/>
        <w:spacing w:after="0" w:line="259" w:lineRule="auto"/>
        <w:rPr>
          <w:sz w:val="20"/>
          <w:szCs w:val="20"/>
          <w:color w:val="auto"/>
        </w:rPr>
      </w:pPr>
      <w:r>
        <w:rPr>
          <w:rFonts w:ascii="Arial" w:cs="Arial" w:eastAsia="Arial" w:hAnsi="Arial"/>
          <w:sz w:val="18"/>
          <w:szCs w:val="18"/>
          <w:color w:val="auto"/>
        </w:rPr>
        <w:t>The individual performance goals established by the Committee for Mr. Herbert included developing a long-term financial model, implementing a management reorganization plan to support growth of the Company, and continuing to evolve enterprise risk management. The individual performance goals established by the Committee for Mr. DeMedio included developing a long-term financial model, securing QuickStart funding sources to support the growth of the Company, and continuing to evolve enterprise risk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Committee set the cash bonus opportunity for each executive officer as a percentage of his respective annual base salary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Named Executive Officer</w:t>
            </w:r>
          </w:p>
        </w:tc>
        <w:tc>
          <w:tcPr>
            <w:tcW w:w="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Threshold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4"/>
              </w:rPr>
              <w:t>Target</w:t>
            </w:r>
          </w:p>
        </w:tc>
        <w:tc>
          <w:tcPr>
            <w:tcW w:w="1300" w:type="dxa"/>
            <w:vAlign w:val="bottom"/>
            <w:gridSpan w:val="5"/>
          </w:tcPr>
          <w:p>
            <w:pPr>
              <w:ind w:left="40"/>
              <w:spacing w:after="0"/>
              <w:rPr>
                <w:sz w:val="20"/>
                <w:szCs w:val="20"/>
                <w:color w:val="auto"/>
              </w:rPr>
            </w:pPr>
            <w:r>
              <w:rPr>
                <w:rFonts w:ascii="Arial" w:cs="Arial" w:eastAsia="Arial" w:hAnsi="Arial"/>
                <w:sz w:val="18"/>
                <w:szCs w:val="18"/>
                <w:b w:val="1"/>
                <w:bCs w:val="1"/>
                <w:color w:val="auto"/>
              </w:rPr>
              <w:t>Distinguished</w:t>
            </w:r>
          </w:p>
        </w:tc>
        <w:tc>
          <w:tcPr>
            <w:tcW w:w="0" w:type="dxa"/>
            <w:vAlign w:val="bottom"/>
          </w:tcPr>
          <w:p>
            <w:pPr>
              <w:spacing w:after="0"/>
              <w:rPr>
                <w:sz w:val="1"/>
                <w:szCs w:val="1"/>
                <w:color w:val="auto"/>
              </w:rPr>
            </w:pPr>
          </w:p>
        </w:tc>
      </w:tr>
      <w:tr>
        <w:trPr>
          <w:trHeight w:val="241"/>
        </w:trPr>
        <w:tc>
          <w:tcPr>
            <w:tcW w:w="6880" w:type="dxa"/>
            <w:vAlign w:val="bottom"/>
            <w:gridSpan w:val="2"/>
            <w:vMerge w:val="continue"/>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Performance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Performance</w:t>
            </w:r>
          </w:p>
        </w:tc>
        <w:tc>
          <w:tcPr>
            <w:tcW w:w="1300" w:type="dxa"/>
            <w:vAlign w:val="bottom"/>
            <w:gridSpan w:val="5"/>
          </w:tcPr>
          <w:p>
            <w:pPr>
              <w:ind w:left="60"/>
              <w:spacing w:after="0"/>
              <w:rPr>
                <w:sz w:val="20"/>
                <w:szCs w:val="20"/>
                <w:color w:val="auto"/>
              </w:rPr>
            </w:pPr>
            <w:r>
              <w:rPr>
                <w:rFonts w:ascii="Arial" w:cs="Arial" w:eastAsia="Arial" w:hAnsi="Arial"/>
                <w:sz w:val="18"/>
                <w:szCs w:val="18"/>
                <w:b w:val="1"/>
                <w:bCs w:val="1"/>
                <w:color w:val="auto"/>
              </w:rPr>
              <w:t>Performance</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8460" w:type="dxa"/>
            <w:vAlign w:val="bottom"/>
            <w:gridSpan w:val="9"/>
          </w:tcPr>
          <w:p>
            <w:pPr>
              <w:jc w:val="right"/>
              <w:ind w:right="30"/>
              <w:spacing w:after="0"/>
              <w:rPr>
                <w:sz w:val="20"/>
                <w:szCs w:val="20"/>
                <w:color w:val="auto"/>
              </w:rPr>
            </w:pPr>
            <w:r>
              <w:rPr>
                <w:rFonts w:ascii="Arial" w:cs="Arial" w:eastAsia="Arial" w:hAnsi="Arial"/>
                <w:sz w:val="18"/>
                <w:szCs w:val="18"/>
                <w:color w:val="auto"/>
                <w:w w:val="90"/>
              </w:rPr>
              <w:t>Below were the threshold, target and distinguished cash bonus award target opportunities for our executive officers: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Named Executive Officer</w:t>
            </w:r>
          </w:p>
        </w:tc>
        <w:tc>
          <w:tcPr>
            <w:tcW w:w="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Threshold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Target</w:t>
            </w:r>
          </w:p>
        </w:tc>
        <w:tc>
          <w:tcPr>
            <w:tcW w:w="80" w:type="dxa"/>
            <w:vAlign w:val="bottom"/>
          </w:tcPr>
          <w:p>
            <w:pPr>
              <w:spacing w:after="0"/>
              <w:rPr>
                <w:sz w:val="24"/>
                <w:szCs w:val="24"/>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9"/>
              </w:rPr>
              <w:t>Distinguished</w:t>
            </w:r>
          </w:p>
        </w:tc>
        <w:tc>
          <w:tcPr>
            <w:tcW w:w="0" w:type="dxa"/>
            <w:vAlign w:val="bottom"/>
          </w:tcPr>
          <w:p>
            <w:pPr>
              <w:spacing w:after="0"/>
              <w:rPr>
                <w:sz w:val="1"/>
                <w:szCs w:val="1"/>
                <w:color w:val="auto"/>
              </w:rPr>
            </w:pPr>
          </w:p>
        </w:tc>
      </w:tr>
      <w:tr>
        <w:trPr>
          <w:trHeight w:val="241"/>
        </w:trPr>
        <w:tc>
          <w:tcPr>
            <w:tcW w:w="6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w w:val="89"/>
              </w:rPr>
              <w:t>Performance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4"/>
              </w:rPr>
              <w:t>Performance</w:t>
            </w:r>
          </w:p>
        </w:tc>
        <w:tc>
          <w:tcPr>
            <w:tcW w:w="80" w:type="dxa"/>
            <w:vAlign w:val="bottom"/>
          </w:tcPr>
          <w:p>
            <w:pPr>
              <w:spacing w:after="0"/>
              <w:rPr>
                <w:sz w:val="20"/>
                <w:szCs w:val="20"/>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4"/>
              </w:rPr>
              <w:t>Performance</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12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136,491</w:t>
            </w:r>
          </w:p>
        </w:tc>
        <w:tc>
          <w:tcPr>
            <w:tcW w:w="120" w:type="dxa"/>
            <w:vAlign w:val="bottom"/>
            <w:shd w:val="clear" w:color="auto" w:fill="F0FFFF"/>
          </w:tcPr>
          <w:p>
            <w:pPr>
              <w:spacing w:after="0"/>
              <w:rPr>
                <w:sz w:val="18"/>
                <w:szCs w:val="18"/>
                <w:color w:val="auto"/>
              </w:rPr>
            </w:pPr>
          </w:p>
        </w:tc>
        <w:tc>
          <w:tcPr>
            <w:tcW w:w="38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272,982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12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59,469</w:t>
            </w:r>
          </w:p>
        </w:tc>
        <w:tc>
          <w:tcPr>
            <w:tcW w:w="120" w:type="dxa"/>
            <w:vAlign w:val="bottom"/>
            <w:shd w:val="clear" w:color="auto" w:fill="F0FFFF"/>
          </w:tcPr>
          <w:p>
            <w:pPr>
              <w:spacing w:after="0"/>
              <w:rPr>
                <w:sz w:val="18"/>
                <w:szCs w:val="18"/>
                <w:color w:val="auto"/>
              </w:rPr>
            </w:pPr>
          </w:p>
        </w:tc>
        <w:tc>
          <w:tcPr>
            <w:tcW w:w="38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118,938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Herbert earned a cash bonus of $101,732, representing 29.8% of his base salary, and Mr. DeMedio earned a cash bonus of $31,242 representing 13.1% of his base salary, under the 2015 STI Plan. The Committee determined that Mr. Herbert had achieved the individual maximum distinguished performance goals established by the Committee (200%) and Mr. DeMedio had achieved 90% of the individual target performance goals established by the Committee. Based on the actual performance of the Company during the 2015 fiscal year, the minimum threshold performance targets established under the 2015 STI Plan were not met for operating cash and non-GAAP net income. Revenues for the fiscal year were in excess of the target goal but less than the maximum distinguished target goal.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cash bonuses were paid to the executive officers in September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 Cash Bonus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fiscal year ended June 30, 2015, the cash bonuses earned by Mr. Lawlor and Ms. Duska were based upon the attainment of financial target goals by the Company relating to connections (35% weighting), revenues (15% weighting), non-GAAP net income (25% weighting), and adjusted EBITDA (25% weighting). Based on the actual performance of the Company during the 2015 fiscal year, the minimum threshold performance targets were not met for non-GAAP net income and adjusted EBITDA. Connections for the fiscal year were in excess of the minimum threshold target goal but less than the target goal and revenues were in excess of the target goal but less than the maximum distinguished target goal. The cash bonuses were paid to the officers in September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Duska Stock Bonus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July 2014, and subsequent to the end of the 2014 fiscal year, Ms. Duska was awarded 24,155 vested shares of common stock as a one-time bonus in recognition of her performance during the 2014 fiscal year. Although the Compensation Committee considered this bonus to be part of Ms. Duska's fiscal year 2014 compensation and is not considered to be part of her compensation for the 2015 fiscal year under this Compensation Discussion and Analysis, this stock award is reflected as required by applicable disclosure regulations in the fiscal year 2015 compensation tables set forth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the Committee believes that a substantial portion of each executive officer’s compensation should be in the form of long-term incentive compensation in order to further align the interests of our executive officers and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Long-Term Incentive Performance Share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recommendation of the Compensation Committee, the Board of Directors adopted the 2015 LTI Stock Plan covering Messrs. Herbert and DeMedio. Under the 2015 LTI Stock Plan, each executive officer would be awarded shares of common stock in the event that certain metrics relating to the Company’s 2015 fiscal year would result in specified ranges of year-over-year percentage growth. The metrics are total number of connections as of June 30, 2015 as compared to total number of connections as of June 30, 2014 (50% weighting), and adjusted EBITDA earned during the 2015 fiscal year as compared to adjusted EBITDA earned during the 2014 fiscal year (50% weighting). The shares awarded under the 2015 LTI Stock Plan would vest as follows: one-third on the date of issuance; one-third on the first anniversary of the date of issuance; and one-third on the second anniversary of the date of issuance.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time of the establishment of the 2015 LTI Stock Plan, the Compensation Committee believed that the attainment of the target goals under the 2015 LTI Stock Plan would represent a significant achievement for management, and were designed to stretch the Company’s and management’s performance during the fiscal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established target long-term award levels for each executive officer as a percentage of his respective annual base salary as indicated in the table set forth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Named Executive Officer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Threshold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Target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Distinguished</w:t>
            </w:r>
          </w:p>
        </w:tc>
        <w:tc>
          <w:tcPr>
            <w:tcW w:w="0" w:type="dxa"/>
            <w:vAlign w:val="bottom"/>
          </w:tcPr>
          <w:p>
            <w:pPr>
              <w:spacing w:after="0"/>
              <w:rPr>
                <w:sz w:val="1"/>
                <w:szCs w:val="1"/>
                <w:color w:val="auto"/>
              </w:rPr>
            </w:pPr>
          </w:p>
        </w:tc>
      </w:tr>
      <w:tr>
        <w:trPr>
          <w:trHeight w:val="241"/>
        </w:trPr>
        <w:tc>
          <w:tcPr>
            <w:tcW w:w="6300" w:type="dxa"/>
            <w:vAlign w:val="bottom"/>
            <w:vMerge w:val="continue"/>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4700" w:type="dxa"/>
            <w:vAlign w:val="bottom"/>
            <w:shd w:val="clear" w:color="auto" w:fill="F0FFFF"/>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0FFFF"/>
          </w:tcPr>
          <w:p>
            <w:pPr>
              <w:jc w:val="right"/>
              <w:ind w:right="39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4700" w:type="dxa"/>
            <w:vAlign w:val="bottom"/>
            <w:shd w:val="clear" w:color="auto" w:fill="F0FFFF"/>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F0FFFF"/>
          </w:tcPr>
          <w:p>
            <w:pPr>
              <w:jc w:val="right"/>
              <w:ind w:right="390"/>
              <w:spacing w:after="0"/>
              <w:rPr>
                <w:sz w:val="20"/>
                <w:szCs w:val="20"/>
                <w:color w:val="auto"/>
              </w:rPr>
            </w:pPr>
            <w:r>
              <w:rPr>
                <w:rFonts w:ascii="Arial" w:cs="Arial" w:eastAsia="Arial" w:hAnsi="Arial"/>
                <w:sz w:val="18"/>
                <w:szCs w:val="18"/>
                <w:color w:val="auto"/>
              </w:rPr>
              <w:t>75%</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DCDCDC"/>
            </w:tcBorders>
          </w:tcPr>
          <w:p>
            <w:pPr>
              <w:spacing w:after="0"/>
              <w:rPr>
                <w:sz w:val="24"/>
                <w:szCs w:val="24"/>
                <w:color w:val="auto"/>
              </w:rPr>
            </w:pPr>
          </w:p>
        </w:tc>
        <w:tc>
          <w:tcPr>
            <w:tcW w:w="3240" w:type="dxa"/>
            <w:vAlign w:val="bottom"/>
            <w:tcBorders>
              <w:bottom w:val="single" w:sz="8" w:color="DCDCDC"/>
            </w:tcBorders>
          </w:tcPr>
          <w:p>
            <w:pPr>
              <w:spacing w:after="0"/>
              <w:rPr>
                <w:sz w:val="24"/>
                <w:szCs w:val="24"/>
                <w:color w:val="auto"/>
              </w:rPr>
            </w:pPr>
          </w:p>
        </w:tc>
        <w:tc>
          <w:tcPr>
            <w:tcW w:w="4700" w:type="dxa"/>
            <w:vAlign w:val="bottom"/>
            <w:tcBorders>
              <w:bottom w:val="single" w:sz="8" w:color="DCDCDC"/>
            </w:tcBorders>
          </w:tcPr>
          <w:p>
            <w:pPr>
              <w:jc w:val="right"/>
              <w:ind w:right="2610"/>
              <w:spacing w:after="0"/>
              <w:rPr>
                <w:sz w:val="20"/>
                <w:szCs w:val="20"/>
                <w:color w:val="auto"/>
              </w:rPr>
            </w:pPr>
            <w:r>
              <w:rPr>
                <w:rFonts w:ascii="Arial" w:cs="Arial" w:eastAsia="Arial" w:hAnsi="Arial"/>
                <w:sz w:val="18"/>
                <w:szCs w:val="18"/>
                <w:color w:val="auto"/>
              </w:rPr>
              <w:t>38</w:t>
            </w:r>
          </w:p>
        </w:tc>
        <w:tc>
          <w:tcPr>
            <w:tcW w:w="14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78" w:name="page79"/>
    <w:bookmarkEnd w:id="78"/>
    <w:p>
      <w:pPr>
        <w:jc w:val="both"/>
        <w:spacing w:after="0" w:line="302" w:lineRule="auto"/>
        <w:rPr>
          <w:sz w:val="20"/>
          <w:szCs w:val="20"/>
          <w:color w:val="auto"/>
        </w:rPr>
      </w:pPr>
      <w:r>
        <w:rPr>
          <w:rFonts w:ascii="Arial" w:cs="Arial" w:eastAsia="Arial" w:hAnsi="Arial"/>
          <w:sz w:val="16"/>
          <w:szCs w:val="16"/>
          <w:color w:val="auto"/>
        </w:rPr>
        <w:t>The table set forth below lists the value of the shares that would have been awarded to the executive officers under the 2015 LTI Stock Plan if all of the minimum threshold performance goals had been achieved, if all of the target performance goals had been achieved, and if all of the distinguished performance goals had been achieved. Assuming the minimum threshold target goal was achieved for a particular metric, the number of shares to be awarded for that metric was required to be determined on a pro-rata basis, provided that the award could not exceed the maximum distinguished award for that metric.</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Named Executive Officer</w:t>
            </w:r>
          </w:p>
        </w:tc>
        <w:tc>
          <w:tcPr>
            <w:tcW w:w="2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Threshold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Target</w:t>
            </w:r>
          </w:p>
        </w:tc>
        <w:tc>
          <w:tcPr>
            <w:tcW w:w="2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Distinguished</w:t>
            </w:r>
          </w:p>
        </w:tc>
        <w:tc>
          <w:tcPr>
            <w:tcW w:w="0" w:type="dxa"/>
            <w:vAlign w:val="bottom"/>
          </w:tcPr>
          <w:p>
            <w:pPr>
              <w:spacing w:after="0"/>
              <w:rPr>
                <w:sz w:val="1"/>
                <w:szCs w:val="1"/>
                <w:color w:val="auto"/>
              </w:rPr>
            </w:pPr>
          </w:p>
        </w:tc>
      </w:tr>
      <w:tr>
        <w:trPr>
          <w:trHeight w:val="241"/>
        </w:trPr>
        <w:tc>
          <w:tcPr>
            <w:tcW w:w="4160" w:type="dxa"/>
            <w:vAlign w:val="bottom"/>
            <w:gridSpan w:val="2"/>
            <w:vMerge w:val="continue"/>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6"/>
              </w:rPr>
              <w:t>Performance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Performance</w:t>
            </w:r>
          </w:p>
        </w:tc>
        <w:tc>
          <w:tcPr>
            <w:tcW w:w="20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3300" w:type="dxa"/>
            <w:vAlign w:val="bottom"/>
            <w:gridSpan w:val="2"/>
            <w:shd w:val="clear" w:color="auto" w:fill="F0FFFF"/>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5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682,454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3300" w:type="dxa"/>
            <w:vAlign w:val="bottom"/>
            <w:gridSpan w:val="2"/>
            <w:shd w:val="clear" w:color="auto" w:fill="F0FFFF"/>
          </w:tcPr>
          <w:p>
            <w:pPr>
              <w:jc w:val="right"/>
              <w:ind w:right="9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179,653</w:t>
            </w:r>
          </w:p>
        </w:tc>
        <w:tc>
          <w:tcPr>
            <w:tcW w:w="5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359,306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actual performance of the Company during the 2015 fiscal year, the minimum threshold performance target established under the 2015 LTI Stock Plan was not met for adjusted EBITDA. Connections for the fiscal year were in excess of the minimum threshold but less than the target goal. Consequently, the stock award to each executive officer under the 2015 LTI Stock Plan was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w w:val="92"/>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w w:val="99"/>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42,678</w:t>
            </w:r>
          </w:p>
        </w:tc>
        <w:tc>
          <w:tcPr>
            <w:tcW w:w="4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115,230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22,314</w:t>
            </w:r>
          </w:p>
        </w:tc>
        <w:tc>
          <w:tcPr>
            <w:tcW w:w="4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60,247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awarded to Mr. Herbert had a value equal to 33.8% of his annual base salary, and the shares awarded to Mr. DeMedio had a value equal to 25.3% of his annual base salary. The shares were issued (subject to the vesting requirements) to the executive officers in September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August 2014, Mr. Herbert was awarded incentive stock options intended to qualify under Section 422 of the Internal Revenue Code of 1986, as amended (the “Code”), to purchase up to 55,555 shares at an exercise price of $1.80 per share. The options vest on September 1, 2015, and expire if not exercised prior to September 1, 2021. Mr. Herbert was also awarded non-qualified stock options to purchase up to 150,000 shares at an exercise price of $1.80 per share. The options vest as follows: one-third on September 1, 2015; one-third on September 1, 2016; and one-third on September 1, 2017. The options expire if not exercised prior to September 1, 2021.</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August 2014, Mr. DeMedio was awarded incentive stock options intended to qualify under Section 422 of the Code to purchase up to 33,333 shares at an exercise price of $1.80 per share. The options vest on September 1, 2015, and expire if not exercised prior to September 1, 2021. Mr. DeMedio was also awarded non-qualified stock options to purchase up to 90,000 shares at an exercise price of $1.80 per share. The options vest as follows: one-third on September 1, 2015; one-third on September 1, 2016; and one-third on September 1, 2017. The options expire if not exercised prior to September 1, 2021.</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April 2015, Mr. Lawlor was awarded incentive stock options intended to qualify under Section 422 of the Code to purchase up to 25,000 shares at an exercise price of $2.75 per share. The options vest as follows: one-third on April 8, 2016; one-third on April 8, 2017; and one-third on April 8, 2018. The options expire if not exercised prior to April 8, 2022.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2015, Ms. Duska was awarded incentive stock options intended to qualify under Section 422 of the Code to purchase up to 25,000 shares at an exercise price of $1.62 per share. The options vest as follows: one-third on January 2, 2016; one-third on January 2, 2017; and one-third on January 2, 2018. The options expire if not exercised prior to January 2,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Perquisites and Other Benefits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were entitled to the health care coverage, group insurance and other employee benefits provided to all of our other employees.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Post-Termination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set forth in his employment agreement, upon the termination of Mr. Herbert’s employment under certain circumstances, including termination by the Company without cause or by a notice of non-renewal of the employment agreement, or under certain circumstances following a change of control of the Company, the Company has agreed to pay Mr. Herbert a lump sum amount equal to two times his annual base salary and all restricted stock awards or stock options would become vested as of the date of termination.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set forth in his employment agreement, upon the termination of Mr. DeMedio’s employment under certain circumstances, including termination by the Company without cause or by a notice of non-renewal of the employment agreement, or under certain circumstances following a change of control of the Company, the Company has agreed to pay Mr. DeMedio a lump sum amount equal to one times his annual base salary and all restricted stock awards or stock options would become vested as of the date of termination.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these provisions are an important component of each executive’s employment arrangement and will help to secure the continued employment and dedication of our executive officers, notwithstanding any concern that they might have at such time regarding their own continued employment, prior to or following a change of control.</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Committee notes that there would be no payments to our executive officers upon a change of control without a “double trigger”. Payments under our employment agreements require two events for vesting – both the change of control and a “good reason” for termination of employment.</w:t>
      </w:r>
    </w:p>
    <w:p>
      <w:pPr>
        <w:sectPr>
          <w:pgSz w:w="11900" w:h="16838" w:orient="portrait"/>
          <w:cols w:equalWidth="0" w:num="1">
            <w:col w:w="11420"/>
          </w:cols>
          <w:pgMar w:left="240" w:top="1124" w:right="239" w:bottom="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Additional information regarding what would have been received by our executive officers had termination occurred on June 30, 2015 is found under the heading “Potential Payments upon Termination or Change of Control” on page 43 of this Form 10-K.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t>Stock Ownership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providing our executive officers who have responsibility for the Company’s management and growth with an opportunity to increase their ownership of Company shares aligns the interests of the executive officers with those of the shareholders. Our Stock Ownership Guidelines provide that the Chief Executive Officer should own shares with a value of at least three times his annual base salary, and the Chief Financial Officer should own shares with a value of at least one times his annual base salary. Each executive officer has until April 2016 to comply with the policy.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Ownership Guidelines provide that each non-employee director should own shares of common stock with a value of at least five times his or her annual cash retainer. For this purpose, the annual retainer shall include the annual retainer for service on the Board as well as the annual retainer for serving on one (but not more than one) Committee of the Board for a total share value of at least $150,000. Each director has until June 30, 2016 to comply with the stock ownership requirements, and future directors would have five years to comply.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purposes of these guidelines, “shares” include shares owned by the executive officer or director or by such person’s immediate family members residing in the same household and include non-vested restricted stock awards held by the executive officer or non-employee director.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2015 Say-On-Pay Vote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2015 annual meeting of shareholders, over 88% of the votes cast on the advisory vote on the compensation of our named executive officers were in favor of the Company’s executive compensation disclosed in the proxy statement. The Compensation Committee considered the vote, and even though the results convey strong shareholder support for the Company’s executive compensation programs and the Compensation Committee’s decisions, the Committee determined that it was in the best interest of the Company and its shareholders to continue to evaluate our executive compensation programs and, if appropriate, to strengthen certain aspects of these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Taxation and Accounting Considerations on 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Compensation Committee and the Board of Directors take into account tax and accounting consequences of the compensation program and weigh these factors when setting total compensation and determining the individual elements of any named executive officer’s compensation package.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and option awards to our named executive officers under our equity incentive plans provide that the officer is responsible for any withholding or payroll tax obligations incurred by the Company in connection with the award, and that the officer may satisfy any such obligations by, among other things, either the delivery to the Company of a cash payment equal to the obligations, or the assignment or transfer to the Company of shares having a value equal to the obligations, or such other method that shall be satisfactory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compensation paid or accrued by the Company during the fiscal years ended June 30, 2015, 2014, and 2013 to each of our named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Fiscal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2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w w:val="99"/>
              </w:rPr>
              <w:t>Name and Principal Position</w:t>
            </w:r>
          </w:p>
        </w:tc>
        <w:tc>
          <w:tcPr>
            <w:tcW w:w="8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7"/>
              </w:rPr>
              <w:t>Salary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Bonus (1)</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Awards (2)</w:t>
            </w:r>
          </w:p>
        </w:tc>
        <w:tc>
          <w:tcPr>
            <w:tcW w:w="80" w:type="dxa"/>
            <w:vAlign w:val="bottom"/>
          </w:tcPr>
          <w:p>
            <w:pPr>
              <w:spacing w:after="0"/>
              <w:rPr>
                <w:sz w:val="20"/>
                <w:szCs w:val="20"/>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Awards (3)</w:t>
            </w:r>
          </w:p>
        </w:tc>
        <w:tc>
          <w:tcPr>
            <w:tcW w:w="1380" w:type="dxa"/>
            <w:vAlign w:val="bottom"/>
            <w:gridSpan w:val="3"/>
          </w:tcPr>
          <w:p>
            <w:pPr>
              <w:spacing w:after="0"/>
              <w:rPr>
                <w:sz w:val="20"/>
                <w:szCs w:val="20"/>
                <w:color w:val="auto"/>
              </w:rPr>
            </w:pPr>
            <w:r>
              <w:rPr>
                <w:rFonts w:ascii="Arial" w:cs="Arial" w:eastAsia="Arial" w:hAnsi="Arial"/>
                <w:sz w:val="18"/>
                <w:szCs w:val="18"/>
                <w:color w:val="auto"/>
                <w:w w:val="95"/>
              </w:rPr>
              <w:t>Compensation (4)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101,732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341,227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261,055</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10,400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1,055,641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President</w:t>
            </w:r>
          </w:p>
        </w:tc>
        <w:tc>
          <w:tcPr>
            <w:tcW w:w="80" w:type="dxa"/>
            <w:vAlign w:val="bottom"/>
            <w:shd w:val="clear" w:color="auto" w:fill="F0FFFF"/>
          </w:tcPr>
          <w:p>
            <w:pPr>
              <w:spacing w:after="0"/>
              <w:rPr>
                <w:sz w:val="20"/>
                <w:szCs w:val="20"/>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29,673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341,227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722,127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&amp; Chairman of the Board</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51,250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111,399</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513,876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239,537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31,242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178,406</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156,633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2,562</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Chief Financial Officer</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237,875</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17,238</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213,709</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234,265</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4,024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4,813</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243,102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36,512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50,000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28,773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Sr. VP of Marketing</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155,708</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9,572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133,000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40,450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6,750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180,200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44,186</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50,283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7,830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Sr. VP of Sales &amp; Business</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15,953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8,670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Development</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62,930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252,730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2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cash bonuses earned upon such person’s performance during the fiscal year or upon the attainment by the Company of certain target goals.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ind w:left="660" w:right="20" w:hanging="652"/>
        <w:spacing w:after="0" w:line="288"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accordance with FASB ASC Topic 718, the price of our common stock on the grant date equals the grant date fair value of these stock awards. For fiscal year 2015, represents (i) 191,701 shares with a value of $341,227 that would have been earned by Mr. Herbert under the 2015 LTI Stock Plan if all of the target goals had been achieved, (ii) 100,228 shares with a value of $178,406 that would have been earned by Mr. DeMedio under the</w:t>
      </w:r>
    </w:p>
    <w:p>
      <w:pPr>
        <w:ind w:left="660" w:right="80"/>
        <w:spacing w:after="0" w:line="270" w:lineRule="auto"/>
        <w:rPr>
          <w:rFonts w:ascii="Arial" w:cs="Arial" w:eastAsia="Arial" w:hAnsi="Arial"/>
          <w:sz w:val="16"/>
          <w:szCs w:val="16"/>
          <w:color w:val="auto"/>
        </w:rPr>
      </w:pPr>
      <w:r>
        <w:rPr>
          <w:rFonts w:ascii="Arial" w:cs="Arial" w:eastAsia="Arial" w:hAnsi="Arial"/>
          <w:sz w:val="17"/>
          <w:szCs w:val="17"/>
          <w:color w:val="auto"/>
        </w:rPr>
        <w:t>2015 LTI Stock Plan if all of the target goals had been achieved, and (iii) 24,155 shares with a value of $50,000 granted to Ms. Duska as a bonus on July 28, 2014. Based on the actual financial results, Mr. Herbert was awarded 42,678 shares with a grant date value of $75,967 and Mr. DeMedio was awarded 22,314 shares with a grant date value of $39,719 under the 2015 LTI Stock Plan. If all of the maximum target levels had been achieved under the 2015 LTI Stock Plan, Mr. Herbert would have earned 383,457 shares with a grant date value of $682,554, and Mr. DeMedio would have earned 200,456 shares with a grant date value of $356,812. The shares earned under the 2015 LTI Stock Plan vest as follows: one-third on June 30, 2015; one-third on June 30, 2016; and one-third on June 30, 2017.</w:t>
      </w:r>
    </w:p>
    <w:p>
      <w:pPr>
        <w:spacing w:after="0" w:line="178"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FASB ASC Topic 718, the Black-Scholes value on the grant date equals the grant date fair value of these option awards. For fiscal year 2015, represents (i) 55,555 incentive stock options valued at $70,555 and 150,000 non-qualified stock options valued at $190,500 awarded to Mr. Herbert on August 28, 2015, (ii) 33,333 incentive stock options valued at $42,333 and 90,000 non-qualified stock options valued at $114,300 awarded to Mr. DeMedio on August 28, 2015, (iii) 25,000 incentive stock options valued at $28,773 awarded to Ms. Duska on January 2, 2015 and vesting one-third on January 2, 2016; one-third on January 2, 2017; and one-third on January 2, 2018, and (iv) 25,000 incentive stock options valued at $50,283 awarded to Mr. Lawlor on April 8, 2015 and vesting one-third on April 8, 2016; one-third on April 8, 2017; and one-third on April 8, 2018 . The incentive stock options awarded to Messrs. Herbert and DeMedio vested on September 1, 2015. The non-qualified stock options awarded to Messrs. Herbert and DeMedio vest as follows: one-third on September 1, 2015; one-third on September 1, 2016; and one-third on September 1, 2017.</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2015 fiscal year, represents matching 401(k) contributions for Messrs. Herbert, DeMedio and Lawlor.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amounts of awards granted to our named executive officers during the fiscal year ended June 30,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All Other</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All Other</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Stock Awards:</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Option Awards:</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Fair Value of</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6"/>
          </w:tcPr>
          <w:p>
            <w:pPr>
              <w:jc w:val="center"/>
              <w:ind w:right="180"/>
              <w:spacing w:after="0" w:line="149" w:lineRule="exact"/>
              <w:rPr>
                <w:sz w:val="20"/>
                <w:szCs w:val="20"/>
                <w:color w:val="auto"/>
              </w:rPr>
            </w:pPr>
            <w:r>
              <w:rPr>
                <w:rFonts w:ascii="Arial" w:cs="Arial" w:eastAsia="Arial" w:hAnsi="Arial"/>
                <w:sz w:val="14"/>
                <w:szCs w:val="14"/>
                <w:color w:val="auto"/>
                <w:w w:val="91"/>
              </w:rPr>
              <w:t>Estimated Future Payouts Under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Shares of</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Securities</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Exercise or Base</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Stock and</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6"/>
          </w:tcPr>
          <w:p>
            <w:pPr>
              <w:jc w:val="center"/>
              <w:ind w:right="180"/>
              <w:spacing w:after="0" w:line="149" w:lineRule="exact"/>
              <w:rPr>
                <w:sz w:val="20"/>
                <w:szCs w:val="20"/>
                <w:color w:val="auto"/>
              </w:rPr>
            </w:pPr>
            <w:r>
              <w:rPr>
                <w:rFonts w:ascii="Arial" w:cs="Arial" w:eastAsia="Arial" w:hAnsi="Arial"/>
                <w:sz w:val="14"/>
                <w:szCs w:val="14"/>
                <w:color w:val="auto"/>
                <w:w w:val="95"/>
              </w:rPr>
              <w:t>Non-Equity Incentive Plan</w:t>
            </w:r>
          </w:p>
        </w:tc>
        <w:tc>
          <w:tcPr>
            <w:tcW w:w="2440" w:type="dxa"/>
            <w:vAlign w:val="bottom"/>
            <w:gridSpan w:val="6"/>
          </w:tcPr>
          <w:p>
            <w:pPr>
              <w:jc w:val="right"/>
              <w:ind w:right="320"/>
              <w:spacing w:after="0" w:line="149" w:lineRule="exact"/>
              <w:rPr>
                <w:sz w:val="20"/>
                <w:szCs w:val="20"/>
                <w:color w:val="auto"/>
              </w:rPr>
            </w:pPr>
            <w:r>
              <w:rPr>
                <w:rFonts w:ascii="Arial" w:cs="Arial" w:eastAsia="Arial" w:hAnsi="Arial"/>
                <w:sz w:val="14"/>
                <w:szCs w:val="14"/>
                <w:color w:val="auto"/>
              </w:rPr>
              <w:t>Estimated Future Payouts Under</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Stock or Units</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Underlying</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Price of Option</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Option</w:t>
            </w:r>
          </w:p>
        </w:tc>
      </w:tr>
      <w:tr>
        <w:trPr>
          <w:trHeight w:val="174"/>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4"/>
              </w:rPr>
              <w:t>Awards (1)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Equity Incentive Plan Awards (2)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Options (4)</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Awards (5)</w:t>
            </w:r>
          </w:p>
        </w:tc>
        <w:tc>
          <w:tcPr>
            <w:tcW w:w="100" w:type="dxa"/>
            <w:vAlign w:val="bottom"/>
          </w:tcPr>
          <w:p>
            <w:pPr>
              <w:spacing w:after="0"/>
              <w:rPr>
                <w:sz w:val="15"/>
                <w:szCs w:val="15"/>
                <w:color w:val="auto"/>
              </w:rPr>
            </w:pPr>
          </w:p>
        </w:tc>
      </w:tr>
      <w:tr>
        <w:trPr>
          <w:trHeight w:val="27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Grant</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Threshold</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Target</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Maximum</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Threshold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Target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Maximum</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380" w:type="dxa"/>
            <w:vAlign w:val="bottom"/>
            <w:gridSpan w:val="2"/>
          </w:tcPr>
          <w:p>
            <w:pPr>
              <w:spacing w:after="0"/>
              <w:rPr>
                <w:sz w:val="20"/>
                <w:szCs w:val="20"/>
                <w:color w:val="auto"/>
              </w:rPr>
            </w:pPr>
            <w:r>
              <w:rPr>
                <w:rFonts w:ascii="Arial" w:cs="Arial" w:eastAsia="Arial" w:hAnsi="Arial"/>
                <w:sz w:val="14"/>
                <w:szCs w:val="14"/>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6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Units (#)</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Units (#)</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$/Sh</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 xml:space="preserve">Awards </w:t>
            </w:r>
            <w:r>
              <w:rPr>
                <w:rFonts w:ascii="Arial" w:cs="Arial" w:eastAsia="Arial" w:hAnsi="Arial"/>
                <w:sz w:val="14"/>
                <w:szCs w:val="14"/>
                <w:u w:val="single" w:color="auto"/>
                <w:color w:val="auto"/>
                <w:w w:val="94"/>
              </w:rPr>
              <w:t>($</w:t>
            </w:r>
            <w:r>
              <w:rPr>
                <w:rFonts w:ascii="Arial" w:cs="Arial" w:eastAsia="Arial" w:hAnsi="Arial"/>
                <w:sz w:val="14"/>
                <w:szCs w:val="14"/>
                <w:color w:val="auto"/>
                <w:w w:val="94"/>
              </w:rPr>
              <w:t>)</w:t>
            </w:r>
          </w:p>
        </w:tc>
      </w:tr>
      <w:tr>
        <w:trPr>
          <w:trHeight w:val="156"/>
        </w:trPr>
        <w:tc>
          <w:tcPr>
            <w:tcW w:w="12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49"/>
        </w:trPr>
        <w:tc>
          <w:tcPr>
            <w:tcW w:w="13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Stephen P. Herbert</w:t>
            </w:r>
          </w:p>
        </w:tc>
        <w:tc>
          <w:tcPr>
            <w:tcW w:w="7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136,491</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272,982</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8/28/2014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191,701</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383,402</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341,227</w:t>
            </w:r>
          </w:p>
        </w:tc>
      </w:tr>
      <w:tr>
        <w:trPr>
          <w:trHeight w:val="149"/>
        </w:trPr>
        <w:tc>
          <w:tcPr>
            <w:tcW w:w="12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93"/>
              </w:rPr>
              <w:t>8/28/2014</w:t>
            </w: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205,555</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261,055</w:t>
            </w: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David M. DeMedio</w:t>
            </w:r>
          </w:p>
        </w:tc>
        <w:tc>
          <w:tcPr>
            <w:tcW w:w="7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59,469</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118,938</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93"/>
              </w:rPr>
              <w:t>8/28/2014</w:t>
            </w: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100,228</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200,456</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178,406</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8/28/2014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123,333</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156,633</w:t>
            </w:r>
          </w:p>
        </w:tc>
      </w:tr>
      <w:tr>
        <w:trPr>
          <w:trHeight w:val="149"/>
        </w:trPr>
        <w:tc>
          <w:tcPr>
            <w:tcW w:w="13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Maeve Duska</w:t>
            </w:r>
          </w:p>
        </w:tc>
        <w:tc>
          <w:tcPr>
            <w:tcW w:w="7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107,880</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134,850</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7/28/2014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24,155</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w:t>
            </w:r>
          </w:p>
        </w:tc>
      </w:tr>
      <w:tr>
        <w:trPr>
          <w:trHeight w:val="149"/>
        </w:trPr>
        <w:tc>
          <w:tcPr>
            <w:tcW w:w="12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91"/>
              </w:rPr>
              <w:t>1/2/2015</w:t>
            </w: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25,000</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1.62</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28,773</w:t>
            </w:r>
          </w:p>
        </w:tc>
      </w:tr>
      <w:tr>
        <w:trPr>
          <w:trHeight w:val="149"/>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Michael Lawlor</w:t>
            </w:r>
          </w:p>
        </w:tc>
        <w:tc>
          <w:tcPr>
            <w:tcW w:w="7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179,800</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224,750</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91"/>
              </w:rPr>
              <w:t>4/8/2015</w:t>
            </w:r>
          </w:p>
        </w:tc>
        <w:tc>
          <w:tcPr>
            <w:tcW w:w="6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25,000</w:t>
            </w:r>
          </w:p>
        </w:tc>
        <w:tc>
          <w:tcPr>
            <w:tcW w:w="116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2.75</w:t>
            </w:r>
          </w:p>
        </w:tc>
        <w:tc>
          <w:tcPr>
            <w:tcW w:w="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50,283</w:t>
            </w: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awards granted to Messrs. Herbert and DeMedio under the 2015 STI Plan. The plan provides for the award of a cash bonus if all targets are achieved as follows: Mr. Herbert - $136,491 and Mr. DeMedio - $59,469. If none of the minimum, threshold targets are achieved, the executive officers would not earn a cash bonus. If all of the maximum distinguished target goals are achieved, the executive officers would earn a cash bonus as follows: Mr. Herbert – $272,982 and Mr. DeMedio – $118,938. Mr. Herbert was awarded $101,732 and Mr. DeMedio was awarded $31,242 under the plan.</w:t>
      </w:r>
    </w:p>
    <w:p>
      <w:pPr>
        <w:spacing w:after="0" w:line="188"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Represents cash bonus opportunity for Ms. Duska and Mr. Lawlor if all of the target goals were achieved and if all maximum target goals are achieved. Ms. Duska was awarded $26,512 and Mr. Lawlor was awarded $44,186.</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awards granted under the 2015 LTI Stock Plan. The plan provides for the award of shares having the following value if all targets are achieved; Mr. Herbert - $341,227 and Mr. DeMedio - $178,406. If none of the minimum threshold year-over-year percentage target goals are achieved, the executive officers would not be awarded any shares; and if all maximum distinguished targets are achieved the executive officers would be awarded shares having the following value; Mr. Herbert - $682,454 and Mr. DeMedio - $356,812. The number of shares in the table above represents the total dollar value of the award divided by the grant date value of the share. Mr. Herbert was awarded 42,678 shares and Mr. DeMedio was awarded 22,314 shares under the plan of which one-third vested on June 30, 2015, one-third vests on June 30, 2016 and one-third vests on June 30, 2017.</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 stock award of 24,155 shares granted to Ms. Duska and which vested immediately.</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awards granted to Messrs. Herbert and DeMedio as follows: Mr. Herbert - 55,555 incentive stock options and 150,000 non-qualified stock options; and Mr. DeMedio - 33,333 incentive stock options and 90,000 non-qualified stock options. The incentive stock options awarded to Messrs. Herbert and DeMedio vested on September 1, 2015. The non-qualified stock options awarded to Messrs. Herbert and DeMedio vest as follows: one-third on September 1, 2015; one-third on September 1, 2016; and one-third on September 1, 2017.</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21" w:gutter="0" w:footer="0" w:header="0"/>
        </w:sectPr>
      </w:pPr>
    </w:p>
    <w:bookmarkStart w:id="82" w:name="page83"/>
    <w:bookmarkEnd w:id="82"/>
    <w:p>
      <w:pPr>
        <w:jc w:val="both"/>
        <w:ind w:left="660"/>
        <w:spacing w:after="0" w:line="264" w:lineRule="auto"/>
        <w:rPr>
          <w:sz w:val="20"/>
          <w:szCs w:val="20"/>
          <w:color w:val="auto"/>
        </w:rPr>
      </w:pPr>
      <w:r>
        <w:rPr>
          <w:rFonts w:ascii="Arial" w:cs="Arial" w:eastAsia="Arial" w:hAnsi="Arial"/>
          <w:sz w:val="18"/>
          <w:szCs w:val="18"/>
          <w:color w:val="auto"/>
        </w:rPr>
        <w:t>Represents 25,000 incentive stock options granted to Ms. Duska which vest one-third on January 2, 2016; one-third on January 2, 2017; and one-third on January 2, 2018. Represents 25,000 incentive stock options granted to Mr. Lawlor which vest one-third on January 2, 2016; one-third on January 2, 2017; and one-third on January 2, 2018</w:t>
      </w:r>
    </w:p>
    <w:p>
      <w:pPr>
        <w:spacing w:after="0" w:line="181" w:lineRule="exact"/>
        <w:rPr>
          <w:sz w:val="20"/>
          <w:szCs w:val="20"/>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represents the grant date fair value determined in accordance with ASC 718. For Messrs. Herbert and DeMedio, represents the grant date value of 191,701 shares and 100,228 shares, respectively, which would have been awarded if the target goals had been achieved under the 2015 LTI Stock Plan. Based on the actual financial results, Mr. Herbert was awarded 42,678 shares with a grant date value of $75,967 and Mr. DeMedio was awarded 22,314 shares with a grant date value of $39,719 under the 2015 LTI Stock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information regarding unexercised stock options and unvested equity awards granted to the named executive officers as of the fiscal year ended June 30, 2015:</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6"/>
          </w:tcPr>
          <w:p>
            <w:pPr>
              <w:ind w:left="620"/>
              <w:spacing w:after="0"/>
              <w:rPr>
                <w:sz w:val="20"/>
                <w:szCs w:val="20"/>
                <w:color w:val="auto"/>
              </w:rPr>
            </w:pPr>
            <w:r>
              <w:rPr>
                <w:rFonts w:ascii="Arial" w:cs="Arial" w:eastAsia="Arial" w:hAnsi="Arial"/>
                <w:sz w:val="18"/>
                <w:szCs w:val="18"/>
                <w:color w:val="auto"/>
              </w:rPr>
              <w:t>Option Awards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ind w:left="72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Number of</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Shares or</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Underlying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Units of</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Units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Unexercised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Option</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Stock That</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Stock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Options(#)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Expiration</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Have Not</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Name</w:t>
            </w:r>
          </w:p>
        </w:tc>
        <w:tc>
          <w:tcPr>
            <w:tcW w:w="100" w:type="dxa"/>
            <w:vAlign w:val="bottom"/>
            <w:tcBorders>
              <w:bottom w:val="single" w:sz="8" w:color="F0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00" w:type="dxa"/>
            <w:vAlign w:val="bottom"/>
            <w:tcBorders>
              <w:bottom w:val="single" w:sz="8" w:color="F0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Unexercisable</w:t>
            </w:r>
          </w:p>
        </w:tc>
        <w:tc>
          <w:tcPr>
            <w:tcW w:w="26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Price($)</w:t>
            </w:r>
          </w:p>
        </w:tc>
        <w:tc>
          <w:tcPr>
            <w:tcW w:w="180" w:type="dxa"/>
            <w:vAlign w:val="bottom"/>
            <w:tcBorders>
              <w:bottom w:val="single" w:sz="8" w:color="F0FFFF"/>
            </w:tcBorders>
          </w:tcPr>
          <w:p>
            <w:pPr>
              <w:spacing w:after="0"/>
              <w:rPr>
                <w:sz w:val="20"/>
                <w:szCs w:val="20"/>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Date</w:t>
            </w:r>
          </w:p>
        </w:tc>
        <w:tc>
          <w:tcPr>
            <w:tcW w:w="100" w:type="dxa"/>
            <w:vAlign w:val="bottom"/>
            <w:tcBorders>
              <w:bottom w:val="single" w:sz="8" w:color="F0FF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Vested (#)</w:t>
            </w:r>
          </w:p>
        </w:tc>
        <w:tc>
          <w:tcPr>
            <w:tcW w:w="30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Vested($)</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205,555(1)</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ind w:left="320"/>
              <w:spacing w:after="0"/>
              <w:rPr>
                <w:sz w:val="20"/>
                <w:szCs w:val="20"/>
                <w:color w:val="auto"/>
              </w:rPr>
            </w:pPr>
            <w:r>
              <w:rPr>
                <w:rFonts w:ascii="Arial" w:cs="Arial" w:eastAsia="Arial" w:hAnsi="Arial"/>
                <w:sz w:val="18"/>
                <w:szCs w:val="18"/>
                <w:color w:val="auto"/>
                <w:w w:val="88"/>
              </w:rPr>
              <w:t>9/1/2021</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12,216(2)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28,452(3)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3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123,333(1)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1.80</w:t>
            </w:r>
          </w:p>
        </w:tc>
        <w:tc>
          <w:tcPr>
            <w:tcW w:w="10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9/1/2021</w:t>
            </w:r>
          </w:p>
        </w:tc>
        <w:tc>
          <w:tcPr>
            <w:tcW w:w="10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6,387(2)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14,876(3)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13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25,000(1)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1.62</w:t>
            </w:r>
          </w:p>
        </w:tc>
        <w:tc>
          <w:tcPr>
            <w:tcW w:w="10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1/2/2022</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0" w:type="dxa"/>
            <w:vAlign w:val="bottom"/>
            <w:shd w:val="clear" w:color="auto" w:fill="F0FFFF"/>
          </w:tcPr>
          <w:p>
            <w:pPr>
              <w:spacing w:after="0"/>
              <w:rPr>
                <w:sz w:val="24"/>
                <w:szCs w:val="24"/>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25,000(1)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2.75</w:t>
            </w:r>
          </w:p>
        </w:tc>
        <w:tc>
          <w:tcPr>
            <w:tcW w:w="10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4/8/2022</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options awarded during the fiscal year ended June 30, 2015. Options vest as follows: Mr. Herbert – 105,555 options on September 1, 2015, 50,000 on September 1, 2016 and 50,000 on September 1, 2017; Mr. DeMedio – 63,333 options on September 1, 2015, 30,000 on September 1, 2016 and 30,000 on September 1, 2017; Ms. Duska - 8,334 options on January 2, 2016, 8,333 on January 2, 2017 and 8,333 on January 2, 2018; and Mr. Lawlor – 8,334 options on April 8, 2016, 8,333 on April 8, 2017 and 8,333 on April 8, 2018.</w:t>
      </w:r>
    </w:p>
    <w:p>
      <w:pPr>
        <w:spacing w:after="0" w:line="171"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shares awarded under the 2014 LTI Stock Plan. Shares vest on June 30, 2016. The closing market price on June 30, 2015, or $2.70 per share, was used in the calculation of market value.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shares awarded under the 2015 LTI Stock Plan. Shares vest one-half on June 30, 2016 and one-half on June 30, 2017. The closing market price on June 30, 2015, or $2.70 per share, was used in the calculation of market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options exercised and shares of common stock acquired upon vesting by our named executive officers during the fiscal year ended June 30,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tbl>
      <w:tblPr>
        <w:tblLayout w:type="fixed"/>
        <w:tblInd w:w="230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4"/>
          </w:tcPr>
          <w:p>
            <w:pPr>
              <w:ind w:left="400"/>
              <w:spacing w:after="0"/>
              <w:rPr>
                <w:sz w:val="20"/>
                <w:szCs w:val="20"/>
                <w:color w:val="auto"/>
              </w:rPr>
            </w:pPr>
            <w:r>
              <w:rPr>
                <w:rFonts w:ascii="Arial" w:cs="Arial" w:eastAsia="Arial" w:hAnsi="Arial"/>
                <w:sz w:val="18"/>
                <w:szCs w:val="18"/>
                <w:color w:val="auto"/>
              </w:rPr>
              <w:t>Option Awards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gridSpan w:val="6"/>
          </w:tcPr>
          <w:p>
            <w:pPr>
              <w:ind w:left="440"/>
              <w:spacing w:after="0"/>
              <w:rPr>
                <w:sz w:val="20"/>
                <w:szCs w:val="20"/>
                <w:color w:val="auto"/>
              </w:rPr>
            </w:pPr>
            <w:r>
              <w:rPr>
                <w:rFonts w:ascii="Arial" w:cs="Arial" w:eastAsia="Arial" w:hAnsi="Arial"/>
                <w:sz w:val="18"/>
                <w:szCs w:val="18"/>
                <w:color w:val="auto"/>
              </w:rPr>
              <w:t>Stock Awards</w:t>
            </w:r>
          </w:p>
        </w:tc>
      </w:tr>
      <w:tr>
        <w:trPr>
          <w:trHeight w:val="202"/>
        </w:trPr>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w w:val="97"/>
              </w:rPr>
              <w:t>Number of</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gridSpan w:val="2"/>
          </w:tcPr>
          <w:p>
            <w:pPr>
              <w:jc w:val="center"/>
              <w:ind w:right="80"/>
              <w:spacing w:after="0" w:line="201" w:lineRule="exact"/>
              <w:rPr>
                <w:sz w:val="20"/>
                <w:szCs w:val="20"/>
                <w:color w:val="auto"/>
              </w:rPr>
            </w:pPr>
            <w:r>
              <w:rPr>
                <w:rFonts w:ascii="Arial" w:cs="Arial" w:eastAsia="Arial" w:hAnsi="Arial"/>
                <w:sz w:val="18"/>
                <w:szCs w:val="18"/>
                <w:color w:val="auto"/>
                <w:w w:val="95"/>
              </w:rPr>
              <w:t>Number of</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30"/>
        </w:trPr>
        <w:tc>
          <w:tcPr>
            <w:tcW w:w="28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Acquired on</w:t>
            </w:r>
          </w:p>
        </w:tc>
        <w:tc>
          <w:tcPr>
            <w:tcW w:w="8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96"/>
              </w:rPr>
              <w:t>Realized on</w:t>
            </w:r>
          </w:p>
        </w:tc>
        <w:tc>
          <w:tcPr>
            <w:tcW w:w="10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Acquired on</w:t>
            </w:r>
          </w:p>
        </w:tc>
        <w:tc>
          <w:tcPr>
            <w:tcW w:w="980" w:type="dxa"/>
            <w:vAlign w:val="bottom"/>
            <w:gridSpan w:val="4"/>
          </w:tcPr>
          <w:p>
            <w:pPr>
              <w:ind w:left="60"/>
              <w:spacing w:after="0"/>
              <w:rPr>
                <w:sz w:val="20"/>
                <w:szCs w:val="20"/>
                <w:color w:val="auto"/>
              </w:rPr>
            </w:pPr>
            <w:r>
              <w:rPr>
                <w:rFonts w:ascii="Arial" w:cs="Arial" w:eastAsia="Arial" w:hAnsi="Arial"/>
                <w:sz w:val="18"/>
                <w:szCs w:val="18"/>
                <w:color w:val="auto"/>
                <w:w w:val="94"/>
              </w:rPr>
              <w:t>Realized on</w:t>
            </w:r>
          </w:p>
        </w:tc>
      </w:tr>
      <w:tr>
        <w:trPr>
          <w:trHeight w:val="237"/>
        </w:trPr>
        <w:tc>
          <w:tcPr>
            <w:tcW w:w="2800" w:type="dxa"/>
            <w:vAlign w:val="bottom"/>
          </w:tcPr>
          <w:p>
            <w:pPr>
              <w:ind w:left="118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Exercise (#)</w:t>
            </w:r>
          </w:p>
        </w:tc>
        <w:tc>
          <w:tcPr>
            <w:tcW w:w="1020" w:type="dxa"/>
            <w:vAlign w:val="bottom"/>
            <w:gridSpan w:val="4"/>
          </w:tcPr>
          <w:p>
            <w:pPr>
              <w:ind w:left="80"/>
              <w:spacing w:after="0"/>
              <w:rPr>
                <w:sz w:val="20"/>
                <w:szCs w:val="20"/>
                <w:color w:val="auto"/>
              </w:rPr>
            </w:pPr>
            <w:r>
              <w:rPr>
                <w:rFonts w:ascii="Arial" w:cs="Arial" w:eastAsia="Arial" w:hAnsi="Arial"/>
                <w:sz w:val="18"/>
                <w:szCs w:val="18"/>
                <w:color w:val="auto"/>
                <w:w w:val="95"/>
              </w:rPr>
              <w:t xml:space="preserve">Exercise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w:t>
            </w:r>
          </w:p>
        </w:tc>
        <w:tc>
          <w:tcPr>
            <w:tcW w:w="6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Vesting (#)</w:t>
            </w:r>
          </w:p>
        </w:tc>
        <w:tc>
          <w:tcPr>
            <w:tcW w:w="60" w:type="dxa"/>
            <w:vAlign w:val="bottom"/>
          </w:tcPr>
          <w:p>
            <w:pPr>
              <w:spacing w:after="0"/>
              <w:rPr>
                <w:sz w:val="20"/>
                <w:szCs w:val="20"/>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 xml:space="preserve">Vesting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r>
      <w:tr>
        <w:trPr>
          <w:trHeight w:val="216"/>
        </w:trPr>
        <w:tc>
          <w:tcPr>
            <w:tcW w:w="2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60" w:type="dxa"/>
            <w:vAlign w:val="bottom"/>
            <w:tcBorders>
              <w:top w:val="single" w:sz="8" w:color="F0FFFF"/>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50,251</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140,201</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David M. DeMedio</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13,825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37,328</w:t>
            </w:r>
          </w:p>
        </w:tc>
      </w:tr>
      <w:tr>
        <w:trPr>
          <w:trHeight w:val="216"/>
        </w:trPr>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102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24,155</w:t>
            </w:r>
          </w:p>
        </w:tc>
        <w:tc>
          <w:tcPr>
            <w:tcW w:w="2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50,000</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Michael Lawlor</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Stephen P. Herbert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Herbert’s employment agreement provides that he has been appointed Chairman and is employed as the Chief Executive Officer. The agreement provided for an initial term continuing through January 1, 2013, which is automatically renewed for consecutive one year periods unless terminated by either Mr. Herbert or the Company upon at least 90 days’ notice prior to the end of the initial term or any one year extension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David M. DeMedio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DeMedio’s employment agreement provides that he is employed as the Chief Services Officer of the Company effective August 31, 2015 and as Chief Financial Officer prior thereto. The agreement provided for an initial term from June 30, 2011 until June 30, 2014, and will automatically continue from year to year thereafter unless terminated as of the end of the original term or any such one year renewal period by the Company or Mr. DeMedio by at least 90-days’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Maeve Duska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Ms. Duska is employed as Vice President of Marketing. Ms. Duska is covered by all standard fringe and employee benefits made available to other employees of the Company, including medical and dental insurance, paid vacation and holidays, a 401(k) plan and a long-term disability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Lawlor</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Lawlor’s employment agreement provides that he is employed as Senior Vice President of Sales and Business Development through June 30, 2013. Mr. Lawlor’s employment with the Company shall automatically continue for consecutive one-year periods unless terminated by either party upon notice of at least 60 days prior to the end of each one-year extension.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Lawlor is eligible to earn an annual discretionary bonus in the maximum amount of 100% of his annual base salary based upon the Company’s and/or his performance. Mr. Lawlor is also entitled to be covered by all standard fringe and employee benefits made available to other employees of the Company, including medical and dental insurance, paid vacation and holidays, a 401(k) plan and a long-term disability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employment agreements of Messrs. Herbert and DeMedio include provisions for the payment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Herbert’s employment agreement provides that if Mr. Herbert would terminate his employment with the Company for good reason, or if the Company would terminate his employment without cause, or if the Company would provide Mr. Herbert with a notice of non-renewal of his employment agreement, then the Company would pay to him a lump sum equal to two times his base salary on or before the termination of his employment and all restricted stock awards and stock options would become vested as of the date of termination.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599" w:gutter="0" w:footer="0" w:header="0"/>
        </w:sectPr>
      </w:pPr>
    </w:p>
    <w:bookmarkStart w:id="84" w:name="page85"/>
    <w:bookmarkEnd w:id="84"/>
    <w:p>
      <w:pPr>
        <w:jc w:val="both"/>
        <w:ind w:right="20"/>
        <w:spacing w:after="0" w:line="279" w:lineRule="auto"/>
        <w:rPr>
          <w:sz w:val="20"/>
          <w:szCs w:val="20"/>
          <w:color w:val="auto"/>
        </w:rPr>
      </w:pPr>
      <w:r>
        <w:rPr>
          <w:rFonts w:ascii="Arial" w:cs="Arial" w:eastAsia="Arial" w:hAnsi="Arial"/>
          <w:sz w:val="17"/>
          <w:szCs w:val="17"/>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and all restricted stock awards and stock options would become vested as of the date of termination.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Mr. Herbert’s employment had been terminated as of June 30, 2015 (when the closing price per share was $2.70)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$682,454; (b) an aggregate of 28,452 shares granted to him under the 2015 LTI Stock Plan, which would become automatically vested as of the date of termination, with a value of $76,820; (c) 12,216 shares previously granted to him under the 2014 LTI Stock Plan, which would automatically become vested as of the date of termination, with a value of $32,983; and (d) options exercisable for 205,555 shares at $1.80 per share would automatically become vested as of the date of termination with a value of $185,000.</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DeMedio’s employment agreement provides that (i) if following a USA Transaction, Mr. DeMedio would terminate his employment with the Company for good reason, or (ii) if the Company would terminate his employment at any time without cause, or (iii) if the Company would provide Mr. DeMedio with a notice of non-renewal of his employment agreement, then the Company would pay to him a lump sum equal to one times his base salary on or before the termination of his employment and all restricted stock awards and stock options would become vested as of the date of termination.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“good reason” as defined in the amendment includes any of the following which have occurred within 12 months following a USA Transaction: (A) a material breach of the terms of the agreement by the Company; (B) the assignment by the Company to Mr. DeMedio of duties in any way materially inconsistent with his authorities, duties, or responsibilities and status as Chief Financial Officer, or a material reduction or alteration in the nature or status of his authority, duties, or responsibilities as Chief Financial Officer; (C) the Company reduces Mr. DeMedio’s annual base salary; or (D) a reduction by the Company in the kind or level of employee benefits to which Mr. DeMedio is entitled immediately prior to such reduction with the result that his overall benefit package is significantly reduced unless such failure to continue a plan, policy, practice or arrangement pertains to all plan participants generally. As a condition to Mr. DeMedio receiving any payments or benefits upon the termination of his employment for good reason, Mr. DeMedio shall have executed and delivered (and not revoked) a release of any and all claims, suits, or causes of action against the Company and its affiliates in form reasonably acceptable to the Company.</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amendment also provides that as a condition of the consummation of a USA Transaction, the successor to the Company’s business or assets would agree to assume and perform Mr. DeMedio’s employment agreement. If any such successor would not do so, Mr. DeMedio’s employment would terminate on the date of consummation of the change in control, and the Company would pay to Mr. DeMedio a lump sum equal to one times his base salary and all restricted stock awards and stock options would become vested.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Mr. DeMedio’s employment had been so terminated as of June 30, 2015 (when the closing price per share was $2.70), then Mr. DeMedio would have been entitled to receive: (a) an aggregate cash payment of one times his annual base salary or $239,537; and (b) 14,876 shares granted to him under the 2015 LTI Stock Plan, which would become automatically vested as of the date of termination, with a value of $40,165; (c) 6,387 shares previously granted to him under the 2014 LTI Stock Plan which would automatically become vested as of the date of termination, with a value of $17,245; and (d) options exercisable for 123,333 shares at $1.80 per share would automatically become vested as of the date of termination with a value of $111,000.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2015, Albin F. Moschner and Steven D. Barnhart served as members of the Compensation Committee of our Board of Directors. No member of the Compensation Committee was, during fiscal year 2015, an officer or employee of the Company or any of our subsidiaries, or was formerly an officer of the Company or any of our subsidiaries, or had any relationships requiring disclosure by us under Item 404 of Regulation S-K of the General Rules and Regulations of the Securities and Exchange Commission.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Form 10-K with the Company's management. Based upon such review and the related discussions, the Compensation Committee has recommended to the Board of Directors that the Compensation Discussion and Analysis be included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D. Barnhart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Members of the Board of Directors who are not employees of the Company receive cash and equity compensation for serving on the Board of Directors, as determined from time to time by the Compensation Committee with subsequent approval thereof by the Board of Directors. Each member of the Board has the option, in his or her discretion, to receive cash or stock, or some combination thereof, in payment of the compensation due for his or her service on the Board.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earned or paid in cash by the Company to non-employee Directors during the fiscal year ended June 30, 2015.</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w w:val="91"/>
              </w:rPr>
              <w:t>Fees Earned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or Paid 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Option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3580" w:type="dxa"/>
            <w:vAlign w:val="bottom"/>
            <w:gridSpan w:val="2"/>
          </w:tcPr>
          <w:p>
            <w:pPr>
              <w:ind w:left="1540"/>
              <w:spacing w:after="0"/>
              <w:rPr>
                <w:sz w:val="20"/>
                <w:szCs w:val="20"/>
                <w:color w:val="auto"/>
              </w:rPr>
            </w:pPr>
            <w:r>
              <w:rPr>
                <w:rFonts w:ascii="Arial" w:cs="Arial" w:eastAsia="Arial" w:hAnsi="Arial"/>
                <w:sz w:val="18"/>
                <w:szCs w:val="18"/>
                <w:color w:val="auto"/>
              </w:rPr>
              <w:t>Name</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90"/>
              </w:rPr>
              <w:t>Cash($</w:t>
            </w:r>
            <w:r>
              <w:rPr>
                <w:rFonts w:ascii="Arial" w:cs="Arial" w:eastAsia="Arial" w:hAnsi="Arial"/>
                <w:sz w:val="18"/>
                <w:szCs w:val="18"/>
                <w:color w:val="auto"/>
                <w:w w:val="90"/>
              </w:rPr>
              <w:t>)(2)</w:t>
            </w:r>
          </w:p>
        </w:tc>
        <w:tc>
          <w:tcPr>
            <w:tcW w:w="80" w:type="dxa"/>
            <w:vAlign w:val="bottom"/>
          </w:tcPr>
          <w:p>
            <w:pPr>
              <w:spacing w:after="0"/>
              <w:rPr>
                <w:sz w:val="20"/>
                <w:szCs w:val="20"/>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 xml:space="preserve">Awards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880" w:type="dxa"/>
            <w:vAlign w:val="bottom"/>
            <w:gridSpan w:val="3"/>
          </w:tcPr>
          <w:p>
            <w:pPr>
              <w:spacing w:after="0"/>
              <w:rPr>
                <w:sz w:val="20"/>
                <w:szCs w:val="20"/>
                <w:color w:val="auto"/>
              </w:rPr>
            </w:pPr>
            <w:r>
              <w:rPr>
                <w:rFonts w:ascii="Arial" w:cs="Arial" w:eastAsia="Arial" w:hAnsi="Arial"/>
                <w:sz w:val="18"/>
                <w:szCs w:val="18"/>
                <w:color w:val="auto"/>
                <w:w w:val="98"/>
              </w:rPr>
              <w:t xml:space="preserve">Awards </w:t>
            </w:r>
            <w:r>
              <w:rPr>
                <w:rFonts w:ascii="Arial" w:cs="Arial" w:eastAsia="Arial" w:hAnsi="Arial"/>
                <w:sz w:val="18"/>
                <w:szCs w:val="18"/>
                <w:u w:val="single" w:color="auto"/>
                <w:color w:val="auto"/>
                <w:w w:val="98"/>
              </w:rPr>
              <w:t>($</w:t>
            </w:r>
            <w:r>
              <w:rPr>
                <w:rFonts w:ascii="Arial" w:cs="Arial" w:eastAsia="Arial" w:hAnsi="Arial"/>
                <w:sz w:val="18"/>
                <w:szCs w:val="18"/>
                <w:color w:val="auto"/>
                <w:w w:val="98"/>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Total($)</w:t>
            </w:r>
          </w:p>
        </w:tc>
      </w:tr>
      <w:tr>
        <w:trPr>
          <w:trHeight w:val="216"/>
        </w:trPr>
        <w:tc>
          <w:tcPr>
            <w:tcW w:w="35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Deborah G. Arnold (1)</w:t>
            </w: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23,333</w:t>
            </w:r>
          </w:p>
        </w:tc>
        <w:tc>
          <w:tcPr>
            <w:tcW w:w="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23,333</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Steven D. Barnhart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72,500</w:t>
            </w:r>
          </w:p>
        </w:tc>
      </w:tr>
      <w:tr>
        <w:trPr>
          <w:trHeight w:val="216"/>
        </w:trPr>
        <w:tc>
          <w:tcPr>
            <w:tcW w:w="35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Joel Brooks</w:t>
            </w:r>
          </w:p>
        </w:tc>
        <w:tc>
          <w:tcPr>
            <w:tcW w:w="80" w:type="dxa"/>
            <w:vAlign w:val="bottom"/>
            <w:shd w:val="clear" w:color="auto" w:fill="F0FF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Albin F. Moschner</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47,500</w:t>
            </w:r>
          </w:p>
        </w:tc>
      </w:tr>
      <w:tr>
        <w:trPr>
          <w:trHeight w:val="216"/>
        </w:trPr>
        <w:tc>
          <w:tcPr>
            <w:tcW w:w="35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William J. Reilly, Jr.</w:t>
            </w:r>
          </w:p>
        </w:tc>
        <w:tc>
          <w:tcPr>
            <w:tcW w:w="80" w:type="dxa"/>
            <w:vAlign w:val="bottom"/>
            <w:shd w:val="clear" w:color="auto" w:fill="F0FF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40,000</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William J. Schoch</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32,500</w:t>
            </w:r>
          </w:p>
        </w:tc>
      </w:tr>
    </w:tbl>
    <w:p>
      <w:pPr>
        <w:spacing w:after="0" w:line="18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Resigned as a director effective January 23, 2015.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fiscal year ended June 30, 2015, we paid the following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Director: each Director received $25,000. Ms. Arnold received $14,583.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Lead Independent Director: Mr. Barnhart received $40,000.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Audit Committee: Mr. Brooks received $15,000 as Committee Chair, and each of Messrs. Moschner and Reilly received $7,500.</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Compensation Committee: Mr. Moschner received $15,000 as Committee Chair and Mr. Barnhart received $7,500.</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Nominating and Corporate Governance Committee: Ms. Arnold received $8,750 as Committee Chair, and each Messrs. Reilly and Schoch received $7,500.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ended June 30, 2015, the following directors elected to receive their fees, or a portion thereof, in the Company’s common stock in lieu of cash:</w:t>
      </w:r>
    </w:p>
    <w:p>
      <w:pPr>
        <w:spacing w:after="0" w:line="170" w:lineRule="exact"/>
        <w:rPr>
          <w:sz w:val="20"/>
          <w:szCs w:val="20"/>
          <w:color w:val="auto"/>
        </w:rPr>
      </w:pPr>
    </w:p>
    <w:p>
      <w:pPr>
        <w:ind w:left="1300" w:right="20" w:hanging="320"/>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Barnhart elected to receive 34,631 shares for $72,500 of fees; Ms. Arnold elected to receive 12,979 shares for $23,333 of fees; Mr. Reilly elected to receive 9,915 shares for $20,000 of fees; and Mr. Schoch elected to receive 15,525 shares for $32,500 of fees.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as of September 15, 2015, the beneficial ownership of the common stock of each of the Company’s directors and executive officers, the other employees named in the Summary Compensation Table set forth above, as well as by the Company’s directors and executive officers as a group.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 of Shares of</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Common Stock</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Name and Address of Beneficial Owner(1)</w:t>
            </w: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Beneficially Owned(2)</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Class</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80" w:type="dxa"/>
            <w:vAlign w:val="bottom"/>
            <w:shd w:val="clear" w:color="auto" w:fill="000000"/>
          </w:tcPr>
          <w:p>
            <w:pPr>
              <w:spacing w:after="0"/>
              <w:rPr>
                <w:sz w:val="2"/>
                <w:szCs w:val="2"/>
                <w:color w:val="auto"/>
              </w:rPr>
            </w:pPr>
          </w:p>
        </w:tc>
        <w:tc>
          <w:tcPr>
            <w:tcW w:w="80" w:type="dxa"/>
            <w:vAlign w:val="bottom"/>
            <w:vMerge w:val="restart"/>
            <w:shd w:val="clear" w:color="auto" w:fill="F0FFFF"/>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Steven D. Barnhart</w:t>
            </w:r>
          </w:p>
        </w:tc>
        <w:tc>
          <w:tcPr>
            <w:tcW w:w="80" w:type="dxa"/>
            <w:vAlign w:val="bottom"/>
            <w:vMerge w:val="continue"/>
            <w:shd w:val="clear" w:color="auto" w:fill="F0FFFF"/>
          </w:tcPr>
          <w:p>
            <w:pPr>
              <w:spacing w:after="0"/>
              <w:rPr>
                <w:sz w:val="18"/>
                <w:szCs w:val="18"/>
                <w:color w:val="auto"/>
              </w:rPr>
            </w:pPr>
          </w:p>
        </w:tc>
        <w:tc>
          <w:tcPr>
            <w:tcW w:w="1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281,495(3)</w:t>
            </w:r>
          </w:p>
        </w:tc>
        <w:tc>
          <w:tcPr>
            <w:tcW w:w="9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1143 N. Sheridan Road</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Lake Forest, IL 60045</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Joel Brooks</w:t>
            </w:r>
          </w:p>
        </w:tc>
        <w:tc>
          <w:tcPr>
            <w:tcW w:w="80" w:type="dxa"/>
            <w:vAlign w:val="bottom"/>
          </w:tcPr>
          <w:p>
            <w:pPr>
              <w:spacing w:after="0"/>
              <w:rPr>
                <w:sz w:val="17"/>
                <w:szCs w:val="17"/>
                <w:color w:val="auto"/>
              </w:rPr>
            </w:pPr>
          </w:p>
        </w:tc>
        <w:tc>
          <w:tcPr>
            <w:tcW w:w="1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41,667(3)</w:t>
            </w:r>
          </w:p>
        </w:tc>
        <w:tc>
          <w:tcPr>
            <w:tcW w:w="9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100 Deerfield Lane, Suite 140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Malvern, PA 19355</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20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213,169(4)</w:t>
            </w:r>
          </w:p>
        </w:tc>
        <w:tc>
          <w:tcPr>
            <w:tcW w:w="9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100 Deerfield Lane, Suite 140</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Malvern, Pennsylvania 19355</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Maeve Duska</w:t>
            </w:r>
          </w:p>
        </w:tc>
        <w:tc>
          <w:tcPr>
            <w:tcW w:w="80" w:type="dxa"/>
            <w:vAlign w:val="bottom"/>
          </w:tcPr>
          <w:p>
            <w:pPr>
              <w:spacing w:after="0"/>
              <w:rPr>
                <w:sz w:val="17"/>
                <w:szCs w:val="17"/>
                <w:color w:val="auto"/>
              </w:rPr>
            </w:pPr>
          </w:p>
        </w:tc>
        <w:tc>
          <w:tcPr>
            <w:tcW w:w="1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200</w:t>
            </w:r>
          </w:p>
        </w:tc>
        <w:tc>
          <w:tcPr>
            <w:tcW w:w="9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100 Deerfield Lane, Suite 140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Malvern, Pennsylvania 19355</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20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468,860(5)</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100 Deerfield Lane, Suite 140</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Malvern, Pennsylvania 19355</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Michael Lawlor</w:t>
            </w:r>
          </w:p>
        </w:tc>
        <w:tc>
          <w:tcPr>
            <w:tcW w:w="80" w:type="dxa"/>
            <w:vAlign w:val="bottom"/>
          </w:tcPr>
          <w:p>
            <w:pPr>
              <w:spacing w:after="0"/>
              <w:rPr>
                <w:sz w:val="17"/>
                <w:szCs w:val="17"/>
                <w:color w:val="auto"/>
              </w:rPr>
            </w:pPr>
          </w:p>
        </w:tc>
        <w:tc>
          <w:tcPr>
            <w:tcW w:w="1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35,552</w:t>
            </w:r>
          </w:p>
        </w:tc>
        <w:tc>
          <w:tcPr>
            <w:tcW w:w="9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100 Deerfield Lane, Suite 140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Malvern, Pennsylvania 19355</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Albin F. Moschner</w:t>
            </w:r>
          </w:p>
        </w:tc>
        <w:tc>
          <w:tcPr>
            <w:tcW w:w="20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447,474(6)</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660 Northcroft Court</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Lake Forest, Illinois 60045</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William J. Reilly, Jr.</w:t>
            </w:r>
          </w:p>
        </w:tc>
        <w:tc>
          <w:tcPr>
            <w:tcW w:w="80" w:type="dxa"/>
            <w:vAlign w:val="bottom"/>
          </w:tcPr>
          <w:p>
            <w:pPr>
              <w:spacing w:after="0"/>
              <w:rPr>
                <w:sz w:val="17"/>
                <w:szCs w:val="17"/>
                <w:color w:val="auto"/>
              </w:rPr>
            </w:pPr>
          </w:p>
        </w:tc>
        <w:tc>
          <w:tcPr>
            <w:tcW w:w="1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63,159(7)</w:t>
            </w:r>
          </w:p>
        </w:tc>
        <w:tc>
          <w:tcPr>
            <w:tcW w:w="9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1280 South Concord Road</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680" w:type="dxa"/>
            <w:vAlign w:val="bottom"/>
            <w:gridSpan w:val="2"/>
          </w:tcPr>
          <w:p>
            <w:pPr>
              <w:ind w:left="600"/>
              <w:spacing w:after="0"/>
              <w:rPr>
                <w:sz w:val="20"/>
                <w:szCs w:val="20"/>
                <w:color w:val="auto"/>
              </w:rPr>
            </w:pPr>
            <w:r>
              <w:rPr>
                <w:rFonts w:ascii="Arial" w:cs="Arial" w:eastAsia="Arial" w:hAnsi="Arial"/>
                <w:sz w:val="18"/>
                <w:szCs w:val="18"/>
                <w:color w:val="auto"/>
              </w:rPr>
              <w:t>West Chester, PA 19382</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William J. Schoch</w:t>
            </w:r>
          </w:p>
        </w:tc>
        <w:tc>
          <w:tcPr>
            <w:tcW w:w="202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64,150(3)</w:t>
            </w:r>
          </w:p>
        </w:tc>
        <w:tc>
          <w:tcPr>
            <w:tcW w:w="9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300 Montgomery Street, #400</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San Francisco, CA 94104</w:t>
            </w:r>
          </w:p>
        </w:tc>
        <w:tc>
          <w:tcPr>
            <w:tcW w:w="8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1,587,474</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680" w:type="dxa"/>
            <w:vAlign w:val="bottom"/>
            <w:gridSpan w:val="2"/>
          </w:tcPr>
          <w:p>
            <w:pPr>
              <w:ind w:left="280"/>
              <w:spacing w:after="0"/>
              <w:rPr>
                <w:sz w:val="20"/>
                <w:szCs w:val="20"/>
                <w:color w:val="auto"/>
              </w:rPr>
            </w:pPr>
            <w:r>
              <w:rPr>
                <w:rFonts w:ascii="Arial" w:cs="Arial" w:eastAsia="Arial" w:hAnsi="Arial"/>
                <w:sz w:val="18"/>
                <w:szCs w:val="18"/>
                <w:color w:val="auto"/>
              </w:rPr>
              <w:t>Less than one percent (1%)</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and derives from either voting or investment power with respect to securities. Shares of Common Stock issuable upon conversion of the Series A Preferred Stock, or shares of Common Stock issuable upon exercise of warrants currently exercisable, or exercisable within sixty days of September 15, 2015, are deemed to be beneficially owned for purposes hereof.</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percentage of common stock beneficially owned is based on 35,854,655 shares outstanding as of September 15,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6,667 shares of common stock underlying vested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33,333 shares underlying incentive stock options and 30,000 shares underlying non-qualified stock options.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62,010 shares of common stock beneficially owned by Mr. Herbert’s child, 27,440 shares of common stock beneficially owned by his spouse and 105,000 shares underlying vested stock options.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1,358 shares of common stock underlying preferred stock and 6,667 shares underlying vested stock options.</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100 shares of common stock beneficially owned by Mr. Reilly’s child, 97 shares underlying preferred stock and 6,667 shares underlying vested stock options.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than the 7,000 shares of preferred stock beneficially owned by Mr. Moschner and 500 shares of preferred stock beneficially owned by Mr. Reilly, there were no shares of preferred stock that were beneficially owned as of September 15, 2015 by the Company’s directors or named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determined that Steven D. Barnhart, Joel Brooks, Albin F. Moschner, William J. Reilly, Jr., and William J. Schoch, which members constitute all of the currently serving Board of Directors other than Mr. Herbert, are independent in accordance with the applicable listing standards of The NASDAQ Stock Market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 standing Audit Committee, Nominating and Corporate Governance Committee, and Compensation Committee.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Audit Committee of the Board of Directors presently consists of Mr. Brooks (Chairman), Mr. Moschner and Mr. Reilly.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reviewing the adequacy and effectiveness of the Company’s internal controls. The Audit Committee operates pursuant to a charter that was last amended and restated by the Board of Directors on April 11, 2006, a copy of which is accessible on the Company’s website, </w:t>
      </w:r>
      <w:r>
        <w:rPr>
          <w:rFonts w:ascii="Arial" w:cs="Arial" w:eastAsia="Arial" w:hAnsi="Arial"/>
          <w:sz w:val="16"/>
          <w:szCs w:val="16"/>
          <w:u w:val="single" w:color="auto"/>
          <w:color w:val="auto"/>
        </w:rPr>
        <w:t>www.usatech.com</w:t>
      </w:r>
      <w:r>
        <w:rPr>
          <w:rFonts w:ascii="Arial" w:cs="Arial" w:eastAsia="Arial" w:hAnsi="Arial"/>
          <w:sz w:val="16"/>
          <w:szCs w:val="16"/>
          <w:color w:val="auto"/>
        </w:rPr>
        <w:t>.</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Compensation Committee of the Board of Directors presently consists of Mr. Moschner (Chairman) and Mr. Barnhart.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and amended in May 2013, a copy of which is accessible on the Company’s website, </w:t>
      </w:r>
      <w:r>
        <w:rPr>
          <w:rFonts w:ascii="Arial" w:cs="Arial" w:eastAsia="Arial" w:hAnsi="Arial"/>
          <w:sz w:val="16"/>
          <w:szCs w:val="16"/>
          <w:u w:val="single" w:color="auto"/>
          <w:color w:val="auto"/>
        </w:rPr>
        <w:t>www.usatech.com</w:t>
      </w:r>
      <w:r>
        <w:rPr>
          <w:rFonts w:ascii="Arial" w:cs="Arial" w:eastAsia="Arial" w:hAnsi="Arial"/>
          <w:sz w:val="16"/>
          <w:szCs w:val="16"/>
          <w:color w:val="auto"/>
        </w:rPr>
        <w: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Nominating and Corporate Governance Committee of the Board of Directors presently consists of Mr. Schoch (Chairman) and Mr. Reilly.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June 30, 2015 and 2014, fees in connection with services rendered by McGladrey LLP were as set forth below:</w:t>
      </w:r>
    </w:p>
    <w:p>
      <w:pPr>
        <w:spacing w:after="0" w:line="225" w:lineRule="exact"/>
        <w:rPr>
          <w:sz w:val="20"/>
          <w:szCs w:val="20"/>
          <w:color w:val="auto"/>
        </w:rPr>
      </w:pPr>
    </w:p>
    <w:tbl>
      <w:tblPr>
        <w:tblLayout w:type="fixed"/>
        <w:tblInd w:w="3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Fiscal</w:t>
            </w:r>
          </w:p>
        </w:tc>
      </w:tr>
      <w:tr>
        <w:trPr>
          <w:trHeight w:val="237"/>
        </w:trPr>
        <w:tc>
          <w:tcPr>
            <w:tcW w:w="20" w:type="dxa"/>
            <w:vAlign w:val="bottom"/>
          </w:tcPr>
          <w:p>
            <w:pPr>
              <w:spacing w:after="0"/>
              <w:rPr>
                <w:sz w:val="20"/>
                <w:szCs w:val="20"/>
                <w:color w:val="auto"/>
              </w:rPr>
            </w:pPr>
          </w:p>
        </w:tc>
        <w:tc>
          <w:tcPr>
            <w:tcW w:w="294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274,000</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225,530</w:t>
            </w:r>
          </w:p>
        </w:tc>
        <w:tc>
          <w:tcPr>
            <w:tcW w:w="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9,500</w:t>
            </w:r>
          </w:p>
        </w:tc>
        <w:tc>
          <w:tcPr>
            <w:tcW w:w="40" w:type="dxa"/>
            <w:vAlign w:val="bottom"/>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F0FFFF"/>
            </w:tcBorders>
          </w:tcPr>
          <w:p>
            <w:pPr>
              <w:spacing w:after="0"/>
              <w:rPr>
                <w:sz w:val="20"/>
                <w:szCs w:val="20"/>
                <w:color w:val="auto"/>
              </w:rPr>
            </w:pPr>
          </w:p>
        </w:tc>
      </w:tr>
      <w:tr>
        <w:trPr>
          <w:trHeight w:val="255"/>
        </w:trPr>
        <w:tc>
          <w:tcPr>
            <w:tcW w:w="20" w:type="dxa"/>
            <w:vAlign w:val="bottom"/>
          </w:tcPr>
          <w:p>
            <w:pPr>
              <w:spacing w:after="0"/>
              <w:rPr>
                <w:sz w:val="21"/>
                <w:szCs w:val="21"/>
                <w:color w:val="auto"/>
              </w:rPr>
            </w:pPr>
          </w:p>
        </w:tc>
        <w:tc>
          <w:tcPr>
            <w:tcW w:w="29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307,203</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240,830</w:t>
            </w:r>
          </w:p>
        </w:tc>
        <w:tc>
          <w:tcPr>
            <w:tcW w:w="40" w:type="dxa"/>
            <w:vAlign w:val="bottom"/>
            <w:tcBorders>
              <w:bottom w:val="single" w:sz="8" w:color="F0FFFF"/>
            </w:tcBorders>
            <w:shd w:val="clear" w:color="auto" w:fill="F0FF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consisted of fees for the audit of our annual financial statements and review of quarterly financial statements as well as services normally provided in connection with statutory and regulatory filings or engagements, consents and assistance with and reviews of Company documents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Audit related fees were primarily incurred in connection with our equity offerings, and fees in connection with attending the annual shareholders meeting.</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on a case-by-case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105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tcPr>
          <w:p>
            <w:pPr>
              <w:ind w:left="280"/>
              <w:spacing w:after="0"/>
              <w:rPr>
                <w:sz w:val="20"/>
                <w:szCs w:val="20"/>
                <w:color w:val="auto"/>
              </w:rPr>
            </w:pPr>
            <w:r>
              <w:rPr>
                <w:rFonts w:ascii="Arial" w:cs="Arial" w:eastAsia="Arial" w:hAnsi="Arial"/>
                <w:sz w:val="18"/>
                <w:szCs w:val="18"/>
                <w:color w:val="auto"/>
              </w:rPr>
              <w:t>Description</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Amended and Restated Articles of Incorporation of the Company filed January 26, 2004 (Incorporated by reference to Exhibit 3.1.20 to Form</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10-QSB filed on February 12,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First Amendment to Amended and Restated Articles of Incorporation of the Company filed on March 17, 2005 (Incorporated by reference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Exhibit 3.1.1 to Form S-1 Registration Statement No. 333-124078).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280"/>
              <w:spacing w:after="0"/>
              <w:rPr>
                <w:sz w:val="20"/>
                <w:szCs w:val="20"/>
                <w:color w:val="auto"/>
              </w:rPr>
            </w:pPr>
            <w:r>
              <w:rPr>
                <w:rFonts w:ascii="Arial" w:cs="Arial" w:eastAsia="Arial" w:hAnsi="Arial"/>
                <w:sz w:val="18"/>
                <w:szCs w:val="18"/>
                <w:color w:val="auto"/>
                <w:w w:val="96"/>
              </w:rPr>
              <w:t>Second Amendment to Amended and Restated Articles of Incorporation of the Company filed on December 13, 2005 (Incorporated by</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reference to Exhibit 3.1.2 to Form S-1 Registration Statement No. 333-130992).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3.1.3</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Third Amendment to Amended and Restated Articles of Incorporation of the Company filed on February 7, 2006 (Incorporated by reference</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to Exhibit 3.1.3 to Form 10-K filed on September 30,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3.1.4</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Fourth Amendment to Amended and Restated Articles of Incorporation of the Company filed on July 25, 2007. (Incorporated by reference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Exhibit 3.1.3 to Form 10-K filed September 23,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3.1.5</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Fifth Amendment to Amended and Restated Articles of Incorporation of the Company filed on March 6, 2008. (Incorporated by reference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Exhibit 3.1.4 to Form 10-K filed September 23,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tcPr>
          <w:p>
            <w:pPr>
              <w:ind w:left="280"/>
              <w:spacing w:after="0"/>
              <w:rPr>
                <w:sz w:val="20"/>
                <w:szCs w:val="20"/>
                <w:color w:val="auto"/>
              </w:rPr>
            </w:pPr>
            <w:r>
              <w:rPr>
                <w:rFonts w:ascii="Arial" w:cs="Arial" w:eastAsia="Arial" w:hAnsi="Arial"/>
                <w:sz w:val="18"/>
                <w:szCs w:val="18"/>
                <w:color w:val="auto"/>
                <w:w w:val="93"/>
              </w:rPr>
              <w:t>Amended and Restated By-Laws of the Company dated as of April 24, 2014 (Incorporated by reference to Exhibit 3(i) to Form8-K filed on</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April 30,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280"/>
              <w:spacing w:after="0"/>
              <w:rPr>
                <w:sz w:val="20"/>
                <w:szCs w:val="20"/>
                <w:color w:val="auto"/>
              </w:rPr>
            </w:pPr>
            <w:r>
              <w:rPr>
                <w:rFonts w:ascii="Arial" w:cs="Arial" w:eastAsia="Arial" w:hAnsi="Arial"/>
                <w:sz w:val="18"/>
                <w:szCs w:val="18"/>
                <w:color w:val="auto"/>
                <w:w w:val="94"/>
              </w:rPr>
              <w:t>Warrant dated January 1, 2013 in favor of Avidbank Holdings, Inc. (Incorporated by reference to Exhibit 4.1 to Form 8-K filed on April 19,</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280"/>
              <w:spacing w:after="0"/>
              <w:rPr>
                <w:sz w:val="20"/>
                <w:szCs w:val="20"/>
                <w:color w:val="auto"/>
              </w:rPr>
            </w:pPr>
            <w:r>
              <w:rPr>
                <w:rFonts w:ascii="Arial" w:cs="Arial" w:eastAsia="Arial" w:hAnsi="Arial"/>
                <w:sz w:val="18"/>
                <w:szCs w:val="18"/>
                <w:color w:val="auto"/>
                <w:w w:val="94"/>
              </w:rPr>
              <w:t>Agreement of Lease between Deerfield Corporate Center 1 Associates LP, as landlord, and the Company, as tenant, dated March 2003</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10.22 to Form 10-KSB filed on September 28,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Amendment to Office Space Lease dated as of April 1, 2005 by and between the Company and Deerfield Corporate Center Associates, LP.</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10.19.1 to Form S-1 Registration Statement No. 333-124078).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280"/>
              <w:spacing w:after="0"/>
              <w:rPr>
                <w:sz w:val="20"/>
                <w:szCs w:val="20"/>
                <w:color w:val="auto"/>
              </w:rPr>
            </w:pPr>
            <w:r>
              <w:rPr>
                <w:rFonts w:ascii="Arial" w:cs="Arial" w:eastAsia="Arial" w:hAnsi="Arial"/>
                <w:sz w:val="18"/>
                <w:szCs w:val="18"/>
                <w:color w:val="auto"/>
                <w:w w:val="98"/>
              </w:rPr>
              <w:t>Employment and Non-Competition Agreement between the Company and David M. DeMedio dated April 12, 2005 (Incorporated by</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reference to Exhibit 10.22 to Form S-1 Registration Statement No. 333-124078).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280"/>
              <w:spacing w:after="0"/>
              <w:rPr>
                <w:sz w:val="20"/>
                <w:szCs w:val="20"/>
                <w:color w:val="auto"/>
              </w:rPr>
            </w:pPr>
            <w:r>
              <w:rPr>
                <w:rFonts w:ascii="Arial" w:cs="Arial" w:eastAsia="Arial" w:hAnsi="Arial"/>
                <w:sz w:val="18"/>
                <w:szCs w:val="18"/>
                <w:color w:val="auto"/>
                <w:w w:val="95"/>
              </w:rPr>
              <w:t>First Amendment to Employment and Non-Competition Agreement between the Company and David M. DeMedio dated May 11, 2006</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10.3 to Form 10-Q filed on May 15, 2006).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280"/>
              <w:spacing w:after="0"/>
              <w:rPr>
                <w:sz w:val="20"/>
                <w:szCs w:val="20"/>
                <w:color w:val="auto"/>
              </w:rPr>
            </w:pPr>
            <w:r>
              <w:rPr>
                <w:rFonts w:ascii="Arial" w:cs="Arial" w:eastAsia="Arial" w:hAnsi="Arial"/>
                <w:sz w:val="18"/>
                <w:szCs w:val="18"/>
                <w:color w:val="auto"/>
                <w:w w:val="93"/>
              </w:rPr>
              <w:t>USA Technologies, Inc. 2013 Stock Incentive Plan (Incorporated by reference to Exhibit 10.6 to Form 10-K filed on September 30,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Second Amendment to Employment and Non-Competition Agreement dated March 13, 2007, between the Company and David M. DeMedio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10.34 to Form S-1 filed April 12,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Form of Indemnification Agreement between the Company and each of its officers and Directors (Incorporated by reference to Exhibit 10.1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Form 10-Q filed May 14,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280"/>
              <w:spacing w:after="0"/>
              <w:rPr>
                <w:sz w:val="20"/>
                <w:szCs w:val="20"/>
                <w:color w:val="auto"/>
              </w:rPr>
            </w:pPr>
            <w:r>
              <w:rPr>
                <w:rFonts w:ascii="Arial" w:cs="Arial" w:eastAsia="Arial" w:hAnsi="Arial"/>
                <w:sz w:val="18"/>
                <w:szCs w:val="18"/>
                <w:color w:val="auto"/>
                <w:w w:val="94"/>
              </w:rPr>
              <w:t>Third Amendment to Employment and Non-Competition Agreement between the Company and David M. DeMedio dated September 22,</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2008. (Incorporated by reference to Exhibit 10.29 to Form 10-K filed September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280"/>
              <w:spacing w:after="0"/>
              <w:rPr>
                <w:sz w:val="20"/>
                <w:szCs w:val="20"/>
                <w:color w:val="auto"/>
              </w:rPr>
            </w:pPr>
            <w:r>
              <w:rPr>
                <w:rFonts w:ascii="Arial" w:cs="Arial" w:eastAsia="Arial" w:hAnsi="Arial"/>
                <w:sz w:val="18"/>
                <w:szCs w:val="18"/>
                <w:color w:val="auto"/>
                <w:w w:val="93"/>
              </w:rPr>
              <w:t>Letter from the Company to David M. DeMedio dated September 24, 2009. (Incorporated by reference to Exhibit 10.32 to Form 10-K filed</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September 25,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Amended and Restated Employment and Non-Competition Agreement between the Company and Stephen P. Herbert dated November 30,</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2011. (Incorporated by reference to Exhibit 10.1 to Form 8-K filed December 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Fifth Amendment to Employment and Non-Competition Agreement dated as of July 1, 2011 between the Company and David M. DeMedio.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10.31 to Form 10-K filed September 27,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280"/>
              <w:spacing w:after="0"/>
              <w:rPr>
                <w:sz w:val="20"/>
                <w:szCs w:val="20"/>
                <w:color w:val="auto"/>
              </w:rPr>
            </w:pPr>
            <w:r>
              <w:rPr>
                <w:rFonts w:ascii="Arial" w:cs="Arial" w:eastAsia="Arial" w:hAnsi="Arial"/>
                <w:sz w:val="18"/>
                <w:szCs w:val="18"/>
                <w:color w:val="auto"/>
                <w:w w:val="97"/>
              </w:rPr>
              <w:t>Sixth Amendment to Employment and Non-Competition Agreement dated September 27, 2011 between the Company and David M.</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DeMedio. (Incorporated by reference to Exhibit 10.32 to Form 10-K filed September 27,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Employment and Non-Competition Agreement dated June 7, 2010 between the Company and Michael Lawlor (Incorporated by reference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Exhibit 10.22 to Form 10-K filed on September 30, 2013).</w:t>
            </w:r>
          </w:p>
        </w:tc>
      </w:tr>
      <w:tr>
        <w:trPr>
          <w:trHeight w:val="648"/>
        </w:trPr>
        <w:tc>
          <w:tcPr>
            <w:tcW w:w="880" w:type="dxa"/>
            <w:vAlign w:val="bottom"/>
            <w:tcBorders>
              <w:bottom w:val="single" w:sz="8" w:color="DCDCDC"/>
            </w:tcBorders>
          </w:tcPr>
          <w:p>
            <w:pPr>
              <w:spacing w:after="0"/>
              <w:rPr>
                <w:sz w:val="24"/>
                <w:szCs w:val="24"/>
                <w:color w:val="auto"/>
              </w:rPr>
            </w:pPr>
          </w:p>
        </w:tc>
        <w:tc>
          <w:tcPr>
            <w:tcW w:w="10540" w:type="dxa"/>
            <w:vAlign w:val="bottom"/>
            <w:tcBorders>
              <w:bottom w:val="single" w:sz="8" w:color="DCDCDC"/>
            </w:tcBorders>
          </w:tcPr>
          <w:p>
            <w:pPr>
              <w:ind w:left="476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904" w:right="2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10.14</w:t>
            </w:r>
          </w:p>
        </w:tc>
        <w:tc>
          <w:tcPr>
            <w:tcW w:w="10640" w:type="dxa"/>
            <w:vAlign w:val="bottom"/>
          </w:tcPr>
          <w:p>
            <w:pPr>
              <w:ind w:left="380"/>
              <w:spacing w:after="0"/>
              <w:rPr>
                <w:sz w:val="20"/>
                <w:szCs w:val="20"/>
                <w:color w:val="auto"/>
              </w:rPr>
            </w:pPr>
            <w:r>
              <w:rPr>
                <w:rFonts w:ascii="Arial" w:cs="Arial" w:eastAsia="Arial" w:hAnsi="Arial"/>
                <w:sz w:val="18"/>
                <w:szCs w:val="18"/>
                <w:color w:val="auto"/>
                <w:w w:val="98"/>
              </w:rPr>
              <w:t>First Amendment to Employment and Non-competition Agreement dated April 27, 2012 between the Company and Michael Lawlor</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10.23 to Form 10-K filed on September 30,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10.15</w:t>
            </w:r>
          </w:p>
        </w:tc>
        <w:tc>
          <w:tcPr>
            <w:tcW w:w="10640" w:type="dxa"/>
            <w:vAlign w:val="bottom"/>
          </w:tcPr>
          <w:p>
            <w:pPr>
              <w:ind w:left="380"/>
              <w:spacing w:after="0"/>
              <w:rPr>
                <w:sz w:val="20"/>
                <w:szCs w:val="20"/>
                <w:color w:val="auto"/>
              </w:rPr>
            </w:pPr>
            <w:r>
              <w:rPr>
                <w:rFonts w:ascii="Arial" w:cs="Arial" w:eastAsia="Arial" w:hAnsi="Arial"/>
                <w:sz w:val="18"/>
                <w:szCs w:val="18"/>
                <w:color w:val="auto"/>
                <w:w w:val="97"/>
              </w:rPr>
              <w:t>Second Amendment to Office Space Lease dated as of November 17, 2010 by and between the Company and Liberty Malvern, LP.</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 to Form 10-Q filed on January 20, 2011).</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10.16</w:t>
            </w:r>
          </w:p>
        </w:tc>
        <w:tc>
          <w:tcPr>
            <w:tcW w:w="10640" w:type="dxa"/>
            <w:vAlign w:val="bottom"/>
          </w:tcPr>
          <w:p>
            <w:pPr>
              <w:ind w:left="380"/>
              <w:spacing w:after="0"/>
              <w:rPr>
                <w:sz w:val="20"/>
                <w:szCs w:val="20"/>
                <w:color w:val="auto"/>
              </w:rPr>
            </w:pPr>
            <w:r>
              <w:rPr>
                <w:rFonts w:ascii="Arial" w:cs="Arial" w:eastAsia="Arial" w:hAnsi="Arial"/>
                <w:sz w:val="18"/>
                <w:szCs w:val="18"/>
                <w:color w:val="auto"/>
                <w:w w:val="95"/>
              </w:rPr>
              <w:t>USA Technologies, Inc. 2014 Stock Option Incentive Plan (Incorporated  by reference to Appendix A to the Company’s Definitive Proxy</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Statement on form DEF 14A filed on May 15,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10.17</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Loan and Security Agreement between the Company and Avidbank Corporate Finance, a division of Avidbank, dated as of June 21, 2012</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10.40 to Form 10-K filed on September 25, 2012).</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10.18</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First Amendment to Loan and Security Agreement dated as of January 1, 2013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10.1 to Form 8-K filed on April 18,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10.19</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Second Amendment to Loan and Security Agreement dated as of April 2, 2013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10.2 to Form 8-K filed on April 18,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10.20</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Third Amendment to Loan and Security Agreement dated as of April 11, 2013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10.3 to Form 8-K filed on April 18,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10.21</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Fourth Amendment to Loan and Security Agreement dated as of April 29, 2013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10.1 to Form 10-Q filed on May 14,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10.22</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Fifth Amendment to Loan and Security Agreement dated as of September 26, 2013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10.30 to Form 10-K filed September 30,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10.23</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Intellectual Property Security Agreement between the Company and Avidbank Corporate Finance, a division of Avidbank, dated as of June</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21, 2012 (Incorporated by reference to Exhibit 10.41 to Form 10-K filed on September 25, 2012).</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10.24</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Seventh Amendment to Employment and Non-Competition Agreement dated as of November 7, 2013 between the Company and David M.</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DeMedio. (Incorporated by reference to Exhibit 10.1 to Form 10-Q filed November 13, 2013).</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10.25</w:t>
            </w: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Sixth Amendment to Loan and Security Agreement dated as of May 15, 2014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10.28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10.26</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Seventh Amendment to Loan and Security Agreement dated as of June 17, 2014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10.29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10.27</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Eighth Amendment to Loan and Security Agreement dated as of June 30, 2014 between the Company and Avidbank Corporate Finance, a</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division of Avidbank (Incorporated by reference to Exhibit 10.30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10.28</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Master Lease Agreement by and between the Company and Varilease Finance, Inc. as of June 26, 2014 (Incorporated by reference to Exhibit</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10.31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10.29</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1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10.32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10.30</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2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10.33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10.31</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3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10.34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10.32</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4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10.35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10.33</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5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10.36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10.34</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Sale Leaseback Agreement and Schedule No. 6 by and between the Company and Varilease Finance, Inc. as of June 26, 2014 (Incorporated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by reference to Exhibit 10.37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10.35</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Amendment No. 1 to Schedule No. 1 to Sale Leaseback Agreement by and between the Company and Varilease Finance, Inc. as of July 9,</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2014 (Incorporated by reference to Exhibit 10.38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10.36</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Amendment No. 1 to Schedule No. 2 to Sale Leaseback Agreement by and between the Company and Varilease Finance, Inc. as of July 9,</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2014 (Incorporated by reference to Exhibit 10.39 to Form 10-K filed on September 29, 2014).</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10.37</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Amendment No. 1 to Schedule No. 3 to Sale Leaseback Agreement by and between the Company and Varilease Finance, Inc. as of July 25,</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2014 (Incorporated by reference to Exhibit 10.40 to Form 10-K filed on September 29, 2014).</w:t>
            </w:r>
          </w:p>
        </w:tc>
      </w:tr>
    </w:tbl>
    <w:p>
      <w:pPr>
        <w:sectPr>
          <w:pgSz w:w="11900" w:h="16838" w:orient="portrait"/>
          <w:cols w:equalWidth="0" w:num="1">
            <w:col w:w="11420"/>
          </w:cols>
          <w:pgMar w:left="240" w:top="908" w:right="239" w:bottom="9" w:gutter="0" w:footer="0" w:header="0"/>
        </w:sectPr>
      </w:pPr>
    </w:p>
    <w:bookmarkStart w:id="91" w:name="page92"/>
    <w:bookmarkEnd w:id="91"/>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Amendment No. 1 to Schedule No. 4 to Sale Leaseback Agreement by and between the Company and Varilease Finance, Inc. as of July 29,</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2014 (Incorporated by reference to Exhibit 10.41 to Form 10-K filed on September 29,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Amendment No. 1 to Schedule No. 5 to Sale Leaseback Agreement by and between the Company and Varilease Finance, Inc. as of July 30,</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2014 (Incorporated by reference to Exhibit 10.42 to Form 10-K filed on September 29,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280"/>
              <w:spacing w:after="0"/>
              <w:rPr>
                <w:sz w:val="20"/>
                <w:szCs w:val="20"/>
                <w:color w:val="auto"/>
              </w:rPr>
            </w:pPr>
            <w:r>
              <w:rPr>
                <w:rFonts w:ascii="Arial" w:cs="Arial" w:eastAsia="Arial" w:hAnsi="Arial"/>
                <w:sz w:val="18"/>
                <w:szCs w:val="18"/>
                <w:color w:val="auto"/>
                <w:w w:val="90"/>
              </w:rPr>
              <w:t>Amendment No. 1 to Schedule No. 6 to Sale Leaseback Agreement by and between the Company and Varilease Finance, Inc. as of August 1,</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2014 (Incorporated by reference to Exhibit 10.43 to Form 10-K filed on September 29,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Visa Incentive Agreement between the Company and Visa U.S.A. Inc., dated as of November 14, 2014 (Portions of this exhibit were redacted</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pursuant to a confidential treatment request) (Incorporated by reference to Exhibit 10.1 to Form 10-Q filed February 17,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Ninth Amendment to Loan and Security Agreement dated as of September 30, 2015 by and between the Company and Avidbank Corporate</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Finance, a division of Avidbank (Incorporated by reference to Exhibit 10.1 to Form 10-Q filed November 14,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280"/>
              <w:spacing w:after="0"/>
              <w:rPr>
                <w:sz w:val="20"/>
                <w:szCs w:val="20"/>
                <w:color w:val="auto"/>
              </w:rPr>
            </w:pPr>
            <w:r>
              <w:rPr>
                <w:rFonts w:ascii="Arial" w:cs="Arial" w:eastAsia="Arial" w:hAnsi="Arial"/>
                <w:sz w:val="18"/>
                <w:szCs w:val="18"/>
                <w:color w:val="auto"/>
                <w:w w:val="96"/>
              </w:rPr>
              <w:t>Tenth Amendment to Loan and Security Agreement dated as of April 17, 2015 by and between the Company and Avidbank Corporate</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Finance, a division of Avidbank (Incorporated by reference to Exhibit 10.1 to Form 10-Q filed May 15,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280"/>
              <w:spacing w:after="0"/>
              <w:rPr>
                <w:sz w:val="20"/>
                <w:szCs w:val="20"/>
                <w:color w:val="auto"/>
              </w:rPr>
            </w:pPr>
            <w:r>
              <w:rPr>
                <w:rFonts w:ascii="Arial" w:cs="Arial" w:eastAsia="Arial" w:hAnsi="Arial"/>
                <w:sz w:val="18"/>
                <w:szCs w:val="18"/>
                <w:color w:val="auto"/>
                <w:w w:val="92"/>
              </w:rPr>
              <w:t>Mastercard Acceptance Agreement by and between the Company and Mastercard International Incorporated (Incorporated by reference to</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Exhibit 10.2 to Form 10-Q filed May 15, 2015) (Portions of this exhibit were redacted pursuant to a confidential treatment request).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First Amendment to Mastercard Acceptance Agreement by and between the Company and Mastercard International Incorporated dated April</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27, 2015 (Portions of this exhibit were redacted pursuant to a confidential treatment request).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280"/>
              <w:spacing w:after="0"/>
              <w:rPr>
                <w:sz w:val="20"/>
                <w:szCs w:val="20"/>
                <w:color w:val="auto"/>
              </w:rPr>
            </w:pPr>
            <w:r>
              <w:rPr>
                <w:rFonts w:ascii="Arial" w:cs="Arial" w:eastAsia="Arial" w:hAnsi="Arial"/>
                <w:sz w:val="18"/>
                <w:szCs w:val="18"/>
                <w:color w:val="auto"/>
                <w:w w:val="90"/>
              </w:rPr>
              <w:t>Third Party Payment Processor Agreement dated April 24, 2015 by and among the Company, JPMorgan Chase Bank, N.A. and Paymentech,</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LLC (Portions of this exhibit were redacted pursuant to a confidential treatment request).</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280"/>
              <w:spacing w:after="0"/>
              <w:rPr>
                <w:sz w:val="20"/>
                <w:szCs w:val="20"/>
                <w:color w:val="auto"/>
              </w:rPr>
            </w:pPr>
            <w:r>
              <w:rPr>
                <w:rFonts w:ascii="Arial" w:cs="Arial" w:eastAsia="Arial" w:hAnsi="Arial"/>
                <w:sz w:val="18"/>
                <w:szCs w:val="18"/>
                <w:color w:val="auto"/>
                <w:w w:val="94"/>
              </w:rPr>
              <w:t>Eleventh Amendment to Loan and Security Agreement dated as of May 19, 2015 by and between the Company and Avidbank Corporate</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Finance, a division of Avidbank.</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280"/>
              <w:spacing w:after="0"/>
              <w:rPr>
                <w:sz w:val="20"/>
                <w:szCs w:val="20"/>
                <w:color w:val="auto"/>
              </w:rPr>
            </w:pPr>
            <w:r>
              <w:rPr>
                <w:rFonts w:ascii="Arial" w:cs="Arial" w:eastAsia="Arial" w:hAnsi="Arial"/>
                <w:sz w:val="18"/>
                <w:szCs w:val="18"/>
                <w:color w:val="auto"/>
                <w:w w:val="94"/>
              </w:rPr>
              <w:t>Twelfth Amendment to Loan and Security Agreement dated as of June 18, 2015 by and between the Company and Avidbank Corporate</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Finance, a division of Avidbank.</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Letter agreement dated July 22, 2015 by and between the Company and J. Duncan Smith (Incorporated by reference to Exhibit 10.1 to Form</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8-K filed August 4, 2015).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tcPr>
          <w:p>
            <w:pPr>
              <w:ind w:left="280"/>
              <w:spacing w:after="0"/>
              <w:rPr>
                <w:sz w:val="20"/>
                <w:szCs w:val="20"/>
                <w:color w:val="auto"/>
              </w:rPr>
            </w:pPr>
            <w:r>
              <w:rPr>
                <w:rFonts w:ascii="Arial" w:cs="Arial" w:eastAsia="Arial" w:hAnsi="Arial"/>
                <w:sz w:val="18"/>
                <w:szCs w:val="18"/>
                <w:color w:val="auto"/>
              </w:rPr>
              <w:t>List of significant subsidiaries of the Company (Incorporated by reference to Exhibit 21 to Form S-1 filed on March 16, 2010).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280"/>
              <w:spacing w:after="0"/>
              <w:rPr>
                <w:sz w:val="20"/>
                <w:szCs w:val="20"/>
                <w:color w:val="auto"/>
              </w:rPr>
            </w:pPr>
            <w:r>
              <w:rPr>
                <w:rFonts w:ascii="Arial" w:cs="Arial" w:eastAsia="Arial" w:hAnsi="Arial"/>
                <w:sz w:val="18"/>
                <w:szCs w:val="18"/>
                <w:color w:val="auto"/>
              </w:rPr>
              <w:t>Consent of McGladrey LLP, Independent Registered Public Accounting Firm.</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tcPr>
          <w:p>
            <w:pPr>
              <w:ind w:left="280"/>
              <w:spacing w:after="0"/>
              <w:rPr>
                <w:sz w:val="20"/>
                <w:szCs w:val="20"/>
                <w:color w:val="auto"/>
              </w:rPr>
            </w:pPr>
            <w:r>
              <w:rPr>
                <w:rFonts w:ascii="Arial" w:cs="Arial" w:eastAsia="Arial" w:hAnsi="Arial"/>
                <w:sz w:val="18"/>
                <w:szCs w:val="18"/>
                <w:color w:val="auto"/>
                <w:w w:val="93"/>
              </w:rPr>
              <w:t>Certifications by the Chief Executive Officer and Chief Financial Officer pursuant to 18 USC Section 1350, as adopted pursuant to Section</w:t>
            </w:r>
          </w:p>
        </w:tc>
      </w:tr>
      <w:tr>
        <w:trPr>
          <w:trHeight w:val="230"/>
        </w:trPr>
        <w:tc>
          <w:tcPr>
            <w:tcW w:w="88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906 of the Sarbanes-Oxley Act of 2002.</w:t>
            </w:r>
          </w:p>
        </w:tc>
      </w:tr>
    </w:tbl>
    <w:p>
      <w:pPr>
        <w:spacing w:after="0" w:line="202" w:lineRule="exact"/>
        <w:rPr>
          <w:sz w:val="20"/>
          <w:szCs w:val="20"/>
          <w:color w:val="auto"/>
        </w:rPr>
      </w:pPr>
    </w:p>
    <w:p>
      <w:pPr>
        <w:ind w:left="1160" w:hanging="115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2015,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ind w:right="230"/>
              <w:spacing w:after="0"/>
              <w:rPr>
                <w:sz w:val="20"/>
                <w:szCs w:val="20"/>
                <w:color w:val="auto"/>
              </w:rPr>
            </w:pPr>
            <w:r>
              <w:rPr>
                <w:rFonts w:ascii="Arial" w:cs="Arial" w:eastAsia="Arial" w:hAnsi="Arial"/>
                <w:sz w:val="18"/>
                <w:szCs w:val="18"/>
                <w:color w:val="auto"/>
                <w:w w:val="91"/>
              </w:rPr>
              <w:t>Deductions</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92"/>
              </w:rPr>
              <w:t>uncollectible</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jc w:val="center"/>
              <w:ind w:right="330"/>
              <w:spacing w:after="0"/>
              <w:rPr>
                <w:sz w:val="20"/>
                <w:szCs w:val="20"/>
                <w:color w:val="auto"/>
              </w:rPr>
            </w:pPr>
            <w:r>
              <w:rPr>
                <w:rFonts w:ascii="Arial" w:cs="Arial" w:eastAsia="Arial" w:hAnsi="Arial"/>
                <w:sz w:val="18"/>
                <w:szCs w:val="18"/>
                <w:color w:val="auto"/>
                <w:w w:val="86"/>
              </w:rPr>
              <w:t>Balance at</w:t>
            </w:r>
          </w:p>
        </w:tc>
        <w:tc>
          <w:tcPr>
            <w:tcW w:w="280" w:type="dxa"/>
            <w:vAlign w:val="bottom"/>
          </w:tcPr>
          <w:p>
            <w:pPr>
              <w:spacing w:after="0"/>
              <w:rPr>
                <w:sz w:val="18"/>
                <w:szCs w:val="18"/>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color w:val="auto"/>
                <w:w w:val="94"/>
              </w:rPr>
              <w:t>Additions</w:t>
            </w:r>
          </w:p>
        </w:tc>
        <w:tc>
          <w:tcPr>
            <w:tcW w:w="34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87"/>
              </w:rPr>
              <w:t>receivables</w:t>
            </w:r>
          </w:p>
        </w:tc>
        <w:tc>
          <w:tcPr>
            <w:tcW w:w="440" w:type="dxa"/>
            <w:vAlign w:val="bottom"/>
          </w:tcPr>
          <w:p>
            <w:pPr>
              <w:spacing w:after="0"/>
              <w:rPr>
                <w:sz w:val="18"/>
                <w:szCs w:val="18"/>
                <w:color w:val="auto"/>
              </w:rPr>
            </w:pP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9"/>
              </w:rPr>
              <w:t>Balance</w:t>
            </w:r>
          </w:p>
        </w:tc>
      </w:tr>
      <w:tr>
        <w:trPr>
          <w:trHeight w:val="230"/>
        </w:trPr>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color w:val="auto"/>
                <w:w w:val="92"/>
              </w:rPr>
              <w:t>beginning</w:t>
            </w:r>
          </w:p>
        </w:tc>
        <w:tc>
          <w:tcPr>
            <w:tcW w:w="280" w:type="dxa"/>
            <w:vAlign w:val="bottom"/>
          </w:tcPr>
          <w:p>
            <w:pPr>
              <w:spacing w:after="0"/>
              <w:rPr>
                <w:sz w:val="19"/>
                <w:szCs w:val="19"/>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color w:val="auto"/>
                <w:w w:val="86"/>
              </w:rPr>
              <w:t>charged to</w:t>
            </w:r>
          </w:p>
        </w:tc>
        <w:tc>
          <w:tcPr>
            <w:tcW w:w="340" w:type="dxa"/>
            <w:vAlign w:val="bottom"/>
          </w:tcPr>
          <w:p>
            <w:pPr>
              <w:spacing w:after="0"/>
              <w:rPr>
                <w:sz w:val="19"/>
                <w:szCs w:val="19"/>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95"/>
              </w:rPr>
              <w:t>written off, net</w:t>
            </w:r>
          </w:p>
        </w:tc>
        <w:tc>
          <w:tcPr>
            <w:tcW w:w="440" w:type="dxa"/>
            <w:vAlign w:val="bottom"/>
          </w:tcPr>
          <w:p>
            <w:pPr>
              <w:spacing w:after="0"/>
              <w:rPr>
                <w:sz w:val="19"/>
                <w:szCs w:val="19"/>
                <w:color w:val="auto"/>
              </w:rPr>
            </w:pPr>
          </w:p>
        </w:tc>
        <w:tc>
          <w:tcPr>
            <w:tcW w:w="1580" w:type="dxa"/>
            <w:vAlign w:val="bottom"/>
          </w:tcPr>
          <w:p>
            <w:pPr>
              <w:jc w:val="center"/>
              <w:ind w:right="370"/>
              <w:spacing w:after="0"/>
              <w:rPr>
                <w:sz w:val="20"/>
                <w:szCs w:val="20"/>
                <w:color w:val="auto"/>
              </w:rPr>
            </w:pPr>
            <w:r>
              <w:rPr>
                <w:rFonts w:ascii="Arial" w:cs="Arial" w:eastAsia="Arial" w:hAnsi="Arial"/>
                <w:sz w:val="18"/>
                <w:szCs w:val="18"/>
                <w:color w:val="auto"/>
                <w:w w:val="87"/>
              </w:rPr>
              <w:t>at end</w:t>
            </w:r>
          </w:p>
        </w:tc>
      </w:tr>
      <w:tr>
        <w:trPr>
          <w:trHeight w:val="23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4"/>
              </w:rPr>
              <w:t>of period</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earnings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of recoveries</w:t>
            </w: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4"/>
              </w:rPr>
              <w:t>of period</w:t>
            </w:r>
          </w:p>
        </w:tc>
      </w:tr>
      <w:tr>
        <w:trPr>
          <w:trHeight w:val="237"/>
        </w:trPr>
        <w:tc>
          <w:tcPr>
            <w:tcW w:w="27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2015</w:t>
            </w:r>
          </w:p>
        </w:tc>
        <w:tc>
          <w:tcPr>
            <w:tcW w:w="92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63,000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594,000</w:t>
            </w:r>
          </w:p>
        </w:tc>
        <w:tc>
          <w:tcPr>
            <w:tcW w:w="3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163,000</w:t>
            </w:r>
          </w:p>
        </w:tc>
        <w:tc>
          <w:tcPr>
            <w:tcW w:w="4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494,000</w:t>
            </w:r>
          </w:p>
        </w:tc>
      </w:tr>
      <w:tr>
        <w:trPr>
          <w:trHeight w:val="23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2014</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94,000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49,000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63,000</w:t>
            </w:r>
          </w:p>
        </w:tc>
      </w:tr>
      <w:tr>
        <w:trPr>
          <w:trHeight w:val="237"/>
        </w:trPr>
        <w:tc>
          <w:tcPr>
            <w:tcW w:w="27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2013</w:t>
            </w:r>
          </w:p>
        </w:tc>
        <w:tc>
          <w:tcPr>
            <w:tcW w:w="92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25,000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69,000</w:t>
            </w:r>
          </w:p>
        </w:tc>
        <w:tc>
          <w:tcPr>
            <w:tcW w:w="3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76,000</w:t>
            </w:r>
          </w:p>
        </w:tc>
        <w:tc>
          <w:tcPr>
            <w:tcW w:w="4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18,000</w:t>
            </w:r>
          </w:p>
        </w:tc>
      </w:tr>
      <w:tr>
        <w:trPr>
          <w:trHeight w:val="418"/>
        </w:trPr>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jc w:val="center"/>
              <w:ind w:right="330"/>
              <w:spacing w:after="0"/>
              <w:rPr>
                <w:sz w:val="20"/>
                <w:szCs w:val="20"/>
                <w:color w:val="auto"/>
              </w:rPr>
            </w:pPr>
            <w:r>
              <w:rPr>
                <w:rFonts w:ascii="Arial" w:cs="Arial" w:eastAsia="Arial" w:hAnsi="Arial"/>
                <w:sz w:val="18"/>
                <w:szCs w:val="18"/>
                <w:color w:val="auto"/>
                <w:w w:val="86"/>
              </w:rPr>
              <w:t>Balance at</w:t>
            </w:r>
          </w:p>
        </w:tc>
        <w:tc>
          <w:tcPr>
            <w:tcW w:w="28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color w:val="auto"/>
                <w:w w:val="94"/>
              </w:rPr>
              <w:t>Additions</w:t>
            </w:r>
          </w:p>
        </w:tc>
        <w:tc>
          <w:tcPr>
            <w:tcW w:w="340" w:type="dxa"/>
            <w:vAlign w:val="bottom"/>
          </w:tcPr>
          <w:p>
            <w:pPr>
              <w:spacing w:after="0"/>
              <w:rPr>
                <w:sz w:val="24"/>
                <w:szCs w:val="24"/>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92"/>
              </w:rPr>
              <w:t>Deductions,</w:t>
            </w:r>
          </w:p>
        </w:tc>
        <w:tc>
          <w:tcPr>
            <w:tcW w:w="440" w:type="dxa"/>
            <w:vAlign w:val="bottom"/>
          </w:tcPr>
          <w:p>
            <w:pPr>
              <w:spacing w:after="0"/>
              <w:rPr>
                <w:sz w:val="24"/>
                <w:szCs w:val="24"/>
                <w:color w:val="auto"/>
              </w:rPr>
            </w:pP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9"/>
              </w:rPr>
              <w:t>Balance</w:t>
            </w:r>
          </w:p>
        </w:tc>
      </w:tr>
      <w:tr>
        <w:trPr>
          <w:trHeight w:val="230"/>
        </w:trPr>
        <w:tc>
          <w:tcPr>
            <w:tcW w:w="2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color w:val="auto"/>
                <w:w w:val="92"/>
              </w:rPr>
              <w:t>beginning</w:t>
            </w:r>
          </w:p>
        </w:tc>
        <w:tc>
          <w:tcPr>
            <w:tcW w:w="280" w:type="dxa"/>
            <w:vAlign w:val="bottom"/>
          </w:tcPr>
          <w:p>
            <w:pPr>
              <w:spacing w:after="0"/>
              <w:rPr>
                <w:sz w:val="19"/>
                <w:szCs w:val="19"/>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color w:val="auto"/>
                <w:w w:val="86"/>
              </w:rPr>
              <w:t>charged to</w:t>
            </w:r>
          </w:p>
        </w:tc>
        <w:tc>
          <w:tcPr>
            <w:tcW w:w="340" w:type="dxa"/>
            <w:vAlign w:val="bottom"/>
          </w:tcPr>
          <w:p>
            <w:pPr>
              <w:spacing w:after="0"/>
              <w:rPr>
                <w:sz w:val="19"/>
                <w:szCs w:val="19"/>
                <w:color w:val="auto"/>
              </w:rPr>
            </w:pPr>
          </w:p>
        </w:tc>
        <w:tc>
          <w:tcPr>
            <w:tcW w:w="1700" w:type="dxa"/>
            <w:vAlign w:val="bottom"/>
          </w:tcPr>
          <w:p>
            <w:pPr>
              <w:jc w:val="center"/>
              <w:ind w:right="250"/>
              <w:spacing w:after="0"/>
              <w:rPr>
                <w:sz w:val="20"/>
                <w:szCs w:val="20"/>
                <w:color w:val="auto"/>
              </w:rPr>
            </w:pPr>
            <w:r>
              <w:rPr>
                <w:rFonts w:ascii="Arial" w:cs="Arial" w:eastAsia="Arial" w:hAnsi="Arial"/>
                <w:sz w:val="18"/>
                <w:szCs w:val="18"/>
                <w:color w:val="auto"/>
                <w:w w:val="89"/>
              </w:rPr>
              <w:t>Shrinkage and</w:t>
            </w:r>
          </w:p>
        </w:tc>
        <w:tc>
          <w:tcPr>
            <w:tcW w:w="440" w:type="dxa"/>
            <w:vAlign w:val="bottom"/>
          </w:tcPr>
          <w:p>
            <w:pPr>
              <w:spacing w:after="0"/>
              <w:rPr>
                <w:sz w:val="19"/>
                <w:szCs w:val="19"/>
                <w:color w:val="auto"/>
              </w:rPr>
            </w:pPr>
          </w:p>
        </w:tc>
        <w:tc>
          <w:tcPr>
            <w:tcW w:w="1580" w:type="dxa"/>
            <w:vAlign w:val="bottom"/>
          </w:tcPr>
          <w:p>
            <w:pPr>
              <w:jc w:val="center"/>
              <w:ind w:right="370"/>
              <w:spacing w:after="0"/>
              <w:rPr>
                <w:sz w:val="20"/>
                <w:szCs w:val="20"/>
                <w:color w:val="auto"/>
              </w:rPr>
            </w:pPr>
            <w:r>
              <w:rPr>
                <w:rFonts w:ascii="Arial" w:cs="Arial" w:eastAsia="Arial" w:hAnsi="Arial"/>
                <w:sz w:val="18"/>
                <w:szCs w:val="18"/>
                <w:color w:val="auto"/>
                <w:w w:val="87"/>
              </w:rPr>
              <w:t>at end</w:t>
            </w:r>
          </w:p>
        </w:tc>
      </w:tr>
      <w:tr>
        <w:trPr>
          <w:trHeight w:val="23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INVENTORY</w:t>
            </w: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4"/>
              </w:rPr>
              <w:t>of period</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earnings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7"/>
              </w:rPr>
              <w:t>obsolescence</w:t>
            </w: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4"/>
              </w:rPr>
              <w:t>of period</w:t>
            </w:r>
          </w:p>
        </w:tc>
      </w:tr>
      <w:tr>
        <w:trPr>
          <w:trHeight w:val="237"/>
        </w:trPr>
        <w:tc>
          <w:tcPr>
            <w:tcW w:w="27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2015</w:t>
            </w:r>
          </w:p>
        </w:tc>
        <w:tc>
          <w:tcPr>
            <w:tcW w:w="92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765,000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551,000</w:t>
            </w:r>
          </w:p>
        </w:tc>
        <w:tc>
          <w:tcPr>
            <w:tcW w:w="3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372,000</w:t>
            </w:r>
          </w:p>
        </w:tc>
        <w:tc>
          <w:tcPr>
            <w:tcW w:w="4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944,000</w:t>
            </w:r>
          </w:p>
        </w:tc>
      </w:tr>
      <w:tr>
        <w:trPr>
          <w:trHeight w:val="23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2014</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727,000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164,000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126,000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765,000</w:t>
            </w:r>
          </w:p>
        </w:tc>
      </w:tr>
      <w:tr>
        <w:trPr>
          <w:trHeight w:val="237"/>
        </w:trPr>
        <w:tc>
          <w:tcPr>
            <w:tcW w:w="27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2013</w:t>
            </w:r>
          </w:p>
        </w:tc>
        <w:tc>
          <w:tcPr>
            <w:tcW w:w="92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712,000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135,000</w:t>
            </w:r>
          </w:p>
        </w:tc>
        <w:tc>
          <w:tcPr>
            <w:tcW w:w="3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120,000</w:t>
            </w:r>
          </w:p>
        </w:tc>
        <w:tc>
          <w:tcPr>
            <w:tcW w:w="4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727,000</w:t>
            </w:r>
          </w:p>
        </w:tc>
      </w:tr>
      <w:tr>
        <w:trPr>
          <w:trHeight w:val="648"/>
        </w:trPr>
        <w:tc>
          <w:tcPr>
            <w:tcW w:w="27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800" w:type="dxa"/>
            <w:vAlign w:val="bottom"/>
            <w:tcBorders>
              <w:bottom w:val="single" w:sz="8" w:color="DCDCDC"/>
            </w:tcBorders>
          </w:tcPr>
          <w:p>
            <w:pPr>
              <w:jc w:val="right"/>
              <w:ind w:right="1450"/>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0326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P. Herbert,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SIGNATURES</w:t>
            </w:r>
          </w:p>
        </w:tc>
        <w:tc>
          <w:tcPr>
            <w:tcW w:w="220" w:type="dxa"/>
            <w:vAlign w:val="bottom"/>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1"/>
                <w:szCs w:val="21"/>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5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220" w:type="dxa"/>
            <w:vAlign w:val="bottom"/>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and Chief Executive Officer</w:t>
            </w:r>
          </w:p>
        </w:tc>
        <w:tc>
          <w:tcPr>
            <w:tcW w:w="410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4100" w:type="dxa"/>
            <w:vAlign w:val="bottom"/>
          </w:tcPr>
          <w:p>
            <w:pPr>
              <w:spacing w:after="0"/>
              <w:rPr>
                <w:sz w:val="20"/>
                <w:szCs w:val="20"/>
                <w:color w:val="auto"/>
              </w:rPr>
            </w:pPr>
          </w:p>
        </w:tc>
      </w:tr>
      <w:tr>
        <w:trPr>
          <w:trHeight w:val="45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Duncan Smith, CPA</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 Duncan Smith, CPA</w:t>
            </w:r>
          </w:p>
        </w:tc>
        <w:tc>
          <w:tcPr>
            <w:tcW w:w="220" w:type="dxa"/>
            <w:vAlign w:val="bottom"/>
          </w:tcPr>
          <w:p>
            <w:pPr>
              <w:spacing w:after="0"/>
              <w:rPr>
                <w:sz w:val="20"/>
                <w:szCs w:val="20"/>
                <w:color w:val="auto"/>
              </w:rPr>
            </w:pPr>
          </w:p>
        </w:tc>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Accounting Officer)</w:t>
            </w: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Barnhart</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Steven D. Barnhart</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Brooks</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Joel Brooks</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Albin F. Moschner</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Albin F. Moschner</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Reilly, Jr.</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William J. Reilly, Jr.</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Schoch</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30, 2015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William J. Schoch</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634"/>
        </w:trPr>
        <w:tc>
          <w:tcPr>
            <w:tcW w:w="3440" w:type="dxa"/>
            <w:vAlign w:val="bottom"/>
            <w:tcBorders>
              <w:bottom w:val="single" w:sz="8" w:color="DCDCDC"/>
            </w:tcBorders>
          </w:tcPr>
          <w:p>
            <w:pPr>
              <w:spacing w:after="0"/>
              <w:rPr>
                <w:sz w:val="24"/>
                <w:szCs w:val="24"/>
                <w:color w:val="auto"/>
              </w:rPr>
            </w:pPr>
          </w:p>
        </w:tc>
        <w:tc>
          <w:tcPr>
            <w:tcW w:w="3660" w:type="dxa"/>
            <w:vAlign w:val="bottom"/>
            <w:tcBorders>
              <w:bottom w:val="single" w:sz="8" w:color="DCDCDC"/>
            </w:tcBorders>
            <w:gridSpan w:val="2"/>
          </w:tcPr>
          <w:p>
            <w:pPr>
              <w:jc w:val="right"/>
              <w:ind w:right="119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DCDCDC"/>
            </w:tcBorders>
          </w:tcPr>
          <w:p>
            <w:pPr>
              <w:spacing w:after="0"/>
              <w:rPr>
                <w:sz w:val="24"/>
                <w:szCs w:val="24"/>
                <w:color w:val="auto"/>
              </w:rPr>
            </w:pPr>
          </w:p>
        </w:tc>
        <w:tc>
          <w:tcPr>
            <w:tcW w:w="4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95" w:name="page96"/>
    <w:bookmarkEnd w:id="95"/>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10.45</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MASTERCARD ACCEPTANCE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FIRST AMENDMENT TO THE MASTERCARD ACCEPTANCE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effective as of February 19, 2015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xml:space="preserve">”) and is entered into by and between </w:t>
      </w:r>
      <w:r>
        <w:rPr>
          <w:rFonts w:ascii="Arial" w:cs="Arial" w:eastAsia="Arial" w:hAnsi="Arial"/>
          <w:sz w:val="18"/>
          <w:szCs w:val="18"/>
          <w:b w:val="1"/>
          <w:bCs w:val="1"/>
          <w:color w:val="auto"/>
        </w:rPr>
        <w:t>MasterCard International Incorporated</w:t>
      </w:r>
      <w:r>
        <w:rPr>
          <w:rFonts w:ascii="Arial" w:cs="Arial" w:eastAsia="Arial" w:hAnsi="Arial"/>
          <w:sz w:val="18"/>
          <w:szCs w:val="18"/>
          <w:color w:val="auto"/>
        </w:rPr>
        <w:t>, with its principal offices at 2000 Purchase Street, Purchase, New York 10577 (“</w:t>
      </w:r>
      <w:r>
        <w:rPr>
          <w:rFonts w:ascii="Arial" w:cs="Arial" w:eastAsia="Arial" w:hAnsi="Arial"/>
          <w:sz w:val="18"/>
          <w:szCs w:val="18"/>
          <w:b w:val="1"/>
          <w:bCs w:val="1"/>
          <w:color w:val="auto"/>
        </w:rPr>
        <w:t>MasterCard</w:t>
      </w:r>
      <w:r>
        <w:rPr>
          <w:rFonts w:ascii="Arial" w:cs="Arial" w:eastAsia="Arial" w:hAnsi="Arial"/>
          <w:sz w:val="18"/>
          <w:szCs w:val="18"/>
          <w:color w:val="auto"/>
        </w:rPr>
        <w:t xml:space="preserve">”), and </w:t>
      </w:r>
      <w:r>
        <w:rPr>
          <w:rFonts w:ascii="Arial" w:cs="Arial" w:eastAsia="Arial" w:hAnsi="Arial"/>
          <w:sz w:val="18"/>
          <w:szCs w:val="18"/>
          <w:b w:val="1"/>
          <w:bCs w:val="1"/>
          <w:color w:val="auto"/>
        </w:rPr>
        <w:t>USA Technologies, Inc.</w:t>
      </w:r>
      <w:r>
        <w:rPr>
          <w:rFonts w:ascii="Arial" w:cs="Arial" w:eastAsia="Arial" w:hAnsi="Arial"/>
          <w:sz w:val="18"/>
          <w:szCs w:val="18"/>
          <w:color w:val="auto"/>
        </w:rPr>
        <w:t>, with its principal offices at 100 Deerfield Lane, Malvern, PA 19355, for itself and its Affiliates (“</w:t>
      </w:r>
      <w:r>
        <w:rPr>
          <w:rFonts w:ascii="Arial" w:cs="Arial" w:eastAsia="Arial" w:hAnsi="Arial"/>
          <w:sz w:val="18"/>
          <w:szCs w:val="18"/>
          <w:b w:val="1"/>
          <w:bCs w:val="1"/>
          <w:color w:val="auto"/>
        </w:rPr>
        <w:t>Merchant</w:t>
      </w:r>
      <w:r>
        <w:rPr>
          <w:rFonts w:ascii="Arial" w:cs="Arial" w:eastAsia="Arial" w:hAnsi="Arial"/>
          <w:sz w:val="18"/>
          <w:szCs w:val="18"/>
          <w:color w:val="auto"/>
        </w:rPr>
        <w:t>”). Capitalized terms used herein and not otherwise defined herein shall have the meanings assigned to them in the Agreement (as defined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MasterCard and Merchant are parties to that certain MasterCard Acceptance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modify the Agreement as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promises, mutual covenants and agreements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agree, as follows:</w:t>
      </w:r>
    </w:p>
    <w:p>
      <w:pPr>
        <w:spacing w:after="0" w:line="16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Exhibit B of the Agreement shall, as of the Amendment Effective Date, be modified by deleting Section 1(i) in its entirety and replacing it with the following Section 1(i):</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 xml:space="preserve">With respect to any Qualified MasterCard Debit Transactions in an ***, the MasterCard Interchange Rate shall be </w:t>
      </w:r>
      <w:r>
        <w:rPr>
          <w:rFonts w:ascii="Arial" w:cs="Arial" w:eastAsia="Arial" w:hAnsi="Arial"/>
          <w:sz w:val="16"/>
          <w:szCs w:val="16"/>
          <w:b w:val="1"/>
          <w:bCs w:val="1"/>
          <w:color w:val="auto"/>
        </w:rPr>
        <w:t>***</w:t>
      </w:r>
      <w:r>
        <w:rPr>
          <w:rFonts w:ascii="Arial" w:cs="Arial" w:eastAsia="Arial" w:hAnsi="Arial"/>
          <w:sz w:val="16"/>
          <w:szCs w:val="16"/>
          <w:color w:val="auto"/>
        </w:rPr>
        <w:t xml:space="preserve"> (which shall equal ***);</w:t>
      </w:r>
    </w:p>
    <w:p>
      <w:pPr>
        <w:spacing w:after="0" w:line="27"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each such Qualified MasterCard Debit Transaction *** is in compliance with the established qualification criteria for those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in the Standards or as otherwise provided to, or accessible by, Merchant.”</w:t>
      </w:r>
    </w:p>
    <w:p>
      <w:pPr>
        <w:spacing w:after="0" w:line="18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39"/>
        </w:numPr>
        <w:rPr>
          <w:rFonts w:ascii="Arial" w:cs="Arial" w:eastAsia="Arial" w:hAnsi="Arial"/>
          <w:sz w:val="18"/>
          <w:szCs w:val="18"/>
          <w:i w:val="1"/>
          <w:iCs w:val="1"/>
          <w:color w:val="auto"/>
        </w:rPr>
      </w:pPr>
      <w:r>
        <w:rPr>
          <w:rFonts w:ascii="Arial" w:cs="Arial" w:eastAsia="Arial" w:hAnsi="Arial"/>
          <w:sz w:val="18"/>
          <w:szCs w:val="18"/>
          <w:u w:val="single" w:color="auto"/>
          <w:color w:val="auto"/>
        </w:rPr>
        <w:t>Representation as to Authority</w:t>
      </w:r>
      <w:r>
        <w:rPr>
          <w:rFonts w:ascii="Arial" w:cs="Arial" w:eastAsia="Arial" w:hAnsi="Arial"/>
          <w:sz w:val="18"/>
          <w:szCs w:val="18"/>
          <w:color w:val="auto"/>
        </w:rPr>
        <w:t>. Each of Merchant and MasterCard hereby represents and warrants that it has all requisite corporate power and authority to enter into this Amendment.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96" w:name="page97"/>
    <w:bookmarkEnd w:id="96"/>
    <w:p>
      <w:pPr>
        <w:ind w:left="320" w:right="20" w:hanging="320"/>
        <w:spacing w:after="0" w:line="277" w:lineRule="auto"/>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 but all of which together shall constitute a single instrument.</w:t>
      </w:r>
    </w:p>
    <w:p>
      <w:pPr>
        <w:spacing w:after="0" w:line="170" w:lineRule="exact"/>
        <w:rPr>
          <w:rFonts w:ascii="Arial" w:cs="Arial" w:eastAsia="Arial" w:hAnsi="Arial"/>
          <w:sz w:val="18"/>
          <w:szCs w:val="18"/>
          <w:i w:val="1"/>
          <w:iCs w:val="1"/>
          <w:color w:val="auto"/>
        </w:rPr>
      </w:pPr>
    </w:p>
    <w:p>
      <w:pPr>
        <w:jc w:val="both"/>
        <w:ind w:left="320" w:hanging="320"/>
        <w:spacing w:after="0" w:line="286" w:lineRule="auto"/>
        <w:tabs>
          <w:tab w:leader="none" w:pos="320" w:val="left"/>
        </w:tabs>
        <w:numPr>
          <w:ilvl w:val="0"/>
          <w:numId w:val="40"/>
        </w:numPr>
        <w:rPr>
          <w:rFonts w:ascii="Arial" w:cs="Arial" w:eastAsia="Arial" w:hAnsi="Arial"/>
          <w:sz w:val="17"/>
          <w:szCs w:val="17"/>
          <w:i w:val="1"/>
          <w:iCs w:val="1"/>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This Amendment shall become effective, in accordance with its terms, as of the Amendment Effective Date. Except as expressly modified herein, all terms of the Agreement shall remain in full force and effect as stated in the Agreement and, in the event of a conflict between the terms of this Amendment and the Agreement, the terms of this Amendment shall govern.</w:t>
      </w:r>
    </w:p>
    <w:p>
      <w:pPr>
        <w:spacing w:after="0" w:line="165" w:lineRule="exact"/>
        <w:rPr>
          <w:rFonts w:ascii="Arial" w:cs="Arial" w:eastAsia="Arial" w:hAnsi="Arial"/>
          <w:sz w:val="17"/>
          <w:szCs w:val="17"/>
          <w:i w:val="1"/>
          <w:iCs w:val="1"/>
          <w:color w:val="auto"/>
        </w:rPr>
      </w:pPr>
    </w:p>
    <w:p>
      <w:pPr>
        <w:ind w:left="320" w:hanging="320"/>
        <w:spacing w:after="0" w:line="277" w:lineRule="auto"/>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u w:val="single" w:color="auto"/>
          <w:color w:val="auto"/>
        </w:rPr>
        <w:t>No Other Amendments; Confirmation</w:t>
      </w:r>
      <w:r>
        <w:rPr>
          <w:rFonts w:ascii="Arial" w:cs="Arial" w:eastAsia="Arial" w:hAnsi="Arial"/>
          <w:sz w:val="18"/>
          <w:szCs w:val="18"/>
          <w:color w:val="auto"/>
        </w:rPr>
        <w:t>. Except as expressly amended, modified and supplemented hereby, the provisions of the Agreement are and shall remain in full force and effect.</w:t>
      </w:r>
    </w:p>
    <w:p>
      <w:pPr>
        <w:spacing w:after="0" w:line="170" w:lineRule="exact"/>
        <w:rPr>
          <w:rFonts w:ascii="Arial" w:cs="Arial" w:eastAsia="Arial" w:hAnsi="Arial"/>
          <w:sz w:val="18"/>
          <w:szCs w:val="18"/>
          <w:i w:val="1"/>
          <w:iCs w:val="1"/>
          <w:color w:val="auto"/>
        </w:rPr>
      </w:pPr>
    </w:p>
    <w:p>
      <w:pPr>
        <w:ind w:left="320" w:hanging="320"/>
        <w:spacing w:after="0" w:line="277" w:lineRule="auto"/>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Amendment shall be governed by and construed in accordance with the substantive laws of the State of New York, without regard to its conflicts of laws principles.</w:t>
      </w:r>
    </w:p>
    <w:p>
      <w:pPr>
        <w:spacing w:after="0" w:line="38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665"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IN WITNESS WHEREOF, the parties hereto have executed this Amendment to the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 INTERNATIONAL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2015</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98" w:name="page99"/>
    <w:bookmarkEnd w:id="98"/>
    <w:p>
      <w:pPr>
        <w:ind w:left="10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10.46</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PORTIONS OF THIS AGREEMENT HAVE BEEN OMITTED AND FILED SEPARATELY WITH THE SECURITIES AND EXCHANGE COMMISSION. CONFIDENTIAL TREATMENT HAS BEEN REQUESTED WITH RESPECT TO THE OMITTED PORTIONS, WHICH ARE MARKED BY ASTERISKS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123190</wp:posOffset>
            </wp:positionV>
            <wp:extent cx="1715135" cy="6000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51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PARTY PAYMENT PROCESSOR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THIRD PARTY PAYMENT PROCESSOR AGREEMENT (the “Agreement”), dated as of the Effective Date, is entered into by and among </w:t>
      </w:r>
      <w:r>
        <w:rPr>
          <w:rFonts w:ascii="Arial" w:cs="Arial" w:eastAsia="Arial" w:hAnsi="Arial"/>
          <w:sz w:val="17"/>
          <w:szCs w:val="17"/>
          <w:b w:val="1"/>
          <w:bCs w:val="1"/>
          <w:color w:val="auto"/>
        </w:rPr>
        <w:t>JPMorgan Chase Bank, N.A.</w:t>
      </w:r>
      <w:r>
        <w:rPr>
          <w:rFonts w:ascii="Arial" w:cs="Arial" w:eastAsia="Arial" w:hAnsi="Arial"/>
          <w:sz w:val="17"/>
          <w:szCs w:val="17"/>
          <w:color w:val="auto"/>
        </w:rPr>
        <w:t>, a national banking association (“Member”),</w:t>
      </w:r>
      <w:r>
        <w:rPr>
          <w:rFonts w:ascii="Arial" w:cs="Arial" w:eastAsia="Arial" w:hAnsi="Arial"/>
          <w:sz w:val="17"/>
          <w:szCs w:val="17"/>
          <w:b w:val="1"/>
          <w:bCs w:val="1"/>
          <w:color w:val="auto"/>
        </w:rPr>
        <w:t xml:space="preserve"> Paymentech, LLC</w:t>
      </w:r>
      <w:r>
        <w:rPr>
          <w:rFonts w:ascii="Arial" w:cs="Arial" w:eastAsia="Arial" w:hAnsi="Arial"/>
          <w:sz w:val="17"/>
          <w:szCs w:val="17"/>
          <w:color w:val="auto"/>
        </w:rPr>
        <w:t>, a Delaware limited liability company (“Paymentech”, “we”,</w:t>
      </w:r>
      <w:r>
        <w:rPr>
          <w:rFonts w:ascii="Arial" w:cs="Arial" w:eastAsia="Arial" w:hAnsi="Arial"/>
          <w:sz w:val="17"/>
          <w:szCs w:val="17"/>
          <w:b w:val="1"/>
          <w:bCs w:val="1"/>
          <w:color w:val="auto"/>
        </w:rPr>
        <w:t xml:space="preserve"> </w:t>
      </w:r>
      <w:r>
        <w:rPr>
          <w:rFonts w:ascii="Arial" w:cs="Arial" w:eastAsia="Arial" w:hAnsi="Arial"/>
          <w:sz w:val="17"/>
          <w:szCs w:val="17"/>
          <w:color w:val="auto"/>
        </w:rPr>
        <w:t>or “us”), and USA Technologies, Inc., an entity duly organized under the laws of the Commonwealth of Pennsylvania (“TP3”, “you”, or “your”).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Member is a member of the Payment Brands and, through Member, Paymentech is authorized to process the Payment Brand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w:t>
      </w:r>
    </w:p>
    <w:p>
      <w:pPr>
        <w:jc w:val="both"/>
        <w:ind w:right="20" w:firstLine="648"/>
        <w:spacing w:after="0" w:line="25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TP3 is (or will be prior to the submission of any Transaction) registered as a third party service provider with the applicable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Brands; and</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TP3 wishes to submit Transaction Records for itself and on behalf of certain business enterprises meeting the qualifications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restrictions set forth herein (including in </w:t>
      </w:r>
      <w:r>
        <w:rPr>
          <w:rFonts w:ascii="Arial" w:cs="Arial" w:eastAsia="Arial" w:hAnsi="Arial"/>
          <w:sz w:val="18"/>
          <w:szCs w:val="18"/>
          <w:b w:val="1"/>
          <w:bCs w:val="1"/>
          <w:color w:val="auto"/>
        </w:rPr>
        <w:t>Schedule B</w:t>
      </w:r>
      <w:r>
        <w:rPr>
          <w:rFonts w:ascii="Arial" w:cs="Arial" w:eastAsia="Arial" w:hAnsi="Arial"/>
          <w:sz w:val="18"/>
          <w:szCs w:val="18"/>
          <w:color w:val="auto"/>
        </w:rPr>
        <w:t>) (referred to herein individually and collectively as a “Merchant”) in accordance with the terms and conditions of this Agreement and the Payment Brand Rules (the “Program”).</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ACCORDINGLY</w:t>
      </w:r>
      <w:r>
        <w:rPr>
          <w:rFonts w:ascii="Arial" w:cs="Arial" w:eastAsia="Arial" w:hAnsi="Arial"/>
          <w:sz w:val="18"/>
          <w:szCs w:val="18"/>
          <w:color w:val="auto"/>
        </w:rPr>
        <w:t>, in consideration of the mutual promises made and the mutual benefits to be derived from this Agreement, Paymentech, Member,</w:t>
      </w:r>
      <w:r>
        <w:rPr>
          <w:rFonts w:ascii="Arial" w:cs="Arial" w:eastAsia="Arial" w:hAnsi="Arial"/>
          <w:sz w:val="18"/>
          <w:szCs w:val="18"/>
          <w:b w:val="1"/>
          <w:bCs w:val="1"/>
          <w:color w:val="auto"/>
        </w:rPr>
        <w:t xml:space="preserve"> </w:t>
      </w:r>
      <w:r>
        <w:rPr>
          <w:rFonts w:ascii="Arial" w:cs="Arial" w:eastAsia="Arial" w:hAnsi="Arial"/>
          <w:sz w:val="18"/>
          <w:szCs w:val="18"/>
          <w:color w:val="auto"/>
        </w:rPr>
        <w:t>and TP3 agree to the following terms and conditions intending to be legally bound:</w:t>
      </w:r>
    </w:p>
    <w:p>
      <w:pPr>
        <w:spacing w:after="0" w:line="180" w:lineRule="exact"/>
        <w:rPr>
          <w:sz w:val="20"/>
          <w:szCs w:val="20"/>
          <w:color w:val="auto"/>
        </w:rPr>
      </w:pPr>
    </w:p>
    <w:p>
      <w:pPr>
        <w:jc w:val="both"/>
        <w:ind w:firstLine="8"/>
        <w:spacing w:after="0" w:line="266" w:lineRule="auto"/>
        <w:tabs>
          <w:tab w:leader="none" w:pos="20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of Payment Instruments. </w:t>
      </w:r>
      <w:r>
        <w:rPr>
          <w:rFonts w:ascii="Arial" w:cs="Arial" w:eastAsia="Arial" w:hAnsi="Arial"/>
          <w:sz w:val="18"/>
          <w:szCs w:val="18"/>
          <w:color w:val="auto"/>
        </w:rPr>
        <w:t>Regardless of whether a Transaction Record is generated by TP3 or by Merchant, all Transaction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processed pursuant to this Agreement shall be deemed TP3’s Transactions. Only Transaction Records generated within the United States shall be submitted under this Agreement.</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1.1 Exclusivity</w:t>
      </w:r>
      <w:r>
        <w:rPr>
          <w:rFonts w:ascii="Arial" w:cs="Arial" w:eastAsia="Arial" w:hAnsi="Arial"/>
          <w:sz w:val="16"/>
          <w:szCs w:val="16"/>
          <w:color w:val="auto"/>
        </w:rPr>
        <w:t>. Paymentech shall be TP3’s exclusive provider of Transaction processing services (including, without limitation, the authorization,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conveyance, and settlement of Transactions) in the United States for at least 250,000,000 million transactions per year throughout the pendency of this Agreement, including all transactions made by Customers making a purchase with a Payment Instrument issued by Chase. TP3 will tender to Paymentech all Transaction Records generated from the Merchants’ Transactions via electronic data transmission according to Paymentech’s formats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Certain Payment Acceptance Policies.</w:t>
      </w:r>
    </w:p>
    <w:p>
      <w:pPr>
        <w:spacing w:after="0" w:line="27" w:lineRule="exact"/>
        <w:rPr>
          <w:sz w:val="20"/>
          <w:szCs w:val="20"/>
          <w:color w:val="auto"/>
        </w:rPr>
      </w:pPr>
    </w:p>
    <w:p>
      <w:pPr>
        <w:jc w:val="both"/>
        <w:ind w:firstLine="170"/>
        <w:spacing w:after="0" w:line="250" w:lineRule="auto"/>
        <w:tabs>
          <w:tab w:leader="none" w:pos="7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Transaction must be evidenced by its own Transaction Receipt completed in accordance with Payment Brand Rules. All Transaction Receipts must comply with Payment Brand Rules and, at a minimum, contain (i) the Transaction date; (ii) a brief description of the goods or services sold, returned. or cancelled; (iii) the price of the goods or services, including applicable taxes, or amount of any credit or adjustment; (iv) the Customer name; (v) the Merchant’s name in a manner recognizable to Customers; (vi) TP3’s name in conjunction with the Merchant’s name (e.g., “TP3 * Merchant”); (v) the Merchant’s address; (vi) the Merchant’s customer service telephone number; (vii) any applicable terms and conditions; and (viii) any other information required by the Payment Brand Rules or local law. TP3 shall ensure that each Merchant provides a complete copy of the Transaction Receipt to the Customer, as required by the Payment Brand Rules. A Merchant shall offer the Transaction Receipt in paper format to the extent required by applicable law, and may also offer the Transaction Receipt in electronic format; provided that such electronic Transaction Receipts must comply with all applicable provisions of the Payment Brand Rules.</w:t>
      </w:r>
    </w:p>
    <w:p>
      <w:pPr>
        <w:spacing w:after="0" w:line="4" w:lineRule="exact"/>
        <w:rPr>
          <w:rFonts w:ascii="Arial" w:cs="Arial" w:eastAsia="Arial" w:hAnsi="Arial"/>
          <w:sz w:val="18"/>
          <w:szCs w:val="18"/>
          <w:color w:val="auto"/>
        </w:rPr>
      </w:pPr>
    </w:p>
    <w:p>
      <w:pPr>
        <w:ind w:left="700" w:hanging="530"/>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TP3 nor Merchant shall require the Customer to pay the fees payable by TP3 under this Agreement.</w:t>
      </w:r>
    </w:p>
    <w:p>
      <w:pPr>
        <w:spacing w:after="0" w:line="9" w:lineRule="exact"/>
        <w:rPr>
          <w:rFonts w:ascii="Arial" w:cs="Arial" w:eastAsia="Arial" w:hAnsi="Arial"/>
          <w:sz w:val="18"/>
          <w:szCs w:val="18"/>
          <w:color w:val="auto"/>
        </w:rPr>
      </w:pPr>
    </w:p>
    <w:p>
      <w:pPr>
        <w:ind w:right="20" w:firstLine="170"/>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TP3 nor Merchant shall issue Refunds for Transactions by cash or a cash equivalent (e.g., check) unless required by law or permitted by the Payment Brand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99" w:name="page100"/>
    <w:bookmarkEnd w:id="99"/>
    <w:p>
      <w:pPr>
        <w:ind w:firstLine="170"/>
        <w:spacing w:after="0" w:line="258" w:lineRule="auto"/>
        <w:tabs>
          <w:tab w:leader="none" w:pos="7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permitted by the Payment Brand Rules, neither TP3 nor Merchant shall engage in any practice that unfavorably discriminates against or provides unequal treatment of any Payment Brand relative to any other Payment Brand.</w:t>
      </w:r>
    </w:p>
    <w:p>
      <w:pPr>
        <w:spacing w:after="0" w:line="1" w:lineRule="exact"/>
        <w:rPr>
          <w:rFonts w:ascii="Arial" w:cs="Arial" w:eastAsia="Arial" w:hAnsi="Arial"/>
          <w:sz w:val="18"/>
          <w:szCs w:val="18"/>
          <w:color w:val="auto"/>
        </w:rPr>
      </w:pPr>
    </w:p>
    <w:p>
      <w:pPr>
        <w:ind w:firstLine="170"/>
        <w:spacing w:after="0" w:line="250" w:lineRule="auto"/>
        <w:tabs>
          <w:tab w:leader="none" w:pos="6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where expressly permitted by law or the Payment Brand Rules, TP3 nor Merchant shall set a dollar amount above or below which Merchant refuses to honor otherwise valid Payment Instruments.</w:t>
      </w:r>
    </w:p>
    <w:p>
      <w:pPr>
        <w:jc w:val="both"/>
        <w:ind w:firstLine="170"/>
        <w:spacing w:after="0" w:line="265" w:lineRule="auto"/>
        <w:tabs>
          <w:tab w:leader="none" w:pos="8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applicable, TP3 or Merchant shall examine each Payment Instrument physically presented at the point of sale to determine that the Payment Instrument presented is valid and has not expired. If applicable, TP3 shall exercise reasonable diligence to determine that the authorized signature on any Payment Instrument physically presented at the point of sale corresponds to the Customer’s signature on the Transaction Receipt.</w:t>
      </w:r>
    </w:p>
    <w:p>
      <w:pPr>
        <w:jc w:val="both"/>
        <w:ind w:firstLine="170"/>
        <w:spacing w:after="0" w:line="250" w:lineRule="auto"/>
        <w:tabs>
          <w:tab w:leader="none" w:pos="7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any Transaction for which a Customer is not physically present at the point of sale, such as in any on-line, mail, telephone, pre-authorized, or recurring Transaction, TP3 or Merchant must (i) have notified Paymentech on its Application or otherwise obtained Paymentech’s prior written approval of TP3’s or Merchant’s intention to conduct such Transactions; and (ii) have appropriate procedures in place to ensure that each Transaction is made to a purchaser who actually is the Customer. TP3 acknowledges that under certain Payment Brand Rules, neither TP3 nor Merchant can rebut a Chargeback where the Customer disputes making the purchase and TP3 does not have an electronic record (e.g., “swiping” or “tapping” a Payment Instrument) or physical imprint of the Payment Instrument.\</w:t>
      </w:r>
    </w:p>
    <w:p>
      <w:pPr>
        <w:spacing w:after="0" w:line="2" w:lineRule="exact"/>
        <w:rPr>
          <w:rFonts w:ascii="Arial" w:cs="Arial" w:eastAsia="Arial" w:hAnsi="Arial"/>
          <w:sz w:val="18"/>
          <w:szCs w:val="18"/>
          <w:color w:val="auto"/>
        </w:rPr>
      </w:pPr>
    </w:p>
    <w:p>
      <w:pPr>
        <w:jc w:val="both"/>
        <w:ind w:firstLine="170"/>
        <w:spacing w:after="0" w:line="250" w:lineRule="auto"/>
        <w:tabs>
          <w:tab w:leader="none" w:pos="6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TP3 and Merchant agrees to accept all categories of Visa and MasterCard Payment Instruments (i.e., debit and credit cards), unless TP3 or Merchant has notified Paymentech on its Application or otherwise in writing of its election to accept one of the following “limited acceptance” options: (i) all Visa and MasterCard consumer credit cards and Visa and MasterCard commercial credit and debit cards; or (ii) Visa and MasterCard debit cards only (but no credit cards). Notwithstanding the election of one of the foregoing limited acceptance options, TP3 and Merchant must honor all foreign bank-issued Visa or MasterCard Payment Instruments. If TP3 or Merchant elects one of the limited acceptance categories: (Y) appropriate signage must be displayed to indicate the limited acceptance category; and (Z) Paymentech, at its option, may process any Transactions submitted to Paymentech outside of the limited acceptance category, in which case such Transactions will be assessed the applicable interchange fees plus any additional fees/surcharges assessed by Paymentech or the Payment Brands.</w:t>
      </w:r>
    </w:p>
    <w:p>
      <w:pPr>
        <w:spacing w:after="0" w:line="3" w:lineRule="exact"/>
        <w:rPr>
          <w:rFonts w:ascii="Arial" w:cs="Arial" w:eastAsia="Arial" w:hAnsi="Arial"/>
          <w:sz w:val="18"/>
          <w:szCs w:val="18"/>
          <w:color w:val="auto"/>
        </w:rPr>
      </w:pPr>
    </w:p>
    <w:p>
      <w:pPr>
        <w:ind w:left="760" w:hanging="590"/>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Neither TP3 nor Merchant shall split a single Transaction into two or more Transactions to avoid or circumvent authorization limits or monitoring</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programs.</w:t>
      </w:r>
    </w:p>
    <w:p>
      <w:pPr>
        <w:spacing w:after="0" w:line="9" w:lineRule="exact"/>
        <w:rPr>
          <w:rFonts w:ascii="Arial" w:cs="Arial" w:eastAsia="Arial" w:hAnsi="Arial"/>
          <w:sz w:val="16"/>
          <w:szCs w:val="16"/>
          <w:color w:val="auto"/>
        </w:rPr>
      </w:pPr>
    </w:p>
    <w:p>
      <w:pPr>
        <w:ind w:left="700" w:hanging="53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TP3 nor Merchant shall accept Payment Instruments for the purchase of scrip.</w:t>
      </w:r>
    </w:p>
    <w:p>
      <w:pPr>
        <w:spacing w:after="0" w:line="9" w:lineRule="exact"/>
        <w:rPr>
          <w:rFonts w:ascii="Arial" w:cs="Arial" w:eastAsia="Arial" w:hAnsi="Arial"/>
          <w:sz w:val="18"/>
          <w:szCs w:val="18"/>
          <w:color w:val="auto"/>
        </w:rPr>
      </w:pPr>
    </w:p>
    <w:p>
      <w:pPr>
        <w:ind w:firstLine="170"/>
        <w:spacing w:after="0" w:line="250" w:lineRule="auto"/>
        <w:tabs>
          <w:tab w:leader="none" w:pos="8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TP3 nor Merchant shall require a Customer to complete a postcard or similar device that includes the Customer’s Payment Instrument account number, expiration date, or any other account data in plain view when mailed.</w:t>
      </w:r>
    </w:p>
    <w:p>
      <w:pPr>
        <w:jc w:val="both"/>
        <w:ind w:right="20" w:firstLine="170"/>
        <w:spacing w:after="0" w:line="250"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TP3 nor Merchant shall add any tax or surcharge to Transactions, unless applicable law expressly requires a TP3 or a Merchant be permitted to impose the tax or surcharge. If any tax or surcharge amount is allowed, such amount shall be included in the Transaction amount and shall not be collected separately.</w:t>
      </w:r>
    </w:p>
    <w:p>
      <w:pPr>
        <w:spacing w:after="0" w:line="1" w:lineRule="exact"/>
        <w:rPr>
          <w:rFonts w:ascii="Arial" w:cs="Arial" w:eastAsia="Arial" w:hAnsi="Arial"/>
          <w:sz w:val="18"/>
          <w:szCs w:val="18"/>
          <w:color w:val="auto"/>
        </w:rPr>
      </w:pPr>
    </w:p>
    <w:p>
      <w:pPr>
        <w:ind w:firstLine="170"/>
        <w:spacing w:after="0" w:line="261" w:lineRule="auto"/>
        <w:tabs>
          <w:tab w:leader="none" w:pos="7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TP3 nor Merchant shall request or use a Payment Instrument account number for any purpose except as payment for its goods or services, unless required by the Payment Brand Rules in order to support specific services offered by the Payment Brands.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1.3 Payment Brand Rules; Compliance with Laws</w:t>
      </w:r>
      <w:r>
        <w:rPr>
          <w:rFonts w:ascii="Arial" w:cs="Arial" w:eastAsia="Arial" w:hAnsi="Arial"/>
          <w:sz w:val="17"/>
          <w:szCs w:val="17"/>
          <w:color w:val="auto"/>
        </w:rPr>
        <w:t>. TP3 agrees to comply, and to ensure that all Merchants comply, with all applicable Payment Brand</w:t>
      </w:r>
      <w:r>
        <w:rPr>
          <w:rFonts w:ascii="Arial" w:cs="Arial" w:eastAsia="Arial" w:hAnsi="Arial"/>
          <w:sz w:val="17"/>
          <w:szCs w:val="17"/>
          <w:b w:val="1"/>
          <w:bCs w:val="1"/>
          <w:color w:val="auto"/>
        </w:rPr>
        <w:t xml:space="preserve"> </w:t>
      </w:r>
      <w:r>
        <w:rPr>
          <w:rFonts w:ascii="Arial" w:cs="Arial" w:eastAsia="Arial" w:hAnsi="Arial"/>
          <w:sz w:val="17"/>
          <w:szCs w:val="17"/>
          <w:color w:val="auto"/>
        </w:rPr>
        <w:t>Rules, and such other procedures as Paymentech or the Payment Brands may from time to time prescribe with respect to TP3 (or payment service providers), Merchants, Transactions, or the Program. TP3 shall take all actions necessary throughout the term of the Agreement to insure its (and, as necessary, each Merchant’s) compliance with applicable federal, state and local laws, statutes, ordinances, governmental rules and regulations, as they may be enacted or amended from time to time relating to the Program and the Transactions submitted to Paymentech.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Registration Requirements; Registered Services.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TP3 acknowledges that it must register with all applicable Payment Brands prior to entering Transactions into Interchange. Paymentech shall facilitate such registration, subject to the following terms and conditions:</w:t>
      </w:r>
    </w:p>
    <w:p>
      <w:pPr>
        <w:spacing w:after="0" w:line="1" w:lineRule="exact"/>
        <w:rPr>
          <w:sz w:val="20"/>
          <w:szCs w:val="20"/>
          <w:color w:val="auto"/>
        </w:rPr>
      </w:pPr>
    </w:p>
    <w:p>
      <w:pPr>
        <w:jc w:val="both"/>
        <w:ind w:firstLine="170"/>
        <w:spacing w:after="0" w:line="268" w:lineRule="auto"/>
        <w:tabs>
          <w:tab w:leader="none" w:pos="7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TP3 agrees to fully cooperate with Paymentech with respect to all applicable Payment Brand registration requirements, to provide all information required in connection with such registration, and to update Paymentech promptly (but in any event within five (5) Business Days) in writing of any subsequent change in such information, including any change in TP3’s principals or owner(s), any changes to TP3’s business structure, corporate name, any trade name(s) or “doing business as” name(s) being used by TP3, or any changes in TP3’s use of Service Providers with access to Payment Instrument Information. TP3 shall pay all initial and subsequent fees and costs associated with such registrations and any renewals. TP3 agrees and understands that its ability to provide services to Merchants involving the storage, processing, or transmission of Payment Instrument Information is subject to TP3’s continued valid registration with the Payment Brands and TP3’s compliance with the Payment Brand Rules and Security Standards as set forth in this Agreement. TP3 understands and agrees that registration is specific to Paymentech and the Member only, and a separate registration is required (at separate cost) for any other relationship(s) TP3 may have.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jc w:val="both"/>
        <w:ind w:firstLine="170"/>
        <w:spacing w:after="0" w:line="253" w:lineRule="auto"/>
        <w:tabs>
          <w:tab w:leader="none" w:pos="6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become registered, TP3 must deliver the following documentation to Paymentech, as applicable, prior to signing any Merchant to the Program or submitting any Transactions into Interchange: (i) applicable registration forms from Visa and MasterCard; (ii) supporting documentation to assist Paymentech in performing (or evidence in support of the fact that Paymentech has already conducted) a comprehensive risk and financial review of TP3; (iii) a comprehensive list of all existing Merchants, if applicable, in an electronic format specified by Visa and MasterCard; and (iv) Security Standards Compliance Validation Documentation.</w:t>
      </w:r>
    </w:p>
    <w:p>
      <w:pPr>
        <w:spacing w:after="0" w:line="3" w:lineRule="exact"/>
        <w:rPr>
          <w:rFonts w:ascii="Arial" w:cs="Arial" w:eastAsia="Arial" w:hAnsi="Arial"/>
          <w:sz w:val="18"/>
          <w:szCs w:val="18"/>
          <w:color w:val="auto"/>
        </w:rPr>
      </w:pPr>
    </w:p>
    <w:p>
      <w:pPr>
        <w:jc w:val="both"/>
        <w:ind w:firstLine="170"/>
        <w:spacing w:after="0" w:line="252" w:lineRule="auto"/>
        <w:tabs>
          <w:tab w:leader="none" w:pos="7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registration, TP3 represents and warrants that it performs only those services it has identified in its Security Standards Compliance Validation Documentation. TP3 further represents and warrants that it will immediately, or within three (3) Business Days at the latest, notify Paymentech in writing if it performs any services in addition to those identified in the Security Standards Compliance Validation Documentation. Upon the Effective Date, TP3 shall provide Paymentech with a list of all its current Service Providers. “Security Standards Compliance Validation Documentation” encompasses the following Security Standards Compliance Validation Documents, to be provided by TP3 to Paymentech: (i) Report on Compliance (ROC), (ii) Executive Summary of the ROC, (iii) Attestation of Compliance form, (iv) Self-Assessment Questionnaire (SAQ), and/or (v) any other documentation which Paymentech may reasonably request or require in order to validate TP3’s registration and compliance with the Payment Brand Rules and/or the Security Standards.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1.5 Requirements for Certain Transactions</w:t>
      </w:r>
      <w:r>
        <w:rPr>
          <w:rFonts w:ascii="Arial" w:cs="Arial" w:eastAsia="Arial" w:hAnsi="Arial"/>
          <w:sz w:val="18"/>
          <w:szCs w:val="18"/>
          <w:color w:val="auto"/>
        </w:rPr>
        <w:t>. With respect to each Transaction submitted to us for processing, (i) TP3 shall ensure that TP3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meets each of the following requirements, and (ii) TP3 represents and warrants that, to the best of its knowledge, each of the following requirements is met:</w:t>
      </w:r>
    </w:p>
    <w:p>
      <w:pPr>
        <w:spacing w:after="0" w:line="2" w:lineRule="exact"/>
        <w:rPr>
          <w:sz w:val="20"/>
          <w:szCs w:val="20"/>
          <w:color w:val="auto"/>
        </w:rPr>
      </w:pPr>
    </w:p>
    <w:p>
      <w:pPr>
        <w:ind w:firstLine="170"/>
        <w:spacing w:after="0" w:line="250"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 Record represents payment or refund of payment, for the bona fide sale or lease of the goods, services, or both, which Merchant or TP3 has provided in the ordinary course of business.</w:t>
      </w:r>
    </w:p>
    <w:p>
      <w:pPr>
        <w:ind w:left="700" w:hanging="53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 Record represents an obligation of the Customer for the amount of the Transaction.</w:t>
      </w:r>
    </w:p>
    <w:p>
      <w:pPr>
        <w:spacing w:after="0" w:line="9" w:lineRule="exact"/>
        <w:rPr>
          <w:rFonts w:ascii="Arial" w:cs="Arial" w:eastAsia="Arial" w:hAnsi="Arial"/>
          <w:sz w:val="18"/>
          <w:szCs w:val="18"/>
          <w:color w:val="auto"/>
        </w:rPr>
      </w:pPr>
    </w:p>
    <w:p>
      <w:pPr>
        <w:jc w:val="both"/>
        <w:ind w:firstLine="170"/>
        <w:spacing w:after="0" w:line="250"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 Record does not involve any element of credit for payment of a previously dishonored Payment Instrument or for any other purpose than payment for a current transaction. The Transaction does not represent payment for a previous Transaction or charge incurred at the Merchant or a Transaction that was previously charged back by the Customer, irrespective of Customer consent or approval.</w:t>
      </w:r>
    </w:p>
    <w:p>
      <w:pPr>
        <w:spacing w:after="0" w:line="1" w:lineRule="exact"/>
        <w:rPr>
          <w:rFonts w:ascii="Arial" w:cs="Arial" w:eastAsia="Arial" w:hAnsi="Arial"/>
          <w:sz w:val="18"/>
          <w:szCs w:val="18"/>
          <w:color w:val="auto"/>
        </w:rPr>
      </w:pPr>
    </w:p>
    <w:p>
      <w:pPr>
        <w:ind w:firstLine="170"/>
        <w:spacing w:after="0" w:line="250" w:lineRule="auto"/>
        <w:tabs>
          <w:tab w:leader="none" w:pos="7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in the case of approved installment or pre-payment plans, the goods have been shipped or provided (or made available) or the services have been actually rendered to the Customer.</w:t>
      </w:r>
    </w:p>
    <w:p>
      <w:pPr>
        <w:ind w:left="680" w:hanging="510"/>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 Record is free from any material alteration not authorized by the Customer.</w:t>
      </w:r>
    </w:p>
    <w:p>
      <w:pPr>
        <w:spacing w:after="0" w:line="9" w:lineRule="exact"/>
        <w:rPr>
          <w:rFonts w:ascii="Arial" w:cs="Arial" w:eastAsia="Arial" w:hAnsi="Arial"/>
          <w:sz w:val="18"/>
          <w:szCs w:val="18"/>
          <w:color w:val="auto"/>
        </w:rPr>
      </w:pPr>
    </w:p>
    <w:p>
      <w:pPr>
        <w:ind w:left="700" w:hanging="53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charged for the Transaction is not subject to any dispute, setoff, or counterclaim.</w:t>
      </w:r>
    </w:p>
    <w:p>
      <w:pPr>
        <w:spacing w:after="0" w:line="9" w:lineRule="exact"/>
        <w:rPr>
          <w:rFonts w:ascii="Arial" w:cs="Arial" w:eastAsia="Arial" w:hAnsi="Arial"/>
          <w:sz w:val="18"/>
          <w:szCs w:val="18"/>
          <w:color w:val="auto"/>
        </w:rPr>
      </w:pPr>
    </w:p>
    <w:p>
      <w:pPr>
        <w:jc w:val="both"/>
        <w:ind w:firstLine="170"/>
        <w:spacing w:after="0" w:line="250"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TP3 nor the Merchant nor any of their employees has advanced any cash to the Customer (except as authorized by the Payment Brand Rules) or to TP3 or to any of its representatives, agents, or employees in connection with a Transaction, nor has TP3 or Merchant accepted payment for effecting credits to a Customer.</w:t>
      </w:r>
    </w:p>
    <w:p>
      <w:pPr>
        <w:spacing w:after="0" w:line="1" w:lineRule="exact"/>
        <w:rPr>
          <w:rFonts w:ascii="Arial" w:cs="Arial" w:eastAsia="Arial" w:hAnsi="Arial"/>
          <w:sz w:val="18"/>
          <w:szCs w:val="18"/>
          <w:color w:val="auto"/>
        </w:rPr>
      </w:pPr>
    </w:p>
    <w:p>
      <w:pPr>
        <w:ind w:left="700" w:hanging="53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Merchant is free to sell the goods or services related to each Transaction.</w:t>
      </w:r>
    </w:p>
    <w:p>
      <w:pPr>
        <w:spacing w:after="0" w:line="9" w:lineRule="exact"/>
        <w:rPr>
          <w:rFonts w:ascii="Arial" w:cs="Arial" w:eastAsia="Arial" w:hAnsi="Arial"/>
          <w:sz w:val="18"/>
          <w:szCs w:val="18"/>
          <w:color w:val="auto"/>
        </w:rPr>
      </w:pPr>
    </w:p>
    <w:p>
      <w:pPr>
        <w:ind w:firstLine="170"/>
        <w:spacing w:after="0" w:line="265" w:lineRule="auto"/>
        <w:tabs>
          <w:tab w:leader="none" w:pos="7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refunds shall be in accordance with all applicable return/cancellation policies, which have been previously submitted to Paymentech in writing as provided in Section 3, and which are available to the Customer and not subject to any other representations or agreements.</w:t>
      </w:r>
    </w:p>
    <w:p>
      <w:pPr>
        <w:ind w:left="700" w:hanging="530"/>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Transaction submitted to credit a Customer’s account represents a refund or adjustment to a Transaction previously submitted to Paymentech.</w:t>
      </w:r>
    </w:p>
    <w:p>
      <w:pPr>
        <w:spacing w:after="0" w:line="32" w:lineRule="exact"/>
        <w:rPr>
          <w:rFonts w:ascii="Arial" w:cs="Arial" w:eastAsia="Arial" w:hAnsi="Arial"/>
          <w:sz w:val="16"/>
          <w:szCs w:val="16"/>
          <w:color w:val="auto"/>
        </w:rPr>
      </w:pPr>
    </w:p>
    <w:p>
      <w:pPr>
        <w:jc w:val="both"/>
        <w:ind w:firstLine="170"/>
        <w:spacing w:after="0" w:line="250" w:lineRule="auto"/>
        <w:tabs>
          <w:tab w:leader="none" w:pos="7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TP3 nor Merchant has knowledge or notice of any information that would indicate that the enforceability or collectability of the subject Transaction Record is in any manner impaired. The Transaction Record is in compliance with all applicable laws, ordinances, and regulations. The Transaction Record is originated in compliance with this Agreement and applicable Payment Brand Rules.</w:t>
      </w:r>
    </w:p>
    <w:p>
      <w:pPr>
        <w:spacing w:after="0" w:line="1" w:lineRule="exact"/>
        <w:rPr>
          <w:rFonts w:ascii="Arial" w:cs="Arial" w:eastAsia="Arial" w:hAnsi="Arial"/>
          <w:sz w:val="18"/>
          <w:szCs w:val="18"/>
          <w:color w:val="auto"/>
        </w:rPr>
      </w:pPr>
    </w:p>
    <w:p>
      <w:pPr>
        <w:jc w:val="both"/>
        <w:ind w:right="20" w:firstLine="170"/>
        <w:spacing w:after="0" w:line="255" w:lineRule="auto"/>
        <w:tabs>
          <w:tab w:leader="none" w:pos="7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 Transaction where the Customer pays in installments or on a deferred payment plan, a Transaction Record has been prepared separately for each installment or deferred payment on the date(s) the Customer agreed to be charged. All installments and deferred payments, whether or not they have been submitted to Paymentech for processing, shall be deemed to be a part of the original Transaction.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ind w:firstLine="170"/>
        <w:spacing w:after="0" w:line="258" w:lineRule="auto"/>
        <w:tabs>
          <w:tab w:leader="none" w:pos="7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TP3 nor Merchant knows or should have known the Transaction to be fraudulent, illegal, damaging to the Payment Brand(s), unauthorized by the Customer, or otherwise in violation of any provision of this Agreement or any Payment Brand Rule.</w:t>
      </w:r>
    </w:p>
    <w:p>
      <w:pPr>
        <w:spacing w:after="0" w:line="1" w:lineRule="exact"/>
        <w:rPr>
          <w:rFonts w:ascii="Arial" w:cs="Arial" w:eastAsia="Arial" w:hAnsi="Arial"/>
          <w:sz w:val="18"/>
          <w:szCs w:val="18"/>
          <w:color w:val="auto"/>
        </w:rPr>
      </w:pPr>
    </w:p>
    <w:p>
      <w:pPr>
        <w:jc w:val="both"/>
        <w:ind w:firstLine="170"/>
        <w:spacing w:after="0" w:line="270"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recurring Transactions, TP3 or Merchant must (i) obtain the Customer’s consent to periodically charge the Customer on a recurring basis for the goods or services purchased; (ii) retain this consent for the duration of the recurring services and provide it upon request to Paymentech or the issuing bank of the Customer’s Payment Instrument; and (iii) retain written documentation specifying the frequency of the recurring charge and the duration of time during which such charges may be made. TP3 shall not submit any recurring transaction after receiving: (i) a cancellation notice from the Customer; or (ii) notice from Paymentech or any Payment Brand (via authorization code or otherwise) that the Payment Instrument is not to be honored. TP3 shall include in its Transaction Data the electronic indicator that the Transaction is a recurring Transaction.</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1.6 Requirements for Merchants. </w:t>
      </w:r>
      <w:r>
        <w:rPr>
          <w:rFonts w:ascii="Arial" w:cs="Arial" w:eastAsia="Arial" w:hAnsi="Arial"/>
          <w:sz w:val="17"/>
          <w:szCs w:val="17"/>
          <w:color w:val="auto"/>
        </w:rPr>
        <w:t>TP3 agrees that Paymentech shall have the right at any time, in its sole discretion: (i) to refuse to process Transactions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Merchant and to require TP3 to decline, or terminate immediately, such Merchant’s participation in the Program if Paymentech reasonably believes the Merchant is acting in violation of the Payment Brand Rules or applicable law, or in the event there is a material increase in anticipated risk presented by such Merchant; (ii) to condition continued processing for any Merchant upon TP3 establishing, funding, and maintaining a Reserve Account, in an amount specified by Paymentech, specific to each Merchant; and (ii) to take or require TP3 to take any other measures as may be reasonably required by Paymentech in order to minimize the risk associated with any Merchant, comply with applicable Payment Brand Rules, or comply with any applicable legal or regulatory requirements. With respect to each Merchant, TP3 shall enter into a legally binding contract that satisfies the requirements set forth in the Payment Brand Rules and this Agreement regarding the processing of Transactions. Paymentech hereby reserves the right to review and audit the TP3-Merchant Processing Agreement to ensure compliance with Member and Paymentech policies, this Agreement or other agreements between you and us, Payment Brand Rules, the Security Standards, and any other applicable legal or regulatory requirements, or otherwise to ensure that we have no liability under such agreement. Without limiting the generality of the foregoing, each such agreement shall specify that TP3 is collecting and processing Transactions and Transaction Records on behalf of and as agent for such Merchant and shall require Merchant to (i) comply with the applicable Payment Brand Rules and Security Standards, (ii) comply with any applicable state, federal, and local laws, ordinances, governmental rules, and regulations relating to the Program and/or the Transactions submitted to Paymentech.</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1.7 Requirements for TP3. </w:t>
      </w:r>
      <w:r>
        <w:rPr>
          <w:rFonts w:ascii="Arial" w:cs="Arial" w:eastAsia="Arial" w:hAnsi="Arial"/>
          <w:sz w:val="16"/>
          <w:szCs w:val="16"/>
          <w:color w:val="auto"/>
        </w:rPr>
        <w:t>TP3 shall comply with all requirements and agreements outlined in</w:t>
      </w:r>
      <w:r>
        <w:rPr>
          <w:rFonts w:ascii="Arial" w:cs="Arial" w:eastAsia="Arial" w:hAnsi="Arial"/>
          <w:sz w:val="16"/>
          <w:szCs w:val="16"/>
          <w:b w:val="1"/>
          <w:bCs w:val="1"/>
          <w:color w:val="auto"/>
        </w:rPr>
        <w:t xml:space="preserve"> Schedule B</w:t>
      </w:r>
      <w:r>
        <w:rPr>
          <w:rFonts w:ascii="Arial" w:cs="Arial" w:eastAsia="Arial" w:hAnsi="Arial"/>
          <w:sz w:val="16"/>
          <w:szCs w:val="16"/>
          <w:color w:val="auto"/>
        </w:rPr>
        <w:t>. Schedule B, including its attachments,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by Paymentech upon 30 days’ prior written notice to TP3, if needed in order to comply with applicable law, Payment Brand Rules or JPMC policies. TP3 shall also comply with all requirements and agreements outlined in </w:t>
      </w:r>
      <w:r>
        <w:rPr>
          <w:rFonts w:ascii="Arial" w:cs="Arial" w:eastAsia="Arial" w:hAnsi="Arial"/>
          <w:sz w:val="16"/>
          <w:szCs w:val="16"/>
          <w:b w:val="1"/>
          <w:bCs w:val="1"/>
          <w:color w:val="auto"/>
        </w:rPr>
        <w:t>Schedule E (Remediation Plan),</w:t>
      </w:r>
      <w:r>
        <w:rPr>
          <w:rFonts w:ascii="Arial" w:cs="Arial" w:eastAsia="Arial" w:hAnsi="Arial"/>
          <w:sz w:val="16"/>
          <w:szCs w:val="16"/>
          <w:color w:val="auto"/>
        </w:rPr>
        <w:t xml:space="preserve"> if applicable. TP3 shall require that all Merchants execute any and all applications and documentation Paymentech and the Payment Brands may require from time to time. TP3 agrees to each of the obligations, terms, and conditions set forth in </w:t>
      </w:r>
      <w:r>
        <w:rPr>
          <w:rFonts w:ascii="Arial" w:cs="Arial" w:eastAsia="Arial" w:hAnsi="Arial"/>
          <w:sz w:val="16"/>
          <w:szCs w:val="16"/>
          <w:b w:val="1"/>
          <w:bCs w:val="1"/>
          <w:color w:val="auto"/>
        </w:rPr>
        <w:t>Schedule B</w:t>
      </w:r>
      <w:r>
        <w:rPr>
          <w:rFonts w:ascii="Arial" w:cs="Arial" w:eastAsia="Arial" w:hAnsi="Arial"/>
          <w:sz w:val="16"/>
          <w:szCs w:val="16"/>
          <w:color w:val="auto"/>
        </w:rPr>
        <w:t xml:space="preserve"> hereto, including, but not limited to, requiring that TP3 (and, as necessary, each Merchant) is in full compliance with applicable federal, state, and local laws, statutes, ordinances, governmental rules and regulations, the Payment Brand Rules, Paymentech and Member legal, credit, compliance or other policies, procedures, and practices as in effect from time to time. To the extent required by the Payment Brand(s), TP3 must be registered, and maintain such registration, as a third party service provider with such Payment Brand(s). With respect to all Merchants, TP3 agrees to provide to Paymentech the data described on </w:t>
      </w:r>
      <w:r>
        <w:rPr>
          <w:rFonts w:ascii="Arial" w:cs="Arial" w:eastAsia="Arial" w:hAnsi="Arial"/>
          <w:sz w:val="16"/>
          <w:szCs w:val="16"/>
          <w:b w:val="1"/>
          <w:bCs w:val="1"/>
          <w:color w:val="auto"/>
        </w:rPr>
        <w:t>Schedules B</w:t>
      </w:r>
      <w:r>
        <w:rPr>
          <w:rFonts w:ascii="Arial" w:cs="Arial" w:eastAsia="Arial" w:hAnsi="Arial"/>
          <w:sz w:val="16"/>
          <w:szCs w:val="16"/>
          <w:color w:val="auto"/>
        </w:rPr>
        <w:t xml:space="preserve"> hereto, and such other information as Paymentech may reasonably request from time to time to enable it to track and evaluate the Program’s success and to meet Paymentech’s compliance and reporting obligations to the Payment Brands, in such a timeframe as required on </w:t>
      </w:r>
      <w:r>
        <w:rPr>
          <w:rFonts w:ascii="Arial" w:cs="Arial" w:eastAsia="Arial" w:hAnsi="Arial"/>
          <w:sz w:val="16"/>
          <w:szCs w:val="16"/>
          <w:b w:val="1"/>
          <w:bCs w:val="1"/>
          <w:color w:val="auto"/>
        </w:rPr>
        <w:t>Schedule B</w:t>
      </w:r>
      <w:r>
        <w:rPr>
          <w:rFonts w:ascii="Arial" w:cs="Arial" w:eastAsia="Arial" w:hAnsi="Arial"/>
          <w:sz w:val="16"/>
          <w:szCs w:val="16"/>
          <w:color w:val="auto"/>
        </w:rPr>
        <w:t>. TP3 shall assume full financial liability, and be fully liable to Paymentech, for Transactions submitted on behalf of Merchants, as well as for any disputed Transactions, credits, or customer service-related expenses, Chargebacks, or fraud. TP3 shall be responsible for its and its Merchants’ compliance with all Payment Brand Rules and other Payment Brand requirements, applicable state, federal, and local laws, ordinances, governmental rules, and regulations that may be applicable to either TP3 or Merchants as a result of the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both"/>
        <w:spacing w:after="0" w:line="268" w:lineRule="auto"/>
        <w:rPr>
          <w:sz w:val="20"/>
          <w:szCs w:val="20"/>
          <w:color w:val="auto"/>
        </w:rPr>
      </w:pPr>
      <w:r>
        <w:rPr>
          <w:rFonts w:ascii="Arial" w:cs="Arial" w:eastAsia="Arial" w:hAnsi="Arial"/>
          <w:sz w:val="17"/>
          <w:szCs w:val="17"/>
          <w:b w:val="1"/>
          <w:bCs w:val="1"/>
          <w:color w:val="auto"/>
        </w:rPr>
        <w:t xml:space="preserve">1.8 Commercial Entities. </w:t>
      </w:r>
      <w:r>
        <w:rPr>
          <w:rFonts w:ascii="Arial" w:cs="Arial" w:eastAsia="Arial" w:hAnsi="Arial"/>
          <w:sz w:val="17"/>
          <w:szCs w:val="17"/>
          <w:color w:val="auto"/>
        </w:rPr>
        <w:t>TP3 agrees and understands that the Payment Brand Rules require that, in addition to any contract between Merchant and TP3,</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Paymentech must enter into a written agreement with each Merchant having Visa annual sales greater than $100,000 or MasterCard annual sales greater than $1,000,000 (a “Commercial Entity”) and that such requirements shall be included in either a separate agreement or in the TP3 Merchant Processing Agreement. TP3 shall promptly notify Paymentech of any Merchant which it has reason to believe may be or is likely to become a Commercial Entity, but such requirement shall not affect TP3’s obligation to enter into an agreement with a Merchant as required by Section 1.5. At any time and from time to time, Paymentech shall be entitled to designate any Merchant as a Commercial Entity which Paymentech reasonably believes will meet the criteria outlined above, and to require, either directly or through TP3, such Merchant to execute an agreement with Paymentech in a form substantially similar to the form attached hereto as </w:t>
      </w:r>
      <w:r>
        <w:rPr>
          <w:rFonts w:ascii="Arial" w:cs="Arial" w:eastAsia="Arial" w:hAnsi="Arial"/>
          <w:sz w:val="17"/>
          <w:szCs w:val="17"/>
          <w:b w:val="1"/>
          <w:bCs w:val="1"/>
          <w:color w:val="auto"/>
        </w:rPr>
        <w:t>Schedule C</w:t>
      </w:r>
      <w:r>
        <w:rPr>
          <w:rFonts w:ascii="Arial" w:cs="Arial" w:eastAsia="Arial" w:hAnsi="Arial"/>
          <w:sz w:val="17"/>
          <w:szCs w:val="17"/>
          <w:color w:val="auto"/>
        </w:rPr>
        <w:t>, with such changes as the Payment Brands may require from time to time. With respect to each Merchant entity that Paymentech designates as a Commercial Entity, TP3 shall collect and forward all information requested by Paymentech to comply with Paymentech’s or Member’s legal or compliance obligations, Payment Brand Rules as well as Paymentech’s or Member’s then current policies, including, without limitation, its credit policies. Exercise of any right by Paymentech against any Merchant or TP3 shall not preclude Paymentech, in its sole discretion, from enforcing its right against, or recovery fromTP3.. Any Merchant having annual MasterCard sales greater than $1,000,000 must receive settlement funds directly from Paymentech as required by current Payment Brand Rules. TP3 will assist Paymentech in obtaining appropriate documentation pertaining to the settlement account from such Merchants.</w:t>
      </w:r>
    </w:p>
    <w:p>
      <w:pPr>
        <w:spacing w:after="0" w:line="185"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UTHORIZATIONS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2.1 Obtaining Authorizations. </w:t>
      </w:r>
      <w:r>
        <w:rPr>
          <w:rFonts w:ascii="Arial" w:cs="Arial" w:eastAsia="Arial" w:hAnsi="Arial"/>
          <w:sz w:val="17"/>
          <w:szCs w:val="17"/>
          <w:color w:val="auto"/>
        </w:rPr>
        <w:t>TP3 is required to obtain authorization/approval codes through Paymentech, in accordance with this Agreement,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Transactions. TP3 acknowledges for itself and on behalf of the Merchants that an authorization/approval code of a Transaction indicates </w:t>
      </w:r>
      <w:r>
        <w:rPr>
          <w:rFonts w:ascii="Arial" w:cs="Arial" w:eastAsia="Arial" w:hAnsi="Arial"/>
          <w:sz w:val="17"/>
          <w:szCs w:val="17"/>
          <w:b w:val="1"/>
          <w:bCs w:val="1"/>
          <w:color w:val="auto"/>
        </w:rPr>
        <w:t>only</w:t>
      </w:r>
      <w:r>
        <w:rPr>
          <w:rFonts w:ascii="Arial" w:cs="Arial" w:eastAsia="Arial" w:hAnsi="Arial"/>
          <w:sz w:val="17"/>
          <w:szCs w:val="17"/>
          <w:color w:val="auto"/>
        </w:rPr>
        <w:t xml:space="preserve"> (i) that the Payment Instrument contains a valid account number; and (ii) that the Customer’s Payment Instrument has an available credit balance sufficient for the amount of the Transaction at the time the authorization is given, but does not constitute a representation from Paymentech, Member, a Payment Brand, or a card issuing bank that a particular Transaction is a valid or undisputed transaction entered into by the actual Customer.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2.2 Lack of Authorization. </w:t>
      </w:r>
      <w:r>
        <w:rPr>
          <w:rFonts w:ascii="Arial" w:cs="Arial" w:eastAsia="Arial" w:hAnsi="Arial"/>
          <w:sz w:val="17"/>
          <w:szCs w:val="17"/>
          <w:color w:val="auto"/>
        </w:rPr>
        <w:t>Paymentech reserves the right to refuse to process any Transaction Record submitted by TP3 (i) unless a proper</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authorization/approval code is recorded, (ii) that Paymentech reasonably determines is or may become uncollectible from the Customer to which the Transaction would otherwise be charged, or (iii) that was prepared in violation of any provision of this Agreement or the Payment Brand Rules.</w:t>
      </w:r>
    </w:p>
    <w:p>
      <w:pPr>
        <w:spacing w:after="0" w:line="158"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EFUNDS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3.1 Disclosure of Refund Policy. </w:t>
      </w:r>
      <w:r>
        <w:rPr>
          <w:rFonts w:ascii="Arial" w:cs="Arial" w:eastAsia="Arial" w:hAnsi="Arial"/>
          <w:sz w:val="18"/>
          <w:szCs w:val="18"/>
          <w:color w:val="auto"/>
        </w:rPr>
        <w:t>TP3 is required to ensure that TP3 and all Merchants each maintain a fair policy with regard to the refund, return, or</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merchandise or services and adjustments of Transactions. TP3 is also required to ensure that TP3 and each Merchant discloses its refund, return, or cancellation policy to Paymentech and to Customers.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3.2 Changes to Policy. </w:t>
      </w:r>
      <w:r>
        <w:rPr>
          <w:rFonts w:ascii="Arial" w:cs="Arial" w:eastAsia="Arial" w:hAnsi="Arial"/>
          <w:sz w:val="18"/>
          <w:szCs w:val="18"/>
          <w:color w:val="auto"/>
        </w:rPr>
        <w:t>Any change in a refund, return, or cancellation policy must be submitted to us, in writing, not less than fourteen (14)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such change. Paymentech reserves the right to refuse to process any Transaction Record made subject to a revised refund, return, or cancellation policy of which Paymentech has not been notified in advance.</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3.3 Procedure for Refunds/Adjustments. </w:t>
      </w:r>
      <w:r>
        <w:rPr>
          <w:rFonts w:ascii="Arial" w:cs="Arial" w:eastAsia="Arial" w:hAnsi="Arial"/>
          <w:sz w:val="16"/>
          <w:szCs w:val="16"/>
          <w:color w:val="auto"/>
        </w:rPr>
        <w:t>If TP3 or the Merchants allow a price adjustment, return of merchandise, or cancellation of services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 Settled or Conveyed Transaction, TP3 will prepare and deliver to us a Transaction Record reflecting such refund/adjustment within three (3) days of receiving the request for such refund/adjustment. The amount of the refund/adjustment cannot exceed the amount shown as the total on the original Transaction Record except by the exact amount required to reimburse the Customer for postage that the Customer paid to return merchandise. TP3 is not allowed to accept cash or any other payment or consideration from a Customer in return for preparing a refund to be deposited to the Customer’s account; nor may cash refunds be given to a Customer in connection with a Settled or Conveyed Transaction, unless permitted or required by law.</w:t>
      </w:r>
    </w:p>
    <w:p>
      <w:pPr>
        <w:spacing w:after="0" w:line="156"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ETTLEMENT</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4.1 Submission of Transaction Record. </w:t>
      </w:r>
      <w:r>
        <w:rPr>
          <w:rFonts w:ascii="Arial" w:cs="Arial" w:eastAsia="Arial" w:hAnsi="Arial"/>
          <w:sz w:val="18"/>
          <w:szCs w:val="18"/>
          <w:color w:val="auto"/>
        </w:rPr>
        <w:t>TP3 is required to submit the Transaction Record no later than the next business day immediately following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such Transaction Record is originated. Failure to do so can result in higher interchange fees and other costs and increased Chargebacks. For debit card transactions that are credits to a Customer’s account, TP3 agrees to submit such Transaction Record within twenty-four (24) hours of receiving the authorization for such credit. Unless otherwise indicated on </w:t>
      </w:r>
      <w:r>
        <w:rPr>
          <w:rFonts w:ascii="Arial" w:cs="Arial" w:eastAsia="Arial" w:hAnsi="Arial"/>
          <w:sz w:val="18"/>
          <w:szCs w:val="18"/>
          <w:b w:val="1"/>
          <w:bCs w:val="1"/>
          <w:color w:val="auto"/>
        </w:rPr>
        <w:t>Schedule A</w:t>
      </w:r>
      <w:r>
        <w:rPr>
          <w:rFonts w:ascii="Arial" w:cs="Arial" w:eastAsia="Arial" w:hAnsi="Arial"/>
          <w:sz w:val="18"/>
          <w:szCs w:val="18"/>
          <w:color w:val="auto"/>
        </w:rPr>
        <w:t>, TP3 will be solely responsible for all communication expenses required to facilitate the submission and transmission of all Transaction Records to Paymentech.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3" w:name="page104"/>
    <w:bookmarkEnd w:id="103"/>
    <w:p>
      <w:pPr>
        <w:jc w:val="both"/>
        <w:spacing w:after="0" w:line="286" w:lineRule="auto"/>
        <w:rPr>
          <w:sz w:val="20"/>
          <w:szCs w:val="20"/>
          <w:color w:val="auto"/>
        </w:rPr>
      </w:pPr>
      <w:r>
        <w:rPr>
          <w:rFonts w:ascii="Arial" w:cs="Arial" w:eastAsia="Arial" w:hAnsi="Arial"/>
          <w:sz w:val="16"/>
          <w:szCs w:val="16"/>
          <w:b w:val="1"/>
          <w:bCs w:val="1"/>
          <w:color w:val="auto"/>
        </w:rPr>
        <w:t xml:space="preserve">4.2 TP3’s Bank Account(s). </w:t>
      </w:r>
      <w:r>
        <w:rPr>
          <w:rFonts w:ascii="Arial" w:cs="Arial" w:eastAsia="Arial" w:hAnsi="Arial"/>
          <w:sz w:val="16"/>
          <w:szCs w:val="16"/>
          <w:color w:val="auto"/>
        </w:rPr>
        <w:t>Unless it has been agreed to by the parties that Paymentech will directly fund a Commercial Entity for its respective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settlement funds, TP3 must maintain (a) one or more “for the benefit of” (FBO) accounts designated to receive funds related to the settlement of all Commercial Entities’ Transactions; and (b) one or more FBO accounts designated to receive funds related to the settlement of all other Merchants’ Transactions. All FBO accounts must be compliant with all applicable laws pertaining to such accounts, held at a bank that is a member of the Automated Clearing House (“ACH”) system or the Federal Reserve wire system, and established in accordance with </w:t>
      </w:r>
      <w:r>
        <w:rPr>
          <w:rFonts w:ascii="Arial" w:cs="Arial" w:eastAsia="Arial" w:hAnsi="Arial"/>
          <w:sz w:val="16"/>
          <w:szCs w:val="16"/>
          <w:b w:val="1"/>
          <w:bCs w:val="1"/>
          <w:color w:val="auto"/>
        </w:rPr>
        <w:t>Schedule D</w:t>
      </w:r>
      <w:r>
        <w:rPr>
          <w:rFonts w:ascii="Arial" w:cs="Arial" w:eastAsia="Arial" w:hAnsi="Arial"/>
          <w:sz w:val="16"/>
          <w:szCs w:val="16"/>
          <w:color w:val="auto"/>
        </w:rPr>
        <w:t xml:space="preserve"> attached hereto and incorporated herein by reference. TP3 must not, under Generally Accepted Accounting Principles (GAAP), account for funds in the FBO accounts as their own funds. Furthermore, TP3 must designate at least one bank account for the debit of any fees and costs associated with Paymentech’s processing of the Transactions or for other obligations and liabilities of TP3 or the Merchants under this Agreement. All FBO and bank accounts designated by TP3 pursuant to this Section 4.2 shall be collectively referred to herein as “Settlement Account”. During the term of this Agreement, and thereafter until we notify TP3 that all monies due from TP3 and all Merchants under this Agreement have been paid in full, TP3 agrees not to close the Settlement Account without giving Paymentech at least five (5) days’ prior written notice and substituting another Settlement Account. TP3 is solely liable for all fees and costs associated with the Settlement Account and for all overdrafts. TP3 authorizes Paymentech to initiate electronic credit and debit entries and adjustments to the Settlement Account or applicable bank account at any time without regard to the source of any monies therein. Paymentech will not be liable for any delays in receipt of funds or errors in Settlement Account entries caused by third parties, including, but not limited to, delays or errors by the Payment Brands or TP3’s bank.</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4.3 Conveyed Transactions. </w:t>
      </w:r>
      <w:r>
        <w:rPr>
          <w:rFonts w:ascii="Arial" w:cs="Arial" w:eastAsia="Arial" w:hAnsi="Arial"/>
          <w:sz w:val="16"/>
          <w:szCs w:val="16"/>
          <w:color w:val="auto"/>
        </w:rPr>
        <w:t>To the extent that TP3 submits any Conveyed Transactions for processing by Paymentech and TP3 or the Merchant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have a valid agreement in effect with the applicable Payment Brand, TP3 hereby authorizes Paymentech, at Paymentech’s option, to submit such Transactions to the applicable Payment Brand, and to share with the applicable Payment Brand such information from the Application, or otherwise provided to Paymentech by TP3 or Merchant, as may be required in order to approve acceptance of such Payment Instrument as method(s) of payment. Subject to such approval, TP3 agrees to the applicable Payment Brand’s standard terms and conditions with respect to such method(s) of payment. Upon the transmission of such Conveyed Transactions to Paymentech, the Conveyed Transaction will be forwarded to the appropriate Payment Brand. Payment of the proceeds due for such Conveyed Transaction will be governed by the agreement with that Payment Brand, and Paymentech bears no responsibility for performance of such agreement. Even if a valid authorization for a Conveyed Transaction is obtained, Paymentech is not liable for errors in Settlement Account entries relating to the funding of those Conveyed Transactions, including delays caused by TP3, Merchant, third parties, the Payment Brands, or TP3‘s or Merchant’s bank.</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4.4 Transfer of Settlement Funds. </w:t>
      </w:r>
      <w:r>
        <w:rPr>
          <w:rFonts w:ascii="Arial" w:cs="Arial" w:eastAsia="Arial" w:hAnsi="Arial"/>
          <w:sz w:val="16"/>
          <w:szCs w:val="16"/>
          <w:color w:val="auto"/>
        </w:rPr>
        <w:t>For all Settled Transactions, Paymentech will process the Transaction Records to facilitate the funds transfer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various Payment Brands, TP3, and Merchant. Promptly after receiving credit for such Transaction Record, Paymentech will provide provisional credit to the Settlement Account for the proceeds. The proceeds payable shall be equal to the amounts received by Paymentech in connection with the Transaction Record less the sum of the following: (i) all fees, imposed by Paymentech or any third parties passed through to TP3, charges, and discounts set forth in </w:t>
      </w:r>
      <w:r>
        <w:rPr>
          <w:rFonts w:ascii="Arial" w:cs="Arial" w:eastAsia="Arial" w:hAnsi="Arial"/>
          <w:sz w:val="16"/>
          <w:szCs w:val="16"/>
          <w:b w:val="1"/>
          <w:bCs w:val="1"/>
          <w:color w:val="auto"/>
        </w:rPr>
        <w:t>Schedule A</w:t>
      </w:r>
      <w:r>
        <w:rPr>
          <w:rFonts w:ascii="Arial" w:cs="Arial" w:eastAsia="Arial" w:hAnsi="Arial"/>
          <w:sz w:val="16"/>
          <w:szCs w:val="16"/>
          <w:color w:val="auto"/>
        </w:rPr>
        <w:t>;</w:t>
      </w:r>
    </w:p>
    <w:p>
      <w:pPr>
        <w:spacing w:after="0" w:line="3" w:lineRule="exact"/>
        <w:rPr>
          <w:sz w:val="20"/>
          <w:szCs w:val="20"/>
          <w:color w:val="auto"/>
        </w:rPr>
      </w:pPr>
    </w:p>
    <w:p>
      <w:pPr>
        <w:jc w:val="both"/>
        <w:ind w:firstLine="8"/>
        <w:spacing w:after="0" w:line="285" w:lineRule="auto"/>
        <w:tabs>
          <w:tab w:leader="none" w:pos="2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Chargebacks; (iii) all equipment charges (if any); (iv) all Customer refunds, returns, and adjustments; and (v) all Reserve Account amounts; (vi) any funds Paymentech may pay directly to a Merchant if direct funding is required by the Payment Brand Rules; and (vii) any fees, charges, fines, assessments, penalties, or other liabilities that may be imposed on Paymentech or the Member from time to time by the Payment Brands and all related costs and expenses incurred by Paymentech pursuant to this Agreement. Paymentech also reserves the right to withhold or offset from the proceeds owed to TP3 or any Merchant by Paymentech any or all amounts owed by TP3 or a Merchant to Paymentech or its affiliates under any other agreement between you and Paymentech. TP3 agrees that amounts set forth above, and any other amounts are due and payable by TP3 at the time the related services are rendered and may be imposed on a daily basis if Paymentech so determines; that all Reserve Account amounts due from TP3 hereunder are payable upon establishment; and that the related Chargebacks, Customer refunds and adjustments, fees, charges, fines, assessments, penalties, and all other liabilities are due and payable when Paymentech receives notice thereof from the Payment Brands or any third party, or otherwise pursuant to this Section 4.4. In the event Paymentech does not deduct such amounts from the proceeds payable, TP3 agrees to pay all such amounts immediately without any deduction or offsets. Alternatively, at Paymentech’s sole option, Paymentech may debit the Settlement Account or the Reserve Account for such amounts at any time. Without limiting the foregoing or Paymentech’s rights under Section 7.2 or Section 10, if a Payment Brand notifies Paymentech or the Member that it or they intend to impose any fine, fee, or penalty as a result of excessive Chargebacks or TP3’s acts or omissions (including, without limitation, failure to fully comply with any Payment Brand Rules), Paymentech may suspend the processing of the Transactions upon at least 10 days prior notice.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jc w:val="both"/>
        <w:spacing w:after="0" w:line="255" w:lineRule="auto"/>
        <w:rPr>
          <w:sz w:val="20"/>
          <w:szCs w:val="20"/>
          <w:color w:val="auto"/>
        </w:rPr>
      </w:pPr>
      <w:r>
        <w:rPr>
          <w:rFonts w:ascii="Arial" w:cs="Arial" w:eastAsia="Arial" w:hAnsi="Arial"/>
          <w:sz w:val="18"/>
          <w:szCs w:val="18"/>
          <w:b w:val="1"/>
          <w:bCs w:val="1"/>
          <w:color w:val="auto"/>
        </w:rPr>
        <w:t xml:space="preserve">4.5 Negative Balances. </w:t>
      </w:r>
      <w:r>
        <w:rPr>
          <w:rFonts w:ascii="Arial" w:cs="Arial" w:eastAsia="Arial" w:hAnsi="Arial"/>
          <w:sz w:val="18"/>
          <w:szCs w:val="18"/>
          <w:color w:val="auto"/>
        </w:rPr>
        <w:t>To the extent the proceeds from Settled Transactions do not represent sufficient credits or the Settlement Account does not have a</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balance to pay amounts due under this Agreement (in connection with either TP3’s or Merchant’s Transactions), in addition to any other rights and remedies Paymentech may have under this Agreement (including termination), Paymentech may pursue one or more of the following options: (i) demand and receive immediate payment for such amounts from TP3; (ii) debit the Settlement Account or Reserve Account for the amount of the negative balance; (iii) withhold or offset any or all settlement payments until all amounts are paid; (iv) delay presentation of refunds ; and (v) pursue any other remedies available at law or in equity. Furthermore, if the amount represented by Transaction Records in any day is negative due to refunds or credits being submitted in excess of the proceeds from the Transactions, TP3 shall provide sufficient funds prior to the submission of the Transaction Records to prevent the occurrence of a negative balance.</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4.6 Reserve Account. </w:t>
      </w:r>
      <w:r>
        <w:rPr>
          <w:rFonts w:ascii="Arial" w:cs="Arial" w:eastAsia="Arial" w:hAnsi="Arial"/>
          <w:sz w:val="16"/>
          <w:szCs w:val="16"/>
          <w:color w:val="auto"/>
        </w:rPr>
        <w:t>If: (i) there is a material, adverse change in TP3’s or a Merchant’s financial condition; (ii) TP3 or Merchant is in material default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(iii) TP3 or Merchant changes its billing practice in relation to the provision or shipment of merchandise or fulfillment of service or changes refund procedures currently in place, and fails to notify Paymentech in advance; (iv) TP3 or Merchant is receiving excessive Chargebacks (as defined in Section 7.2 below); (v) TP3 or Merchant significantly alters the nature of its business or product lines; or (vi) Paymentech has reasonable grounds to believe that it may be or become liable to third parties for the provisional credit extended to TP3 or Merchant or that TP3 or Merchant may be liable to Customers, Payment Instrument issuing banks, or the Payment Brands, or (vii) Paymentech has reasonable grounds to believe that it may be subject to any additional liabilities, including, without limitation, any fines, fees, or penalties assessed by any of the Payment Brands, arising out of or relating to Transactions, the Program, Chargebacks, a Merchant or TP3’s failure to comply with this Agreement, any of the Payment Brand Rules, or the Security Standards (as defined in Section 17), Paymentech may suspend or delay payments during investigation of the issue and/or designate an amount of funds Paymentech must maintain in order to protect it against the risk of, among other things, existing, potential, or anticipated Chargebacks and to satisfy the other obligations under this Agreement (such funds being hereinafter referred to as the “Reserve Account”), which may be funded in the same manner as provided for negative balances in Section 4.5. The Reserve Account will contain sufficient funds to cover any unbilled processing costs plus our estimated exposure based on reasonable criteria for Chargebacks, returns, unshipped merchandise and/or unfulfilled services, and all additional liabilities anticipated under this Agreement, including, but not limited to, Chargebacks, fines, fees, and penalties as set forth in Section 4.4. Paymentech may (but is not required to) apply funds in the Reserve Account toward, and set off any funds that would otherwise be payable against, the satisfaction of any amounts which are or may become due from TP3 or a Merchant pursuant to this Agreement. The Reserve Account will be held and controlled by Paymentech and TP3 will have no legal right or interest in the funds in the Reserve Account; provided, however, that upon satisfaction of all of obligations under this Agreement, Paymentech will pay to TP3 any funds then remaining in the Reserve Account. Any funds in the Reserve Account may be commingled with other funds, and need not be maintained in a separate account, but will be tracked and accounted for separately by Paymentech. Effective upon establishment of a Reserve Account, TP3 irrevocably grants to Paymentech a security interest in any interest TP3 has now or may later acquire in any and all funds, together with the proceeds thereof, that may at any time be in the Reserve Account and that would otherwise be payable to TP3 pursuant to the terms of this Agreement. TP3 agrees and agrees to cause Merchant to execute and deliver to Paymentech such instruments and documents (including, without limitation, security agreements and releases) that Paymentech may reasonably request to perfect and confirm the security interest in the Reserve Account.</w:t>
      </w:r>
    </w:p>
    <w:p>
      <w:pPr>
        <w:spacing w:after="0" w:line="179" w:lineRule="exact"/>
        <w:rPr>
          <w:sz w:val="20"/>
          <w:szCs w:val="20"/>
          <w:color w:val="auto"/>
        </w:rPr>
      </w:pPr>
    </w:p>
    <w:p>
      <w:pPr>
        <w:jc w:val="both"/>
        <w:ind w:firstLine="8"/>
        <w:spacing w:after="0" w:line="261" w:lineRule="auto"/>
        <w:tabs>
          <w:tab w:leader="none" w:pos="71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CCOUNTING</w:t>
      </w:r>
      <w:r>
        <w:rPr>
          <w:rFonts w:ascii="Arial" w:cs="Arial" w:eastAsia="Arial" w:hAnsi="Arial"/>
          <w:sz w:val="18"/>
          <w:szCs w:val="18"/>
          <w:color w:val="auto"/>
        </w:rPr>
        <w:t>. Paymentech will supply a detailed statement reflecting the activity for TP3’s account(s) by online-access (or otherwise if agreed to by</w:t>
      </w:r>
      <w:r>
        <w:rPr>
          <w:rFonts w:ascii="Arial" w:cs="Arial" w:eastAsia="Arial" w:hAnsi="Arial"/>
          <w:sz w:val="18"/>
          <w:szCs w:val="18"/>
          <w:b w:val="1"/>
          <w:bCs w:val="1"/>
          <w:color w:val="auto"/>
        </w:rPr>
        <w:t xml:space="preserve"> </w:t>
      </w:r>
      <w:r>
        <w:rPr>
          <w:rFonts w:ascii="Arial" w:cs="Arial" w:eastAsia="Arial" w:hAnsi="Arial"/>
          <w:sz w:val="18"/>
          <w:szCs w:val="18"/>
          <w:color w:val="auto"/>
        </w:rPr>
        <w:t>both parties). Paymentech will not be responsible for any error that TP3 does not bring to Paymentech’s attention within one hundred and eighty (180) days from the date of such statement. TP3, for itself and on behalf of Merchant, acknowledges and agrees that it is TP3’s and the Merchants’ respective responsibility to ensure its secure online access.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5" w:name="page106"/>
    <w:bookmarkEnd w:id="105"/>
    <w:p>
      <w:pPr>
        <w:ind w:left="680" w:hanging="672"/>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ETRIEVAL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Records</w:t>
      </w:r>
      <w:r>
        <w:rPr>
          <w:rFonts w:ascii="Arial" w:cs="Arial" w:eastAsia="Arial" w:hAnsi="Arial"/>
          <w:sz w:val="18"/>
          <w:szCs w:val="18"/>
          <w:color w:val="auto"/>
        </w:rPr>
        <w:t>. TP3 agrees to store and retain each Transaction Record in compliance with the Payment Brand Rules.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6.2 Response to Retrieval Requests. </w:t>
      </w:r>
      <w:r>
        <w:rPr>
          <w:rFonts w:ascii="Arial" w:cs="Arial" w:eastAsia="Arial" w:hAnsi="Arial"/>
          <w:sz w:val="17"/>
          <w:szCs w:val="17"/>
          <w:color w:val="auto"/>
        </w:rPr>
        <w:t>Paymentech will send TP3 any Retrieval Request that it cannot satisfy with the information it has on file concerning</w:t>
      </w:r>
      <w:r>
        <w:rPr>
          <w:rFonts w:ascii="Arial" w:cs="Arial" w:eastAsia="Arial" w:hAnsi="Arial"/>
          <w:sz w:val="17"/>
          <w:szCs w:val="17"/>
          <w:b w:val="1"/>
          <w:bCs w:val="1"/>
          <w:color w:val="auto"/>
        </w:rPr>
        <w:t xml:space="preserve"> </w:t>
      </w:r>
      <w:r>
        <w:rPr>
          <w:rFonts w:ascii="Arial" w:cs="Arial" w:eastAsia="Arial" w:hAnsi="Arial"/>
          <w:sz w:val="17"/>
          <w:szCs w:val="17"/>
          <w:color w:val="auto"/>
        </w:rPr>
        <w:t>any Settled Transaction. In response, TP3 must provide, in writing by certified or overnight mail or by confirmed fax (or by other means as agreed to by Paymentech), the resolution of the investigation of such Retrieval Request and include legible copies of any documentation required by the Retrieval Request within seven (7) days after it is sent (or such shorter time as the Payment Brand Rules may require). TP3 acknowledges that failure to timely fulfill a Retrieval Request and in accordance with Payment Brand Rules may result in an irreversible Chargeback.</w:t>
      </w:r>
    </w:p>
    <w:p>
      <w:pPr>
        <w:spacing w:after="0" w:line="168" w:lineRule="exact"/>
        <w:rPr>
          <w:sz w:val="20"/>
          <w:szCs w:val="20"/>
          <w:color w:val="auto"/>
        </w:rPr>
      </w:pPr>
    </w:p>
    <w:p>
      <w:pPr>
        <w:ind w:left="680" w:hanging="672"/>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HARGEBACKS</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7.1 Chargeback Reasons. </w:t>
      </w:r>
      <w:r>
        <w:rPr>
          <w:rFonts w:ascii="Arial" w:cs="Arial" w:eastAsia="Arial" w:hAnsi="Arial"/>
          <w:sz w:val="18"/>
          <w:szCs w:val="18"/>
          <w:color w:val="auto"/>
        </w:rPr>
        <w:t>TP3 or Merchant may receive a Chargeback from a Customer or Payment Brand for a number of reasons under the Payment Brand</w:t>
      </w:r>
      <w:r>
        <w:rPr>
          <w:rFonts w:ascii="Arial" w:cs="Arial" w:eastAsia="Arial" w:hAnsi="Arial"/>
          <w:sz w:val="18"/>
          <w:szCs w:val="18"/>
          <w:b w:val="1"/>
          <w:bCs w:val="1"/>
          <w:color w:val="auto"/>
        </w:rPr>
        <w:t xml:space="preserve"> </w:t>
      </w:r>
      <w:r>
        <w:rPr>
          <w:rFonts w:ascii="Arial" w:cs="Arial" w:eastAsia="Arial" w:hAnsi="Arial"/>
          <w:sz w:val="18"/>
          <w:szCs w:val="18"/>
          <w:color w:val="auto"/>
        </w:rPr>
        <w:t>Rules. The following are some of the most common reasons for Chargebacks; in no way is this intended to be an exhaustive list of possible Chargeback reasons:</w:t>
      </w:r>
    </w:p>
    <w:p>
      <w:pPr>
        <w:spacing w:after="0" w:line="2" w:lineRule="exact"/>
        <w:rPr>
          <w:sz w:val="20"/>
          <w:szCs w:val="20"/>
          <w:color w:val="auto"/>
        </w:rPr>
      </w:pPr>
    </w:p>
    <w:p>
      <w:pPr>
        <w:ind w:left="360" w:hanging="26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Failure to issue a refund to a Customer upon the return of or failure to provide the applicable goods or services.</w:t>
      </w:r>
    </w:p>
    <w:p>
      <w:pPr>
        <w:spacing w:after="0" w:line="9" w:lineRule="exact"/>
        <w:rPr>
          <w:rFonts w:ascii="Arial" w:cs="Arial" w:eastAsia="Arial" w:hAnsi="Arial"/>
          <w:sz w:val="18"/>
          <w:szCs w:val="18"/>
          <w:b w:val="1"/>
          <w:bCs w:val="1"/>
          <w:color w:val="auto"/>
        </w:rPr>
      </w:pPr>
    </w:p>
    <w:p>
      <w:pPr>
        <w:ind w:left="360" w:hanging="26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 required authorization/approval code was not obtained.</w:t>
      </w:r>
    </w:p>
    <w:p>
      <w:pPr>
        <w:spacing w:after="0" w:line="9" w:lineRule="exact"/>
        <w:rPr>
          <w:rFonts w:ascii="Arial" w:cs="Arial" w:eastAsia="Arial" w:hAnsi="Arial"/>
          <w:sz w:val="18"/>
          <w:szCs w:val="18"/>
          <w:b w:val="1"/>
          <w:bCs w:val="1"/>
          <w:color w:val="auto"/>
        </w:rPr>
      </w:pPr>
    </w:p>
    <w:p>
      <w:pPr>
        <w:ind w:left="360" w:hanging="26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Transaction Record was prepared incorrectly or fraudulently.</w:t>
      </w:r>
    </w:p>
    <w:p>
      <w:pPr>
        <w:spacing w:after="0" w:line="9" w:lineRule="exact"/>
        <w:rPr>
          <w:rFonts w:ascii="Arial" w:cs="Arial" w:eastAsia="Arial" w:hAnsi="Arial"/>
          <w:sz w:val="18"/>
          <w:szCs w:val="18"/>
          <w:b w:val="1"/>
          <w:bCs w:val="1"/>
          <w:color w:val="auto"/>
        </w:rPr>
      </w:pPr>
    </w:p>
    <w:p>
      <w:pPr>
        <w:ind w:left="360" w:hanging="26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TP3 did not respond to a Retrieval Request within 7 days or any shorter time period required by the Payment Brand Rules.</w:t>
      </w:r>
    </w:p>
    <w:p>
      <w:pPr>
        <w:spacing w:after="0" w:line="9" w:lineRule="exact"/>
        <w:rPr>
          <w:rFonts w:ascii="Arial" w:cs="Arial" w:eastAsia="Arial" w:hAnsi="Arial"/>
          <w:sz w:val="18"/>
          <w:szCs w:val="18"/>
          <w:b w:val="1"/>
          <w:bCs w:val="1"/>
          <w:color w:val="auto"/>
        </w:rPr>
      </w:pPr>
    </w:p>
    <w:p>
      <w:pPr>
        <w:ind w:firstLine="152"/>
        <w:spacing w:after="0" w:line="250" w:lineRule="auto"/>
        <w:tabs>
          <w:tab w:leader="none" w:pos="426" w:val="left"/>
        </w:tabs>
        <w:numPr>
          <w:ilvl w:val="2"/>
          <w:numId w:val="55"/>
        </w:numPr>
        <w:rPr>
          <w:rFonts w:ascii="Arial" w:cs="Arial" w:eastAsia="Arial" w:hAnsi="Arial"/>
          <w:sz w:val="18"/>
          <w:szCs w:val="18"/>
          <w:b w:val="1"/>
          <w:bCs w:val="1"/>
          <w:color w:val="auto"/>
        </w:rPr>
      </w:pPr>
      <w:r>
        <w:rPr>
          <w:rFonts w:ascii="Arial" w:cs="Arial" w:eastAsia="Arial" w:hAnsi="Arial"/>
          <w:sz w:val="18"/>
          <w:szCs w:val="18"/>
          <w:color w:val="auto"/>
        </w:rPr>
        <w:t>The Customer disputes the Transaction or the authenticity of the signature on the Transaction Record or Payment Instrument, or claims that the Transaction is subject to a set-off, defense, or counterclaim.</w:t>
      </w:r>
    </w:p>
    <w:p>
      <w:pPr>
        <w:ind w:firstLine="111"/>
        <w:spacing w:after="0" w:line="250" w:lineRule="auto"/>
        <w:tabs>
          <w:tab w:leader="none" w:pos="358"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The Customer refuses to make payment for a Transaction because in the Customer’s good faith opinion, a claim or complaint has not been resolved, or has been resolved in an unsatisfactory manner.</w:t>
      </w:r>
    </w:p>
    <w:p>
      <w:pPr>
        <w:jc w:val="both"/>
        <w:ind w:firstLine="98"/>
        <w:spacing w:after="0" w:line="254" w:lineRule="auto"/>
        <w:tabs>
          <w:tab w:leader="none" w:pos="34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credit or debit card comprising the Payment Instrument was not actually presented at the time of the Transaction or an electronic record or physical imprint of such Payment Instrument was not obtained, and the Customer denies making the purchase. The TP3 acknowledges, for itself and on behalf of Merchant, that, under these circumstances, the fact that an authorization/approval code was obtained does not mean that a particular Transaction is a valid or undisputed transaction entered into by the actual Customer.</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7.2 Excessive Chargebacks. </w:t>
      </w:r>
      <w:r>
        <w:rPr>
          <w:rFonts w:ascii="Arial" w:cs="Arial" w:eastAsia="Arial" w:hAnsi="Arial"/>
          <w:sz w:val="17"/>
          <w:szCs w:val="17"/>
          <w:color w:val="auto"/>
        </w:rPr>
        <w:t>If TP3 or Merchant are receiving an excessive amount of Chargebacks, as determined by the Payment Brands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other remedies under this Agreement, Paymentech may take the following actions: (i) review TP3’s or Merchant’s internal procedures relating to acceptance of Payment Instruments and notify TP3 or Merchant of new procedures which should be adopted to avoid future Chargebacks; (ii) collect from TP3 (pursuant to Section 4.6) an amount determined by us to be sufficient to cover anticipated Chargebacks and all related fees, penalties, expenses, and fines; (iii) terminate this Agreement or the agreement between Paymentech and Merchant; or (iv) refuse to process for Merchant’s Transactions . TP3 also agrees to pay any and all penalties, fees, fines and costs assessed against TP3, A Merchant, Paymentech, and/or Member relating to TP3’s or a Merchant’s violation of this Agreement, a Commercial Entity Agreement or the Payment Brand Rules with respect to the acceptance of Payment Instruments, Transactions, or Excessive Chargebacks under this Section.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7.3 Claims of Customers. </w:t>
      </w:r>
      <w:r>
        <w:rPr>
          <w:rFonts w:ascii="Arial" w:cs="Arial" w:eastAsia="Arial" w:hAnsi="Arial"/>
          <w:sz w:val="17"/>
          <w:szCs w:val="17"/>
          <w:color w:val="auto"/>
        </w:rPr>
        <w:t>TP3 agrees that it will have full liability to Paymentech for all Chargebacks, regardless of whether TP3 receives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from the Merchants therefore, and TP3 acknowledges that the funds provided to TP3 by Paymentech with respect to any Transaction represent only a provisional credit, and remain subject to potential Chargebacks. To the extent Paymentech has paid or may be called upon to pay a Chargeback, refund, or adjustment for or on the account of a Customer and TP3 does not immediately reimburse Paymentech as provided in this Agreement, then for the purpose of obtaining reimbursement of such sums paid or anticipated to be paid, Paymentech shall have all of the rights and remedies of such Customer under applicable federal, state, or local laws and TP3 (for itself and on behalf of the Merchants) authorizes Paymentech to assert any and all such claims in Paymentech’s own name for and on behalf of any such Customer individually or all such Customers as a class.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jc w:val="both"/>
        <w:ind w:firstLine="8"/>
        <w:spacing w:after="0" w:line="270" w:lineRule="auto"/>
        <w:tabs>
          <w:tab w:leader="none" w:pos="756"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ISPLAY</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AYMENT</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RAND</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ARKS</w:t>
      </w:r>
      <w:r>
        <w:rPr>
          <w:rFonts w:ascii="Arial" w:cs="Arial" w:eastAsia="Arial" w:hAnsi="Arial"/>
          <w:sz w:val="17"/>
          <w:szCs w:val="17"/>
          <w:color w:val="auto"/>
        </w:rPr>
        <w:t>. TP3 is prohibited from using the Payment Brand Marks, as defined below, other than as expressly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Payment Brands or the Payment Brand Rules. TP3 shall also ensure that Merchant’s use of the Payment Brand Marks shall only be as authorized and in accordance with all requirements of this Section and the Payment Brand Rules. Payment Brand Marks or Marks mean the brands, emblems, trademarks, and logos that identify a Payment Brand. Additionally, and except as authorized by the Payment Brands, TP3 shall not use the Payment Brand Marks other than to display decals, signage, advertising, and other forms depicting the Payment Brand Marks that are provided to TP3 (i) by the Payment Brands; (ii) by Paymentech pursuant to this Agreement; or (iii) as otherwise approved in writing by Paymentech. TP3 may use the Payment Brand Marks only to promote the services covered by the Payment Brand Marks by using them on decals, indoor and outdoor signs, advertising materials, and marketing materials; provided, that all such uses must be consistent with Payment Brand Rules. TP3 has no ownership rights in the Payment Brand Marks and shall not assign to any third party the rights to use the Payment Brand Marks. The right to use the Payment Brand Marks pursuant to this Agreement terminates simultaneously with the termination of this Agreement.</w:t>
      </w:r>
    </w:p>
    <w:p>
      <w:pPr>
        <w:spacing w:after="0" w:line="177" w:lineRule="exact"/>
        <w:rPr>
          <w:rFonts w:ascii="Arial" w:cs="Arial" w:eastAsia="Arial" w:hAnsi="Arial"/>
          <w:sz w:val="17"/>
          <w:szCs w:val="17"/>
          <w:b w:val="1"/>
          <w:bCs w:val="1"/>
          <w:color w:val="auto"/>
        </w:rPr>
      </w:pPr>
    </w:p>
    <w:p>
      <w:pPr>
        <w:ind w:left="680" w:hanging="672"/>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EES</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9.1 Schedule A</w:t>
      </w:r>
      <w:r>
        <w:rPr>
          <w:rFonts w:ascii="Arial" w:cs="Arial" w:eastAsia="Arial" w:hAnsi="Arial"/>
          <w:sz w:val="17"/>
          <w:szCs w:val="17"/>
          <w:color w:val="auto"/>
        </w:rPr>
        <w:t>. TP3 agrees to pay Paymentech for the services as set forth in</w:t>
      </w:r>
      <w:r>
        <w:rPr>
          <w:rFonts w:ascii="Arial" w:cs="Arial" w:eastAsia="Arial" w:hAnsi="Arial"/>
          <w:sz w:val="17"/>
          <w:szCs w:val="17"/>
          <w:b w:val="1"/>
          <w:bCs w:val="1"/>
          <w:color w:val="auto"/>
        </w:rPr>
        <w:t xml:space="preserve"> Schedule A </w:t>
      </w:r>
      <w:r>
        <w:rPr>
          <w:rFonts w:ascii="Arial" w:cs="Arial" w:eastAsia="Arial" w:hAnsi="Arial"/>
          <w:sz w:val="17"/>
          <w:szCs w:val="17"/>
          <w:color w:val="auto"/>
        </w:rPr>
        <w:t>in accordance with this Agreement, regardless of whether TP3</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receives payment or reimbursement from the Merchants therefor. Unless otherwise expressly stated in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pricing is based on all Transactions qualifying under the Payment Brand Rules for the lowest Payment Brand interchange rates. For Transactions that do not qualify for the best rate, the Payment Brands may dictate that the Transaction is subject to a “downgrade”, which will result in TP3 being charged a higher rate than the qualified rate shown on </w:t>
      </w:r>
      <w:r>
        <w:rPr>
          <w:rFonts w:ascii="Arial" w:cs="Arial" w:eastAsia="Arial" w:hAnsi="Arial"/>
          <w:sz w:val="17"/>
          <w:szCs w:val="17"/>
          <w:b w:val="1"/>
          <w:bCs w:val="1"/>
          <w:color w:val="auto"/>
        </w:rPr>
        <w:t>Schedule A</w:t>
      </w:r>
      <w:r>
        <w:rPr>
          <w:rFonts w:ascii="Arial" w:cs="Arial" w:eastAsia="Arial" w:hAnsi="Arial"/>
          <w:sz w:val="17"/>
          <w:szCs w:val="17"/>
          <w:color w:val="auto"/>
        </w:rPr>
        <w:t>. Fees payable under this Agreement that contain a fraction of a cent will be rounded up to the next full cent.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Price Changes</w:t>
      </w:r>
      <w:r>
        <w:rPr>
          <w:rFonts w:ascii="Arial" w:cs="Arial" w:eastAsia="Arial" w:hAnsi="Arial"/>
          <w:sz w:val="18"/>
          <w:szCs w:val="18"/>
          <w:color w:val="auto"/>
        </w:rPr>
        <w:t>.</w:t>
      </w:r>
    </w:p>
    <w:p>
      <w:pPr>
        <w:spacing w:after="0" w:line="27" w:lineRule="exact"/>
        <w:rPr>
          <w:sz w:val="20"/>
          <w:szCs w:val="20"/>
          <w:color w:val="auto"/>
        </w:rPr>
      </w:pPr>
    </w:p>
    <w:p>
      <w:pPr>
        <w:ind w:firstLine="8"/>
        <w:spacing w:after="0" w:line="250" w:lineRule="auto"/>
        <w:tabs>
          <w:tab w:leader="none" w:pos="7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Paymentech may modify the pricing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upon thirty (30) days’ prior written notice to TP3. If TP3 does not agree with the new pricing, TP3 may terminate this Agreement upon 120 days’ notice to Paymentech.</w:t>
      </w:r>
    </w:p>
    <w:p>
      <w:pPr>
        <w:jc w:val="both"/>
        <w:ind w:firstLine="8"/>
        <w:spacing w:after="0" w:line="273" w:lineRule="auto"/>
        <w:tabs>
          <w:tab w:leader="none" w:pos="925"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addition, Paymentech may change its fees, charges, and discounts resulting from (i) changes in Payment Brand fees (such as interchange, assessments, and other charges); (ii) changes in pricing by any third party provider of a product or service used by TP3 or a Merchant; or (iii) fees which are added by a Payment Brand or card issuer. Such new prices will be applicable as of the effective date established by the Payment Brand or third party provider. For clarity, any price changes made pursuant to this Section 9.2(b) shall not give rise to a termination right by TP3.</w:t>
      </w:r>
    </w:p>
    <w:p>
      <w:pPr>
        <w:spacing w:after="0" w:line="173"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This Agreement takes effect upon the earlier of (a) Paymentech’s signature hereto; or (b) the date Paymentech processes TP3’s first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pursuant to this Agreement and continues for five (5) years from such date. Unless otherwise terminated by either party as provided in this Agreement, this Agreement will automatically renew for successive one-year terms. Either party may give notice of non-renewal of this Agreement in writing no more than ninety (90) days and no less than thirty (30) days prior to any expiration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Events of Default</w:t>
      </w:r>
      <w:r>
        <w:rPr>
          <w:rFonts w:ascii="Arial" w:cs="Arial" w:eastAsia="Arial" w:hAnsi="Arial"/>
          <w:sz w:val="18"/>
          <w:szCs w:val="18"/>
          <w:color w:val="auto"/>
        </w:rPr>
        <w:t>. If any of the following events shall occur (each an “Event of Default”):</w:t>
      </w:r>
    </w:p>
    <w:p>
      <w:pPr>
        <w:spacing w:after="0" w:line="27" w:lineRule="exact"/>
        <w:rPr>
          <w:sz w:val="20"/>
          <w:szCs w:val="20"/>
          <w:color w:val="auto"/>
        </w:rPr>
      </w:pPr>
    </w:p>
    <w:p>
      <w:pPr>
        <w:ind w:left="440" w:hanging="25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transfer or assignment in violation of Section 14.4 of this Agreement by either party;</w:t>
      </w:r>
    </w:p>
    <w:p>
      <w:pPr>
        <w:spacing w:after="0" w:line="9" w:lineRule="exact"/>
        <w:rPr>
          <w:rFonts w:ascii="Arial" w:cs="Arial" w:eastAsia="Arial" w:hAnsi="Arial"/>
          <w:sz w:val="18"/>
          <w:szCs w:val="18"/>
          <w:color w:val="auto"/>
        </w:rPr>
      </w:pPr>
    </w:p>
    <w:p>
      <w:pPr>
        <w:ind w:firstLine="188"/>
        <w:spacing w:after="0" w:line="250" w:lineRule="auto"/>
        <w:tabs>
          <w:tab w:leader="none" w:pos="4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irregular Transactions submitted by TP3 (either for itself or on behalf of Merchant) that materially increase the anticipated risk and which have not been previously disclosed and approved by Paymentech, excessive Chargebacks related to TP3 or Merchant;</w:t>
      </w:r>
    </w:p>
    <w:p>
      <w:pPr>
        <w:ind w:firstLine="270"/>
        <w:spacing w:after="0" w:line="250" w:lineRule="auto"/>
        <w:tabs>
          <w:tab w:leader="none" w:pos="527"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representation or warranty in this Agreement is breached in any material respect or was or is incorrect in any material respect when made or deemed to be made;</w:t>
      </w:r>
    </w:p>
    <w:p>
      <w:pPr>
        <w:ind w:firstLine="262"/>
        <w:spacing w:after="0" w:line="250" w:lineRule="auto"/>
        <w:tabs>
          <w:tab w:leader="none" w:pos="524" w:val="left"/>
        </w:tabs>
        <w:numPr>
          <w:ilvl w:val="2"/>
          <w:numId w:val="60"/>
        </w:numPr>
        <w:rPr>
          <w:rFonts w:ascii="Arial" w:cs="Arial" w:eastAsia="Arial" w:hAnsi="Arial"/>
          <w:sz w:val="18"/>
          <w:szCs w:val="18"/>
          <w:color w:val="auto"/>
        </w:rPr>
      </w:pPr>
      <w:r>
        <w:rPr>
          <w:rFonts w:ascii="Arial" w:cs="Arial" w:eastAsia="Arial" w:hAnsi="Arial"/>
          <w:sz w:val="18"/>
          <w:szCs w:val="18"/>
          <w:color w:val="auto"/>
        </w:rPr>
        <w:t>TP3 fails in any material respect to perform any of its obligations with respect to the funding or establishing of a Reserve Account, as detailed in Section 4.6;</w:t>
      </w:r>
    </w:p>
    <w:p>
      <w:pPr>
        <w:ind w:left="440" w:hanging="252"/>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material breach of Section 1.1 by either party;</w:t>
      </w:r>
    </w:p>
    <w:p>
      <w:pPr>
        <w:spacing w:after="0" w:line="9" w:lineRule="exact"/>
        <w:rPr>
          <w:rFonts w:ascii="Arial" w:cs="Arial" w:eastAsia="Arial" w:hAnsi="Arial"/>
          <w:sz w:val="18"/>
          <w:szCs w:val="18"/>
          <w:color w:val="auto"/>
        </w:rPr>
      </w:pPr>
    </w:p>
    <w:p>
      <w:pPr>
        <w:ind w:firstLine="246"/>
        <w:spacing w:after="0" w:line="261" w:lineRule="auto"/>
        <w:tabs>
          <w:tab w:leader="none" w:pos="47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Either party fails in any material respect in performance or observance of any term, covenant, condition, or agreement contained in this Agreement, including the attached Schedule B, without limitation, compliance with Payment Brand Rules and Security Standards;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jc w:val="both"/>
        <w:ind w:firstLine="194"/>
        <w:spacing w:after="0" w:line="268" w:lineRule="auto"/>
        <w:tabs>
          <w:tab w:leader="none" w:pos="4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case or other proceeding shall be commenced by or against TP3 or Paymentech or Member in any court of competent jurisdiction seeking relief under the Bankruptcy Code or under any other laws, domestic or foreign, relating to bankruptcy, insolvency, reorganization, winding up, or adjustment of debts, the appointment of a trustee, receiver, custodian, liquidator, or the like of TP3 or Paymentech or Member, or of all or any substantial part of the assets, domestic or foreign, of TP3 or Paymentech or Member, and such case or proceeding shall continue undismissed or unstayed for a period of sixty (60) consecutive days, or an order granting the relief requested in such case or proceeding against TP3 or Paymentech or Member (including, without limitation, an order for relief under the Bankruptcy Code) shall be entered;</w:t>
      </w:r>
    </w:p>
    <w:p>
      <w:pPr>
        <w:spacing w:after="0" w:line="1" w:lineRule="exact"/>
        <w:rPr>
          <w:rFonts w:ascii="Arial" w:cs="Arial" w:eastAsia="Arial" w:hAnsi="Arial"/>
          <w:sz w:val="17"/>
          <w:szCs w:val="17"/>
          <w:color w:val="auto"/>
        </w:rPr>
      </w:pPr>
    </w:p>
    <w:p>
      <w:pPr>
        <w:ind w:left="440" w:hanging="252"/>
        <w:spacing w:after="0"/>
        <w:tabs>
          <w:tab w:leader="none" w:pos="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Paymentech, in its reasonable discretion, deems TP3 to be financially insecure, such that TP3 is unable to meets its obligations under this Agreement;</w:t>
      </w:r>
    </w:p>
    <w:p>
      <w:pPr>
        <w:spacing w:after="0" w:line="3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(i) any Payment Brand (i) notifies Paymentech or Member that it is no longer willing to accept Transactions from TP3 or support TP3’s registration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Payment Brands as a third party service provider; or (ii) requires Paymentech or Member to terminate or limit this Agreement;</w:t>
      </w:r>
    </w:p>
    <w:p>
      <w:pPr>
        <w:spacing w:after="0" w:line="9" w:lineRule="exact"/>
        <w:rPr>
          <w:sz w:val="20"/>
          <w:szCs w:val="20"/>
          <w:color w:val="auto"/>
        </w:rPr>
      </w:pPr>
    </w:p>
    <w:p>
      <w:pPr>
        <w:ind w:firstLine="259"/>
        <w:spacing w:after="0" w:line="250" w:lineRule="auto"/>
        <w:tabs>
          <w:tab w:leader="none" w:pos="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TP3 or any person owning or controlling TP3’s business is listed in one or more databases of terminated or high risk merchants maintained by the Payment Brands;</w:t>
      </w:r>
    </w:p>
    <w:p>
      <w:pPr>
        <w:ind w:left="440" w:hanging="25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TP3 engages in conduct that creates or could tend to create harm or loss to the goodwill of any Payment Brand, Paymentech, or Member;</w:t>
      </w:r>
    </w:p>
    <w:p>
      <w:pPr>
        <w:spacing w:after="0" w:line="9" w:lineRule="exact"/>
        <w:rPr>
          <w:rFonts w:ascii="Arial" w:cs="Arial" w:eastAsia="Arial" w:hAnsi="Arial"/>
          <w:sz w:val="18"/>
          <w:szCs w:val="18"/>
          <w:color w:val="auto"/>
        </w:rPr>
      </w:pPr>
    </w:p>
    <w:p>
      <w:pPr>
        <w:ind w:left="400" w:hanging="21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 period of more than sixty (60) consecutive days, TP3 does not transmit Transaction Data to Paymentech;</w:t>
      </w:r>
    </w:p>
    <w:p>
      <w:pPr>
        <w:spacing w:after="0" w:line="9" w:lineRule="exact"/>
        <w:rPr>
          <w:rFonts w:ascii="Arial" w:cs="Arial" w:eastAsia="Arial" w:hAnsi="Arial"/>
          <w:sz w:val="18"/>
          <w:szCs w:val="18"/>
          <w:color w:val="auto"/>
        </w:rPr>
      </w:pPr>
    </w:p>
    <w:p>
      <w:pPr>
        <w:ind w:left="480" w:hanging="29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TP3 fails to comply with Section 15.15</w:t>
      </w:r>
    </w:p>
    <w:p>
      <w:pPr>
        <w:spacing w:after="0" w:line="9" w:lineRule="exact"/>
        <w:rPr>
          <w:rFonts w:ascii="Arial" w:cs="Arial" w:eastAsia="Arial" w:hAnsi="Arial"/>
          <w:sz w:val="18"/>
          <w:szCs w:val="18"/>
          <w:color w:val="auto"/>
        </w:rPr>
      </w:pPr>
    </w:p>
    <w:p>
      <w:pPr>
        <w:ind w:firstLine="193"/>
        <w:spacing w:after="0" w:line="250" w:lineRule="auto"/>
        <w:tabs>
          <w:tab w:leader="none" w:pos="4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Paymentech’s Transaction processing services under this Agreement fail to conform to generally accepted standards for such services in the Transaction processing industry;</w:t>
      </w:r>
    </w:p>
    <w:p>
      <w:pPr>
        <w:ind w:left="440" w:hanging="25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TP3 engages in conduct that causes or could cause Paymentech or Member to be in violation of the Payment Brand Rules; or</w:t>
      </w:r>
    </w:p>
    <w:p>
      <w:pPr>
        <w:spacing w:after="0" w:line="9" w:lineRule="exact"/>
        <w:rPr>
          <w:rFonts w:ascii="Arial" w:cs="Arial" w:eastAsia="Arial" w:hAnsi="Arial"/>
          <w:sz w:val="18"/>
          <w:szCs w:val="18"/>
          <w:color w:val="auto"/>
        </w:rPr>
      </w:pPr>
    </w:p>
    <w:p>
      <w:pPr>
        <w:ind w:left="440" w:hanging="25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TP3 fails in any material respect to perform any of the obligations outlined in Schedule 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non-defaulting party may terminate this Agreement by providing the defaulting party with written notice of termination. Following receipt of such notice, and solely for termination based on subsections (c), (f) and (n) , the defaulting party shall have thirty (30) days to cure the Event of Default, and the Agreement shall terminate in the event such cure is not effected by the end of such period. No cure period shall be provided when termination is based any other Event of Default.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Agreement is terminated by Paymentech for TP3’s default hereunder, TP3 acknowledges that Paymentech may be required to report TP3’s business name and the names and other identification of its principals to the Payment Brands.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10.3 Other Events. </w:t>
      </w:r>
      <w:r>
        <w:rPr>
          <w:rFonts w:ascii="Arial" w:cs="Arial" w:eastAsia="Arial" w:hAnsi="Arial"/>
          <w:sz w:val="18"/>
          <w:szCs w:val="18"/>
          <w:color w:val="auto"/>
        </w:rPr>
        <w:t>In addition to the remedies above and any rights Paymentech may have under this Agreement, and without limiting such other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Paymentech may upon 5 days prior notice to TP3 suspend the processing of some or all of TP3’s Transactions upon: (a) an occurrence of an Event of Default by TP3; (b) an occurrence of an event of default by Merchant, as defined in the applicable Commercial Entity Agreement; (c) receipt by Paymentech of notice that a Payment Brand intends to impose any fine or penalty as a result of excessive Chargebacks or TP3’s or a Merchant’s acts or omissions; or (d) receipt by Paymentech of objections or concerns expressed by a Payment Brand which render Paymentech’s continued processing of TP3’s Transactions unduly burdensome, impractical, or risky.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10.4 Termination of Merchants. </w:t>
      </w:r>
      <w:r>
        <w:rPr>
          <w:rFonts w:ascii="Arial" w:cs="Arial" w:eastAsia="Arial" w:hAnsi="Arial"/>
          <w:sz w:val="18"/>
          <w:szCs w:val="18"/>
          <w:color w:val="auto"/>
        </w:rPr>
        <w:t>Paymentech may require TP3 to immediately terminate a Merchant for fraudulent activity, a material violation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Brand Rules or applicable law relating to the Program or Transactions submitted to Paymentech for processing, actions which create or could tend to create harm or loss to the goodwill of any Payment Brand, Paymentech, or Member; or any other conduct by Merchant which creates reputational risk to Paymentech or Member.</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10.5 Account Activity After Termination; Termination Reserve. </w:t>
      </w:r>
      <w:r>
        <w:rPr>
          <w:rFonts w:ascii="Arial" w:cs="Arial" w:eastAsia="Arial" w:hAnsi="Arial"/>
          <w:sz w:val="18"/>
          <w:szCs w:val="18"/>
          <w:color w:val="auto"/>
        </w:rPr>
        <w:t>The provisions governing processing and settlement of Transactions,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fees, and other amounts due from TP3, and the resolution of any related Chargebacks, disputes, or other issues involving Transactions, will continue to apply even after termination of this Agreement, with respect to all Transactions made prior to such termination or after such termination, as described below. After termination of this Agreement for any reason whatsoever, TP3 shall continue to bear total responsibility for all Chargebacks, fees, fines, assessments, credits, and adjustments resulting from Transactions processed pursuant to this Agreement and all other amounts then due or which thereafter may become due to Paymentech or Member under this Agreement or which may be due to Paymentech before or after such termination to either Paymentech or Member. If TP3 submits Transaction Data to Paymentech after the date of termination, Paymentech may, at its sole discretion and without waiving any of its rights or remedies under this Agreement, process such Transaction Data in accordance with and subject to all of the terms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18"/>
          <w:szCs w:val="18"/>
          <w:color w:val="auto"/>
        </w:rPr>
        <w:t>Upon notice of termination of this Agreement, Paymentech may estimate the aggregate dollar amount of anticipated Chargebacks, Refunds, and anticipated risks that Paymentech reasonably anticipates subsequent to termination, and TP3 agrees to immediately deposit such amount in its Settlement Account, or Paymentech may withhold such amount from settlement funds in order to establish a Reserve Account pursuant to and governed by the terms and conditions of this Agreement.</w:t>
      </w:r>
    </w:p>
    <w:p>
      <w:pPr>
        <w:spacing w:after="0" w:line="183"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r>
        <w:rPr>
          <w:rFonts w:ascii="Arial" w:cs="Arial" w:eastAsia="Arial" w:hAnsi="Arial"/>
          <w:sz w:val="18"/>
          <w:szCs w:val="18"/>
          <w:color w:val="auto"/>
        </w:rPr>
        <w:t>. The indemnities provided under this Section 11 shall survive the termination of this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11.1 Paymentech. </w:t>
      </w:r>
      <w:r>
        <w:rPr>
          <w:rFonts w:ascii="Arial" w:cs="Arial" w:eastAsia="Arial" w:hAnsi="Arial"/>
          <w:sz w:val="16"/>
          <w:szCs w:val="16"/>
          <w:color w:val="auto"/>
        </w:rPr>
        <w:t>Paymentech agrees to indemnify TP3 and its affiliates, officers, directors, employees, and agents from any losses, liabilities, and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and every kind (including, without limitation, costs, expenses, and reasonable attorneys’ fees) arising out of any third party or Customer complaint, claim, demand or cause of action, or Chargeback related to (i) any failure by Paymentech to properly safeguard the Customer’s account information, (ii) Paymentech’s failure to deliver funds in accordance with Section 4.4 herein (which relates to settlement payments due from us for Transaction Records), or</w:t>
      </w:r>
    </w:p>
    <w:p>
      <w:pPr>
        <w:spacing w:after="0" w:line="3" w:lineRule="exact"/>
        <w:rPr>
          <w:sz w:val="20"/>
          <w:szCs w:val="20"/>
          <w:color w:val="auto"/>
        </w:rPr>
      </w:pPr>
    </w:p>
    <w:p>
      <w:pPr>
        <w:jc w:val="both"/>
        <w:ind w:firstLine="8"/>
        <w:spacing w:after="0" w:line="255"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voluntary or involuntary bankruptcy or insolvency proceeding by or against Paymentech, or (iv) Paymentech’s noncompliance with this Agreement or the Payment Brand Rules. This indemnification does not apply to any claim or complaint relating to TP3’s or Merchant’s failure to resolve a payment dispute concerning merchandise or services sold by Merchant or TP3’s or Merchant’s negligence or willful misconduct.</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11.2 TP3. </w:t>
      </w:r>
      <w:r>
        <w:rPr>
          <w:rFonts w:ascii="Arial" w:cs="Arial" w:eastAsia="Arial" w:hAnsi="Arial"/>
          <w:sz w:val="17"/>
          <w:szCs w:val="17"/>
          <w:color w:val="auto"/>
        </w:rPr>
        <w:t>TP3 agrees to indemnify Paymentech, Member, and their respective affiliates, officers, directors, employees, agents, and sponsoring banks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claims, actions, arbitrations, judgments, losses, liabilities, and damages of any and every kind (including, without limitation, costs, expenses, and reasonable attorneys’ fees) caused by, resulting from, arising out of, or in any way relating to (i) any claim, complaint, dispute, return, refund, or Chargeback with respect to any Transaction or Transaction Record submitted by TP3, (ii) TP3’s or Merchant’s noncompliance with this Agreement (specifically including any provision of </w:t>
      </w:r>
      <w:r>
        <w:rPr>
          <w:rFonts w:ascii="Arial" w:cs="Arial" w:eastAsia="Arial" w:hAnsi="Arial"/>
          <w:sz w:val="17"/>
          <w:szCs w:val="17"/>
          <w:b w:val="1"/>
          <w:bCs w:val="1"/>
          <w:color w:val="auto"/>
        </w:rPr>
        <w:t>Schedules B</w:t>
      </w:r>
      <w:r>
        <w:rPr>
          <w:rFonts w:ascii="Arial" w:cs="Arial" w:eastAsia="Arial" w:hAnsi="Arial"/>
          <w:sz w:val="17"/>
          <w:szCs w:val="17"/>
          <w:color w:val="auto"/>
        </w:rPr>
        <w:t>), a Commercial Entity Agreement, or the Payment Brand Rules, a breach of a representation or warranty made by TP3, and failure to comply with the Security Standards or any fines, fees, or penalties assessed against Paymentech by any of the Payment Brands arising out of or relating to TP3’s or Merchant’s Transactions or Chargebacks , (iii) any intentional or negligent misrepresentation by TP3 as to the type of business conducted by a Merchant, (iv) any voluntary or involuntary bankruptcy or insolvency proceeding by or against TP3 or Merchant, (iv) TP3’s or any Merchant’s failure to comply with applicable laws and regulations, including, without limitation, the receipt requirements of the Electronic Funds Transfer Act, or any action or omission by TP3 or Merchant which causes Paymentech, any Payment Brand, or any Payment Instrument-issuing bank to be in violation of any such applicable laws and regulations. This indemnification does not apply to any claim or complaint to the extent caused by Paymentech or Member’s negligence or willful misconduct.</w:t>
      </w:r>
    </w:p>
    <w:p>
      <w:pPr>
        <w:spacing w:after="0" w:line="180" w:lineRule="exact"/>
        <w:rPr>
          <w:sz w:val="20"/>
          <w:szCs w:val="20"/>
          <w:color w:val="auto"/>
        </w:rPr>
      </w:pPr>
    </w:p>
    <w:p>
      <w:pPr>
        <w:jc w:val="both"/>
        <w:ind w:firstLine="8"/>
        <w:spacing w:after="0" w:line="292" w:lineRule="auto"/>
        <w:tabs>
          <w:tab w:leader="none" w:pos="999"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1"/>
          <w:szCs w:val="11"/>
          <w:b w:val="1"/>
          <w:bCs w:val="1"/>
          <w:color w:val="auto"/>
        </w:rPr>
        <w:t>RANSACTION</w:t>
      </w:r>
      <w:r>
        <w:rPr>
          <w:rFonts w:ascii="Arial" w:cs="Arial" w:eastAsia="Arial" w:hAnsi="Arial"/>
          <w:sz w:val="16"/>
          <w:szCs w:val="16"/>
          <w:b w:val="1"/>
          <w:bCs w:val="1"/>
          <w:color w:val="auto"/>
        </w:rPr>
        <w:t xml:space="preserve"> R</w:t>
      </w:r>
      <w:r>
        <w:rPr>
          <w:rFonts w:ascii="Arial" w:cs="Arial" w:eastAsia="Arial" w:hAnsi="Arial"/>
          <w:sz w:val="11"/>
          <w:szCs w:val="11"/>
          <w:b w:val="1"/>
          <w:bCs w:val="1"/>
          <w:color w:val="auto"/>
        </w:rPr>
        <w:t>ECORD</w:t>
      </w:r>
      <w:r>
        <w:rPr>
          <w:rFonts w:ascii="Arial" w:cs="Arial" w:eastAsia="Arial" w:hAnsi="Arial"/>
          <w:sz w:val="16"/>
          <w:szCs w:val="16"/>
          <w:b w:val="1"/>
          <w:bCs w:val="1"/>
          <w:color w:val="auto"/>
        </w:rPr>
        <w:t xml:space="preserve"> A</w:t>
      </w:r>
      <w:r>
        <w:rPr>
          <w:rFonts w:ascii="Arial" w:cs="Arial" w:eastAsia="Arial" w:hAnsi="Arial"/>
          <w:sz w:val="11"/>
          <w:szCs w:val="11"/>
          <w:b w:val="1"/>
          <w:bCs w:val="1"/>
          <w:color w:val="auto"/>
        </w:rPr>
        <w:t>ND</w:t>
      </w:r>
      <w:r>
        <w:rPr>
          <w:rFonts w:ascii="Arial" w:cs="Arial" w:eastAsia="Arial" w:hAnsi="Arial"/>
          <w:sz w:val="16"/>
          <w:szCs w:val="16"/>
          <w:b w:val="1"/>
          <w:bCs w:val="1"/>
          <w:color w:val="auto"/>
        </w:rPr>
        <w:t xml:space="preserve"> P</w:t>
      </w:r>
      <w:r>
        <w:rPr>
          <w:rFonts w:ascii="Arial" w:cs="Arial" w:eastAsia="Arial" w:hAnsi="Arial"/>
          <w:sz w:val="11"/>
          <w:szCs w:val="11"/>
          <w:b w:val="1"/>
          <w:bCs w:val="1"/>
          <w:color w:val="auto"/>
        </w:rPr>
        <w:t>AYMENT</w:t>
      </w:r>
      <w:r>
        <w:rPr>
          <w:rFonts w:ascii="Arial" w:cs="Arial" w:eastAsia="Arial" w:hAnsi="Arial"/>
          <w:sz w:val="16"/>
          <w:szCs w:val="16"/>
          <w:b w:val="1"/>
          <w:bCs w:val="1"/>
          <w:color w:val="auto"/>
        </w:rPr>
        <w:t xml:space="preserve"> I</w:t>
      </w:r>
      <w:r>
        <w:rPr>
          <w:rFonts w:ascii="Arial" w:cs="Arial" w:eastAsia="Arial" w:hAnsi="Arial"/>
          <w:sz w:val="11"/>
          <w:szCs w:val="11"/>
          <w:b w:val="1"/>
          <w:bCs w:val="1"/>
          <w:color w:val="auto"/>
        </w:rPr>
        <w:t>NSTRUMENT</w:t>
      </w:r>
      <w:r>
        <w:rPr>
          <w:rFonts w:ascii="Arial" w:cs="Arial" w:eastAsia="Arial" w:hAnsi="Arial"/>
          <w:sz w:val="16"/>
          <w:szCs w:val="16"/>
          <w:b w:val="1"/>
          <w:bCs w:val="1"/>
          <w:color w:val="auto"/>
        </w:rPr>
        <w:t xml:space="preserve"> I</w:t>
      </w:r>
      <w:r>
        <w:rPr>
          <w:rFonts w:ascii="Arial" w:cs="Arial" w:eastAsia="Arial" w:hAnsi="Arial"/>
          <w:sz w:val="11"/>
          <w:szCs w:val="11"/>
          <w:b w:val="1"/>
          <w:bCs w:val="1"/>
          <w:color w:val="auto"/>
        </w:rPr>
        <w:t>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information and other information about TP3 and the Merchants,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Records, and other information that TP3 provides to Paymentech may be shared by Paymentech with its affiliates subject to the provisions of this Agreement and Payment Brand Rules. Paymentech will not otherwise disclose or use such information for any purpose whatsoever other than (i) as necessary to process the Transactions or otherwise provide services and maintain TP3’s account pursuant to this Agreement; (ii) to detect, prevent, reduce, or otherwise address fraud, security, or technical issues; (iii) to enhance or improve Paymentech’s products and services generally; or (iv) as otherwise required or permitted by the Payment Brands or applicable law. Paymentech may prepare, use, and/or share with third parties, aggregated, non-personally identifiable information derived from Transaction Records of all of Paymentech’s customers or specific segments of Paymentech’s customers.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TP3 acknowledges and understands, for itself and on behalf of Merchant, the importance of compliance with the Security Standards, such as those relating to the storage and disclosure of Transaction Record and Payment Instrument Information. Therefore, TP3 will, and will ensure that Merchants, exercise care to prevent disclosure or use of Payment Instrument Information, other than (i) to TP3’s agents and contractors for the purpose of assisting TP3 in completing a Transaction, (ii) to the applicable Payment Brand, or (iii) as specifically required by law. Furthermore, TP3 acknowledges and understands that its use of any fraud mitigation or security enhancement solution (e.g., encryption product or service), whether provided to TP3 by Paymentech or by a third party, in no way limits TP3’s obligation to comply with the Security Standards or TP3’s liabilities set forth in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jc w:val="both"/>
        <w:spacing w:after="0" w:line="291" w:lineRule="auto"/>
        <w:rPr>
          <w:sz w:val="20"/>
          <w:szCs w:val="20"/>
          <w:color w:val="auto"/>
        </w:rPr>
      </w:pPr>
      <w:r>
        <w:rPr>
          <w:rFonts w:ascii="Arial" w:cs="Arial" w:eastAsia="Arial" w:hAnsi="Arial"/>
          <w:sz w:val="16"/>
          <w:szCs w:val="16"/>
          <w:color w:val="auto"/>
        </w:rPr>
        <w:t>TP3 is allowed by the Payment Brand Rules to store only certain Payment Instrument Information (currently limited to the Customer’s name, Payment Instrument account number, and expiration date) and is prohibited from storing additional Payment Instrument Information, including, without limitation, any security code data such as CVV2, CVC2, and PIN data, and any magnetic stripe track data. TP3 will store all media containing Payment Instrument Information in an unreadable format wherever it is stored and in an area limited to selected personnel on a “need to know” basis only and, prior to either party discarding any material containing Payment Instrument Information, the party will destroy it in a manner rendering the account numbers unreadable. If at any time TP3 determines that Payment Instrument Information has been compromised, TP3 will notify Paymentech immediately and assist in providing notification to such parties as may be required by law or Payment Brand Rules, or as Paymentech otherwise reasonably deems necessary.</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TP3 agrees to comply with all Security Standards, as defined in Section 17. TP3 further agrees to provide upon Paymentech’s request with such tests, scans, and assessments of TP3’s compliance with Security Standards as required by the Payment Brands.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TP3 must notify Paymentech of its and any Merchant’s use of a Service Provider and, to the extent required by each Payment Brand, all Service Providers must be (i) compliant with all Security Standards applicable to Service Providers, and (ii) registered with and/or recognized by such Payment Brand(s) as being so compliant. TP3 agrees to exercise due diligence to ensure that all of its and Merchant’s Service Providers, agents, business partners, contractors, or subcontractors with access to Payment Instrument Information, maintain compliance with the Security Standards. To the extent required by each Payment Brand, all Payment Applications, or software involved in processing, storing, receiving or transmitting of Payment Instrument Information used by TP3 or a Merchant, shall be (i) compliant with all Security Standards applicable to such Payment Applications or software, and (ii) registered with and/or recognized by such Payment Brand(s) as being so compliant.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TP3 understands that failure of it or a Merchant to comply with the Payment Brand Rules, including the Security Standards, or the compromise of any Payment Instrument Information, may result in assessments, fines, and/or penalties by the Payment Brands, and TP3 agrees to indemnify and reimburse Paymentech immediately for any such assessment, fine, or penalty imposed on us or the Member and any related loss, cost, or expense incurred by Paymentech or the Member. If any Payment Brand requires a forensic examination of TP3 or a Merchant or any of their respective Service Providers, agents, business partners, contractors, or subcontractors due to a data security compromise event or suspected event, including without limitation, Chargeback, fraud, or data security compromise events or such other events that the Payment Brands include in the Payment Brand Rules (“Data Security Compromise Event”), TP3 shall cooperate (and shall cause Merchants and all applicable Service Providers to cooperate) with such forensic examination until it is completed (including, without limitation, the engagement of an examiner acceptable to the relevant Payment Brand). Notwithstanding the foregoing, the Payment Brands may directly engage, or demand that Paymentech engage, an examiner on behalf of TP3 or a Merchant in order to expedite the investigation of the Data Security Compromise Event. In either scenario, TP3 agrees to pay for all costs and expenses related to such forensic examination (including any attorneys’ fees and other costs relating to such forensic examination).</w:t>
      </w:r>
    </w:p>
    <w:p>
      <w:pPr>
        <w:spacing w:after="0" w:line="1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By executing this Agreement, TP3 represents that, in the event of its failure, including bankruptcy, insolvency, or other suspension of business operations, TP3 will not sell, transfer, or disclose any materials that contain Transaction Record or Payment Instrument Information to third parties. TP3 must return such information to Paymentech or provide Paymentech with acceptable proof of its destruction.</w:t>
      </w:r>
    </w:p>
    <w:p>
      <w:pPr>
        <w:spacing w:after="0" w:line="177" w:lineRule="exact"/>
        <w:rPr>
          <w:sz w:val="20"/>
          <w:szCs w:val="20"/>
          <w:color w:val="auto"/>
        </w:rPr>
      </w:pPr>
    </w:p>
    <w:p>
      <w:pPr>
        <w:ind w:left="680" w:hanging="672"/>
        <w:spacing w:after="0"/>
        <w:tabs>
          <w:tab w:leader="none" w:pos="6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BOUT</w:t>
      </w:r>
      <w:r>
        <w:rPr>
          <w:rFonts w:ascii="Arial" w:cs="Arial" w:eastAsia="Arial" w:hAnsi="Arial"/>
          <w:sz w:val="18"/>
          <w:szCs w:val="18"/>
          <w:b w:val="1"/>
          <w:bCs w:val="1"/>
          <w:color w:val="auto"/>
        </w:rPr>
        <w:t xml:space="preserve"> TP3’</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13.1 Additional Financial Information. </w:t>
      </w:r>
      <w:r>
        <w:rPr>
          <w:rFonts w:ascii="Arial" w:cs="Arial" w:eastAsia="Arial" w:hAnsi="Arial"/>
          <w:sz w:val="18"/>
          <w:szCs w:val="18"/>
          <w:color w:val="auto"/>
        </w:rPr>
        <w:t>Upon five (5) days’ written notice, TP3 agrees to furnish to Paymentech (i) its most recently prepared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and credit information and (ii) if applicable, its three (3) most recent filings with the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0" w:name="page111"/>
    <w:bookmarkEnd w:id="110"/>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13.2 Audit Rights. </w:t>
      </w:r>
      <w:r>
        <w:rPr>
          <w:rFonts w:ascii="Arial" w:cs="Arial" w:eastAsia="Arial" w:hAnsi="Arial"/>
          <w:sz w:val="18"/>
          <w:szCs w:val="18"/>
          <w:color w:val="auto"/>
        </w:rPr>
        <w:t>With prior notice and during normal business hours, Paymentech’s duly authorized representatives may visit TP3’s business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examine TP3’s books and records that pertain to Transaction Records or compliance with this Agreement.</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13.3 Other Information. </w:t>
      </w:r>
      <w:r>
        <w:rPr>
          <w:rFonts w:ascii="Arial" w:cs="Arial" w:eastAsia="Arial" w:hAnsi="Arial"/>
          <w:sz w:val="16"/>
          <w:szCs w:val="16"/>
          <w:color w:val="auto"/>
        </w:rPr>
        <w:t>TP3 agrees to provide us at least thirty (30) days’ prior written notice of its or a Merchant’s intent to change product lines or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its trade name, or the manner in which it accepts Payment Instruments. If Paymentech determines such a change is material to our relationship with TP3, Paymentech may refuse to process any Transaction Records made subsequent to the change following 5 days prior notice to TP3. TP3 agrees to provide Paymentech with prompt written notice if TP3 or a Merchant is the subject of any voluntary or involuntary bankruptcy or insolvency petition or proceeding.</w:t>
      </w:r>
    </w:p>
    <w:p>
      <w:pPr>
        <w:spacing w:after="0" w:line="151" w:lineRule="exact"/>
        <w:rPr>
          <w:sz w:val="20"/>
          <w:szCs w:val="20"/>
          <w:color w:val="auto"/>
        </w:rPr>
      </w:pPr>
    </w:p>
    <w:p>
      <w:pPr>
        <w:jc w:val="both"/>
        <w:ind w:firstLine="8"/>
        <w:spacing w:after="0" w:line="286" w:lineRule="auto"/>
        <w:tabs>
          <w:tab w:leader="none" w:pos="688"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w:t>
      </w:r>
      <w:r>
        <w:rPr>
          <w:rFonts w:ascii="Arial" w:cs="Arial" w:eastAsia="Arial" w:hAnsi="Arial"/>
          <w:sz w:val="11"/>
          <w:szCs w:val="11"/>
          <w:b w:val="1"/>
          <w:bCs w:val="1"/>
          <w:u w:val="single" w:color="auto"/>
          <w:color w:val="auto"/>
        </w:rPr>
        <w:t>ISCLAIMER</w:t>
      </w:r>
      <w:r>
        <w:rPr>
          <w:rFonts w:ascii="Arial" w:cs="Arial" w:eastAsia="Arial" w:hAnsi="Arial"/>
          <w:sz w:val="16"/>
          <w:szCs w:val="16"/>
          <w:b w:val="1"/>
          <w:bCs w:val="1"/>
          <w:u w:val="single" w:color="auto"/>
          <w:color w:val="auto"/>
        </w:rPr>
        <w:t>; L</w:t>
      </w:r>
      <w:r>
        <w:rPr>
          <w:rFonts w:ascii="Arial" w:cs="Arial" w:eastAsia="Arial" w:hAnsi="Arial"/>
          <w:sz w:val="11"/>
          <w:szCs w:val="11"/>
          <w:b w:val="1"/>
          <w:bCs w:val="1"/>
          <w:u w:val="single" w:color="auto"/>
          <w:color w:val="auto"/>
        </w:rPr>
        <w:t>IMITATION OF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1"/>
          <w:szCs w:val="11"/>
          <w:b w:val="1"/>
          <w:bCs w:val="1"/>
          <w:u w:val="single" w:color="auto"/>
          <w:color w:val="auto"/>
        </w:rPr>
        <w:t>AMAGES</w:t>
      </w:r>
      <w:r>
        <w:rPr>
          <w:rFonts w:ascii="Arial" w:cs="Arial" w:eastAsia="Arial" w:hAnsi="Arial"/>
          <w:sz w:val="16"/>
          <w:szCs w:val="16"/>
          <w:color w:val="auto"/>
        </w:rPr>
        <w:t>. Subject to Section 5, Paymentech will, at its own expense, correct any Transaction Data to the extent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errors have been caused by Paymentech or by malfunctions of Paymentech’s processing systems. Under no circumstances will Paymentech’s financial responsibility for its failure of performance under this Agreement exceed the total fees paid to Paymentech under this Agreement (net of Payment Brand fees, third party fees, interchange, assessments, penalties, and fines) for the twelve (12) months prior to the time the liability arose; provided, however, that the foregoing limitation shall not apply to Paymentech’s indemnification obligations under Section 11.1. </w:t>
      </w:r>
      <w:r>
        <w:rPr>
          <w:rFonts w:ascii="Arial" w:cs="Arial" w:eastAsia="Arial" w:hAnsi="Arial"/>
          <w:sz w:val="16"/>
          <w:szCs w:val="16"/>
          <w:b w:val="1"/>
          <w:bCs w:val="1"/>
          <w:color w:val="auto"/>
        </w:rPr>
        <w:t>EXCEPT AS OTHERWISE PROVIDED FOR IN</w:t>
      </w:r>
    </w:p>
    <w:p>
      <w:pPr>
        <w:spacing w:after="0" w:line="2" w:lineRule="exact"/>
        <w:rPr>
          <w:rFonts w:ascii="Arial" w:cs="Arial" w:eastAsia="Arial" w:hAnsi="Arial"/>
          <w:sz w:val="16"/>
          <w:szCs w:val="16"/>
          <w:b w:val="1"/>
          <w:bCs w:val="1"/>
          <w:color w:val="auto"/>
        </w:rPr>
      </w:pPr>
    </w:p>
    <w:p>
      <w:pPr>
        <w:jc w:val="both"/>
        <w:spacing w:after="0" w:line="251" w:lineRule="auto"/>
        <w:rPr>
          <w:rFonts w:ascii="Arial" w:cs="Arial" w:eastAsia="Arial" w:hAnsi="Arial"/>
          <w:sz w:val="16"/>
          <w:szCs w:val="16"/>
          <w:b w:val="1"/>
          <w:bCs w:val="1"/>
          <w:color w:val="auto"/>
        </w:rPr>
      </w:pPr>
      <w:r>
        <w:rPr>
          <w:rFonts w:ascii="Arial" w:cs="Arial" w:eastAsia="Arial" w:hAnsi="Arial"/>
          <w:sz w:val="18"/>
          <w:szCs w:val="18"/>
          <w:b w:val="1"/>
          <w:bCs w:val="1"/>
          <w:color w:val="auto"/>
        </w:rPr>
        <w:t>THIS AGREEMENT, AND EXCEPT WITH RESPECT TO TP3’S OR A MERCHANT’S FAILURE TO COMPLY WITH THE SECURITY STANDARDS AND EXCEPT WITH REPSECT TO ALL OF THE INDEMNIFICATION OBLIGATIONS OF EACH PARTY UNDER SECTION 11, IN NO EVENT WILL ANY PARTY, ITS RESPECTIVE DIRECTORS, OFFICERS, EMPLOYEES, OR AFFILIATES, BE LIABLE FOR SPECIAL, INCIDENTAL, CONSEQUENTIAL, OR PUNITIVE DAMAGES, REGARDLESS OF THE FORM OF ACTION AND EVEN IF ADVISED OF THE POSSIBILITY OF SUCH DAMAGES, OR ANY LOSS, THEFT, DISAPPEARANCE, OR DAMAGE TO DATA TRANSMITTED ELECTRONICALLY IN CONNECTION WITH THIS AGREEMENT. ANY FINES, FEES, PENALTIES, OR ASSESSMENTS IMPOSED BY THE PAYMENT BRANDS RELATED TO TP3’S OR MERCHANT’S ACCEPTANCE OF PAYMENT INSTRUMENTS SHALL NOT BE DEEMED TO BE CONSEQUENTIAL DAMAGES. ALL PARTIES ACKNOWLEDGE THAT THIS IS AN AGREEMENT FOR COMMERCIAL SERVICES. THE UNIFORM COMMERCIAL CODE DOES NOT APPLY AND PAYMENTECH AND MEMBER HEREBY DISCLAIM ANY AND ALL WARRANTIES, EXPRESS OR IMPLIED, MADE TO MERCHANT OR ANY OTHER PERSON, REGARDING QUALITY, SUITABILITY, MERCHANTABILITY, FITNESS FOR A PARTICULAR PURPOSE, OR OTHERWISE (REGARDLESS OF ANY COURSE OF DEALING, CUSTOM, OR USAGE OF TRADE) OF ANY SERVICES PROVIDED UNDER THIS AGREEMENT OR ANY GOODS PROVIDED INCIDENTAL TO SUCH SERVICES.</w:t>
      </w:r>
    </w:p>
    <w:p>
      <w:pPr>
        <w:spacing w:after="0" w:line="192" w:lineRule="exact"/>
        <w:rPr>
          <w:rFonts w:ascii="Arial" w:cs="Arial" w:eastAsia="Arial" w:hAnsi="Arial"/>
          <w:sz w:val="16"/>
          <w:szCs w:val="16"/>
          <w:b w:val="1"/>
          <w:bCs w:val="1"/>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15.1 Taxes. </w:t>
      </w:r>
      <w:r>
        <w:rPr>
          <w:rFonts w:ascii="Arial" w:cs="Arial" w:eastAsia="Arial" w:hAnsi="Arial"/>
          <w:sz w:val="18"/>
          <w:szCs w:val="18"/>
          <w:color w:val="auto"/>
        </w:rPr>
        <w:t>Unless TP3 is otherwise exempt, and, if applicable, provide a valid exemption certificate, TP3 agrees to pay any taxes imposed on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intellectual property, supplies, and other goods purchased or tangible property provided under this Agreement, and TP3 authorizes Paymentech to increase the amount we collect from TP3 to reflect any and all assessments or other taxes imposed on Paymentech as a result of the services provided to TP3 under this Agreement, if any.</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15.2 Application and Credit Check. </w:t>
      </w:r>
      <w:r>
        <w:rPr>
          <w:rFonts w:ascii="Arial" w:cs="Arial" w:eastAsia="Arial" w:hAnsi="Arial"/>
          <w:sz w:val="18"/>
          <w:szCs w:val="18"/>
          <w:color w:val="auto"/>
        </w:rPr>
        <w:t>TP3 represents and warrants that statements made on the Application for this Agreement are true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this Agreement. TP3 agrees to promptly update any changes thereto during the term of this Agreement. TP3’s signature on this Agreement authorizes Paymentech to perform any credit check deemed necessary with respect to TP3 and its directors, officers, affiliates, principals, and guarantors (if applicable).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15.3 Section Headings. </w:t>
      </w:r>
      <w:r>
        <w:rPr>
          <w:rFonts w:ascii="Arial" w:cs="Arial" w:eastAsia="Arial" w:hAnsi="Arial"/>
          <w:sz w:val="18"/>
          <w:szCs w:val="18"/>
          <w:color w:val="auto"/>
        </w:rPr>
        <w:t>The section headings of this Agreement are for convenience only and do not define, limit, or describe the scope or intent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1" w:name="page112"/>
    <w:bookmarkEnd w:id="111"/>
    <w:p>
      <w:pPr>
        <w:jc w:val="both"/>
        <w:spacing w:after="0" w:line="290" w:lineRule="auto"/>
        <w:rPr>
          <w:sz w:val="20"/>
          <w:szCs w:val="20"/>
          <w:color w:val="auto"/>
        </w:rPr>
      </w:pPr>
      <w:r>
        <w:rPr>
          <w:rFonts w:ascii="Arial" w:cs="Arial" w:eastAsia="Arial" w:hAnsi="Arial"/>
          <w:sz w:val="16"/>
          <w:szCs w:val="16"/>
          <w:b w:val="1"/>
          <w:bCs w:val="1"/>
          <w:color w:val="auto"/>
        </w:rPr>
        <w:t xml:space="preserve">15.4 Assignment. </w:t>
      </w:r>
      <w:r>
        <w:rPr>
          <w:rFonts w:ascii="Arial" w:cs="Arial" w:eastAsia="Arial" w:hAnsi="Arial"/>
          <w:sz w:val="16"/>
          <w:szCs w:val="16"/>
          <w:color w:val="auto"/>
        </w:rPr>
        <w:t>TP3 may not assign or transfer this Agreement, by operation of law, merger, or otherwise, without Paymentech’s prior written consent.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such transfer or assignment, the party to whom the Agreement was transferred or assigned shall be bound to the terms and conditions of this Agreement to the same extent as if Paymentech, Member and such assignee or transferee, as the case may be, entered into an agreement identical to this Agreement on the effective date of such transfer or assignment. Upon notice to Merchant, another Payment Brand member may be substituted for Member under whose sponsorship this Agreement is performed and for whom Paymentech is acting as agent hereunder. Subject to Payment Brand Rules, Paymentech may assign or transfer this Agreement and its rights and obligations hereunder and may delegate its duties hereunder, in whole or in part, to any third party, whether in connection with a change in sponsorship, as set forth in the preceding sentence, or otherwise, without notice to or consent of Merchant. No assignee for the benefit of creditors, custodian, receiver, trustee in bankruptcy, debtor in possession, sheriff or any other officer of a court, or other person charged with taking custody of a party’s assets or business, shall have any right to continue or to assume or to assign this Agreement.</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15.5 Parties; Public Statements. </w:t>
      </w:r>
      <w:r>
        <w:rPr>
          <w:rFonts w:ascii="Arial" w:cs="Arial" w:eastAsia="Arial" w:hAnsi="Arial"/>
          <w:sz w:val="16"/>
          <w:szCs w:val="16"/>
          <w:color w:val="auto"/>
        </w:rPr>
        <w:t>This Agreement binds TP3 and its respective heirs, representatives, and permitted and approved successors (including those</w:t>
      </w:r>
      <w:r>
        <w:rPr>
          <w:rFonts w:ascii="Arial" w:cs="Arial" w:eastAsia="Arial" w:hAnsi="Arial"/>
          <w:sz w:val="16"/>
          <w:szCs w:val="16"/>
          <w:b w:val="1"/>
          <w:bCs w:val="1"/>
          <w:color w:val="auto"/>
        </w:rPr>
        <w:t xml:space="preserve"> </w:t>
      </w:r>
      <w:r>
        <w:rPr>
          <w:rFonts w:ascii="Arial" w:cs="Arial" w:eastAsia="Arial" w:hAnsi="Arial"/>
          <w:sz w:val="16"/>
          <w:szCs w:val="16"/>
          <w:color w:val="auto"/>
        </w:rPr>
        <w:t>by merger and acquisition) or assigns. This Agreement binds us and our respective heirs, representatives, successors, and assigns. TP3 represents and warrants that its execution of and performance under this Agreement (i) in no way breaches, contravenes, violates, or in any manner conflicts with any of its other legal obligations, including, without limitation, its corporate charter or similar document or any agreement between TP3 and any third party or any affiliated entity; (ii) has been duly authorized by all necessary action and does not require any consent or other action by or in respect of any third party; and</w:t>
      </w:r>
    </w:p>
    <w:p>
      <w:pPr>
        <w:spacing w:after="0" w:line="2" w:lineRule="exact"/>
        <w:rPr>
          <w:sz w:val="20"/>
          <w:szCs w:val="20"/>
          <w:color w:val="auto"/>
        </w:rPr>
      </w:pPr>
    </w:p>
    <w:p>
      <w:pPr>
        <w:jc w:val="both"/>
        <w:ind w:firstLine="8"/>
        <w:spacing w:after="0" w:line="268" w:lineRule="auto"/>
        <w:tabs>
          <w:tab w:leader="none" w:pos="3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that the person signing this Agreement on TP3 ‘s behalf is duly authorized to do so. In providing services to TP3, we will not be acting in the capacity of agent, partner, or joint venturer; we are acting solely as an independent contractor. TP3 will not, without Paymentech’s prior written consent in each instance, issue any media release, or make any other public announcement or public disclosure relating to this Agreement and/or the Program, except as may be approved in writing by the Paymentech and/or agreed by Paymentech pursuant to a separate written agreement between the parties. Notwithstanding the foregoing sentence or anything else set forth in the Agreement, TP3 may disclose this Agreement or the Program or any of the terms thereof pursuant to the requirements of any securities law or regulation, including the Securities Exchange Act of 1934, as amended (the “Act’), and the regulations promulgated thereunder. In any such event, TP3 shall use its best efforts to provide an opportunity to Paymentech to review and comment upon such disclosure. If TP3 is required to file a copy of this Agreement with the Securities and Exchange Commission under the Act or any regulation promulgated thereunder, TP3 shall seek confidential treatment by the Securities and Exchange Commission of information in the Agreement that is determined by TP3 to be confidential (in accordance with the rules promulgated under the Act).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15.6 Severability. </w:t>
      </w:r>
      <w:r>
        <w:rPr>
          <w:rFonts w:ascii="Arial" w:cs="Arial" w:eastAsia="Arial" w:hAnsi="Arial"/>
          <w:sz w:val="18"/>
          <w:szCs w:val="18"/>
          <w:color w:val="auto"/>
        </w:rPr>
        <w:t>Should any provision of this Agreement be determined to be invalid or unenforceable under any law, rule, or regulation,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Brand Rule, such determination will not affect the validity or enforceability of any other provision of this Agreement.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15.7 Waivers. </w:t>
      </w:r>
      <w:r>
        <w:rPr>
          <w:rFonts w:ascii="Arial" w:cs="Arial" w:eastAsia="Arial" w:hAnsi="Arial"/>
          <w:sz w:val="18"/>
          <w:szCs w:val="18"/>
          <w:color w:val="auto"/>
        </w:rPr>
        <w:t>No term or condition of this Agreement may be waived except pursuant to a written waiver executed by the party against whom such waiver is</w:t>
      </w:r>
      <w:r>
        <w:rPr>
          <w:rFonts w:ascii="Arial" w:cs="Arial" w:eastAsia="Arial" w:hAnsi="Arial"/>
          <w:sz w:val="18"/>
          <w:szCs w:val="18"/>
          <w:b w:val="1"/>
          <w:bCs w:val="1"/>
          <w:color w:val="auto"/>
        </w:rPr>
        <w:t xml:space="preserve"> </w:t>
      </w:r>
      <w:r>
        <w:rPr>
          <w:rFonts w:ascii="Arial" w:cs="Arial" w:eastAsia="Arial" w:hAnsi="Arial"/>
          <w:sz w:val="18"/>
          <w:szCs w:val="18"/>
          <w:color w:val="auto"/>
        </w:rPr>
        <w:t>sought to be enforced.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15.8 Entire Agreement. </w:t>
      </w:r>
      <w:r>
        <w:rPr>
          <w:rFonts w:ascii="Arial" w:cs="Arial" w:eastAsia="Arial" w:hAnsi="Arial"/>
          <w:sz w:val="18"/>
          <w:szCs w:val="18"/>
          <w:color w:val="auto"/>
        </w:rPr>
        <w:t>The Payment Brand Rules, Application, and all schedules and attachments to this Agreement are made a part of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purposes. This Agreement represents the entire understanding between TP3 and Paymentech with respect to the matters contained herein and supersedes any prior agreements between the parties. This Agreement shall prevail over the terms of any agreement governing the Settlement Account or any agreement between TP3 and Merchant. The parties acknowledge and agree (i) that this Agreement applies only to Transaction Records generated within the United States; and (ii) that this is a contract for commercial services.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15.9 Notices. </w:t>
      </w:r>
      <w:r>
        <w:rPr>
          <w:rFonts w:ascii="Arial" w:cs="Arial" w:eastAsia="Arial" w:hAnsi="Arial"/>
          <w:sz w:val="18"/>
          <w:szCs w:val="18"/>
          <w:color w:val="auto"/>
        </w:rPr>
        <w:t>Except as otherwise provided in this Agreement, all notices must be given in writing and either hand delivered, faxed, mailed first class, postage</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sent via electronic mail transmission, or sent via overnight courier (and will be deemed to be given when so delivered or mailed) to the addresses set forth below or to such other address as either party may from time to time specify to the other party in writing.</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15.10 Governing Law; Waiver of Jury Trial. </w:t>
      </w:r>
      <w:r>
        <w:rPr>
          <w:rFonts w:ascii="Arial" w:cs="Arial" w:eastAsia="Arial" w:hAnsi="Arial"/>
          <w:sz w:val="18"/>
          <w:szCs w:val="18"/>
          <w:color w:val="auto"/>
        </w:rPr>
        <w:t>This Agreement will be governed by and construed in accordance with the laws of the State of Texas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reference to conflict of law provisions. Any action, proceeding, litigation, or mediation relating to or arising from this Agreement must be brought by Paymentech against TP3 in the county and state of TP3’s principal office as indicated below, and by TP3 against Paymentech exclusively in Dallas County, Dallas, Texas. </w:t>
      </w:r>
      <w:r>
        <w:rPr>
          <w:rFonts w:ascii="Arial" w:cs="Arial" w:eastAsia="Arial" w:hAnsi="Arial"/>
          <w:sz w:val="18"/>
          <w:szCs w:val="18"/>
          <w:b w:val="1"/>
          <w:bCs w:val="1"/>
          <w:color w:val="auto"/>
        </w:rPr>
        <w:t>THE PARTIES HEREBY KNOWINGLY, VOLUNTARILY, AND INTENTIONALLY WAIVE ANY RIGHTS EITHER OF THEM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MAY HAVE TO CONTEST JURISDICTION OR VENUE. </w:t>
      </w:r>
      <w:r>
        <w:rPr>
          <w:rFonts w:ascii="Arial" w:cs="Arial" w:eastAsia="Arial" w:hAnsi="Arial"/>
          <w:sz w:val="18"/>
          <w:szCs w:val="18"/>
          <w:color w:val="auto"/>
        </w:rPr>
        <w:t>THE PARTIES HEREBY KNOWINGLY, VOLUNTARILY, AND INTENTIONALLY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WAIVE ANY RIGHTS EITHER OF THEM MAY HAVE TO A TRIAL BY JURY IN RESPECT OF ANY LITIGATION BASED ON, ARISING OUT OF, OR IN CONNECTION WITH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jc w:val="both"/>
        <w:spacing w:after="0" w:line="261" w:lineRule="auto"/>
        <w:rPr>
          <w:sz w:val="20"/>
          <w:szCs w:val="20"/>
          <w:color w:val="auto"/>
        </w:rPr>
      </w:pPr>
      <w:r>
        <w:rPr>
          <w:rFonts w:ascii="Arial" w:cs="Arial" w:eastAsia="Arial" w:hAnsi="Arial"/>
          <w:sz w:val="18"/>
          <w:szCs w:val="18"/>
          <w:b w:val="1"/>
          <w:bCs w:val="1"/>
          <w:color w:val="auto"/>
        </w:rPr>
        <w:t xml:space="preserve">15.11 Force Majeure. </w:t>
      </w:r>
      <w:r>
        <w:rPr>
          <w:rFonts w:ascii="Arial" w:cs="Arial" w:eastAsia="Arial" w:hAnsi="Arial"/>
          <w:sz w:val="18"/>
          <w:szCs w:val="18"/>
          <w:color w:val="auto"/>
        </w:rPr>
        <w:t>Neither party will be liable for delays in processing or other nonperformance caused by such events as fires,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failures, utility failures, power failures, equipment failures, labor strife, riots, war, terrorist attack, nonperformance of our vendors or suppliers, acts of God, or other causes over which the respective party has no reasonable control, except that nothing in this Section 15.11 will affect or excuse your liabilities and obligations for Chargebacks, refunds, or unfulfilled products and services.</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15.12 Amendment and Consents. </w:t>
      </w:r>
      <w:r>
        <w:rPr>
          <w:rFonts w:ascii="Arial" w:cs="Arial" w:eastAsia="Arial" w:hAnsi="Arial"/>
          <w:sz w:val="16"/>
          <w:szCs w:val="16"/>
          <w:color w:val="auto"/>
        </w:rPr>
        <w:t>Any provision of this Agreement may be amended, but only if the amendment is in writing and signed by all parties. In</w:t>
      </w:r>
      <w:r>
        <w:rPr>
          <w:rFonts w:ascii="Arial" w:cs="Arial" w:eastAsia="Arial" w:hAnsi="Arial"/>
          <w:sz w:val="16"/>
          <w:szCs w:val="16"/>
          <w:b w:val="1"/>
          <w:bCs w:val="1"/>
          <w:color w:val="auto"/>
        </w:rPr>
        <w:t xml:space="preserve"> </w:t>
      </w:r>
      <w:r>
        <w:rPr>
          <w:rFonts w:ascii="Arial" w:cs="Arial" w:eastAsia="Arial" w:hAnsi="Arial"/>
          <w:sz w:val="16"/>
          <w:szCs w:val="16"/>
          <w:color w:val="auto"/>
        </w:rPr>
        <w:t>order to be effective, any consent required under this Agreement must be in writing and signed by the party granting the consent.Notwithstanding the foregoing, in the event the terms of this Agreement must be amended pursuant to a change required by law, the Payment Brand Rules or any third party regulatory or governmental entity with jurisdiction over the matters described herein, such amendment will be effective upon thirty (30) days prior notice to TP3. TP3’s electronic signature or continued submission of Transactions following such notice will be deemed to be TP3’s acceptance of such amendment.</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15.13 Counterparts and Electronic Signature. </w:t>
      </w:r>
      <w:r>
        <w:rPr>
          <w:rFonts w:ascii="Arial" w:cs="Arial" w:eastAsia="Arial" w:hAnsi="Arial"/>
          <w:sz w:val="18"/>
          <w:szCs w:val="18"/>
          <w:color w:val="auto"/>
        </w:rPr>
        <w:t>This Agreement may be executed in several counterparts, each of which will be deemed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will constitute one and the same instrument. A signature received via facsimile or electronically via email shall be as legally binding for all purposes as an original signature.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15.14 Survival</w:t>
      </w:r>
      <w:r>
        <w:rPr>
          <w:rFonts w:ascii="Arial" w:cs="Arial" w:eastAsia="Arial" w:hAnsi="Arial"/>
          <w:sz w:val="16"/>
          <w:szCs w:val="16"/>
          <w:color w:val="auto"/>
        </w:rPr>
        <w:t>. The provisions of Sections 1.7, 4.2, 4.4, 4.5, 4.6, 6.1, 7, 10.4, 10.5, 11, 12, 14, 15, and 16 shall survive the termination of this Agreement.</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15.15 Federal Income Tax Reporting</w:t>
      </w:r>
      <w:r>
        <w:rPr>
          <w:rFonts w:ascii="Arial" w:cs="Arial" w:eastAsia="Arial" w:hAnsi="Arial"/>
          <w:sz w:val="18"/>
          <w:szCs w:val="18"/>
          <w:color w:val="auto"/>
        </w:rPr>
        <w:t>. Pursuant to 26 USC 6050W Paymentech is a “payment settlement entity”, obligated to collect and report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taxpayer information to the United States Internal Revenue Service. Therefore, in conjunction with the execution of this Agreement, TP3 shall provide Paymentech with the appropriate taxpayer certification documentation, via Internal Revenue Service (IRS) Form W-9 (or the appropriate versions of Form W-8, if applicable). TP3 shall promptly notify Paymentech if there are any changes in this information. Paymentech may deduct withholding taxes, if any, from proceeds payable to TP3 where required under applicable law. Paymentech may, in accordance with applicable law and from time to time during the term of this Agreement, request TP3 to recertify its taxpayer certification hereunder. Furthermore TP3 shall be responsible for any penalties related to the reporting obligations of Paymentech hereunder to the extent such penalties accrue based on the actions or inactions of TP3 provided that there has been reasonable notice from Paymentech.</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Paymentech does not directly fund Merchants for the settlement proceeds of Transactions processed hereunder, the parties agree that Paymentech shall have no tax reporting obligations whatsoever for any Merchants which submit transactions through TP3 under this Agreement. Therefore, TP3 agrees to comply with any information reporting requirements under any Federal or State laws related to the payment by TP3 to Merchant of settlement proceeds from Transaction processed pursuant to this Agreement, including, without limitation, Internal Revenue Code (IRC) Section 6050W and similar laws enacted by any state or other taxing jurisdiction. TP3 agrees that TP3 has sole responsibility for gathering, storing and reporting all required Merchant and Transaction data to comply with such laws and TP3 agrees to fully indemnify and hold Paymentech and Member harmless against any applicable taxes, fines and penalties related to such compliance and reporting.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Paymentech does directly fund Merchants for the settlement proceeds of Transactions processed hereunder, TP3 shall assist Paymentech with the collection of appropriate taxpayer certification documentation from all applicable Merchants (via IRS Form W-9 or W-8). Unless otherwise provided herein or agreed to by the parties, Paymentech has sole responsibility for complying with all tax reporting obligations related to the payment by Paymentech to Merchant of settlement proceeds from Transaction processed pursuant to this Agreement, including, without limitation, Internal Revenue Code (IRC) Section 6050W and similar laws enacted by any state or other taxing jurisdiction.</w:t>
      </w:r>
    </w:p>
    <w:p>
      <w:pPr>
        <w:spacing w:after="0" w:line="18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15.16 No Third Party Beneficiaries</w:t>
      </w:r>
      <w:r>
        <w:rPr>
          <w:rFonts w:ascii="Arial" w:cs="Arial" w:eastAsia="Arial" w:hAnsi="Arial"/>
          <w:sz w:val="16"/>
          <w:szCs w:val="16"/>
          <w:color w:val="auto"/>
        </w:rPr>
        <w:t>. This Agreement confers no rights on any person not a signatory hereof, including, without limitation, any Merchant.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3" w:name="page114"/>
    <w:bookmarkEnd w:id="113"/>
    <w:p>
      <w:pPr>
        <w:ind w:left="280" w:hanging="272"/>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i w:val="1"/>
          <w:iCs w:val="1"/>
          <w:color w:val="auto"/>
        </w:rPr>
        <w:t xml:space="preserve">“Application” </w:t>
      </w:r>
      <w:r>
        <w:rPr>
          <w:rFonts w:ascii="Arial" w:cs="Arial" w:eastAsia="Arial" w:hAnsi="Arial"/>
          <w:sz w:val="18"/>
          <w:szCs w:val="18"/>
          <w:color w:val="auto"/>
        </w:rPr>
        <w:t>is a statement of TP3’s financial condition, a description of the characteristics of TP3’s business or organization, and related information TP3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has previously or concurrently submitted to Paymentech, including credit and financial information, to induce Paymentech to enter into this Agreement and that has induced Paymentech to process Transactions under the terms and conditions of this Agreement. </w:t>
      </w:r>
      <w:r>
        <w:rPr>
          <w:rFonts w:ascii="Arial" w:cs="Arial" w:eastAsia="Arial" w:hAnsi="Arial"/>
          <w:sz w:val="18"/>
          <w:szCs w:val="18"/>
          <w:b w:val="1"/>
          <w:bCs w:val="1"/>
          <w:i w:val="1"/>
          <w:iCs w:val="1"/>
          <w:color w:val="auto"/>
        </w:rPr>
        <w:t xml:space="preserve">“Chargeback” </w:t>
      </w:r>
      <w:r>
        <w:rPr>
          <w:rFonts w:ascii="Arial" w:cs="Arial" w:eastAsia="Arial" w:hAnsi="Arial"/>
          <w:sz w:val="18"/>
          <w:szCs w:val="18"/>
          <w:color w:val="auto"/>
        </w:rPr>
        <w:t>is a reversal of a Transaction previously presented to Paymentech pursuant to Payment Brand Rules.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“Conveyed Transaction” </w:t>
      </w:r>
      <w:r>
        <w:rPr>
          <w:rFonts w:ascii="Arial" w:cs="Arial" w:eastAsia="Arial" w:hAnsi="Arial"/>
          <w:sz w:val="17"/>
          <w:szCs w:val="17"/>
          <w:color w:val="auto"/>
        </w:rPr>
        <w:t>is any Transaction conveyed to a Payment Brand for settlement by such Payment Brand directly to TP3 or Merchant.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is the person or entity to whom a Payment Instrument is issued or who is otherwise authorized to use a Payment Instrument.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date this Agreement takes effect pursuant to Section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“JPMC” </w:t>
      </w:r>
      <w:r>
        <w:rPr>
          <w:rFonts w:ascii="Arial" w:cs="Arial" w:eastAsia="Arial" w:hAnsi="Arial"/>
          <w:sz w:val="18"/>
          <w:szCs w:val="18"/>
          <w:color w:val="auto"/>
        </w:rPr>
        <w:t>means J.P. Morgan Chase &amp; Co. and its affiliates.</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“Member” </w:t>
      </w:r>
      <w:r>
        <w:rPr>
          <w:rFonts w:ascii="Arial" w:cs="Arial" w:eastAsia="Arial" w:hAnsi="Arial"/>
          <w:sz w:val="18"/>
          <w:szCs w:val="18"/>
          <w:color w:val="auto"/>
        </w:rPr>
        <w:t>is JPMorgan Chase Bank, N.A. or other entity providing sponsorship to Paymentech as required by all applicable Payment Brands. Member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party to this Agreement and your acceptance of Payment Brand products is extended by the Member.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“Payment Brand” </w:t>
      </w:r>
      <w:r>
        <w:rPr>
          <w:rFonts w:ascii="Arial" w:cs="Arial" w:eastAsia="Arial" w:hAnsi="Arial"/>
          <w:sz w:val="18"/>
          <w:szCs w:val="18"/>
          <w:color w:val="auto"/>
        </w:rPr>
        <w:t>is any payment method provider whose payment method is accepted by Paymentech for processing, including, but not limited to, Visa,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U.S.A., Inc., MasterCard International, Inc., Discover Financial Services, LLC and other credit and debit card providers, debit network providers, electronic check and ACH payments, gift card and other stored value and loyalty program providers. Payment Brand also includes the Payment Card Industry Security Standards Council and the Electronic Payments Association (NACHA).</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“Payment Brand Rules” </w:t>
      </w:r>
      <w:r>
        <w:rPr>
          <w:rFonts w:ascii="Arial" w:cs="Arial" w:eastAsia="Arial" w:hAnsi="Arial"/>
          <w:sz w:val="18"/>
          <w:szCs w:val="18"/>
          <w:color w:val="auto"/>
        </w:rPr>
        <w:t>are the bylaws, rules, and regulations, as they exist from time to time, of the Payment Brands, including, without limitation,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operating principles (including without limitation the TP3 Risk Management Standards and Operating Procedures identified in </w:t>
      </w:r>
      <w:r>
        <w:rPr>
          <w:rFonts w:ascii="Arial" w:cs="Arial" w:eastAsia="Arial" w:hAnsi="Arial"/>
          <w:sz w:val="18"/>
          <w:szCs w:val="18"/>
          <w:b w:val="1"/>
          <w:bCs w:val="1"/>
          <w:color w:val="auto"/>
        </w:rPr>
        <w:t>Schedule C</w:t>
      </w:r>
      <w:r>
        <w:rPr>
          <w:rFonts w:ascii="Arial" w:cs="Arial" w:eastAsia="Arial" w:hAnsi="Arial"/>
          <w:sz w:val="18"/>
          <w:szCs w:val="18"/>
          <w:color w:val="auto"/>
        </w:rPr>
        <w:t xml:space="preserve"> of this Agreement), as may be revised from time to time by the Payment Brands in their sole discretion.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“Payment Application” </w:t>
      </w:r>
      <w:r>
        <w:rPr>
          <w:rFonts w:ascii="Arial" w:cs="Arial" w:eastAsia="Arial" w:hAnsi="Arial"/>
          <w:sz w:val="18"/>
          <w:szCs w:val="18"/>
          <w:color w:val="auto"/>
        </w:rPr>
        <w:t>is a third party application that is involved in the authorization or settlement of Transaction Record.</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“Payment Instrument” </w:t>
      </w:r>
      <w:r>
        <w:rPr>
          <w:rFonts w:ascii="Arial" w:cs="Arial" w:eastAsia="Arial" w:hAnsi="Arial"/>
          <w:sz w:val="18"/>
          <w:szCs w:val="18"/>
          <w:color w:val="auto"/>
        </w:rPr>
        <w:t>is an account, or evidence of an account, authorized and established between a Customer and a Payment Brand, or representatives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a Payment Brand that TP3 or Merchant accepts from Customers as payment for a good or service. Payment Instruments include, but are not limited to, credit and debit cards, electronic check and ACH payments, stored value cards, loyalty cards, electronic gift cards, authorized account or access numbers, paper certificates and credit accounts.</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 xml:space="preserve">“Payment Instrument Information” </w:t>
      </w:r>
      <w:r>
        <w:rPr>
          <w:rFonts w:ascii="Arial" w:cs="Arial" w:eastAsia="Arial" w:hAnsi="Arial"/>
          <w:sz w:val="16"/>
          <w:szCs w:val="16"/>
          <w:color w:val="auto"/>
        </w:rPr>
        <w:t>is information related to a Customer or the Customer’s Payment Instrument, that is obtained by TP3 or Merchant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Customer’s Payment Instrument, or from the Customer in connection with his or her use of a Payment Instrument (for example a security code, a PIN number, or the customer’s zip code when provided as part of an address verification system). Without limiting the foregoing, such information may include the Payment Instrument account number and expiration date, the Customer’s name or date of birth, PIN data, security code data (such as CVV2 and CVC2) and any date read, scanned, imprinted, or otherwise obtained from the Payment Instrument, whether printed thereon, or magnetically, electronically or otherwise stored thereon. For the avoidance of doubt, the data elements that constitute Payment Instrument Information shall be treated according to their corresponding meanings as “cardholder data” and “sensitive authentication data” as such terms are used in the then current PCI DSS.</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“Paymentech”</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“our”</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“us” </w:t>
      </w:r>
      <w:r>
        <w:rPr>
          <w:rFonts w:ascii="Arial" w:cs="Arial" w:eastAsia="Arial" w:hAnsi="Arial"/>
          <w:sz w:val="18"/>
          <w:szCs w:val="18"/>
          <w:color w:val="auto"/>
        </w:rPr>
        <w:t>is Paymentech, LLC, a Delaware limited liability company, having its principal office at 14221 Dallas Parkway,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Dallas, Texas 75254.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“Retrieval Request” </w:t>
      </w:r>
      <w:r>
        <w:rPr>
          <w:rFonts w:ascii="Arial" w:cs="Arial" w:eastAsia="Arial" w:hAnsi="Arial"/>
          <w:sz w:val="18"/>
          <w:szCs w:val="18"/>
          <w:color w:val="auto"/>
        </w:rPr>
        <w:t>is a request for information by a Customer or Payment Brand relating to a claim or complaint concerning a Transaction.</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 xml:space="preserve">“Security Standards” </w:t>
      </w:r>
      <w:r>
        <w:rPr>
          <w:rFonts w:ascii="Arial" w:cs="Arial" w:eastAsia="Arial" w:hAnsi="Arial"/>
          <w:sz w:val="16"/>
          <w:szCs w:val="16"/>
          <w:color w:val="auto"/>
        </w:rPr>
        <w:t>are all rules, regulations, standards or guidelines adopted or required by the Payment Brands or the Payment Card Industry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Council relating to privacy, data security and the safeguarding, disclosure and handling of Payment Instrument Information, including but not limited to the Payment Card Industry Data Security Standards (“PCI DSS”), visa’s Cardholder Information Security Program (“CISP”), Discover’s Information Security &amp; Compliance Program, American Express’s Data Security Operating Policy, MasterCard’s Site Data Protection Program (“SDP”), Visa’s Payment Application Best Practices (“PABP”), the payment Card Industry’s Payment Application Data Security Standard (“PA DSS”), MasterCard’s POS Terminal Security program and the Payment Card Industry PIN Entry Device Standard, in each case as they may be amended from time to time.</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“Service Provider” </w:t>
      </w:r>
      <w:r>
        <w:rPr>
          <w:rFonts w:ascii="Arial" w:cs="Arial" w:eastAsia="Arial" w:hAnsi="Arial"/>
          <w:sz w:val="18"/>
          <w:szCs w:val="18"/>
          <w:color w:val="auto"/>
        </w:rPr>
        <w:t>is any party that processes, stores, receives, transmits, or has access to Payment Instrument Information TP3’s behalf or any Merchant’s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including, but not limited to, TP3’s or Merchants’ agents, business partners, contractors, and subcontractors.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“Settled Transaction” </w:t>
      </w:r>
      <w:r>
        <w:rPr>
          <w:rFonts w:ascii="Arial" w:cs="Arial" w:eastAsia="Arial" w:hAnsi="Arial"/>
          <w:sz w:val="17"/>
          <w:szCs w:val="17"/>
          <w:color w:val="auto"/>
        </w:rPr>
        <w:t>is a Transaction conducted between a Customer and TP3 (on behalf of Merchant) utilizing a Payment Instrument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 is exchanged between the Customer and Merchant for the purchase of a good or service or the return of refund of such purchase and the dollar amount of such Transaction is settled by the Payment Brand through Paymentech to TP3 or the Merchant’s settlement account.</w:t>
      </w: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“Transaction” </w:t>
      </w:r>
      <w:r>
        <w:rPr>
          <w:rFonts w:ascii="Arial" w:cs="Arial" w:eastAsia="Arial" w:hAnsi="Arial"/>
          <w:sz w:val="18"/>
          <w:szCs w:val="18"/>
          <w:color w:val="auto"/>
        </w:rPr>
        <w:t>is a transaction conducted between a Customer and a Merchant utilizing a Payment Instrument in which consideration is exchanged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Customer and Merchant, and which is submitted to Paymentech by TP3.</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 xml:space="preserve">“Transaction Record” </w:t>
      </w:r>
      <w:r>
        <w:rPr>
          <w:rFonts w:ascii="Arial" w:cs="Arial" w:eastAsia="Arial" w:hAnsi="Arial"/>
          <w:sz w:val="18"/>
          <w:szCs w:val="18"/>
          <w:color w:val="auto"/>
        </w:rPr>
        <w:t>is the written or electronic record of a Transaction, including but not limited to an authorization code or settlement record submitted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Paymentech for processing.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parties have duly executed this Agreement.</w:t>
      </w:r>
    </w:p>
    <w:p>
      <w:pPr>
        <w:sectPr>
          <w:pgSz w:w="11900" w:h="16838" w:orient="portrait"/>
          <w:cols w:equalWidth="0" w:num="1">
            <w:col w:w="11420"/>
          </w:cols>
          <w:pgMar w:left="240" w:top="88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20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TP3 Legal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Stephen P. Herbert, Chairman/CEO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Print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4/22/15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Deerfield Lane, Suite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20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PAYMENTECH, LLC </w:t>
      </w:r>
      <w:r>
        <w:rPr>
          <w:rFonts w:ascii="Arial" w:cs="Arial" w:eastAsia="Arial" w:hAnsi="Arial"/>
          <w:sz w:val="18"/>
          <w:szCs w:val="18"/>
          <w:color w:val="auto"/>
        </w:rPr>
        <w:t>for itself and on behalf of</w:t>
      </w:r>
      <w:r>
        <w:rPr>
          <w:rFonts w:ascii="Arial" w:cs="Arial" w:eastAsia="Arial" w:hAnsi="Arial"/>
          <w:sz w:val="18"/>
          <w:szCs w:val="18"/>
          <w:b w:val="1"/>
          <w:bCs w:val="1"/>
          <w:color w:val="auto"/>
        </w:rPr>
        <w:t xml:space="preserve"> JPMORGAN CHASE BANK, N.A.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4645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4645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645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645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645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152400</wp:posOffset>
            </wp:positionV>
            <wp:extent cx="7246620" cy="557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881" w:right="239" w:bottom="1440" w:gutter="0" w:footer="0" w:header="0"/>
          <w:type w:val="continuous"/>
        </w:sectPr>
      </w:pP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Be Completed By Paymentech, LLC</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Your Agreement Contract Number is: ___248258 - 540133____________________________</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Your Processing Identification Number Will Be Provided At Time of Processing Set Up</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Pricing Schedule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TP3 Risk and Compliance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TP3 agrees it will provide, comply and cooperate with Paymentech as follows:</w:t>
      </w:r>
    </w:p>
    <w:p>
      <w:pPr>
        <w:spacing w:after="0" w:line="225" w:lineRule="exact"/>
        <w:rPr>
          <w:sz w:val="20"/>
          <w:szCs w:val="20"/>
          <w:color w:val="auto"/>
        </w:rPr>
      </w:pPr>
    </w:p>
    <w:p>
      <w:pPr>
        <w:jc w:val="both"/>
        <w:ind w:firstLine="8"/>
        <w:spacing w:after="0" w:line="302" w:lineRule="auto"/>
        <w:tabs>
          <w:tab w:leader="none" w:pos="639"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TP3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TP3 agrees to provide the required information to support and certify to the TP3 Platform. The TP3 Platform requirements,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but are not limited to, inclusion in transaction data of needed specifications for unique Merchant ID, as well as other data fields, such as Merchant name, tax id, MCC, status, and owner records (the Required Specifications are attached hereto as Exhibit B-1). Once certified to the TP3 Platform, in the event there are issues identified by Paymentech or by TP3 with data feeds or other errors, TP3 will remediate the issue within thirty (30) business days.</w:t>
      </w:r>
    </w:p>
    <w:p>
      <w:pPr>
        <w:spacing w:after="0" w:line="154" w:lineRule="exact"/>
        <w:rPr>
          <w:rFonts w:ascii="Arial" w:cs="Arial" w:eastAsia="Arial" w:hAnsi="Arial"/>
          <w:sz w:val="16"/>
          <w:szCs w:val="16"/>
          <w:b w:val="1"/>
          <w:bCs w:val="1"/>
          <w:color w:val="auto"/>
        </w:rPr>
      </w:pPr>
    </w:p>
    <w:p>
      <w:pPr>
        <w:jc w:val="both"/>
        <w:ind w:firstLine="8"/>
        <w:spacing w:after="0" w:line="257" w:lineRule="auto"/>
        <w:tabs>
          <w:tab w:leader="none" w:pos="65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Sanctions Screening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Paymentech will perform sanctions screening of all prospective Merchants. If the screening indicates that the prospective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Merchant or its owner(s) are on a sanctions list, TP3 will research and provide additional demographic information, as may be requested by Paymentech, and will provide the results of such research to Paymentech within three (3) Business Days. TP3 shall ensure that a prospective Merchant listed on a sanctions list shall not be permitted to be a Merchant. In addition, if an existing Merchant is found on a sanctions list, Paymentech will notify TP3 and TP3 must terminate such Merchant within three (3) Business Days.</w:t>
      </w:r>
    </w:p>
    <w:p>
      <w:pPr>
        <w:spacing w:after="0" w:line="188" w:lineRule="exact"/>
        <w:rPr>
          <w:rFonts w:ascii="Arial" w:cs="Arial" w:eastAsia="Arial" w:hAnsi="Arial"/>
          <w:sz w:val="18"/>
          <w:szCs w:val="18"/>
          <w:b w:val="1"/>
          <w:bCs w:val="1"/>
          <w:color w:val="auto"/>
        </w:rPr>
      </w:pPr>
    </w:p>
    <w:p>
      <w:pPr>
        <w:ind w:left="600" w:hanging="592"/>
        <w:spacing w:after="0"/>
        <w:tabs>
          <w:tab w:leader="none" w:pos="6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MATCH/TMF</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Screening.</w:t>
      </w:r>
      <w:r>
        <w:rPr>
          <w:rFonts w:ascii="Arial" w:cs="Arial" w:eastAsia="Arial" w:hAnsi="Arial"/>
          <w:sz w:val="18"/>
          <w:szCs w:val="18"/>
          <w:color w:val="auto"/>
        </w:rPr>
        <w:t xml:space="preserve"> As required by the Payment Brands, TP3 will perform MATCH/TMF screening on all of its Merchants. Each prospective Merchant and its owner(s) must be cleared against Visa’s TMF and MasterCard’s MATCH files before TP3 enters into an agreement with or processes any transactions for a Merchant. If the initial query indicates that the prospective Merchant or its owner(s) are on the MATCH or TMF lists, TP3 will research and determine if Merchant is a true match and will provide the results of such query and research to Paymentech within three (3) Business Days. TP3 shall ensure that a prospective Merchant listed on the TMF or MATCH File is not permitted to be a Merchant.</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If a decision is made to terminate a Merchant and MATCH or TMF Criteria is met (MATCH/TMF Criteria is determined by the respective Payment Brand and will be provided to TP3 by Paymentech upon request), TP3 will report such decision to terminate to Paymentech and will provide to Paymentech, within three (3) Business Days of the date in which the decision to terminate was made, information sufficient to permit Paymentech to add Merchant to MATCH/TMF within the time frame required by MasterCard and Visa.</w:t>
      </w:r>
    </w:p>
    <w:p>
      <w:pPr>
        <w:spacing w:after="0" w:line="190" w:lineRule="exact"/>
        <w:rPr>
          <w:sz w:val="20"/>
          <w:szCs w:val="20"/>
          <w:color w:val="auto"/>
        </w:rPr>
      </w:pPr>
    </w:p>
    <w:p>
      <w:pPr>
        <w:jc w:val="both"/>
        <w:ind w:firstLine="8"/>
        <w:spacing w:after="0" w:line="270" w:lineRule="auto"/>
        <w:tabs>
          <w:tab w:leader="none" w:pos="81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CIP / KYC Requirements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-TP3 is required to implement and maintain appropriate CIP/KYC procedures with respect to all of its Merchants.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Paymentech will review, evaluate and examine the TP3’s policies and procedures for customer identification to determine if they are adequate, meet all legal/regulatory obligations of the TP3, and can result in a reasonable conclusion that the TP3 knows its customers. If the TP3’s policies are determined to be less than adequate, or do not meet their legal/regulatory obligations, TP3 agrees to remediate and correct any noted deficiencies in its policies and procedures within thirty (30) Business Days or within such other mutually acceptable time frame as may be agreed between the parties if it is not commercially reasonable for TP3 to correct such deficiencies within thirty (30) Business Days. TP3 agrees to provide Paymentech with the resulting data it obtains through its CIP/KYC process in a format and manner that is acceptable to Paymentech. TP3 also agrees to maintain the resulting CIP/KYC data/documentation in its records for at least seven (7) years. Any change in TP3’s CIP/KYC policies and procedures must be submitted to us, in writing, not less than thirty (30) days prior to the effective date of such change.</w:t>
      </w:r>
    </w:p>
    <w:p>
      <w:pPr>
        <w:spacing w:after="0" w:line="181" w:lineRule="exact"/>
        <w:rPr>
          <w:rFonts w:ascii="Arial" w:cs="Arial" w:eastAsia="Arial" w:hAnsi="Arial"/>
          <w:sz w:val="17"/>
          <w:szCs w:val="17"/>
          <w:b w:val="1"/>
          <w:bCs w:val="1"/>
          <w:color w:val="auto"/>
        </w:rPr>
      </w:pPr>
    </w:p>
    <w:p>
      <w:pPr>
        <w:jc w:val="both"/>
        <w:ind w:firstLine="8"/>
        <w:spacing w:after="0" w:line="257" w:lineRule="auto"/>
        <w:tabs>
          <w:tab w:leader="none" w:pos="76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Prohibited Merchant Types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Prohibited Businesses and Business Activities, Prohibited Merchants, and Prohibited Transactions,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in the attached Exhibit B-2, shall not be supported in the Program, and TP3 shall implement and maintain appropriate procedures to prevent the processing of transactions on behalf of such merchants and transaction types. TP3 shall notify Paymentech promptly in the event that it has reason to believe that any Merchant or any Merchant’s activities or Transactions fall within any of the Prohibited Businesses and Business Activities, Prohibited Merchants, and Prohibited Transactions set forth in Exhibit B-2.</w:t>
      </w:r>
    </w:p>
    <w:p>
      <w:pPr>
        <w:spacing w:after="0" w:line="188" w:lineRule="exact"/>
        <w:rPr>
          <w:rFonts w:ascii="Arial" w:cs="Arial" w:eastAsia="Arial" w:hAnsi="Arial"/>
          <w:sz w:val="18"/>
          <w:szCs w:val="18"/>
          <w:b w:val="1"/>
          <w:bCs w:val="1"/>
          <w:color w:val="auto"/>
        </w:rPr>
      </w:pPr>
    </w:p>
    <w:p>
      <w:pPr>
        <w:jc w:val="both"/>
        <w:ind w:firstLine="8"/>
        <w:spacing w:after="0" w:line="270" w:lineRule="auto"/>
        <w:tabs>
          <w:tab w:leader="none" w:pos="68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TP3 Transaction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TP3 is required to perform transaction monitoring on all of its Merchants’ transactions and to provide Paymentech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resulting data in a manner and format that is acceptable to Paymentech. TP3 agrees to provide its policies and procedures to Paymentech, for review. Paymentech will to determine the adequacy of the TP3’s due diligence and transaction monitoring policies, procedures, and processes and will advise TP3 on any changes or improvements that may be required. TP3 agrees to remediate and correct any noted deficiencies in its policies and procedures within thirty (30) Business Days or within such other mutually acceptable time frame as may be agreed between the parties if it is not commercially reasonable for TP3 to correct such deficiencies within thirty (30) Business Days. In addition, in the event that unusual activity is detected by TP3’s transaction monitoring policies and procedures, TP3 will escalate and notify Paymentech in accordance to the Risk Escalation Quick Reference Guide (attached hereto as Exhibit B-3) and will investigate and provide Paymentech with a completed Risk Escalation Form (attached hereto as Exhibit B-4) showing the results of its investigation to Paymentech within three (3) Business Days.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7" w:name="page118"/>
    <w:bookmarkEnd w:id="117"/>
    <w:p>
      <w:pPr>
        <w:jc w:val="both"/>
        <w:ind w:left="-8" w:firstLine="8"/>
        <w:spacing w:after="0" w:line="279" w:lineRule="auto"/>
        <w:tabs>
          <w:tab w:leader="none" w:pos="59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Escalations and Investigations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In the event that Paymentech detects unusual activity, potentially prohibited activity or Paymentech becomes 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circumstances that indicate a potential legal or regulatory issue with respect to TP3 or a Merchant, TP3 agrees to work with Paymentech in good faith and agrees to provide any information which may be requested by Paymentech in order to permit Paymentech to perform its own investigation and resolution of potential legal and/or regulatory violations or other questionable behavior pertaining to TP3 or TP3’s Merchants.</w:t>
      </w:r>
    </w:p>
    <w:p>
      <w:pPr>
        <w:spacing w:after="0" w:line="171" w:lineRule="exact"/>
        <w:rPr>
          <w:rFonts w:ascii="Arial" w:cs="Arial" w:eastAsia="Arial" w:hAnsi="Arial"/>
          <w:sz w:val="17"/>
          <w:szCs w:val="17"/>
          <w:b w:val="1"/>
          <w:bCs w:val="1"/>
          <w:color w:val="auto"/>
        </w:rPr>
      </w:pPr>
    </w:p>
    <w:p>
      <w:pPr>
        <w:jc w:val="both"/>
        <w:ind w:left="-8" w:firstLine="8"/>
        <w:spacing w:after="0" w:line="257" w:lineRule="auto"/>
        <w:tabs>
          <w:tab w:leader="none" w:pos="76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Onsite Compliance Validations</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TP3 will permit Paymentech to come onsite at the inception of this Agreement and on an on-going basis,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requested by Paymentech, thereafter, to review TP3’s compliance with the requirements and obligations contained in this Agreement. These requirements include access to the requested information contained in this Schedule B, as well as the information and documentation required to complete the attached </w:t>
      </w:r>
      <w:r>
        <w:rPr>
          <w:rFonts w:ascii="Arial" w:cs="Arial" w:eastAsia="Arial" w:hAnsi="Arial"/>
          <w:sz w:val="18"/>
          <w:szCs w:val="18"/>
          <w:b w:val="1"/>
          <w:bCs w:val="1"/>
          <w:color w:val="auto"/>
        </w:rPr>
        <w:t xml:space="preserve">Third Party Payment Processor Due Diligence Certification </w:t>
      </w:r>
      <w:r>
        <w:rPr>
          <w:rFonts w:ascii="Arial" w:cs="Arial" w:eastAsia="Arial" w:hAnsi="Arial"/>
          <w:sz w:val="18"/>
          <w:szCs w:val="18"/>
          <w:color w:val="auto"/>
        </w:rPr>
        <w:t>(attached as Exhibit B-5), which TP3 will be required to execute, following such initial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yearly onsite, attesting to the compliance requirements contained therein.</w:t>
      </w:r>
    </w:p>
    <w:p>
      <w:pPr>
        <w:spacing w:after="0" w:line="188" w:lineRule="exact"/>
        <w:rPr>
          <w:sz w:val="20"/>
          <w:szCs w:val="20"/>
          <w:color w:val="auto"/>
        </w:rPr>
      </w:pPr>
    </w:p>
    <w:p>
      <w:pPr>
        <w:jc w:val="both"/>
        <w:ind w:left="652" w:hanging="323"/>
        <w:spacing w:after="0" w:line="264" w:lineRule="auto"/>
        <w:rPr>
          <w:sz w:val="20"/>
          <w:szCs w:val="20"/>
          <w:color w:val="auto"/>
        </w:rPr>
      </w:pPr>
      <w:r>
        <w:rPr>
          <w:rFonts w:ascii="Arial" w:cs="Arial" w:eastAsia="Arial" w:hAnsi="Arial"/>
          <w:sz w:val="18"/>
          <w:szCs w:val="18"/>
          <w:color w:val="auto"/>
        </w:rPr>
        <w:t>8.1 During the onsite visit, a TP3 Questionnaire will be completed and will include the following questions about the TP3. TP3 agrees to provide information and documentation to Paymentech sufficient, as determined by Paymentech, to allow Paymentech to make the following determinations and evaluations:</w:t>
      </w:r>
    </w:p>
    <w:p>
      <w:pPr>
        <w:spacing w:after="0" w:line="181" w:lineRule="exact"/>
        <w:rPr>
          <w:sz w:val="20"/>
          <w:szCs w:val="20"/>
          <w:color w:val="auto"/>
        </w:rPr>
      </w:pPr>
    </w:p>
    <w:p>
      <w:pPr>
        <w:ind w:left="1292" w:right="640" w:hanging="644"/>
        <w:spacing w:after="0" w:line="258"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the geographies of the TP3’s physical presence and significant business operations, customers, vendors, suppliers, transaction activities, and income/revenues</w:t>
      </w:r>
    </w:p>
    <w:p>
      <w:pPr>
        <w:spacing w:after="0" w:line="1" w:lineRule="exact"/>
        <w:rPr>
          <w:rFonts w:ascii="Arial" w:cs="Arial" w:eastAsia="Arial" w:hAnsi="Arial"/>
          <w:sz w:val="18"/>
          <w:szCs w:val="18"/>
          <w:color w:val="auto"/>
        </w:rPr>
      </w:pP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obtain and evaluate the TP3’s annual report/financial statement for any AML/sanctions risks</w:t>
      </w:r>
    </w:p>
    <w:p>
      <w:pPr>
        <w:spacing w:after="0" w:line="9" w:lineRule="exact"/>
        <w:rPr>
          <w:rFonts w:ascii="Arial" w:cs="Arial" w:eastAsia="Arial" w:hAnsi="Arial"/>
          <w:sz w:val="18"/>
          <w:szCs w:val="18"/>
          <w:color w:val="auto"/>
        </w:rPr>
      </w:pP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whether the TP3 has obtained all necessary state licenses, registrations, and approvals</w:t>
      </w:r>
    </w:p>
    <w:p>
      <w:pPr>
        <w:spacing w:after="0" w:line="9" w:lineRule="exact"/>
        <w:rPr>
          <w:rFonts w:ascii="Arial" w:cs="Arial" w:eastAsia="Arial" w:hAnsi="Arial"/>
          <w:sz w:val="18"/>
          <w:szCs w:val="18"/>
          <w:color w:val="auto"/>
        </w:rPr>
      </w:pPr>
    </w:p>
    <w:p>
      <w:pPr>
        <w:ind w:left="1292" w:right="540" w:hanging="644"/>
        <w:spacing w:after="0" w:line="250"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whether the TP3 has procedures in place to meet requirements of regulations implementing the Unlawful Internet Gambling Enforcement Act of 2006</w:t>
      </w: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if the TP3 is also an MSB; if so, the information outlined in Section 8.2 below, is also required</w:t>
      </w:r>
    </w:p>
    <w:p>
      <w:pPr>
        <w:spacing w:after="0" w:line="9" w:lineRule="exact"/>
        <w:rPr>
          <w:rFonts w:ascii="Arial" w:cs="Arial" w:eastAsia="Arial" w:hAnsi="Arial"/>
          <w:sz w:val="18"/>
          <w:szCs w:val="18"/>
          <w:color w:val="auto"/>
        </w:rPr>
      </w:pP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if the TP3 intends to use its JPMC products and services on behalf of its customers;</w:t>
      </w:r>
    </w:p>
    <w:p>
      <w:pPr>
        <w:spacing w:after="0" w:line="9" w:lineRule="exact"/>
        <w:rPr>
          <w:rFonts w:ascii="Arial" w:cs="Arial" w:eastAsia="Arial" w:hAnsi="Arial"/>
          <w:sz w:val="18"/>
          <w:szCs w:val="18"/>
          <w:color w:val="auto"/>
        </w:rPr>
      </w:pPr>
    </w:p>
    <w:p>
      <w:pPr>
        <w:ind w:left="1292" w:right="260" w:hanging="644"/>
        <w:spacing w:after="0" w:line="250"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gather information regarding the TP3’s AML record, particularly related to any recent regulatory actions, tax avoidance issues and/or fines/penalties issued by a government agency.</w:t>
      </w:r>
    </w:p>
    <w:p>
      <w:pPr>
        <w:ind w:left="1292" w:right="40" w:hanging="644"/>
        <w:spacing w:after="0" w:line="250"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whether the TP3 re-sells its services to a third party (e.g., an agent or provider of Independent Sales Organization (ISO) opportunities or gateway arrangements) or provides processing on behalf of other intermediaries through its accounts or services at JPMC.</w:t>
      </w:r>
    </w:p>
    <w:p>
      <w:pPr>
        <w:spacing w:after="0" w:line="1" w:lineRule="exact"/>
        <w:rPr>
          <w:rFonts w:ascii="Arial" w:cs="Arial" w:eastAsia="Arial" w:hAnsi="Arial"/>
          <w:sz w:val="18"/>
          <w:szCs w:val="18"/>
          <w:color w:val="auto"/>
        </w:rPr>
      </w:pP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require to gather information about the TP3’s customers, including the average number and types</w:t>
      </w:r>
    </w:p>
    <w:p>
      <w:pPr>
        <w:spacing w:after="0" w:line="9" w:lineRule="exact"/>
        <w:rPr>
          <w:rFonts w:ascii="Arial" w:cs="Arial" w:eastAsia="Arial" w:hAnsi="Arial"/>
          <w:sz w:val="18"/>
          <w:szCs w:val="18"/>
          <w:color w:val="auto"/>
        </w:rPr>
      </w:pPr>
    </w:p>
    <w:p>
      <w:pPr>
        <w:ind w:left="1292" w:right="80" w:hanging="644"/>
        <w:spacing w:after="0" w:line="250"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determine whether the TP3 will be depositing Remotely Created Checks (RCCs) generated on behalf of customers into its JPMC account</w:t>
      </w:r>
    </w:p>
    <w:p>
      <w:pPr>
        <w:ind w:left="1292" w:right="140" w:hanging="644"/>
        <w:spacing w:after="0" w:line="265" w:lineRule="auto"/>
        <w:tabs>
          <w:tab w:leader="none" w:pos="12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Paymentech will assess TP3’s customer complaints (if applicable) Paymentech will identify if the TP3 uses more than one bank to process its customers’ payments and whether the TP3 has a history of moving from one bank to another within a short period of time</w:t>
      </w: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review and discuss independent audit results</w:t>
      </w:r>
    </w:p>
    <w:p>
      <w:pPr>
        <w:spacing w:after="0" w:line="9" w:lineRule="exact"/>
        <w:rPr>
          <w:rFonts w:ascii="Arial" w:cs="Arial" w:eastAsia="Arial" w:hAnsi="Arial"/>
          <w:sz w:val="18"/>
          <w:szCs w:val="18"/>
          <w:color w:val="auto"/>
        </w:rPr>
      </w:pPr>
    </w:p>
    <w:p>
      <w:pPr>
        <w:ind w:left="1292" w:hanging="644"/>
        <w:spacing w:after="0"/>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Paymentech will obtain a list of the TP3’s customers, including name, address, to screen names for sanctions</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18" w:name="page119"/>
    <w:bookmarkEnd w:id="118"/>
    <w:p>
      <w:pPr>
        <w:ind w:left="960" w:right="620" w:hanging="644"/>
        <w:spacing w:after="0" w:line="291"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Paymentech will validate directly or indirectly that the TP3’s customers are legitimate businesses. Direct validation is performed by obtaining the TP3s new customers’ information in accordance with JPMC requirements and performing CIP and name screening</w:t>
      </w:r>
    </w:p>
    <w:p>
      <w:pPr>
        <w:ind w:left="960" w:hanging="644"/>
        <w:spacing w:after="0"/>
        <w:tabs>
          <w:tab w:leader="none" w:pos="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Paymentech will determine if any of the TP3’s customers are prohibited according to JPMC’s Global KYC Standards or risk tolerance</w:t>
      </w:r>
    </w:p>
    <w:p>
      <w:pPr>
        <w:spacing w:after="0" w:line="20" w:lineRule="exact"/>
        <w:rPr>
          <w:rFonts w:ascii="Arial" w:cs="Arial" w:eastAsia="Arial" w:hAnsi="Arial"/>
          <w:sz w:val="17"/>
          <w:szCs w:val="17"/>
          <w:color w:val="auto"/>
        </w:rPr>
      </w:pPr>
    </w:p>
    <w:p>
      <w:pPr>
        <w:ind w:left="960" w:right="480" w:hanging="644"/>
        <w:spacing w:after="0" w:line="250"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Paymentech will review and evaluate information related to the TP3’s return history at JPMC, including rates of return for ACH debit transactions and check deposits per month</w:t>
      </w:r>
    </w:p>
    <w:p>
      <w:pPr>
        <w:ind w:left="960" w:hanging="64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Paymentech will obtain information on the TP3’s customers’ sales channels (e.g., Internet or store locations).</w:t>
      </w:r>
    </w:p>
    <w:p>
      <w:pPr>
        <w:spacing w:after="0" w:line="9" w:lineRule="exact"/>
        <w:rPr>
          <w:rFonts w:ascii="Arial" w:cs="Arial" w:eastAsia="Arial" w:hAnsi="Arial"/>
          <w:sz w:val="18"/>
          <w:szCs w:val="18"/>
          <w:color w:val="auto"/>
        </w:rPr>
      </w:pPr>
    </w:p>
    <w:p>
      <w:pPr>
        <w:ind w:left="960" w:right="220" w:hanging="644"/>
        <w:spacing w:after="0" w:line="250"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Paymentech will determine the swiping versus keying volume for credit card transactions and charge-back activity if JPMC processes the card activity.</w:t>
      </w:r>
    </w:p>
    <w:p>
      <w:pPr>
        <w:ind w:left="960" w:hanging="64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TP3s who offer services via mobile/smart phone/tablet POS, the following must also be obtained and evaluated:</w:t>
      </w:r>
    </w:p>
    <w:p>
      <w:pPr>
        <w:spacing w:after="0" w:line="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s.1  Paymentech will review of the TP3's device security and encryption capabilities</w:t>
      </w:r>
    </w:p>
    <w:p>
      <w:pPr>
        <w:spacing w:after="0" w:line="9" w:lineRule="exact"/>
        <w:rPr>
          <w:rFonts w:ascii="Arial" w:cs="Arial" w:eastAsia="Arial" w:hAnsi="Arial"/>
          <w:sz w:val="18"/>
          <w:szCs w:val="18"/>
          <w:color w:val="auto"/>
        </w:rPr>
      </w:pPr>
    </w:p>
    <w:p>
      <w:pPr>
        <w:ind w:left="1280" w:right="120" w:hanging="324"/>
        <w:spacing w:after="0" w:line="261" w:lineRule="auto"/>
        <w:rPr>
          <w:rFonts w:ascii="Arial" w:cs="Arial" w:eastAsia="Arial" w:hAnsi="Arial"/>
          <w:sz w:val="18"/>
          <w:szCs w:val="18"/>
          <w:color w:val="auto"/>
        </w:rPr>
      </w:pPr>
      <w:r>
        <w:rPr>
          <w:rFonts w:ascii="Arial" w:cs="Arial" w:eastAsia="Arial" w:hAnsi="Arial"/>
          <w:sz w:val="18"/>
          <w:szCs w:val="18"/>
          <w:color w:val="auto"/>
        </w:rPr>
        <w:t>s.2 Paymentech will review of the TP3’s ability to validate location, IP address and/or Political Time Zone device functionality to identify transaction origination</w:t>
      </w:r>
    </w:p>
    <w:p>
      <w:pPr>
        <w:spacing w:after="0" w:line="184" w:lineRule="exact"/>
        <w:rPr>
          <w:sz w:val="20"/>
          <w:szCs w:val="20"/>
          <w:color w:val="auto"/>
        </w:rPr>
      </w:pPr>
    </w:p>
    <w:p>
      <w:pPr>
        <w:jc w:val="both"/>
        <w:ind w:left="320" w:hanging="323"/>
        <w:spacing w:after="0" w:line="264" w:lineRule="auto"/>
        <w:rPr>
          <w:sz w:val="20"/>
          <w:szCs w:val="20"/>
          <w:color w:val="auto"/>
        </w:rPr>
      </w:pPr>
      <w:r>
        <w:rPr>
          <w:rFonts w:ascii="Arial" w:cs="Arial" w:eastAsia="Arial" w:hAnsi="Arial"/>
          <w:sz w:val="18"/>
          <w:szCs w:val="18"/>
          <w:color w:val="auto"/>
        </w:rPr>
        <w:t>8.2 In the event the TP3 is also an Money Service Business (“MSB”), or becomes an MSB at a later date, then TP3 (also referred to as “MSB” in this Section 8.2) also agrees to provide information and documentation to Paymentech sufficient, as determined by Paymentech, to allow Paymentech to make the following determinations and evaluations:</w:t>
      </w:r>
    </w:p>
    <w:p>
      <w:pPr>
        <w:spacing w:after="0" w:line="181" w:lineRule="exact"/>
        <w:rPr>
          <w:sz w:val="20"/>
          <w:szCs w:val="20"/>
          <w:color w:val="auto"/>
        </w:rPr>
      </w:pPr>
    </w:p>
    <w:p>
      <w:pPr>
        <w:ind w:left="960" w:right="120" w:hanging="64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review and assess the MSB’s operations, its size, dollar volumes, types of services, type/nature of customers, and internal control procedures</w:t>
      </w:r>
    </w:p>
    <w:p>
      <w:pPr>
        <w:spacing w:after="0" w:line="170" w:lineRule="exact"/>
        <w:rPr>
          <w:rFonts w:ascii="Arial" w:cs="Arial" w:eastAsia="Arial" w:hAnsi="Arial"/>
          <w:sz w:val="18"/>
          <w:szCs w:val="18"/>
          <w:color w:val="auto"/>
        </w:rPr>
      </w:pPr>
    </w:p>
    <w:p>
      <w:pPr>
        <w:ind w:left="960" w:hanging="64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evidence that the MSB is registered in the jurisdiction and in compliance with any licensing requirements</w:t>
      </w:r>
    </w:p>
    <w:p>
      <w:pPr>
        <w:spacing w:after="0" w:line="225" w:lineRule="exact"/>
        <w:rPr>
          <w:rFonts w:ascii="Arial" w:cs="Arial" w:eastAsia="Arial" w:hAnsi="Arial"/>
          <w:sz w:val="18"/>
          <w:szCs w:val="18"/>
          <w:color w:val="auto"/>
        </w:rPr>
      </w:pPr>
    </w:p>
    <w:p>
      <w:pPr>
        <w:ind w:left="960" w:hanging="64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review the MSB’s agent oversight procedures and AML training materials used with employees and agents</w:t>
      </w:r>
    </w:p>
    <w:p>
      <w:pPr>
        <w:spacing w:after="0" w:line="225" w:lineRule="exact"/>
        <w:rPr>
          <w:rFonts w:ascii="Arial" w:cs="Arial" w:eastAsia="Arial" w:hAnsi="Arial"/>
          <w:sz w:val="18"/>
          <w:szCs w:val="18"/>
          <w:color w:val="auto"/>
        </w:rPr>
      </w:pPr>
    </w:p>
    <w:p>
      <w:pPr>
        <w:ind w:left="960" w:right="120" w:hanging="644"/>
        <w:spacing w:after="0" w:line="259"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obtain and document whether the MSB is acting as a principal or as an agent for another principal MSB. If acting as principal, obtaining a list of agents and their locations when the agents are receiving services directly or indirectly through the principal’s JPMC account. If acting as agent, obtaining the principal’s name and screening it against the OFAC and other countries’ sanctions lists (as applicable), the JPMC Internal Name Screening Lists, and negative media</w:t>
      </w:r>
    </w:p>
    <w:p>
      <w:pPr>
        <w:spacing w:after="0" w:line="186" w:lineRule="exact"/>
        <w:rPr>
          <w:rFonts w:ascii="Arial" w:cs="Arial" w:eastAsia="Arial" w:hAnsi="Arial"/>
          <w:sz w:val="18"/>
          <w:szCs w:val="18"/>
          <w:color w:val="auto"/>
        </w:rPr>
      </w:pPr>
    </w:p>
    <w:p>
      <w:pPr>
        <w:ind w:left="960" w:hanging="64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obtain and documenting sufficient information to form a reasonable understanding of the MSB’s agent types</w:t>
      </w:r>
    </w:p>
    <w:p>
      <w:pPr>
        <w:spacing w:after="0" w:line="225" w:lineRule="exact"/>
        <w:rPr>
          <w:rFonts w:ascii="Arial" w:cs="Arial" w:eastAsia="Arial" w:hAnsi="Arial"/>
          <w:sz w:val="18"/>
          <w:szCs w:val="18"/>
          <w:color w:val="auto"/>
        </w:rPr>
      </w:pPr>
    </w:p>
    <w:p>
      <w:pPr>
        <w:ind w:left="960" w:hanging="64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determine and evaluate the MSB’s ownership</w:t>
      </w:r>
    </w:p>
    <w:p>
      <w:pPr>
        <w:spacing w:after="0" w:line="225" w:lineRule="exact"/>
        <w:rPr>
          <w:rFonts w:ascii="Arial" w:cs="Arial" w:eastAsia="Arial" w:hAnsi="Arial"/>
          <w:sz w:val="18"/>
          <w:szCs w:val="18"/>
          <w:color w:val="auto"/>
        </w:rPr>
      </w:pPr>
    </w:p>
    <w:p>
      <w:pPr>
        <w:ind w:left="960" w:right="40" w:hanging="64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document information known or reasonably available publicly regarding the MSB customer’s reputation and AML record, particularly related to any recent fines or penalties issued by a government agency.</w:t>
      </w:r>
    </w:p>
    <w:p>
      <w:pPr>
        <w:spacing w:after="0" w:line="170" w:lineRule="exact"/>
        <w:rPr>
          <w:rFonts w:ascii="Arial" w:cs="Arial" w:eastAsia="Arial" w:hAnsi="Arial"/>
          <w:sz w:val="18"/>
          <w:szCs w:val="18"/>
          <w:color w:val="auto"/>
        </w:rPr>
      </w:pPr>
    </w:p>
    <w:p>
      <w:pPr>
        <w:ind w:left="960" w:right="600" w:hanging="644"/>
        <w:spacing w:after="0" w:line="308"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Paymentech will validate the name and address of the person residing in the US and authorized to be agent to accept service of legal process; applicable if the MSB is located outside the US but is doing business wholly or substantially within the US</w:t>
      </w:r>
    </w:p>
    <w:p>
      <w:pPr>
        <w:spacing w:after="0" w:line="146" w:lineRule="exact"/>
        <w:rPr>
          <w:rFonts w:ascii="Arial" w:cs="Arial" w:eastAsia="Arial" w:hAnsi="Arial"/>
          <w:sz w:val="17"/>
          <w:szCs w:val="17"/>
          <w:color w:val="auto"/>
        </w:rPr>
      </w:pPr>
    </w:p>
    <w:p>
      <w:pPr>
        <w:ind w:left="960" w:right="320" w:hanging="64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determine and understand the nature and duration of JPMC’s relationship with the MSB and any of its subsidiaries and affiliates</w:t>
      </w:r>
    </w:p>
    <w:p>
      <w:pPr>
        <w:spacing w:after="0" w:line="170" w:lineRule="exact"/>
        <w:rPr>
          <w:rFonts w:ascii="Arial" w:cs="Arial" w:eastAsia="Arial" w:hAnsi="Arial"/>
          <w:sz w:val="18"/>
          <w:szCs w:val="18"/>
          <w:color w:val="auto"/>
        </w:rPr>
      </w:pPr>
    </w:p>
    <w:p>
      <w:pPr>
        <w:ind w:left="960" w:right="140" w:hanging="64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determine the nature of MSB’s business, anticipated activity, types of products and services offered and the locations and markets served by the MSB.</w:t>
      </w:r>
    </w:p>
    <w:p>
      <w:pPr>
        <w:spacing w:after="0" w:line="170" w:lineRule="exact"/>
        <w:rPr>
          <w:rFonts w:ascii="Arial" w:cs="Arial" w:eastAsia="Arial" w:hAnsi="Arial"/>
          <w:sz w:val="18"/>
          <w:szCs w:val="18"/>
          <w:color w:val="auto"/>
        </w:rPr>
      </w:pPr>
    </w:p>
    <w:p>
      <w:pPr>
        <w:ind w:left="960" w:right="420" w:hanging="644"/>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Paymentech will review the MSB’s AML compliance program by obtaining a completed AML questionnaire form and considering the extent to which the program is reasonably designed to detect and prevent money laundering</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Page 21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5" w:right="239" w:bottom="1440" w:gutter="0" w:footer="0" w:header="0"/>
        </w:sectPr>
      </w:pPr>
    </w:p>
    <w:bookmarkStart w:id="119" w:name="page120"/>
    <w:bookmarkEnd w:id="119"/>
    <w:p>
      <w:pPr>
        <w:ind w:left="644" w:hanging="644"/>
        <w:spacing w:after="0" w:line="286" w:lineRule="auto"/>
        <w:tabs>
          <w:tab w:leader="none" w:pos="644"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 foreign MSB (defined as an MSB that is located outside of the United States), then Paymentech will evaluate the AML environment and supervisory regime of the jurisdiction that issued the charter or license, and to the extent that information regarding such jurisdiction is reasonably available, of the jurisdiction in which any company which is an owner is incorporated or chartered.</w:t>
      </w:r>
    </w:p>
    <w:p>
      <w:pPr>
        <w:spacing w:after="0" w:line="382"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22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4"/>
          </w:cols>
          <w:pgMar w:left="896" w:top="665"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23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Prohibited Business Types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Merchants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merchant types are considered Prohibited in part due to image concerns, Association prohibition, unlawful activity and extreme high risk which increases potential liability above and beyond that which is expected in the normal course of business. These types of products and services may also have a history of creating a high level of fraud and chargeback activity. Applications from these merchant types will not be considered and should not be solicited.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Merchants include but are not limited to:</w:t>
      </w:r>
    </w:p>
    <w:p>
      <w:pPr>
        <w:spacing w:after="0" w:line="27" w:lineRule="exact"/>
        <w:rPr>
          <w:sz w:val="20"/>
          <w:szCs w:val="20"/>
          <w:color w:val="auto"/>
        </w:rPr>
      </w:pPr>
    </w:p>
    <w:p>
      <w:pPr>
        <w:ind w:left="1300" w:hanging="320"/>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u w:val="single" w:color="auto"/>
          <w:color w:val="auto"/>
        </w:rPr>
        <w:t>Exhibit B-3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ESCALATION QUICK REFERENCE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263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263775"/>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SUSPICIOUS ACTIVITY/TRANSACTIONS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Fraudulent merchant applications, sales, credits, or other transactions;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Excessive fraud related chargebacks;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Identity theft;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Merchant victimized from fraud scam and activity exceeds ***;</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linked to other known fraudulent activity or fraud related accounts;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Merchant attempting to refund all transactions;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Merchant is victim of unauthorized access into their terminal, and activity exceeds $25,000;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Merchant is a victim of employee theft via refunds exceeding *** if employee is identified, *** if not identified;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Merchant Collusion exceeding ***;</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Any money laundering activity regardless of termination; and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Unauthorized fraud transactions are confirmed directly from Cardholders</w:t>
      </w:r>
    </w:p>
    <w:p>
      <w:pPr>
        <w:spacing w:after="0" w:line="207" w:lineRule="exact"/>
        <w:rPr>
          <w:sz w:val="20"/>
          <w:szCs w:val="20"/>
          <w:color w:val="auto"/>
        </w:rPr>
      </w:pPr>
    </w:p>
    <w:p>
      <w:pPr>
        <w:ind w:left="140"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This not an all inclusive list. Its purpose is to provide some thoughts and examples of activity that would warrant an escalation. Each case stands</w:t>
      </w:r>
      <w:r>
        <w:rPr>
          <w:rFonts w:ascii="Arial" w:cs="Arial" w:eastAsia="Arial" w:hAnsi="Arial"/>
          <w:sz w:val="18"/>
          <w:szCs w:val="18"/>
          <w:b w:val="1"/>
          <w:bCs w:val="1"/>
          <w:color w:val="auto"/>
        </w:rPr>
        <w:t xml:space="preserve"> </w:t>
      </w:r>
      <w:r>
        <w:rPr>
          <w:rFonts w:ascii="Arial" w:cs="Arial" w:eastAsia="Arial" w:hAnsi="Arial"/>
          <w:sz w:val="18"/>
          <w:szCs w:val="18"/>
          <w:color w:val="auto"/>
        </w:rPr>
        <w:t>on its own and may have a unique set of circumstances that may not be listed above.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2040" w:type="dxa"/>
            <w:vAlign w:val="bottom"/>
            <w:tcBorders>
              <w:top w:val="single" w:sz="8" w:color="auto"/>
              <w:bottom w:val="single" w:sz="8" w:color="auto"/>
              <w:right w:val="single" w:sz="8" w:color="B8CCE4"/>
            </w:tcBorders>
            <w:shd w:val="clear" w:color="auto" w:fill="B8CCE4"/>
          </w:tcPr>
          <w:p>
            <w:pPr>
              <w:spacing w:after="0"/>
              <w:rPr>
                <w:sz w:val="21"/>
                <w:szCs w:val="21"/>
                <w:color w:val="auto"/>
              </w:rPr>
            </w:pPr>
          </w:p>
        </w:tc>
        <w:tc>
          <w:tcPr>
            <w:tcW w:w="1380" w:type="dxa"/>
            <w:vAlign w:val="bottom"/>
            <w:tcBorders>
              <w:top w:val="single" w:sz="8" w:color="auto"/>
              <w:bottom w:val="single" w:sz="8" w:color="auto"/>
              <w:right w:val="single" w:sz="8" w:color="B8CCE4"/>
            </w:tcBorders>
            <w:shd w:val="clear" w:color="auto" w:fill="B8CCE4"/>
          </w:tcPr>
          <w:p>
            <w:pPr>
              <w:spacing w:after="0"/>
              <w:rPr>
                <w:sz w:val="21"/>
                <w:szCs w:val="21"/>
                <w:color w:val="auto"/>
              </w:rPr>
            </w:pPr>
          </w:p>
        </w:tc>
        <w:tc>
          <w:tcPr>
            <w:tcW w:w="7960" w:type="dxa"/>
            <w:vAlign w:val="bottom"/>
            <w:tcBorders>
              <w:top w:val="single" w:sz="8" w:color="auto"/>
              <w:bottom w:val="single" w:sz="8" w:color="auto"/>
              <w:right w:val="single" w:sz="8" w:color="auto"/>
            </w:tcBorders>
            <w:gridSpan w:val="2"/>
            <w:shd w:val="clear" w:color="auto" w:fill="B8CCE4"/>
          </w:tcPr>
          <w:p>
            <w:pPr>
              <w:ind w:left="1020"/>
              <w:spacing w:after="0"/>
              <w:rPr>
                <w:sz w:val="20"/>
                <w:szCs w:val="20"/>
                <w:color w:val="auto"/>
              </w:rPr>
            </w:pPr>
            <w:r>
              <w:rPr>
                <w:rFonts w:ascii="Arial" w:cs="Arial" w:eastAsia="Arial" w:hAnsi="Arial"/>
                <w:sz w:val="18"/>
                <w:szCs w:val="18"/>
                <w:b w:val="1"/>
                <w:bCs w:val="1"/>
                <w:color w:val="auto"/>
              </w:rPr>
              <w:t>ESCALATION EVENT TYPES</w:t>
            </w: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shd w:val="clear" w:color="auto" w:fill="DBE5F1"/>
          </w:tcPr>
          <w:p>
            <w:pPr>
              <w:ind w:left="580"/>
              <w:spacing w:after="0" w:line="198" w:lineRule="exact"/>
              <w:rPr>
                <w:sz w:val="20"/>
                <w:szCs w:val="20"/>
                <w:color w:val="auto"/>
              </w:rPr>
            </w:pPr>
            <w:r>
              <w:rPr>
                <w:rFonts w:ascii="Arial" w:cs="Arial" w:eastAsia="Arial" w:hAnsi="Arial"/>
                <w:sz w:val="18"/>
                <w:szCs w:val="18"/>
                <w:b w:val="1"/>
                <w:bCs w:val="1"/>
                <w:color w:val="auto"/>
              </w:rPr>
              <w:t>Event Type</w:t>
            </w:r>
          </w:p>
        </w:tc>
        <w:tc>
          <w:tcPr>
            <w:tcW w:w="1380" w:type="dxa"/>
            <w:vAlign w:val="bottom"/>
            <w:tcBorders>
              <w:right w:val="single" w:sz="8" w:color="auto"/>
            </w:tcBorders>
            <w:shd w:val="clear" w:color="auto" w:fill="DBE5F1"/>
          </w:tcPr>
          <w:p>
            <w:pPr>
              <w:ind w:left="400"/>
              <w:spacing w:after="0" w:line="198" w:lineRule="exact"/>
              <w:rPr>
                <w:sz w:val="20"/>
                <w:szCs w:val="20"/>
                <w:color w:val="auto"/>
              </w:rPr>
            </w:pPr>
            <w:r>
              <w:rPr>
                <w:rFonts w:ascii="Arial" w:cs="Arial" w:eastAsia="Arial" w:hAnsi="Arial"/>
                <w:sz w:val="18"/>
                <w:szCs w:val="18"/>
                <w:b w:val="1"/>
                <w:bCs w:val="1"/>
                <w:color w:val="auto"/>
              </w:rPr>
              <w:t>Dollar</w:t>
            </w:r>
          </w:p>
        </w:tc>
        <w:tc>
          <w:tcPr>
            <w:tcW w:w="1700" w:type="dxa"/>
            <w:vAlign w:val="bottom"/>
            <w:shd w:val="clear" w:color="auto" w:fill="DBE5F1"/>
          </w:tcPr>
          <w:p>
            <w:pPr>
              <w:spacing w:after="0"/>
              <w:rPr>
                <w:sz w:val="17"/>
                <w:szCs w:val="17"/>
                <w:color w:val="auto"/>
              </w:rPr>
            </w:pPr>
          </w:p>
        </w:tc>
        <w:tc>
          <w:tcPr>
            <w:tcW w:w="6260" w:type="dxa"/>
            <w:vAlign w:val="bottom"/>
            <w:tcBorders>
              <w:right w:val="single" w:sz="8" w:color="auto"/>
            </w:tcBorders>
            <w:shd w:val="clear" w:color="auto" w:fill="DBE5F1"/>
          </w:tcPr>
          <w:p>
            <w:pPr>
              <w:ind w:left="1840"/>
              <w:spacing w:after="0" w:line="198" w:lineRule="exact"/>
              <w:rPr>
                <w:sz w:val="20"/>
                <w:szCs w:val="20"/>
                <w:color w:val="auto"/>
              </w:rPr>
            </w:pPr>
            <w:r>
              <w:rPr>
                <w:rFonts w:ascii="Arial" w:cs="Arial" w:eastAsia="Arial" w:hAnsi="Arial"/>
                <w:sz w:val="18"/>
                <w:szCs w:val="18"/>
                <w:b w:val="1"/>
                <w:bCs w:val="1"/>
                <w:color w:val="auto"/>
              </w:rPr>
              <w:t>Timeframe</w:t>
            </w:r>
          </w:p>
        </w:tc>
        <w:tc>
          <w:tcPr>
            <w:tcW w:w="0" w:type="dxa"/>
            <w:vAlign w:val="bottom"/>
          </w:tcPr>
          <w:p>
            <w:pPr>
              <w:spacing w:after="0"/>
              <w:rPr>
                <w:sz w:val="1"/>
                <w:szCs w:val="1"/>
                <w:color w:val="auto"/>
              </w:rPr>
            </w:pP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40" w:type="dxa"/>
            <w:vAlign w:val="bottom"/>
            <w:tcBorders>
              <w:bottom w:val="single" w:sz="8" w:color="auto"/>
              <w:right w:val="single" w:sz="8" w:color="auto"/>
            </w:tcBorders>
            <w:shd w:val="clear" w:color="auto" w:fill="DBE5F1"/>
          </w:tcPr>
          <w:p>
            <w:pPr>
              <w:spacing w:after="0"/>
              <w:rPr>
                <w:sz w:val="20"/>
                <w:szCs w:val="20"/>
                <w:color w:val="auto"/>
              </w:rPr>
            </w:pPr>
          </w:p>
        </w:tc>
        <w:tc>
          <w:tcPr>
            <w:tcW w:w="1380" w:type="dxa"/>
            <w:vAlign w:val="bottom"/>
            <w:tcBorders>
              <w:bottom w:val="single" w:sz="8" w:color="auto"/>
              <w:right w:val="single" w:sz="8" w:color="auto"/>
            </w:tcBorders>
            <w:shd w:val="clear" w:color="auto" w:fill="DBE5F1"/>
          </w:tcPr>
          <w:p>
            <w:pPr>
              <w:ind w:left="280"/>
              <w:spacing w:after="0"/>
              <w:rPr>
                <w:sz w:val="20"/>
                <w:szCs w:val="20"/>
                <w:color w:val="auto"/>
              </w:rPr>
            </w:pPr>
            <w:r>
              <w:rPr>
                <w:rFonts w:ascii="Arial" w:cs="Arial" w:eastAsia="Arial" w:hAnsi="Arial"/>
                <w:sz w:val="18"/>
                <w:szCs w:val="18"/>
                <w:b w:val="1"/>
                <w:bCs w:val="1"/>
                <w:color w:val="auto"/>
              </w:rPr>
              <w:t>Threshold</w:t>
            </w:r>
          </w:p>
        </w:tc>
        <w:tc>
          <w:tcPr>
            <w:tcW w:w="1700" w:type="dxa"/>
            <w:vAlign w:val="bottom"/>
            <w:tcBorders>
              <w:bottom w:val="single" w:sz="8" w:color="auto"/>
            </w:tcBorders>
            <w:shd w:val="clear" w:color="auto" w:fill="DBE5F1"/>
          </w:tcPr>
          <w:p>
            <w:pPr>
              <w:spacing w:after="0"/>
              <w:rPr>
                <w:sz w:val="20"/>
                <w:szCs w:val="20"/>
                <w:color w:val="auto"/>
              </w:rPr>
            </w:pPr>
          </w:p>
        </w:tc>
        <w:tc>
          <w:tcPr>
            <w:tcW w:w="6260" w:type="dxa"/>
            <w:vAlign w:val="bottom"/>
            <w:tcBorders>
              <w:bottom w:val="single" w:sz="8" w:color="auto"/>
              <w:right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Internal/Insider fraud</w:t>
            </w:r>
          </w:p>
        </w:tc>
        <w:tc>
          <w:tcPr>
            <w:tcW w:w="1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 monetary</w:t>
            </w:r>
          </w:p>
        </w:tc>
        <w:tc>
          <w:tcPr>
            <w:tcW w:w="79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Immediately escalate TBD</w:t>
            </w:r>
          </w:p>
        </w:tc>
        <w:tc>
          <w:tcPr>
            <w:tcW w:w="0" w:type="dxa"/>
            <w:vAlign w:val="bottom"/>
          </w:tcPr>
          <w:p>
            <w:pPr>
              <w:spacing w:after="0"/>
              <w:rPr>
                <w:sz w:val="1"/>
                <w:szCs w:val="1"/>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Money Laundering</w:t>
            </w:r>
          </w:p>
        </w:tc>
        <w:tc>
          <w:tcPr>
            <w:tcW w:w="1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 monetary</w:t>
            </w:r>
          </w:p>
        </w:tc>
        <w:tc>
          <w:tcPr>
            <w:tcW w:w="79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Immediately escalate TBD</w:t>
            </w:r>
          </w:p>
        </w:tc>
        <w:tc>
          <w:tcPr>
            <w:tcW w:w="0" w:type="dxa"/>
            <w:vAlign w:val="bottom"/>
          </w:tcPr>
          <w:p>
            <w:pPr>
              <w:spacing w:after="0"/>
              <w:rPr>
                <w:sz w:val="1"/>
                <w:szCs w:val="1"/>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Suspect Known</w:t>
            </w: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 more</w:t>
            </w:r>
          </w:p>
        </w:tc>
        <w:tc>
          <w:tcPr>
            <w:tcW w:w="79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CPS Requires</w:t>
            </w:r>
            <w:r>
              <w:rPr>
                <w:rFonts w:ascii="Arial" w:cs="Arial" w:eastAsia="Arial" w:hAnsi="Arial"/>
                <w:sz w:val="18"/>
                <w:szCs w:val="18"/>
                <w:color w:val="auto"/>
              </w:rPr>
              <w:t>: No later than</w:t>
            </w:r>
            <w:r>
              <w:rPr>
                <w:rFonts w:ascii="Arial" w:cs="Arial" w:eastAsia="Arial" w:hAnsi="Arial"/>
                <w:sz w:val="18"/>
                <w:szCs w:val="18"/>
                <w:b w:val="1"/>
                <w:bCs w:val="1"/>
                <w:color w:val="auto"/>
              </w:rPr>
              <w:t xml:space="preserve"> 5 </w:t>
            </w:r>
            <w:r>
              <w:rPr>
                <w:rFonts w:ascii="Arial" w:cs="Arial" w:eastAsia="Arial" w:hAnsi="Arial"/>
                <w:sz w:val="18"/>
                <w:szCs w:val="18"/>
                <w:color w:val="auto"/>
              </w:rPr>
              <w:t>business days after event identification.</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796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Suspect</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or more</w:t>
            </w:r>
          </w:p>
        </w:tc>
        <w:tc>
          <w:tcPr>
            <w:tcW w:w="79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CPS Requires</w:t>
            </w:r>
            <w:r>
              <w:rPr>
                <w:rFonts w:ascii="Arial" w:cs="Arial" w:eastAsia="Arial" w:hAnsi="Arial"/>
                <w:sz w:val="18"/>
                <w:szCs w:val="18"/>
                <w:color w:val="auto"/>
              </w:rPr>
              <w:t>: No later than</w:t>
            </w:r>
            <w:r>
              <w:rPr>
                <w:rFonts w:ascii="Arial" w:cs="Arial" w:eastAsia="Arial" w:hAnsi="Arial"/>
                <w:sz w:val="18"/>
                <w:szCs w:val="18"/>
                <w:b w:val="1"/>
                <w:bCs w:val="1"/>
                <w:color w:val="auto"/>
              </w:rPr>
              <w:t xml:space="preserve"> 5 </w:t>
            </w:r>
            <w:r>
              <w:rPr>
                <w:rFonts w:ascii="Arial" w:cs="Arial" w:eastAsia="Arial" w:hAnsi="Arial"/>
                <w:sz w:val="18"/>
                <w:szCs w:val="18"/>
                <w:color w:val="auto"/>
              </w:rPr>
              <w:t>business days after event identification.</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Supplemental</w:t>
            </w:r>
          </w:p>
        </w:tc>
        <w:tc>
          <w:tcPr>
            <w:tcW w:w="1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 monetary</w:t>
            </w:r>
          </w:p>
        </w:tc>
        <w:tc>
          <w:tcPr>
            <w:tcW w:w="79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Immediately upon detection.</w:t>
            </w:r>
          </w:p>
        </w:tc>
        <w:tc>
          <w:tcPr>
            <w:tcW w:w="0" w:type="dxa"/>
            <w:vAlign w:val="bottom"/>
          </w:tcPr>
          <w:p>
            <w:pPr>
              <w:spacing w:after="0"/>
              <w:rPr>
                <w:sz w:val="1"/>
                <w:szCs w:val="1"/>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Correction</w:t>
            </w:r>
          </w:p>
        </w:tc>
        <w:tc>
          <w:tcPr>
            <w:tcW w:w="1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 monetary</w:t>
            </w:r>
          </w:p>
        </w:tc>
        <w:tc>
          <w:tcPr>
            <w:tcW w:w="79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Immediately upon detection of error.</w:t>
            </w:r>
          </w:p>
        </w:tc>
        <w:tc>
          <w:tcPr>
            <w:tcW w:w="0" w:type="dxa"/>
            <w:vAlign w:val="bottom"/>
          </w:tcPr>
          <w:p>
            <w:pPr>
              <w:spacing w:after="0"/>
              <w:rPr>
                <w:sz w:val="1"/>
                <w:szCs w:val="1"/>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9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B8CCE4"/>
            </w:tcBorders>
          </w:tcPr>
          <w:p>
            <w:pPr>
              <w:spacing w:after="0"/>
              <w:rPr>
                <w:sz w:val="19"/>
                <w:szCs w:val="19"/>
                <w:color w:val="auto"/>
              </w:rPr>
            </w:pPr>
          </w:p>
        </w:tc>
        <w:tc>
          <w:tcPr>
            <w:tcW w:w="2040" w:type="dxa"/>
            <w:vAlign w:val="bottom"/>
            <w:tcBorders>
              <w:bottom w:val="single" w:sz="8" w:color="auto"/>
              <w:right w:val="single" w:sz="8" w:color="B8CCE4"/>
            </w:tcBorders>
            <w:shd w:val="clear" w:color="auto" w:fill="B8CCE4"/>
          </w:tcPr>
          <w:p>
            <w:pPr>
              <w:spacing w:after="0"/>
              <w:rPr>
                <w:sz w:val="19"/>
                <w:szCs w:val="19"/>
                <w:color w:val="auto"/>
              </w:rPr>
            </w:pPr>
          </w:p>
        </w:tc>
        <w:tc>
          <w:tcPr>
            <w:tcW w:w="1380" w:type="dxa"/>
            <w:vAlign w:val="bottom"/>
            <w:tcBorders>
              <w:bottom w:val="single" w:sz="8" w:color="auto"/>
              <w:right w:val="single" w:sz="8" w:color="B8CCE4"/>
            </w:tcBorders>
            <w:shd w:val="clear" w:color="auto" w:fill="B8CCE4"/>
          </w:tcPr>
          <w:p>
            <w:pPr>
              <w:spacing w:after="0"/>
              <w:rPr>
                <w:sz w:val="19"/>
                <w:szCs w:val="19"/>
                <w:color w:val="auto"/>
              </w:rPr>
            </w:pPr>
          </w:p>
        </w:tc>
        <w:tc>
          <w:tcPr>
            <w:tcW w:w="7960" w:type="dxa"/>
            <w:vAlign w:val="bottom"/>
            <w:tcBorders>
              <w:bottom w:val="single" w:sz="8" w:color="auto"/>
              <w:right w:val="single" w:sz="8" w:color="B8CCE4"/>
            </w:tcBorders>
            <w:gridSpan w:val="2"/>
            <w:shd w:val="clear" w:color="auto" w:fill="B8CCE4"/>
          </w:tcPr>
          <w:p>
            <w:pPr>
              <w:ind w:left="520"/>
              <w:spacing w:after="0"/>
              <w:rPr>
                <w:sz w:val="20"/>
                <w:szCs w:val="20"/>
                <w:color w:val="auto"/>
              </w:rPr>
            </w:pPr>
            <w:r>
              <w:rPr>
                <w:rFonts w:ascii="Arial" w:cs="Arial" w:eastAsia="Arial" w:hAnsi="Arial"/>
                <w:sz w:val="18"/>
                <w:szCs w:val="18"/>
                <w:b w:val="1"/>
                <w:bCs w:val="1"/>
                <w:color w:val="auto"/>
              </w:rPr>
              <w:t>NARRATIVE - IMPORTANT REMINDERS</w:t>
            </w: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right w:val="single" w:sz="8" w:color="DBE5F1"/>
            </w:tcBorders>
          </w:tcPr>
          <w:p>
            <w:pPr>
              <w:spacing w:after="0"/>
              <w:rPr>
                <w:sz w:val="19"/>
                <w:szCs w:val="19"/>
                <w:color w:val="auto"/>
              </w:rPr>
            </w:pPr>
          </w:p>
        </w:tc>
        <w:tc>
          <w:tcPr>
            <w:tcW w:w="2040" w:type="dxa"/>
            <w:vAlign w:val="bottom"/>
            <w:tcBorders>
              <w:bottom w:val="single" w:sz="8" w:color="auto"/>
              <w:right w:val="single" w:sz="8" w:color="DBE5F1"/>
            </w:tcBorders>
            <w:shd w:val="clear" w:color="auto" w:fill="DBE5F1"/>
          </w:tcPr>
          <w:p>
            <w:pPr>
              <w:spacing w:after="0"/>
              <w:rPr>
                <w:sz w:val="19"/>
                <w:szCs w:val="19"/>
                <w:color w:val="auto"/>
              </w:rPr>
            </w:pPr>
          </w:p>
        </w:tc>
        <w:tc>
          <w:tcPr>
            <w:tcW w:w="1380" w:type="dxa"/>
            <w:vAlign w:val="bottom"/>
            <w:tcBorders>
              <w:bottom w:val="single" w:sz="8" w:color="auto"/>
              <w:right w:val="single" w:sz="8" w:color="DBE5F1"/>
            </w:tcBorders>
            <w:shd w:val="clear" w:color="auto" w:fill="DBE5F1"/>
          </w:tcPr>
          <w:p>
            <w:pPr>
              <w:ind w:left="460"/>
              <w:spacing w:after="0"/>
              <w:rPr>
                <w:sz w:val="20"/>
                <w:szCs w:val="20"/>
                <w:color w:val="auto"/>
              </w:rPr>
            </w:pPr>
            <w:r>
              <w:rPr>
                <w:rFonts w:ascii="Arial" w:cs="Arial" w:eastAsia="Arial" w:hAnsi="Arial"/>
                <w:sz w:val="18"/>
                <w:szCs w:val="18"/>
                <w:b w:val="1"/>
                <w:bCs w:val="1"/>
                <w:color w:val="auto"/>
              </w:rPr>
              <w:t>Do</w:t>
            </w:r>
          </w:p>
        </w:tc>
        <w:tc>
          <w:tcPr>
            <w:tcW w:w="1700" w:type="dxa"/>
            <w:vAlign w:val="bottom"/>
            <w:tcBorders>
              <w:bottom w:val="single" w:sz="8" w:color="auto"/>
            </w:tcBorders>
            <w:shd w:val="clear" w:color="auto" w:fill="DBE5F1"/>
          </w:tcPr>
          <w:p>
            <w:pPr>
              <w:spacing w:after="0"/>
              <w:rPr>
                <w:sz w:val="19"/>
                <w:szCs w:val="19"/>
                <w:color w:val="auto"/>
              </w:rPr>
            </w:pPr>
          </w:p>
        </w:tc>
        <w:tc>
          <w:tcPr>
            <w:tcW w:w="6260" w:type="dxa"/>
            <w:vAlign w:val="bottom"/>
            <w:tcBorders>
              <w:bottom w:val="single" w:sz="8" w:color="auto"/>
              <w:right w:val="single" w:sz="8" w:color="DBE5F1"/>
            </w:tcBorders>
            <w:shd w:val="clear" w:color="auto" w:fill="DBE5F1"/>
          </w:tcPr>
          <w:p>
            <w:pPr>
              <w:ind w:left="2960"/>
              <w:spacing w:after="0"/>
              <w:rPr>
                <w:sz w:val="20"/>
                <w:szCs w:val="20"/>
                <w:color w:val="auto"/>
              </w:rPr>
            </w:pPr>
            <w:r>
              <w:rPr>
                <w:rFonts w:ascii="Arial" w:cs="Arial" w:eastAsia="Arial" w:hAnsi="Arial"/>
                <w:sz w:val="18"/>
                <w:szCs w:val="18"/>
                <w:b w:val="1"/>
                <w:bCs w:val="1"/>
                <w:color w:val="auto"/>
              </w:rPr>
              <w:t>Don’t</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12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4"/>
              </w:rPr>
              <w:t>Write the narrative in MS Word and use the Grammar/ Spell check</w:t>
            </w:r>
          </w:p>
        </w:tc>
        <w:tc>
          <w:tcPr>
            <w:tcW w:w="6260" w:type="dxa"/>
            <w:vAlign w:val="bottom"/>
          </w:tcPr>
          <w:p>
            <w:pPr>
              <w:ind w:left="220"/>
              <w:spacing w:after="0" w:line="201" w:lineRule="exact"/>
              <w:rPr>
                <w:sz w:val="20"/>
                <w:szCs w:val="20"/>
                <w:color w:val="auto"/>
              </w:rPr>
            </w:pPr>
            <w:r>
              <w:rPr>
                <w:rFonts w:ascii="Arial" w:cs="Arial" w:eastAsia="Arial" w:hAnsi="Arial"/>
                <w:sz w:val="18"/>
                <w:szCs w:val="18"/>
                <w:b w:val="1"/>
                <w:bCs w:val="1"/>
                <w:color w:val="auto"/>
              </w:rPr>
              <w:t xml:space="preserve">Insert </w:t>
            </w:r>
            <w:r>
              <w:rPr>
                <w:rFonts w:ascii="Arial" w:cs="Arial" w:eastAsia="Arial" w:hAnsi="Arial"/>
                <w:sz w:val="18"/>
                <w:szCs w:val="18"/>
                <w:color w:val="auto"/>
              </w:rPr>
              <w:t>tables, files, or documents in the narrative field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040" w:type="dxa"/>
            <w:vAlign w:val="bottom"/>
          </w:tcPr>
          <w:p>
            <w:pPr>
              <w:ind w:left="100"/>
              <w:spacing w:after="0"/>
              <w:rPr>
                <w:sz w:val="20"/>
                <w:szCs w:val="20"/>
                <w:color w:val="auto"/>
              </w:rPr>
            </w:pPr>
            <w:r>
              <w:rPr>
                <w:rFonts w:ascii="Arial" w:cs="Arial" w:eastAsia="Arial" w:hAnsi="Arial"/>
                <w:sz w:val="18"/>
                <w:szCs w:val="18"/>
                <w:color w:val="auto"/>
              </w:rPr>
              <w:t>feature</w:t>
            </w: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xml:space="preserve">Use </w:t>
            </w:r>
            <w:r>
              <w:rPr>
                <w:rFonts w:ascii="Arial" w:cs="Arial" w:eastAsia="Arial" w:hAnsi="Arial"/>
                <w:sz w:val="18"/>
                <w:szCs w:val="18"/>
                <w:color w:val="auto"/>
              </w:rPr>
              <w:t>non-factual information, personal opinions, and/or bank jargon, e.g.,</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Write the 5 essential elements:</w:t>
            </w:r>
          </w:p>
        </w:tc>
        <w:tc>
          <w:tcPr>
            <w:tcW w:w="170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700" w:type="dxa"/>
            <w:vAlign w:val="bottom"/>
          </w:tcPr>
          <w:p>
            <w:pPr>
              <w:spacing w:after="0"/>
              <w:rPr>
                <w:sz w:val="20"/>
                <w:szCs w:val="20"/>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chargebacks; retrieval requests; and other industry specific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2126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126615"/>
                    </a:xfrm>
                    <a:prstGeom prst="rect">
                      <a:avLst/>
                    </a:prstGeom>
                    <a:noFill/>
                  </pic:spPr>
                </pic:pic>
              </a:graphicData>
            </a:graphic>
          </wp:anchor>
        </w:drawing>
      </w:r>
    </w:p>
    <w:p>
      <w:pPr>
        <w:ind w:left="820" w:hanging="364"/>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Who</w:t>
      </w:r>
      <w:r>
        <w:rPr>
          <w:rFonts w:ascii="Arial" w:cs="Arial" w:eastAsia="Arial" w:hAnsi="Arial"/>
          <w:sz w:val="18"/>
          <w:szCs w:val="18"/>
          <w:b w:val="1"/>
          <w:bCs w:val="1"/>
          <w:color w:val="auto"/>
        </w:rPr>
        <w:t xml:space="preserve"> </w:t>
      </w:r>
      <w:r>
        <w:rPr>
          <w:rFonts w:ascii="Arial" w:cs="Arial" w:eastAsia="Arial" w:hAnsi="Arial"/>
          <w:sz w:val="18"/>
          <w:szCs w:val="18"/>
          <w:color w:val="auto"/>
        </w:rPr>
        <w:t>is conducting the criminal or suspicious activity?</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 xml:space="preserve">Use </w:t>
      </w:r>
      <w:r>
        <w:rPr>
          <w:rFonts w:ascii="Arial" w:cs="Arial" w:eastAsia="Arial" w:hAnsi="Arial"/>
          <w:sz w:val="18"/>
          <w:szCs w:val="18"/>
          <w:color w:val="auto"/>
        </w:rPr>
        <w:t>capitalized letters throughout the entire narrative</w:t>
      </w:r>
    </w:p>
    <w:p>
      <w:pPr>
        <w:spacing w:after="0" w:line="9" w:lineRule="exact"/>
        <w:rPr>
          <w:sz w:val="20"/>
          <w:szCs w:val="20"/>
          <w:color w:val="auto"/>
        </w:rPr>
      </w:pPr>
    </w:p>
    <w:p>
      <w:pPr>
        <w:ind w:left="820" w:hanging="364"/>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What</w:t>
      </w:r>
      <w:r>
        <w:rPr>
          <w:rFonts w:ascii="Arial" w:cs="Arial" w:eastAsia="Arial" w:hAnsi="Arial"/>
          <w:sz w:val="18"/>
          <w:szCs w:val="18"/>
          <w:b w:val="1"/>
          <w:bCs w:val="1"/>
          <w:color w:val="auto"/>
        </w:rPr>
        <w:t xml:space="preserve"> </w:t>
      </w:r>
      <w:r>
        <w:rPr>
          <w:rFonts w:ascii="Arial" w:cs="Arial" w:eastAsia="Arial" w:hAnsi="Arial"/>
          <w:sz w:val="18"/>
          <w:szCs w:val="18"/>
          <w:color w:val="auto"/>
        </w:rPr>
        <w:t>type of suspicious activity occurred?</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When </w:t>
            </w:r>
            <w:r>
              <w:rPr>
                <w:rFonts w:ascii="Arial" w:cs="Arial" w:eastAsia="Arial" w:hAnsi="Arial"/>
                <w:sz w:val="18"/>
                <w:szCs w:val="18"/>
                <w:color w:val="auto"/>
              </w:rPr>
              <w:t>were the significant dates in the case?</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w w:val="91"/>
              </w:rPr>
              <w:t>State</w:t>
            </w:r>
            <w:r>
              <w:rPr>
                <w:rFonts w:ascii="Arial" w:cs="Arial" w:eastAsia="Arial" w:hAnsi="Arial"/>
                <w:sz w:val="18"/>
                <w:szCs w:val="18"/>
                <w:color w:val="auto"/>
                <w:w w:val="91"/>
              </w:rPr>
              <w:t>, “additional information is available upon request” or “please contact me</w:t>
            </w:r>
          </w:p>
        </w:tc>
        <w:tc>
          <w:tcPr>
            <w:tcW w:w="0" w:type="dxa"/>
            <w:vAlign w:val="bottom"/>
          </w:tcPr>
          <w:p>
            <w:pPr>
              <w:spacing w:after="0"/>
              <w:rPr>
                <w:sz w:val="1"/>
                <w:szCs w:val="1"/>
                <w:color w:val="auto"/>
              </w:rPr>
            </w:pPr>
          </w:p>
        </w:tc>
      </w:tr>
      <w:tr>
        <w:trPr>
          <w:trHeight w:val="190"/>
        </w:trPr>
        <w:tc>
          <w:tcPr>
            <w:tcW w:w="360" w:type="dxa"/>
            <w:vAlign w:val="bottom"/>
          </w:tcPr>
          <w:p>
            <w:pPr>
              <w:jc w:val="right"/>
              <w:ind w:right="130"/>
              <w:spacing w:after="0" w:line="190" w:lineRule="exact"/>
              <w:rPr>
                <w:sz w:val="20"/>
                <w:szCs w:val="20"/>
                <w:color w:val="auto"/>
              </w:rPr>
            </w:pPr>
            <w:r>
              <w:rPr>
                <w:rFonts w:ascii="Arial" w:cs="Arial" w:eastAsia="Arial" w:hAnsi="Arial"/>
                <w:sz w:val="18"/>
                <w:szCs w:val="18"/>
                <w:color w:val="auto"/>
                <w:w w:val="79"/>
              </w:rPr>
              <w:t>3.</w:t>
            </w:r>
          </w:p>
        </w:tc>
        <w:tc>
          <w:tcPr>
            <w:tcW w:w="3920" w:type="dxa"/>
            <w:vAlign w:val="bottom"/>
            <w:gridSpan w:val="2"/>
            <w:vMerge w:val="continue"/>
          </w:tcPr>
          <w:p>
            <w:pPr>
              <w:spacing w:after="0"/>
              <w:rPr>
                <w:sz w:val="16"/>
                <w:szCs w:val="16"/>
                <w:color w:val="auto"/>
              </w:rPr>
            </w:pPr>
          </w:p>
        </w:tc>
        <w:tc>
          <w:tcPr>
            <w:tcW w:w="6320" w:type="dxa"/>
            <w:vAlign w:val="bottom"/>
          </w:tcPr>
          <w:p>
            <w:pPr>
              <w:ind w:left="640"/>
              <w:spacing w:after="0" w:line="190" w:lineRule="exact"/>
              <w:rPr>
                <w:sz w:val="20"/>
                <w:szCs w:val="20"/>
                <w:color w:val="auto"/>
              </w:rPr>
            </w:pPr>
            <w:r>
              <w:rPr>
                <w:rFonts w:ascii="Arial" w:cs="Arial" w:eastAsia="Arial" w:hAnsi="Arial"/>
                <w:sz w:val="18"/>
                <w:szCs w:val="18"/>
                <w:color w:val="auto"/>
              </w:rPr>
              <w:t>for further information.”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Where </w:t>
            </w:r>
            <w:r>
              <w:rPr>
                <w:rFonts w:ascii="Arial" w:cs="Arial" w:eastAsia="Arial" w:hAnsi="Arial"/>
                <w:sz w:val="18"/>
                <w:szCs w:val="18"/>
                <w:color w:val="auto"/>
              </w:rPr>
              <w:t>did the suspicious activity take place?</w:t>
            </w:r>
          </w:p>
        </w:tc>
        <w:tc>
          <w:tcPr>
            <w:tcW w:w="6320" w:type="dxa"/>
            <w:vAlign w:val="bottom"/>
          </w:tcPr>
          <w:p>
            <w:pPr>
              <w:ind w:left="640"/>
              <w:spacing w:after="0"/>
              <w:rPr>
                <w:sz w:val="20"/>
                <w:szCs w:val="20"/>
                <w:color w:val="auto"/>
              </w:rPr>
            </w:pPr>
            <w:r>
              <w:rPr>
                <w:rFonts w:ascii="Arial" w:cs="Arial" w:eastAsia="Arial" w:hAnsi="Arial"/>
                <w:sz w:val="18"/>
                <w:szCs w:val="18"/>
                <w:b w:val="1"/>
                <w:bCs w:val="1"/>
                <w:color w:val="auto"/>
              </w:rPr>
              <w:t xml:space="preserve">Write </w:t>
            </w:r>
            <w:r>
              <w:rPr>
                <w:rFonts w:ascii="Arial" w:cs="Arial" w:eastAsia="Arial" w:hAnsi="Arial"/>
                <w:sz w:val="18"/>
                <w:szCs w:val="18"/>
                <w:color w:val="auto"/>
              </w:rPr>
              <w:t>in the first person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60" w:type="dxa"/>
            <w:vAlign w:val="bottom"/>
            <w:tcBorders>
              <w:left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20" w:hanging="364"/>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Why</w:t>
      </w:r>
      <w:r>
        <w:rPr>
          <w:rFonts w:ascii="Arial" w:cs="Arial" w:eastAsia="Arial" w:hAnsi="Arial"/>
          <w:sz w:val="18"/>
          <w:szCs w:val="18"/>
          <w:b w:val="1"/>
          <w:bCs w:val="1"/>
          <w:color w:val="auto"/>
        </w:rPr>
        <w:t xml:space="preserve"> </w:t>
      </w:r>
      <w:r>
        <w:rPr>
          <w:rFonts w:ascii="Arial" w:cs="Arial" w:eastAsia="Arial" w:hAnsi="Arial"/>
          <w:sz w:val="18"/>
          <w:szCs w:val="18"/>
          <w:color w:val="auto"/>
        </w:rPr>
        <w:t>does the institution think the activity is suspicious?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0" w:type="dxa"/>
            <w:vAlign w:val="bottom"/>
            <w:gridSpan w:val="4"/>
          </w:tcPr>
          <w:p>
            <w:pPr>
              <w:ind w:left="580"/>
              <w:spacing w:after="0"/>
              <w:rPr>
                <w:sz w:val="20"/>
                <w:szCs w:val="20"/>
                <w:color w:val="auto"/>
              </w:rPr>
            </w:pPr>
            <w:r>
              <w:rPr>
                <w:rFonts w:ascii="Arial" w:cs="Arial" w:eastAsia="Arial" w:hAnsi="Arial"/>
                <w:sz w:val="18"/>
                <w:szCs w:val="18"/>
                <w:b w:val="1"/>
                <w:bCs w:val="1"/>
                <w:color w:val="auto"/>
              </w:rPr>
              <w:t>Exhibit B-4</w:t>
            </w: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91"/>
        </w:trPr>
        <w:tc>
          <w:tcPr>
            <w:tcW w:w="20" w:type="dxa"/>
            <w:vAlign w:val="bottom"/>
          </w:tcPr>
          <w:p>
            <w:pPr>
              <w:spacing w:after="0"/>
              <w:rPr>
                <w:sz w:val="24"/>
                <w:szCs w:val="24"/>
                <w:color w:val="auto"/>
              </w:rPr>
            </w:pPr>
          </w:p>
        </w:tc>
        <w:tc>
          <w:tcPr>
            <w:tcW w:w="120" w:type="dxa"/>
            <w:vAlign w:val="bottom"/>
            <w:tcBorders>
              <w:bottom w:val="single" w:sz="8" w:color="F0EBDC"/>
            </w:tcBorders>
            <w:shd w:val="clear" w:color="auto" w:fill="F0EBDC"/>
          </w:tcPr>
          <w:p>
            <w:pPr>
              <w:spacing w:after="0"/>
              <w:rPr>
                <w:sz w:val="24"/>
                <w:szCs w:val="24"/>
                <w:color w:val="auto"/>
              </w:rPr>
            </w:pPr>
          </w:p>
        </w:tc>
        <w:tc>
          <w:tcPr>
            <w:tcW w:w="800" w:type="dxa"/>
            <w:vAlign w:val="bottom"/>
            <w:tcBorders>
              <w:bottom w:val="single" w:sz="8" w:color="F0EBDC"/>
            </w:tcBorders>
            <w:shd w:val="clear" w:color="auto" w:fill="F0EBDC"/>
          </w:tcPr>
          <w:p>
            <w:pPr>
              <w:spacing w:after="0"/>
              <w:rPr>
                <w:sz w:val="24"/>
                <w:szCs w:val="24"/>
                <w:color w:val="auto"/>
              </w:rPr>
            </w:pPr>
          </w:p>
        </w:tc>
        <w:tc>
          <w:tcPr>
            <w:tcW w:w="540" w:type="dxa"/>
            <w:vAlign w:val="bottom"/>
            <w:tcBorders>
              <w:bottom w:val="single" w:sz="8" w:color="F0EBDC"/>
            </w:tcBorders>
            <w:shd w:val="clear" w:color="auto" w:fill="F0EBDC"/>
          </w:tcPr>
          <w:p>
            <w:pPr>
              <w:spacing w:after="0"/>
              <w:rPr>
                <w:sz w:val="24"/>
                <w:szCs w:val="24"/>
                <w:color w:val="auto"/>
              </w:rPr>
            </w:pPr>
          </w:p>
        </w:tc>
        <w:tc>
          <w:tcPr>
            <w:tcW w:w="20" w:type="dxa"/>
            <w:vAlign w:val="bottom"/>
            <w:tcBorders>
              <w:bottom w:val="single" w:sz="8" w:color="F0EBDC"/>
            </w:tcBorders>
            <w:shd w:val="clear" w:color="auto" w:fill="F0EBDC"/>
          </w:tcPr>
          <w:p>
            <w:pPr>
              <w:spacing w:after="0"/>
              <w:rPr>
                <w:sz w:val="24"/>
                <w:szCs w:val="24"/>
                <w:color w:val="auto"/>
              </w:rPr>
            </w:pPr>
          </w:p>
        </w:tc>
        <w:tc>
          <w:tcPr>
            <w:tcW w:w="60" w:type="dxa"/>
            <w:vAlign w:val="bottom"/>
            <w:tcBorders>
              <w:bottom w:val="single" w:sz="8" w:color="F0EBDC"/>
            </w:tcBorders>
            <w:shd w:val="clear" w:color="auto" w:fill="F0EBDC"/>
          </w:tcPr>
          <w:p>
            <w:pPr>
              <w:spacing w:after="0"/>
              <w:rPr>
                <w:sz w:val="24"/>
                <w:szCs w:val="24"/>
                <w:color w:val="auto"/>
              </w:rPr>
            </w:pPr>
          </w:p>
        </w:tc>
        <w:tc>
          <w:tcPr>
            <w:tcW w:w="100" w:type="dxa"/>
            <w:vAlign w:val="bottom"/>
            <w:tcBorders>
              <w:bottom w:val="single" w:sz="8" w:color="F0EBDC"/>
            </w:tcBorders>
            <w:shd w:val="clear" w:color="auto" w:fill="F0EBDC"/>
          </w:tcPr>
          <w:p>
            <w:pPr>
              <w:spacing w:after="0"/>
              <w:rPr>
                <w:sz w:val="24"/>
                <w:szCs w:val="24"/>
                <w:color w:val="auto"/>
              </w:rPr>
            </w:pPr>
          </w:p>
        </w:tc>
        <w:tc>
          <w:tcPr>
            <w:tcW w:w="220" w:type="dxa"/>
            <w:vAlign w:val="bottom"/>
            <w:tcBorders>
              <w:bottom w:val="single" w:sz="8" w:color="F0EBDC"/>
            </w:tcBorders>
            <w:shd w:val="clear" w:color="auto" w:fill="F0EBDC"/>
          </w:tcPr>
          <w:p>
            <w:pPr>
              <w:spacing w:after="0"/>
              <w:rPr>
                <w:sz w:val="24"/>
                <w:szCs w:val="24"/>
                <w:color w:val="auto"/>
              </w:rPr>
            </w:pPr>
          </w:p>
        </w:tc>
        <w:tc>
          <w:tcPr>
            <w:tcW w:w="420" w:type="dxa"/>
            <w:vAlign w:val="bottom"/>
            <w:tcBorders>
              <w:bottom w:val="single" w:sz="8" w:color="F0EBDC"/>
            </w:tcBorders>
            <w:shd w:val="clear" w:color="auto" w:fill="F0EBDC"/>
          </w:tcPr>
          <w:p>
            <w:pPr>
              <w:spacing w:after="0"/>
              <w:rPr>
                <w:sz w:val="24"/>
                <w:szCs w:val="24"/>
                <w:color w:val="auto"/>
              </w:rPr>
            </w:pPr>
          </w:p>
        </w:tc>
        <w:tc>
          <w:tcPr>
            <w:tcW w:w="280" w:type="dxa"/>
            <w:vAlign w:val="bottom"/>
            <w:tcBorders>
              <w:bottom w:val="single" w:sz="8" w:color="F0EBDC"/>
            </w:tcBorders>
            <w:shd w:val="clear" w:color="auto" w:fill="F0EBDC"/>
          </w:tcPr>
          <w:p>
            <w:pPr>
              <w:spacing w:after="0"/>
              <w:rPr>
                <w:sz w:val="24"/>
                <w:szCs w:val="24"/>
                <w:color w:val="auto"/>
              </w:rPr>
            </w:pPr>
          </w:p>
        </w:tc>
        <w:tc>
          <w:tcPr>
            <w:tcW w:w="2120" w:type="dxa"/>
            <w:vAlign w:val="bottom"/>
            <w:tcBorders>
              <w:bottom w:val="single" w:sz="8" w:color="F0EBDC"/>
              <w:right w:val="single" w:sz="8" w:color="F0EBDC"/>
            </w:tcBorders>
            <w:shd w:val="clear" w:color="auto" w:fill="F0EBDC"/>
          </w:tcPr>
          <w:p>
            <w:pPr>
              <w:spacing w:after="0"/>
              <w:rPr>
                <w:sz w:val="24"/>
                <w:szCs w:val="24"/>
                <w:color w:val="auto"/>
              </w:rPr>
            </w:pPr>
          </w:p>
        </w:tc>
        <w:tc>
          <w:tcPr>
            <w:tcW w:w="3200" w:type="dxa"/>
            <w:vAlign w:val="bottom"/>
            <w:tcBorders>
              <w:bottom w:val="single" w:sz="8" w:color="F0EBDC"/>
              <w:right w:val="single" w:sz="8" w:color="F0EBDC"/>
            </w:tcBorders>
            <w:gridSpan w:val="4"/>
            <w:shd w:val="clear" w:color="auto" w:fill="F0EBDC"/>
          </w:tcPr>
          <w:p>
            <w:pPr>
              <w:spacing w:after="0"/>
              <w:rPr>
                <w:sz w:val="20"/>
                <w:szCs w:val="20"/>
                <w:color w:val="auto"/>
              </w:rPr>
            </w:pPr>
            <w:r>
              <w:rPr>
                <w:rFonts w:ascii="Arial" w:cs="Arial" w:eastAsia="Arial" w:hAnsi="Arial"/>
                <w:sz w:val="18"/>
                <w:szCs w:val="18"/>
                <w:b w:val="1"/>
                <w:bCs w:val="1"/>
                <w:color w:val="auto"/>
              </w:rPr>
              <w:t>TP3 Risk Escalation Form</w:t>
            </w:r>
          </w:p>
        </w:tc>
        <w:tc>
          <w:tcPr>
            <w:tcW w:w="140" w:type="dxa"/>
            <w:vAlign w:val="bottom"/>
            <w:tcBorders>
              <w:bottom w:val="single" w:sz="8" w:color="F0EBDC"/>
            </w:tcBorders>
            <w:shd w:val="clear" w:color="auto" w:fill="F0EBDC"/>
          </w:tcPr>
          <w:p>
            <w:pPr>
              <w:spacing w:after="0"/>
              <w:rPr>
                <w:sz w:val="24"/>
                <w:szCs w:val="24"/>
                <w:color w:val="auto"/>
              </w:rPr>
            </w:pPr>
          </w:p>
        </w:tc>
        <w:tc>
          <w:tcPr>
            <w:tcW w:w="3360" w:type="dxa"/>
            <w:vAlign w:val="bottom"/>
            <w:tcBorders>
              <w:bottom w:val="single" w:sz="8" w:color="F0EBDC"/>
            </w:tcBorders>
            <w:shd w:val="clear" w:color="auto" w:fill="F0EBDC"/>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4680" w:type="dxa"/>
            <w:vAlign w:val="bottom"/>
            <w:tcBorders>
              <w:top w:val="single" w:sz="8" w:color="auto"/>
              <w:right w:val="single" w:sz="8" w:color="BFBFBF"/>
            </w:tcBorders>
            <w:gridSpan w:val="10"/>
            <w:shd w:val="clear" w:color="auto" w:fill="BFBFBF"/>
          </w:tcPr>
          <w:p>
            <w:pPr>
              <w:ind w:left="120"/>
              <w:spacing w:after="0" w:line="176" w:lineRule="exact"/>
              <w:rPr>
                <w:sz w:val="20"/>
                <w:szCs w:val="20"/>
                <w:color w:val="auto"/>
              </w:rPr>
            </w:pPr>
            <w:r>
              <w:rPr>
                <w:rFonts w:ascii="Arial" w:cs="Arial" w:eastAsia="Arial" w:hAnsi="Arial"/>
                <w:sz w:val="18"/>
                <w:szCs w:val="18"/>
                <w:b w:val="1"/>
                <w:bCs w:val="1"/>
                <w:color w:val="auto"/>
              </w:rPr>
              <w:t>User ID #:</w:t>
            </w:r>
          </w:p>
        </w:tc>
        <w:tc>
          <w:tcPr>
            <w:tcW w:w="1160" w:type="dxa"/>
            <w:vAlign w:val="bottom"/>
            <w:tcBorders>
              <w:top w:val="single" w:sz="8" w:color="auto"/>
              <w:right w:val="single" w:sz="8" w:color="auto"/>
            </w:tcBorders>
            <w:shd w:val="clear" w:color="auto" w:fill="BFBFBF"/>
          </w:tcPr>
          <w:p>
            <w:pPr>
              <w:spacing w:after="0"/>
              <w:rPr>
                <w:sz w:val="15"/>
                <w:szCs w:val="15"/>
                <w:color w:val="auto"/>
              </w:rPr>
            </w:pPr>
          </w:p>
        </w:tc>
        <w:tc>
          <w:tcPr>
            <w:tcW w:w="5540" w:type="dxa"/>
            <w:vAlign w:val="bottom"/>
            <w:tcBorders>
              <w:top w:val="single" w:sz="8" w:color="auto"/>
            </w:tcBorders>
            <w:gridSpan w:val="5"/>
            <w:shd w:val="clear" w:color="auto" w:fill="BFBFBF"/>
          </w:tcPr>
          <w:p>
            <w:pPr>
              <w:ind w:left="100"/>
              <w:spacing w:after="0" w:line="176" w:lineRule="exact"/>
              <w:rPr>
                <w:sz w:val="20"/>
                <w:szCs w:val="20"/>
                <w:color w:val="auto"/>
              </w:rPr>
            </w:pPr>
            <w:r>
              <w:rPr>
                <w:rFonts w:ascii="Arial" w:cs="Arial" w:eastAsia="Arial" w:hAnsi="Arial"/>
                <w:sz w:val="18"/>
                <w:szCs w:val="18"/>
                <w:b w:val="1"/>
                <w:bCs w:val="1"/>
                <w:color w:val="auto"/>
              </w:rPr>
              <w:t>Discovery Date of Activity:</w:t>
            </w:r>
          </w:p>
        </w:tc>
        <w:tc>
          <w:tcPr>
            <w:tcW w:w="20" w:type="dxa"/>
            <w:vAlign w:val="bottom"/>
            <w:tcBorders>
              <w:top w:val="single" w:sz="8" w:color="auto"/>
            </w:tcBorders>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BFBFBF"/>
              <w:bottom w:val="single" w:sz="8" w:color="auto"/>
            </w:tcBorders>
            <w:shd w:val="clear" w:color="auto" w:fill="BFBFBF"/>
          </w:tcPr>
          <w:p>
            <w:pPr>
              <w:spacing w:after="0"/>
              <w:rPr>
                <w:sz w:val="8"/>
                <w:szCs w:val="8"/>
                <w:color w:val="auto"/>
              </w:rPr>
            </w:pPr>
          </w:p>
        </w:tc>
        <w:tc>
          <w:tcPr>
            <w:tcW w:w="800" w:type="dxa"/>
            <w:vAlign w:val="bottom"/>
            <w:tcBorders>
              <w:top w:val="single" w:sz="8" w:color="auto"/>
              <w:bottom w:val="single" w:sz="8" w:color="auto"/>
            </w:tcBorders>
            <w:shd w:val="clear" w:color="auto" w:fill="BFBFBF"/>
          </w:tcPr>
          <w:p>
            <w:pPr>
              <w:spacing w:after="0"/>
              <w:rPr>
                <w:sz w:val="8"/>
                <w:szCs w:val="8"/>
                <w:color w:val="auto"/>
              </w:rPr>
            </w:pPr>
          </w:p>
        </w:tc>
        <w:tc>
          <w:tcPr>
            <w:tcW w:w="540" w:type="dxa"/>
            <w:vAlign w:val="bottom"/>
            <w:tcBorders>
              <w:top w:val="single" w:sz="8" w:color="BFBFBF"/>
              <w:bottom w:val="single" w:sz="8" w:color="auto"/>
            </w:tcBorders>
            <w:shd w:val="clear" w:color="auto" w:fill="BFBFBF"/>
          </w:tcPr>
          <w:p>
            <w:pPr>
              <w:spacing w:after="0"/>
              <w:rPr>
                <w:sz w:val="8"/>
                <w:szCs w:val="8"/>
                <w:color w:val="auto"/>
              </w:rPr>
            </w:pPr>
          </w:p>
        </w:tc>
        <w:tc>
          <w:tcPr>
            <w:tcW w:w="20" w:type="dxa"/>
            <w:vAlign w:val="bottom"/>
            <w:tcBorders>
              <w:top w:val="single" w:sz="8" w:color="BFBFBF"/>
              <w:bottom w:val="single" w:sz="8" w:color="auto"/>
            </w:tcBorders>
            <w:shd w:val="clear" w:color="auto" w:fill="BFBFBF"/>
          </w:tcPr>
          <w:p>
            <w:pPr>
              <w:spacing w:after="0"/>
              <w:rPr>
                <w:sz w:val="8"/>
                <w:szCs w:val="8"/>
                <w:color w:val="auto"/>
              </w:rPr>
            </w:pPr>
          </w:p>
        </w:tc>
        <w:tc>
          <w:tcPr>
            <w:tcW w:w="60" w:type="dxa"/>
            <w:vAlign w:val="bottom"/>
            <w:tcBorders>
              <w:top w:val="single" w:sz="8" w:color="BFBFBF"/>
              <w:bottom w:val="single" w:sz="8" w:color="auto"/>
            </w:tcBorders>
            <w:shd w:val="clear" w:color="auto" w:fill="BFBFBF"/>
          </w:tcPr>
          <w:p>
            <w:pPr>
              <w:spacing w:after="0"/>
              <w:rPr>
                <w:sz w:val="8"/>
                <w:szCs w:val="8"/>
                <w:color w:val="auto"/>
              </w:rPr>
            </w:pPr>
          </w:p>
        </w:tc>
        <w:tc>
          <w:tcPr>
            <w:tcW w:w="100" w:type="dxa"/>
            <w:vAlign w:val="bottom"/>
            <w:tcBorders>
              <w:top w:val="single" w:sz="8" w:color="BFBFBF"/>
              <w:bottom w:val="single" w:sz="8" w:color="auto"/>
            </w:tcBorders>
            <w:shd w:val="clear" w:color="auto" w:fill="BFBFBF"/>
          </w:tcPr>
          <w:p>
            <w:pPr>
              <w:spacing w:after="0"/>
              <w:rPr>
                <w:sz w:val="8"/>
                <w:szCs w:val="8"/>
                <w:color w:val="auto"/>
              </w:rPr>
            </w:pPr>
          </w:p>
        </w:tc>
        <w:tc>
          <w:tcPr>
            <w:tcW w:w="220" w:type="dxa"/>
            <w:vAlign w:val="bottom"/>
            <w:tcBorders>
              <w:top w:val="single" w:sz="8" w:color="BFBFBF"/>
              <w:bottom w:val="single" w:sz="8" w:color="auto"/>
            </w:tcBorders>
            <w:shd w:val="clear" w:color="auto" w:fill="BFBFBF"/>
          </w:tcPr>
          <w:p>
            <w:pPr>
              <w:spacing w:after="0"/>
              <w:rPr>
                <w:sz w:val="8"/>
                <w:szCs w:val="8"/>
                <w:color w:val="auto"/>
              </w:rPr>
            </w:pPr>
          </w:p>
        </w:tc>
        <w:tc>
          <w:tcPr>
            <w:tcW w:w="420" w:type="dxa"/>
            <w:vAlign w:val="bottom"/>
            <w:tcBorders>
              <w:top w:val="single" w:sz="8" w:color="BFBFBF"/>
              <w:bottom w:val="single" w:sz="8" w:color="auto"/>
            </w:tcBorders>
            <w:shd w:val="clear" w:color="auto" w:fill="BFBFBF"/>
          </w:tcPr>
          <w:p>
            <w:pPr>
              <w:spacing w:after="0"/>
              <w:rPr>
                <w:sz w:val="8"/>
                <w:szCs w:val="8"/>
                <w:color w:val="auto"/>
              </w:rPr>
            </w:pPr>
          </w:p>
        </w:tc>
        <w:tc>
          <w:tcPr>
            <w:tcW w:w="280" w:type="dxa"/>
            <w:vAlign w:val="bottom"/>
            <w:tcBorders>
              <w:top w:val="single" w:sz="8" w:color="BFBFBF"/>
              <w:bottom w:val="single" w:sz="8" w:color="auto"/>
            </w:tcBorders>
            <w:shd w:val="clear" w:color="auto" w:fill="BFBFBF"/>
          </w:tcPr>
          <w:p>
            <w:pPr>
              <w:spacing w:after="0"/>
              <w:rPr>
                <w:sz w:val="8"/>
                <w:szCs w:val="8"/>
                <w:color w:val="auto"/>
              </w:rPr>
            </w:pPr>
          </w:p>
        </w:tc>
        <w:tc>
          <w:tcPr>
            <w:tcW w:w="2120" w:type="dxa"/>
            <w:vAlign w:val="bottom"/>
            <w:tcBorders>
              <w:top w:val="single" w:sz="8" w:color="BFBFBF"/>
              <w:bottom w:val="single" w:sz="8" w:color="auto"/>
              <w:right w:val="single" w:sz="8" w:color="BFBFBF"/>
            </w:tcBorders>
            <w:shd w:val="clear" w:color="auto" w:fill="BFBFBF"/>
          </w:tcPr>
          <w:p>
            <w:pPr>
              <w:spacing w:after="0"/>
              <w:rPr>
                <w:sz w:val="8"/>
                <w:szCs w:val="8"/>
                <w:color w:val="auto"/>
              </w:rPr>
            </w:pPr>
          </w:p>
        </w:tc>
        <w:tc>
          <w:tcPr>
            <w:tcW w:w="1160" w:type="dxa"/>
            <w:vAlign w:val="bottom"/>
            <w:tcBorders>
              <w:top w:val="single" w:sz="8" w:color="BFBFBF"/>
              <w:bottom w:val="single" w:sz="8" w:color="auto"/>
              <w:right w:val="single" w:sz="8" w:color="auto"/>
            </w:tcBorders>
            <w:shd w:val="clear" w:color="auto" w:fill="BFBFBF"/>
          </w:tcPr>
          <w:p>
            <w:pPr>
              <w:spacing w:after="0"/>
              <w:rPr>
                <w:sz w:val="8"/>
                <w:szCs w:val="8"/>
                <w:color w:val="auto"/>
              </w:rPr>
            </w:pPr>
          </w:p>
        </w:tc>
        <w:tc>
          <w:tcPr>
            <w:tcW w:w="100" w:type="dxa"/>
            <w:vAlign w:val="bottom"/>
            <w:tcBorders>
              <w:top w:val="single" w:sz="8" w:color="BFBFBF"/>
              <w:bottom w:val="single" w:sz="8" w:color="auto"/>
            </w:tcBorders>
            <w:shd w:val="clear" w:color="auto" w:fill="BFBFBF"/>
          </w:tcPr>
          <w:p>
            <w:pPr>
              <w:spacing w:after="0"/>
              <w:rPr>
                <w:sz w:val="8"/>
                <w:szCs w:val="8"/>
                <w:color w:val="auto"/>
              </w:rPr>
            </w:pPr>
          </w:p>
        </w:tc>
        <w:tc>
          <w:tcPr>
            <w:tcW w:w="1120" w:type="dxa"/>
            <w:vAlign w:val="bottom"/>
            <w:tcBorders>
              <w:top w:val="single" w:sz="8" w:color="auto"/>
              <w:bottom w:val="single" w:sz="8" w:color="auto"/>
            </w:tcBorders>
            <w:shd w:val="clear" w:color="auto" w:fill="BFBFBF"/>
          </w:tcPr>
          <w:p>
            <w:pPr>
              <w:spacing w:after="0"/>
              <w:rPr>
                <w:sz w:val="8"/>
                <w:szCs w:val="8"/>
                <w:color w:val="auto"/>
              </w:rPr>
            </w:pPr>
          </w:p>
        </w:tc>
        <w:tc>
          <w:tcPr>
            <w:tcW w:w="820" w:type="dxa"/>
            <w:vAlign w:val="bottom"/>
            <w:tcBorders>
              <w:top w:val="single" w:sz="8" w:color="auto"/>
              <w:bottom w:val="single" w:sz="8" w:color="auto"/>
              <w:right w:val="single" w:sz="8" w:color="BFBFBF"/>
            </w:tcBorders>
            <w:shd w:val="clear" w:color="auto" w:fill="BFBFBF"/>
          </w:tcPr>
          <w:p>
            <w:pPr>
              <w:spacing w:after="0"/>
              <w:rPr>
                <w:sz w:val="8"/>
                <w:szCs w:val="8"/>
                <w:color w:val="auto"/>
              </w:rPr>
            </w:pPr>
          </w:p>
        </w:tc>
        <w:tc>
          <w:tcPr>
            <w:tcW w:w="140" w:type="dxa"/>
            <w:vAlign w:val="bottom"/>
            <w:tcBorders>
              <w:top w:val="single" w:sz="8" w:color="auto"/>
              <w:bottom w:val="single" w:sz="8" w:color="auto"/>
            </w:tcBorders>
            <w:shd w:val="clear" w:color="auto" w:fill="BFBFBF"/>
          </w:tcPr>
          <w:p>
            <w:pPr>
              <w:spacing w:after="0"/>
              <w:rPr>
                <w:sz w:val="8"/>
                <w:szCs w:val="8"/>
                <w:color w:val="auto"/>
              </w:rPr>
            </w:pPr>
          </w:p>
        </w:tc>
        <w:tc>
          <w:tcPr>
            <w:tcW w:w="3360" w:type="dxa"/>
            <w:vAlign w:val="bottom"/>
            <w:tcBorders>
              <w:top w:val="single" w:sz="8" w:color="BFBFBF"/>
              <w:bottom w:val="single" w:sz="8" w:color="auto"/>
            </w:tcBorders>
            <w:shd w:val="clear" w:color="auto" w:fill="BFBFB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BFBFBF"/>
            </w:tcBorders>
            <w:gridSpan w:val="10"/>
            <w:shd w:val="clear" w:color="auto" w:fill="BFBFBF"/>
          </w:tcPr>
          <w:p>
            <w:pPr>
              <w:ind w:left="120"/>
              <w:spacing w:after="0" w:line="176" w:lineRule="exact"/>
              <w:rPr>
                <w:sz w:val="20"/>
                <w:szCs w:val="20"/>
                <w:color w:val="auto"/>
              </w:rPr>
            </w:pPr>
            <w:r>
              <w:rPr>
                <w:rFonts w:ascii="Arial" w:cs="Arial" w:eastAsia="Arial" w:hAnsi="Arial"/>
                <w:sz w:val="18"/>
                <w:szCs w:val="18"/>
                <w:b w:val="1"/>
                <w:bCs w:val="1"/>
                <w:color w:val="auto"/>
              </w:rPr>
              <w:t>Date Submitted to Paymentech:</w:t>
            </w:r>
          </w:p>
        </w:tc>
        <w:tc>
          <w:tcPr>
            <w:tcW w:w="1160" w:type="dxa"/>
            <w:vAlign w:val="bottom"/>
            <w:tcBorders>
              <w:right w:val="single" w:sz="8" w:color="auto"/>
            </w:tcBorders>
            <w:shd w:val="clear" w:color="auto" w:fill="BFBFBF"/>
          </w:tcPr>
          <w:p>
            <w:pPr>
              <w:spacing w:after="0"/>
              <w:rPr>
                <w:sz w:val="15"/>
                <w:szCs w:val="15"/>
                <w:color w:val="auto"/>
              </w:rPr>
            </w:pPr>
          </w:p>
        </w:tc>
        <w:tc>
          <w:tcPr>
            <w:tcW w:w="2040" w:type="dxa"/>
            <w:vAlign w:val="bottom"/>
            <w:tcBorders>
              <w:right w:val="single" w:sz="8" w:color="BFBFBF"/>
            </w:tcBorders>
            <w:gridSpan w:val="3"/>
            <w:shd w:val="clear" w:color="auto" w:fill="BFBFBF"/>
          </w:tcPr>
          <w:p>
            <w:pPr>
              <w:ind w:left="100"/>
              <w:spacing w:after="0" w:line="176" w:lineRule="exact"/>
              <w:rPr>
                <w:sz w:val="20"/>
                <w:szCs w:val="20"/>
                <w:color w:val="auto"/>
              </w:rPr>
            </w:pPr>
            <w:r>
              <w:rPr>
                <w:rFonts w:ascii="Arial" w:cs="Arial" w:eastAsia="Arial" w:hAnsi="Arial"/>
                <w:sz w:val="18"/>
                <w:szCs w:val="18"/>
                <w:b w:val="1"/>
                <w:bCs w:val="1"/>
                <w:color w:val="auto"/>
              </w:rPr>
              <w:t>Submitted By:</w:t>
            </w:r>
          </w:p>
        </w:tc>
        <w:tc>
          <w:tcPr>
            <w:tcW w:w="140" w:type="dxa"/>
            <w:vAlign w:val="bottom"/>
            <w:shd w:val="clear" w:color="auto" w:fill="BFBFBF"/>
          </w:tcPr>
          <w:p>
            <w:pPr>
              <w:spacing w:after="0"/>
              <w:rPr>
                <w:sz w:val="15"/>
                <w:szCs w:val="15"/>
                <w:color w:val="auto"/>
              </w:rPr>
            </w:pPr>
          </w:p>
        </w:tc>
        <w:tc>
          <w:tcPr>
            <w:tcW w:w="3360" w:type="dxa"/>
            <w:vAlign w:val="bottom"/>
            <w:shd w:val="clear" w:color="auto" w:fill="BFBFBF"/>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BFBFBF"/>
              <w:bottom w:val="single" w:sz="8" w:color="auto"/>
            </w:tcBorders>
            <w:shd w:val="clear" w:color="auto" w:fill="BFBFBF"/>
          </w:tcPr>
          <w:p>
            <w:pPr>
              <w:spacing w:after="0"/>
              <w:rPr>
                <w:sz w:val="8"/>
                <w:szCs w:val="8"/>
                <w:color w:val="auto"/>
              </w:rPr>
            </w:pPr>
          </w:p>
        </w:tc>
        <w:tc>
          <w:tcPr>
            <w:tcW w:w="800" w:type="dxa"/>
            <w:vAlign w:val="bottom"/>
            <w:tcBorders>
              <w:top w:val="single" w:sz="8" w:color="auto"/>
              <w:bottom w:val="single" w:sz="8" w:color="auto"/>
            </w:tcBorders>
            <w:shd w:val="clear" w:color="auto" w:fill="BFBFBF"/>
          </w:tcPr>
          <w:p>
            <w:pPr>
              <w:spacing w:after="0"/>
              <w:rPr>
                <w:sz w:val="8"/>
                <w:szCs w:val="8"/>
                <w:color w:val="auto"/>
              </w:rPr>
            </w:pPr>
          </w:p>
        </w:tc>
        <w:tc>
          <w:tcPr>
            <w:tcW w:w="540" w:type="dxa"/>
            <w:vAlign w:val="bottom"/>
            <w:tcBorders>
              <w:top w:val="single" w:sz="8" w:color="auto"/>
              <w:bottom w:val="single" w:sz="8" w:color="auto"/>
            </w:tcBorders>
            <w:shd w:val="clear" w:color="auto" w:fill="BFBFBF"/>
          </w:tcPr>
          <w:p>
            <w:pPr>
              <w:spacing w:after="0"/>
              <w:rPr>
                <w:sz w:val="8"/>
                <w:szCs w:val="8"/>
                <w:color w:val="auto"/>
              </w:rPr>
            </w:pPr>
          </w:p>
        </w:tc>
        <w:tc>
          <w:tcPr>
            <w:tcW w:w="20" w:type="dxa"/>
            <w:vAlign w:val="bottom"/>
            <w:tcBorders>
              <w:top w:val="single" w:sz="8" w:color="auto"/>
              <w:bottom w:val="single" w:sz="8" w:color="auto"/>
            </w:tcBorders>
            <w:shd w:val="clear" w:color="auto" w:fill="BFBFBF"/>
          </w:tcPr>
          <w:p>
            <w:pPr>
              <w:spacing w:after="0"/>
              <w:rPr>
                <w:sz w:val="8"/>
                <w:szCs w:val="8"/>
                <w:color w:val="auto"/>
              </w:rPr>
            </w:pPr>
          </w:p>
        </w:tc>
        <w:tc>
          <w:tcPr>
            <w:tcW w:w="60" w:type="dxa"/>
            <w:vAlign w:val="bottom"/>
            <w:tcBorders>
              <w:top w:val="single" w:sz="8" w:color="auto"/>
              <w:bottom w:val="single" w:sz="8" w:color="auto"/>
            </w:tcBorders>
            <w:shd w:val="clear" w:color="auto" w:fill="BFBFBF"/>
          </w:tcPr>
          <w:p>
            <w:pPr>
              <w:spacing w:after="0"/>
              <w:rPr>
                <w:sz w:val="8"/>
                <w:szCs w:val="8"/>
                <w:color w:val="auto"/>
              </w:rPr>
            </w:pPr>
          </w:p>
        </w:tc>
        <w:tc>
          <w:tcPr>
            <w:tcW w:w="100" w:type="dxa"/>
            <w:vAlign w:val="bottom"/>
            <w:tcBorders>
              <w:top w:val="single" w:sz="8" w:color="auto"/>
              <w:bottom w:val="single" w:sz="8" w:color="auto"/>
            </w:tcBorders>
            <w:shd w:val="clear" w:color="auto" w:fill="BFBFBF"/>
          </w:tcPr>
          <w:p>
            <w:pPr>
              <w:spacing w:after="0"/>
              <w:rPr>
                <w:sz w:val="8"/>
                <w:szCs w:val="8"/>
                <w:color w:val="auto"/>
              </w:rPr>
            </w:pPr>
          </w:p>
        </w:tc>
        <w:tc>
          <w:tcPr>
            <w:tcW w:w="220" w:type="dxa"/>
            <w:vAlign w:val="bottom"/>
            <w:tcBorders>
              <w:top w:val="single" w:sz="8" w:color="auto"/>
              <w:bottom w:val="single" w:sz="8" w:color="auto"/>
            </w:tcBorders>
            <w:shd w:val="clear" w:color="auto" w:fill="BFBFBF"/>
          </w:tcPr>
          <w:p>
            <w:pPr>
              <w:spacing w:after="0"/>
              <w:rPr>
                <w:sz w:val="8"/>
                <w:szCs w:val="8"/>
                <w:color w:val="auto"/>
              </w:rPr>
            </w:pPr>
          </w:p>
        </w:tc>
        <w:tc>
          <w:tcPr>
            <w:tcW w:w="420" w:type="dxa"/>
            <w:vAlign w:val="bottom"/>
            <w:tcBorders>
              <w:top w:val="single" w:sz="8" w:color="auto"/>
              <w:bottom w:val="single" w:sz="8" w:color="auto"/>
            </w:tcBorders>
            <w:shd w:val="clear" w:color="auto" w:fill="BFBFBF"/>
          </w:tcPr>
          <w:p>
            <w:pPr>
              <w:spacing w:after="0"/>
              <w:rPr>
                <w:sz w:val="8"/>
                <w:szCs w:val="8"/>
                <w:color w:val="auto"/>
              </w:rPr>
            </w:pPr>
          </w:p>
        </w:tc>
        <w:tc>
          <w:tcPr>
            <w:tcW w:w="280" w:type="dxa"/>
            <w:vAlign w:val="bottom"/>
            <w:tcBorders>
              <w:top w:val="single" w:sz="8" w:color="auto"/>
              <w:bottom w:val="single" w:sz="8" w:color="auto"/>
            </w:tcBorders>
            <w:shd w:val="clear" w:color="auto" w:fill="BFBFBF"/>
          </w:tcPr>
          <w:p>
            <w:pPr>
              <w:spacing w:after="0"/>
              <w:rPr>
                <w:sz w:val="8"/>
                <w:szCs w:val="8"/>
                <w:color w:val="auto"/>
              </w:rPr>
            </w:pPr>
          </w:p>
        </w:tc>
        <w:tc>
          <w:tcPr>
            <w:tcW w:w="2120" w:type="dxa"/>
            <w:vAlign w:val="bottom"/>
            <w:tcBorders>
              <w:top w:val="single" w:sz="8" w:color="BFBFBF"/>
              <w:bottom w:val="single" w:sz="8" w:color="auto"/>
              <w:right w:val="single" w:sz="8" w:color="BFBFBF"/>
            </w:tcBorders>
            <w:shd w:val="clear" w:color="auto" w:fill="BFBFBF"/>
          </w:tcPr>
          <w:p>
            <w:pPr>
              <w:spacing w:after="0"/>
              <w:rPr>
                <w:sz w:val="8"/>
                <w:szCs w:val="8"/>
                <w:color w:val="auto"/>
              </w:rPr>
            </w:pPr>
          </w:p>
        </w:tc>
        <w:tc>
          <w:tcPr>
            <w:tcW w:w="1160" w:type="dxa"/>
            <w:vAlign w:val="bottom"/>
            <w:tcBorders>
              <w:top w:val="single" w:sz="8" w:color="BFBFBF"/>
              <w:bottom w:val="single" w:sz="8" w:color="auto"/>
              <w:right w:val="single" w:sz="8" w:color="auto"/>
            </w:tcBorders>
            <w:shd w:val="clear" w:color="auto" w:fill="BFBFBF"/>
          </w:tcPr>
          <w:p>
            <w:pPr>
              <w:spacing w:after="0"/>
              <w:rPr>
                <w:sz w:val="8"/>
                <w:szCs w:val="8"/>
                <w:color w:val="auto"/>
              </w:rPr>
            </w:pPr>
          </w:p>
        </w:tc>
        <w:tc>
          <w:tcPr>
            <w:tcW w:w="100" w:type="dxa"/>
            <w:vAlign w:val="bottom"/>
            <w:tcBorders>
              <w:top w:val="single" w:sz="8" w:color="BFBFBF"/>
              <w:bottom w:val="single" w:sz="8" w:color="auto"/>
            </w:tcBorders>
            <w:shd w:val="clear" w:color="auto" w:fill="BFBFBF"/>
          </w:tcPr>
          <w:p>
            <w:pPr>
              <w:spacing w:after="0"/>
              <w:rPr>
                <w:sz w:val="8"/>
                <w:szCs w:val="8"/>
                <w:color w:val="auto"/>
              </w:rPr>
            </w:pPr>
          </w:p>
        </w:tc>
        <w:tc>
          <w:tcPr>
            <w:tcW w:w="1120" w:type="dxa"/>
            <w:vAlign w:val="bottom"/>
            <w:tcBorders>
              <w:top w:val="single" w:sz="8" w:color="auto"/>
              <w:bottom w:val="single" w:sz="8" w:color="auto"/>
            </w:tcBorders>
            <w:shd w:val="clear" w:color="auto" w:fill="BFBFBF"/>
          </w:tcPr>
          <w:p>
            <w:pPr>
              <w:spacing w:after="0"/>
              <w:rPr>
                <w:sz w:val="8"/>
                <w:szCs w:val="8"/>
                <w:color w:val="auto"/>
              </w:rPr>
            </w:pPr>
          </w:p>
        </w:tc>
        <w:tc>
          <w:tcPr>
            <w:tcW w:w="820" w:type="dxa"/>
            <w:vAlign w:val="bottom"/>
            <w:tcBorders>
              <w:top w:val="single" w:sz="8" w:color="BFBFBF"/>
              <w:bottom w:val="single" w:sz="8" w:color="auto"/>
              <w:right w:val="single" w:sz="8" w:color="BFBFBF"/>
            </w:tcBorders>
            <w:shd w:val="clear" w:color="auto" w:fill="BFBFBF"/>
          </w:tcPr>
          <w:p>
            <w:pPr>
              <w:spacing w:after="0"/>
              <w:rPr>
                <w:sz w:val="8"/>
                <w:szCs w:val="8"/>
                <w:color w:val="auto"/>
              </w:rPr>
            </w:pPr>
          </w:p>
        </w:tc>
        <w:tc>
          <w:tcPr>
            <w:tcW w:w="140" w:type="dxa"/>
            <w:vAlign w:val="bottom"/>
            <w:tcBorders>
              <w:top w:val="single" w:sz="8" w:color="BFBFBF"/>
              <w:bottom w:val="single" w:sz="8" w:color="auto"/>
            </w:tcBorders>
            <w:shd w:val="clear" w:color="auto" w:fill="BFBFBF"/>
          </w:tcPr>
          <w:p>
            <w:pPr>
              <w:spacing w:after="0"/>
              <w:rPr>
                <w:sz w:val="8"/>
                <w:szCs w:val="8"/>
                <w:color w:val="auto"/>
              </w:rPr>
            </w:pPr>
          </w:p>
        </w:tc>
        <w:tc>
          <w:tcPr>
            <w:tcW w:w="3360" w:type="dxa"/>
            <w:vAlign w:val="bottom"/>
            <w:tcBorders>
              <w:top w:val="single" w:sz="8" w:color="BFBFBF"/>
              <w:bottom w:val="single" w:sz="8" w:color="auto"/>
            </w:tcBorders>
            <w:shd w:val="clear" w:color="auto" w:fill="BFBFB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b w:val="1"/>
                <w:bCs w:val="1"/>
                <w:color w:val="auto"/>
              </w:rPr>
              <w:t>User Information</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404040"/>
              <w:bottom w:val="single" w:sz="8" w:color="auto"/>
            </w:tcBorders>
            <w:shd w:val="clear" w:color="auto" w:fill="404040"/>
          </w:tcPr>
          <w:p>
            <w:pPr>
              <w:spacing w:after="0"/>
              <w:rPr>
                <w:sz w:val="8"/>
                <w:szCs w:val="8"/>
                <w:color w:val="auto"/>
              </w:rPr>
            </w:pPr>
          </w:p>
        </w:tc>
        <w:tc>
          <w:tcPr>
            <w:tcW w:w="800" w:type="dxa"/>
            <w:vAlign w:val="bottom"/>
            <w:tcBorders>
              <w:top w:val="single" w:sz="8" w:color="auto"/>
              <w:bottom w:val="single" w:sz="8" w:color="auto"/>
            </w:tcBorders>
            <w:shd w:val="clear" w:color="auto" w:fill="404040"/>
          </w:tcPr>
          <w:p>
            <w:pPr>
              <w:spacing w:after="0"/>
              <w:rPr>
                <w:sz w:val="8"/>
                <w:szCs w:val="8"/>
                <w:color w:val="auto"/>
              </w:rPr>
            </w:pPr>
          </w:p>
        </w:tc>
        <w:tc>
          <w:tcPr>
            <w:tcW w:w="540" w:type="dxa"/>
            <w:vAlign w:val="bottom"/>
            <w:tcBorders>
              <w:top w:val="single" w:sz="8" w:color="auto"/>
              <w:bottom w:val="single" w:sz="8" w:color="auto"/>
            </w:tcBorders>
            <w:shd w:val="clear" w:color="auto" w:fill="404040"/>
          </w:tcPr>
          <w:p>
            <w:pPr>
              <w:spacing w:after="0"/>
              <w:rPr>
                <w:sz w:val="8"/>
                <w:szCs w:val="8"/>
                <w:color w:val="auto"/>
              </w:rPr>
            </w:pPr>
          </w:p>
        </w:tc>
        <w:tc>
          <w:tcPr>
            <w:tcW w:w="20" w:type="dxa"/>
            <w:vAlign w:val="bottom"/>
            <w:tcBorders>
              <w:top w:val="single" w:sz="8" w:color="404040"/>
              <w:bottom w:val="single" w:sz="8" w:color="auto"/>
            </w:tcBorders>
            <w:shd w:val="clear" w:color="auto" w:fill="404040"/>
          </w:tcPr>
          <w:p>
            <w:pPr>
              <w:spacing w:after="0"/>
              <w:rPr>
                <w:sz w:val="8"/>
                <w:szCs w:val="8"/>
                <w:color w:val="auto"/>
              </w:rPr>
            </w:pPr>
          </w:p>
        </w:tc>
        <w:tc>
          <w:tcPr>
            <w:tcW w:w="60" w:type="dxa"/>
            <w:vAlign w:val="bottom"/>
            <w:tcBorders>
              <w:top w:val="single" w:sz="8" w:color="404040"/>
              <w:bottom w:val="single" w:sz="8" w:color="auto"/>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220" w:type="dxa"/>
            <w:vAlign w:val="bottom"/>
            <w:tcBorders>
              <w:top w:val="single" w:sz="8" w:color="404040"/>
              <w:bottom w:val="single" w:sz="8" w:color="auto"/>
            </w:tcBorders>
            <w:shd w:val="clear" w:color="auto" w:fill="404040"/>
          </w:tcPr>
          <w:p>
            <w:pPr>
              <w:spacing w:after="0"/>
              <w:rPr>
                <w:sz w:val="8"/>
                <w:szCs w:val="8"/>
                <w:color w:val="auto"/>
              </w:rPr>
            </w:pPr>
          </w:p>
        </w:tc>
        <w:tc>
          <w:tcPr>
            <w:tcW w:w="420" w:type="dxa"/>
            <w:vAlign w:val="bottom"/>
            <w:tcBorders>
              <w:top w:val="single" w:sz="8" w:color="404040"/>
              <w:bottom w:val="single" w:sz="8" w:color="auto"/>
            </w:tcBorders>
            <w:shd w:val="clear" w:color="auto" w:fill="404040"/>
          </w:tcPr>
          <w:p>
            <w:pPr>
              <w:spacing w:after="0"/>
              <w:rPr>
                <w:sz w:val="8"/>
                <w:szCs w:val="8"/>
                <w:color w:val="auto"/>
              </w:rPr>
            </w:pPr>
          </w:p>
        </w:tc>
        <w:tc>
          <w:tcPr>
            <w:tcW w:w="280" w:type="dxa"/>
            <w:vAlign w:val="bottom"/>
            <w:tcBorders>
              <w:top w:val="single" w:sz="8" w:color="404040"/>
              <w:bottom w:val="single" w:sz="8" w:color="auto"/>
            </w:tcBorders>
            <w:shd w:val="clear" w:color="auto" w:fill="404040"/>
          </w:tcPr>
          <w:p>
            <w:pPr>
              <w:spacing w:after="0"/>
              <w:rPr>
                <w:sz w:val="8"/>
                <w:szCs w:val="8"/>
                <w:color w:val="auto"/>
              </w:rPr>
            </w:pPr>
          </w:p>
        </w:tc>
        <w:tc>
          <w:tcPr>
            <w:tcW w:w="21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16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1120" w:type="dxa"/>
            <w:vAlign w:val="bottom"/>
            <w:tcBorders>
              <w:top w:val="single" w:sz="8" w:color="404040"/>
              <w:bottom w:val="single" w:sz="8" w:color="auto"/>
            </w:tcBorders>
            <w:shd w:val="clear" w:color="auto" w:fill="404040"/>
          </w:tcPr>
          <w:p>
            <w:pPr>
              <w:spacing w:after="0"/>
              <w:rPr>
                <w:sz w:val="8"/>
                <w:szCs w:val="8"/>
                <w:color w:val="auto"/>
              </w:rPr>
            </w:pPr>
          </w:p>
        </w:tc>
        <w:tc>
          <w:tcPr>
            <w:tcW w:w="8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40" w:type="dxa"/>
            <w:vAlign w:val="bottom"/>
            <w:tcBorders>
              <w:top w:val="single" w:sz="8" w:color="404040"/>
              <w:bottom w:val="single" w:sz="8" w:color="auto"/>
            </w:tcBorders>
            <w:shd w:val="clear" w:color="auto" w:fill="404040"/>
          </w:tcPr>
          <w:p>
            <w:pPr>
              <w:spacing w:after="0"/>
              <w:rPr>
                <w:sz w:val="8"/>
                <w:szCs w:val="8"/>
                <w:color w:val="auto"/>
              </w:rPr>
            </w:pPr>
          </w:p>
        </w:tc>
        <w:tc>
          <w:tcPr>
            <w:tcW w:w="3360" w:type="dxa"/>
            <w:vAlign w:val="bottom"/>
            <w:tcBorders>
              <w:top w:val="single" w:sz="8" w:color="404040"/>
              <w:bottom w:val="single" w:sz="8" w:color="auto"/>
            </w:tcBorders>
            <w:shd w:val="clear" w:color="auto" w:fill="404040"/>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True/Owner Name: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Residence Address: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City:</w:t>
            </w:r>
          </w:p>
        </w:tc>
        <w:tc>
          <w:tcPr>
            <w:tcW w:w="32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State:</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Email Address: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Residence Tel #:</w:t>
            </w:r>
          </w:p>
        </w:tc>
        <w:tc>
          <w:tcPr>
            <w:tcW w:w="32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Date of Birth:</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SSN:</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Cell Phone #: None</w:t>
            </w:r>
          </w:p>
        </w:tc>
        <w:tc>
          <w:tcPr>
            <w:tcW w:w="1160" w:type="dxa"/>
            <w:vAlign w:val="bottom"/>
            <w:tcBorders>
              <w:right w:val="single" w:sz="8" w:color="auto"/>
            </w:tcBorders>
            <w:shd w:val="clear" w:color="auto" w:fill="000000"/>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120" w:type="dxa"/>
            <w:vAlign w:val="bottom"/>
            <w:shd w:val="clear" w:color="auto" w:fill="000000"/>
          </w:tcPr>
          <w:p>
            <w:pPr>
              <w:spacing w:after="0"/>
              <w:rPr>
                <w:sz w:val="20"/>
                <w:szCs w:val="20"/>
                <w:color w:val="auto"/>
              </w:rPr>
            </w:pPr>
          </w:p>
        </w:tc>
        <w:tc>
          <w:tcPr>
            <w:tcW w:w="820" w:type="dxa"/>
            <w:vAlign w:val="bottom"/>
            <w:tcBorders>
              <w:right w:val="single" w:sz="8" w:color="auto"/>
            </w:tcBorders>
            <w:shd w:val="clear" w:color="auto" w:fill="000000"/>
          </w:tcPr>
          <w:p>
            <w:pPr>
              <w:spacing w:after="0"/>
              <w:rPr>
                <w:sz w:val="20"/>
                <w:szCs w:val="20"/>
                <w:color w:val="auto"/>
              </w:rPr>
            </w:pPr>
          </w:p>
        </w:tc>
        <w:tc>
          <w:tcPr>
            <w:tcW w:w="140" w:type="dxa"/>
            <w:vAlign w:val="bottom"/>
            <w:shd w:val="clear" w:color="auto" w:fill="000000"/>
          </w:tcPr>
          <w:p>
            <w:pPr>
              <w:spacing w:after="0"/>
              <w:rPr>
                <w:sz w:val="20"/>
                <w:szCs w:val="20"/>
                <w:color w:val="auto"/>
              </w:rPr>
            </w:pPr>
          </w:p>
        </w:tc>
        <w:tc>
          <w:tcPr>
            <w:tcW w:w="336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shd w:val="clear" w:color="auto" w:fill="000000"/>
          </w:tcPr>
          <w:p>
            <w:pPr>
              <w:spacing w:after="0"/>
              <w:rPr>
                <w:sz w:val="5"/>
                <w:szCs w:val="5"/>
                <w:color w:val="auto"/>
              </w:rPr>
            </w:pPr>
          </w:p>
        </w:tc>
        <w:tc>
          <w:tcPr>
            <w:tcW w:w="100" w:type="dxa"/>
            <w:vAlign w:val="bottom"/>
            <w:tcBorders>
              <w:bottom w:val="single" w:sz="8" w:color="auto"/>
            </w:tcBorders>
            <w:shd w:val="clear" w:color="auto" w:fill="000000"/>
          </w:tcPr>
          <w:p>
            <w:pPr>
              <w:spacing w:after="0"/>
              <w:rPr>
                <w:sz w:val="5"/>
                <w:szCs w:val="5"/>
                <w:color w:val="auto"/>
              </w:rPr>
            </w:pPr>
          </w:p>
        </w:tc>
        <w:tc>
          <w:tcPr>
            <w:tcW w:w="1120" w:type="dxa"/>
            <w:vAlign w:val="bottom"/>
            <w:tcBorders>
              <w:bottom w:val="single" w:sz="8" w:color="auto"/>
            </w:tcBorders>
            <w:shd w:val="clear" w:color="auto" w:fill="000000"/>
          </w:tcPr>
          <w:p>
            <w:pPr>
              <w:spacing w:after="0"/>
              <w:rPr>
                <w:sz w:val="5"/>
                <w:szCs w:val="5"/>
                <w:color w:val="auto"/>
              </w:rPr>
            </w:pPr>
          </w:p>
        </w:tc>
        <w:tc>
          <w:tcPr>
            <w:tcW w:w="820" w:type="dxa"/>
            <w:vAlign w:val="bottom"/>
            <w:tcBorders>
              <w:bottom w:val="single" w:sz="8" w:color="auto"/>
              <w:right w:val="single" w:sz="8" w:color="auto"/>
            </w:tcBorders>
            <w:shd w:val="clear" w:color="auto" w:fill="000000"/>
          </w:tcPr>
          <w:p>
            <w:pPr>
              <w:spacing w:after="0"/>
              <w:rPr>
                <w:sz w:val="5"/>
                <w:szCs w:val="5"/>
                <w:color w:val="auto"/>
              </w:rPr>
            </w:pPr>
          </w:p>
        </w:tc>
        <w:tc>
          <w:tcPr>
            <w:tcW w:w="140" w:type="dxa"/>
            <w:vAlign w:val="bottom"/>
            <w:tcBorders>
              <w:bottom w:val="single" w:sz="8" w:color="auto"/>
            </w:tcBorders>
            <w:shd w:val="clear" w:color="auto" w:fill="000000"/>
          </w:tcPr>
          <w:p>
            <w:pPr>
              <w:spacing w:after="0"/>
              <w:rPr>
                <w:sz w:val="5"/>
                <w:szCs w:val="5"/>
                <w:color w:val="auto"/>
              </w:rPr>
            </w:pPr>
          </w:p>
        </w:tc>
        <w:tc>
          <w:tcPr>
            <w:tcW w:w="3360" w:type="dxa"/>
            <w:vAlign w:val="bottom"/>
            <w:tcBorders>
              <w:bottom w:val="single" w:sz="8" w:color="auto"/>
            </w:tcBorders>
            <w:shd w:val="clear" w:color="auto" w:fill="00000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color w:val="auto"/>
              </w:rPr>
              <w:t>Account Information</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404040"/>
              <w:bottom w:val="single" w:sz="8" w:color="auto"/>
            </w:tcBorders>
            <w:shd w:val="clear" w:color="auto" w:fill="404040"/>
          </w:tcPr>
          <w:p>
            <w:pPr>
              <w:spacing w:after="0"/>
              <w:rPr>
                <w:sz w:val="8"/>
                <w:szCs w:val="8"/>
                <w:color w:val="auto"/>
              </w:rPr>
            </w:pPr>
          </w:p>
        </w:tc>
        <w:tc>
          <w:tcPr>
            <w:tcW w:w="800" w:type="dxa"/>
            <w:vAlign w:val="bottom"/>
            <w:tcBorders>
              <w:top w:val="single" w:sz="8" w:color="auto"/>
              <w:bottom w:val="single" w:sz="8" w:color="auto"/>
            </w:tcBorders>
            <w:shd w:val="clear" w:color="auto" w:fill="404040"/>
          </w:tcPr>
          <w:p>
            <w:pPr>
              <w:spacing w:after="0"/>
              <w:rPr>
                <w:sz w:val="8"/>
                <w:szCs w:val="8"/>
                <w:color w:val="auto"/>
              </w:rPr>
            </w:pPr>
          </w:p>
        </w:tc>
        <w:tc>
          <w:tcPr>
            <w:tcW w:w="540" w:type="dxa"/>
            <w:vAlign w:val="bottom"/>
            <w:tcBorders>
              <w:top w:val="single" w:sz="8" w:color="auto"/>
              <w:bottom w:val="single" w:sz="8" w:color="auto"/>
            </w:tcBorders>
            <w:shd w:val="clear" w:color="auto" w:fill="404040"/>
          </w:tcPr>
          <w:p>
            <w:pPr>
              <w:spacing w:after="0"/>
              <w:rPr>
                <w:sz w:val="8"/>
                <w:szCs w:val="8"/>
                <w:color w:val="auto"/>
              </w:rPr>
            </w:pPr>
          </w:p>
        </w:tc>
        <w:tc>
          <w:tcPr>
            <w:tcW w:w="20" w:type="dxa"/>
            <w:vAlign w:val="bottom"/>
            <w:tcBorders>
              <w:top w:val="single" w:sz="8" w:color="auto"/>
              <w:bottom w:val="single" w:sz="8" w:color="auto"/>
            </w:tcBorders>
            <w:shd w:val="clear" w:color="auto" w:fill="404040"/>
          </w:tcPr>
          <w:p>
            <w:pPr>
              <w:spacing w:after="0"/>
              <w:rPr>
                <w:sz w:val="8"/>
                <w:szCs w:val="8"/>
                <w:color w:val="auto"/>
              </w:rPr>
            </w:pPr>
          </w:p>
        </w:tc>
        <w:tc>
          <w:tcPr>
            <w:tcW w:w="60" w:type="dxa"/>
            <w:vAlign w:val="bottom"/>
            <w:tcBorders>
              <w:top w:val="single" w:sz="8" w:color="auto"/>
              <w:bottom w:val="single" w:sz="8" w:color="auto"/>
            </w:tcBorders>
            <w:shd w:val="clear" w:color="auto" w:fill="404040"/>
          </w:tcPr>
          <w:p>
            <w:pPr>
              <w:spacing w:after="0"/>
              <w:rPr>
                <w:sz w:val="8"/>
                <w:szCs w:val="8"/>
                <w:color w:val="auto"/>
              </w:rPr>
            </w:pPr>
          </w:p>
        </w:tc>
        <w:tc>
          <w:tcPr>
            <w:tcW w:w="100" w:type="dxa"/>
            <w:vAlign w:val="bottom"/>
            <w:tcBorders>
              <w:top w:val="single" w:sz="8" w:color="auto"/>
              <w:bottom w:val="single" w:sz="8" w:color="auto"/>
            </w:tcBorders>
            <w:shd w:val="clear" w:color="auto" w:fill="404040"/>
          </w:tcPr>
          <w:p>
            <w:pPr>
              <w:spacing w:after="0"/>
              <w:rPr>
                <w:sz w:val="8"/>
                <w:szCs w:val="8"/>
                <w:color w:val="auto"/>
              </w:rPr>
            </w:pPr>
          </w:p>
        </w:tc>
        <w:tc>
          <w:tcPr>
            <w:tcW w:w="220" w:type="dxa"/>
            <w:vAlign w:val="bottom"/>
            <w:tcBorders>
              <w:top w:val="single" w:sz="8" w:color="404040"/>
              <w:bottom w:val="single" w:sz="8" w:color="auto"/>
            </w:tcBorders>
            <w:shd w:val="clear" w:color="auto" w:fill="404040"/>
          </w:tcPr>
          <w:p>
            <w:pPr>
              <w:spacing w:after="0"/>
              <w:rPr>
                <w:sz w:val="8"/>
                <w:szCs w:val="8"/>
                <w:color w:val="auto"/>
              </w:rPr>
            </w:pPr>
          </w:p>
        </w:tc>
        <w:tc>
          <w:tcPr>
            <w:tcW w:w="420" w:type="dxa"/>
            <w:vAlign w:val="bottom"/>
            <w:tcBorders>
              <w:top w:val="single" w:sz="8" w:color="404040"/>
              <w:bottom w:val="single" w:sz="8" w:color="auto"/>
            </w:tcBorders>
            <w:shd w:val="clear" w:color="auto" w:fill="404040"/>
          </w:tcPr>
          <w:p>
            <w:pPr>
              <w:spacing w:after="0"/>
              <w:rPr>
                <w:sz w:val="8"/>
                <w:szCs w:val="8"/>
                <w:color w:val="auto"/>
              </w:rPr>
            </w:pPr>
          </w:p>
        </w:tc>
        <w:tc>
          <w:tcPr>
            <w:tcW w:w="280" w:type="dxa"/>
            <w:vAlign w:val="bottom"/>
            <w:tcBorders>
              <w:top w:val="single" w:sz="8" w:color="404040"/>
              <w:bottom w:val="single" w:sz="8" w:color="auto"/>
            </w:tcBorders>
            <w:shd w:val="clear" w:color="auto" w:fill="404040"/>
          </w:tcPr>
          <w:p>
            <w:pPr>
              <w:spacing w:after="0"/>
              <w:rPr>
                <w:sz w:val="8"/>
                <w:szCs w:val="8"/>
                <w:color w:val="auto"/>
              </w:rPr>
            </w:pPr>
          </w:p>
        </w:tc>
        <w:tc>
          <w:tcPr>
            <w:tcW w:w="21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16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1120" w:type="dxa"/>
            <w:vAlign w:val="bottom"/>
            <w:tcBorders>
              <w:top w:val="single" w:sz="8" w:color="404040"/>
              <w:bottom w:val="single" w:sz="8" w:color="auto"/>
            </w:tcBorders>
            <w:shd w:val="clear" w:color="auto" w:fill="404040"/>
          </w:tcPr>
          <w:p>
            <w:pPr>
              <w:spacing w:after="0"/>
              <w:rPr>
                <w:sz w:val="8"/>
                <w:szCs w:val="8"/>
                <w:color w:val="auto"/>
              </w:rPr>
            </w:pPr>
          </w:p>
        </w:tc>
        <w:tc>
          <w:tcPr>
            <w:tcW w:w="8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40" w:type="dxa"/>
            <w:vAlign w:val="bottom"/>
            <w:tcBorders>
              <w:top w:val="single" w:sz="8" w:color="404040"/>
              <w:bottom w:val="single" w:sz="8" w:color="auto"/>
            </w:tcBorders>
            <w:shd w:val="clear" w:color="auto" w:fill="404040"/>
          </w:tcPr>
          <w:p>
            <w:pPr>
              <w:spacing w:after="0"/>
              <w:rPr>
                <w:sz w:val="8"/>
                <w:szCs w:val="8"/>
                <w:color w:val="auto"/>
              </w:rPr>
            </w:pPr>
          </w:p>
        </w:tc>
        <w:tc>
          <w:tcPr>
            <w:tcW w:w="3360" w:type="dxa"/>
            <w:vAlign w:val="bottom"/>
            <w:tcBorders>
              <w:top w:val="single" w:sz="8" w:color="404040"/>
              <w:bottom w:val="single" w:sz="8" w:color="auto"/>
            </w:tcBorders>
            <w:shd w:val="clear" w:color="auto" w:fill="404040"/>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Account/User Name: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Business Address: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City:</w:t>
            </w:r>
          </w:p>
        </w:tc>
        <w:tc>
          <w:tcPr>
            <w:tcW w:w="32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State:</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Business Tel #:</w:t>
            </w:r>
          </w:p>
        </w:tc>
        <w:tc>
          <w:tcPr>
            <w:tcW w:w="1160" w:type="dxa"/>
            <w:vAlign w:val="bottom"/>
            <w:tcBorders>
              <w:right w:val="single" w:sz="8" w:color="auto"/>
            </w:tcBorders>
            <w:shd w:val="clear" w:color="auto" w:fill="000000"/>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120" w:type="dxa"/>
            <w:vAlign w:val="bottom"/>
            <w:shd w:val="clear" w:color="auto" w:fill="000000"/>
          </w:tcPr>
          <w:p>
            <w:pPr>
              <w:spacing w:after="0"/>
              <w:rPr>
                <w:sz w:val="20"/>
                <w:szCs w:val="20"/>
                <w:color w:val="auto"/>
              </w:rPr>
            </w:pPr>
          </w:p>
        </w:tc>
        <w:tc>
          <w:tcPr>
            <w:tcW w:w="820" w:type="dxa"/>
            <w:vAlign w:val="bottom"/>
            <w:tcBorders>
              <w:right w:val="single" w:sz="8" w:color="auto"/>
            </w:tcBorders>
            <w:shd w:val="clear" w:color="auto" w:fill="000000"/>
          </w:tcPr>
          <w:p>
            <w:pPr>
              <w:spacing w:after="0"/>
              <w:rPr>
                <w:sz w:val="20"/>
                <w:szCs w:val="20"/>
                <w:color w:val="auto"/>
              </w:rPr>
            </w:pP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Activation Date:</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shd w:val="clear" w:color="auto" w:fill="000000"/>
          </w:tcPr>
          <w:p>
            <w:pPr>
              <w:spacing w:after="0"/>
              <w:rPr>
                <w:sz w:val="5"/>
                <w:szCs w:val="5"/>
                <w:color w:val="auto"/>
              </w:rPr>
            </w:pPr>
          </w:p>
        </w:tc>
        <w:tc>
          <w:tcPr>
            <w:tcW w:w="100" w:type="dxa"/>
            <w:vAlign w:val="bottom"/>
            <w:tcBorders>
              <w:bottom w:val="single" w:sz="8" w:color="auto"/>
            </w:tcBorders>
            <w:shd w:val="clear" w:color="auto" w:fill="000000"/>
          </w:tcPr>
          <w:p>
            <w:pPr>
              <w:spacing w:after="0"/>
              <w:rPr>
                <w:sz w:val="5"/>
                <w:szCs w:val="5"/>
                <w:color w:val="auto"/>
              </w:rPr>
            </w:pPr>
          </w:p>
        </w:tc>
        <w:tc>
          <w:tcPr>
            <w:tcW w:w="1120" w:type="dxa"/>
            <w:vAlign w:val="bottom"/>
            <w:tcBorders>
              <w:bottom w:val="single" w:sz="8" w:color="auto"/>
            </w:tcBorders>
            <w:shd w:val="clear" w:color="auto" w:fill="000000"/>
          </w:tcPr>
          <w:p>
            <w:pPr>
              <w:spacing w:after="0"/>
              <w:rPr>
                <w:sz w:val="5"/>
                <w:szCs w:val="5"/>
                <w:color w:val="auto"/>
              </w:rPr>
            </w:pPr>
          </w:p>
        </w:tc>
        <w:tc>
          <w:tcPr>
            <w:tcW w:w="820" w:type="dxa"/>
            <w:vAlign w:val="bottom"/>
            <w:tcBorders>
              <w:bottom w:val="single" w:sz="8" w:color="auto"/>
              <w:right w:val="single" w:sz="8" w:color="auto"/>
            </w:tcBorders>
            <w:shd w:val="clear" w:color="auto" w:fill="00000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First Transaction Date:</w:t>
            </w:r>
          </w:p>
        </w:tc>
        <w:tc>
          <w:tcPr>
            <w:tcW w:w="32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Freeze Date:</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Deactivation Date:</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Bank Name:</w:t>
            </w:r>
          </w:p>
        </w:tc>
        <w:tc>
          <w:tcPr>
            <w:tcW w:w="32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Routing #:</w:t>
            </w:r>
          </w:p>
        </w:tc>
        <w:tc>
          <w:tcPr>
            <w:tcW w:w="3500" w:type="dxa"/>
            <w:vAlign w:val="bottom"/>
            <w:gridSpan w:val="2"/>
          </w:tcPr>
          <w:p>
            <w:pPr>
              <w:ind w:left="100"/>
              <w:spacing w:after="0"/>
              <w:rPr>
                <w:sz w:val="20"/>
                <w:szCs w:val="20"/>
                <w:color w:val="auto"/>
              </w:rPr>
            </w:pPr>
            <w:r>
              <w:rPr>
                <w:rFonts w:ascii="Arial" w:cs="Arial" w:eastAsia="Arial" w:hAnsi="Arial"/>
                <w:sz w:val="18"/>
                <w:szCs w:val="18"/>
                <w:color w:val="auto"/>
              </w:rPr>
              <w:t>Account #:</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color w:val="auto"/>
              </w:rPr>
              <w:t>Usage Information</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404040"/>
              <w:bottom w:val="single" w:sz="8" w:color="auto"/>
            </w:tcBorders>
            <w:shd w:val="clear" w:color="auto" w:fill="404040"/>
          </w:tcPr>
          <w:p>
            <w:pPr>
              <w:spacing w:after="0"/>
              <w:rPr>
                <w:sz w:val="8"/>
                <w:szCs w:val="8"/>
                <w:color w:val="auto"/>
              </w:rPr>
            </w:pPr>
          </w:p>
        </w:tc>
        <w:tc>
          <w:tcPr>
            <w:tcW w:w="800" w:type="dxa"/>
            <w:vAlign w:val="bottom"/>
            <w:tcBorders>
              <w:top w:val="single" w:sz="8" w:color="auto"/>
              <w:bottom w:val="single" w:sz="8" w:color="auto"/>
            </w:tcBorders>
            <w:shd w:val="clear" w:color="auto" w:fill="404040"/>
          </w:tcPr>
          <w:p>
            <w:pPr>
              <w:spacing w:after="0"/>
              <w:rPr>
                <w:sz w:val="8"/>
                <w:szCs w:val="8"/>
                <w:color w:val="auto"/>
              </w:rPr>
            </w:pPr>
          </w:p>
        </w:tc>
        <w:tc>
          <w:tcPr>
            <w:tcW w:w="540" w:type="dxa"/>
            <w:vAlign w:val="bottom"/>
            <w:tcBorders>
              <w:top w:val="single" w:sz="8" w:color="auto"/>
              <w:bottom w:val="single" w:sz="8" w:color="auto"/>
            </w:tcBorders>
            <w:shd w:val="clear" w:color="auto" w:fill="404040"/>
          </w:tcPr>
          <w:p>
            <w:pPr>
              <w:spacing w:after="0"/>
              <w:rPr>
                <w:sz w:val="8"/>
                <w:szCs w:val="8"/>
                <w:color w:val="auto"/>
              </w:rPr>
            </w:pPr>
          </w:p>
        </w:tc>
        <w:tc>
          <w:tcPr>
            <w:tcW w:w="20" w:type="dxa"/>
            <w:vAlign w:val="bottom"/>
            <w:tcBorders>
              <w:top w:val="single" w:sz="8" w:color="auto"/>
              <w:bottom w:val="single" w:sz="8" w:color="auto"/>
            </w:tcBorders>
            <w:shd w:val="clear" w:color="auto" w:fill="404040"/>
          </w:tcPr>
          <w:p>
            <w:pPr>
              <w:spacing w:after="0"/>
              <w:rPr>
                <w:sz w:val="8"/>
                <w:szCs w:val="8"/>
                <w:color w:val="auto"/>
              </w:rPr>
            </w:pPr>
          </w:p>
        </w:tc>
        <w:tc>
          <w:tcPr>
            <w:tcW w:w="60" w:type="dxa"/>
            <w:vAlign w:val="bottom"/>
            <w:tcBorders>
              <w:top w:val="single" w:sz="8" w:color="404040"/>
              <w:bottom w:val="single" w:sz="8" w:color="auto"/>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220" w:type="dxa"/>
            <w:vAlign w:val="bottom"/>
            <w:tcBorders>
              <w:top w:val="single" w:sz="8" w:color="404040"/>
              <w:bottom w:val="single" w:sz="8" w:color="auto"/>
            </w:tcBorders>
            <w:shd w:val="clear" w:color="auto" w:fill="404040"/>
          </w:tcPr>
          <w:p>
            <w:pPr>
              <w:spacing w:after="0"/>
              <w:rPr>
                <w:sz w:val="8"/>
                <w:szCs w:val="8"/>
                <w:color w:val="auto"/>
              </w:rPr>
            </w:pPr>
          </w:p>
        </w:tc>
        <w:tc>
          <w:tcPr>
            <w:tcW w:w="420" w:type="dxa"/>
            <w:vAlign w:val="bottom"/>
            <w:tcBorders>
              <w:top w:val="single" w:sz="8" w:color="404040"/>
              <w:bottom w:val="single" w:sz="8" w:color="auto"/>
            </w:tcBorders>
            <w:shd w:val="clear" w:color="auto" w:fill="404040"/>
          </w:tcPr>
          <w:p>
            <w:pPr>
              <w:spacing w:after="0"/>
              <w:rPr>
                <w:sz w:val="8"/>
                <w:szCs w:val="8"/>
                <w:color w:val="auto"/>
              </w:rPr>
            </w:pPr>
          </w:p>
        </w:tc>
        <w:tc>
          <w:tcPr>
            <w:tcW w:w="280" w:type="dxa"/>
            <w:vAlign w:val="bottom"/>
            <w:tcBorders>
              <w:top w:val="single" w:sz="8" w:color="404040"/>
              <w:bottom w:val="single" w:sz="8" w:color="auto"/>
            </w:tcBorders>
            <w:shd w:val="clear" w:color="auto" w:fill="404040"/>
          </w:tcPr>
          <w:p>
            <w:pPr>
              <w:spacing w:after="0"/>
              <w:rPr>
                <w:sz w:val="8"/>
                <w:szCs w:val="8"/>
                <w:color w:val="auto"/>
              </w:rPr>
            </w:pPr>
          </w:p>
        </w:tc>
        <w:tc>
          <w:tcPr>
            <w:tcW w:w="21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16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1120" w:type="dxa"/>
            <w:vAlign w:val="bottom"/>
            <w:tcBorders>
              <w:top w:val="single" w:sz="8" w:color="404040"/>
              <w:bottom w:val="single" w:sz="8" w:color="auto"/>
            </w:tcBorders>
            <w:shd w:val="clear" w:color="auto" w:fill="404040"/>
          </w:tcPr>
          <w:p>
            <w:pPr>
              <w:spacing w:after="0"/>
              <w:rPr>
                <w:sz w:val="8"/>
                <w:szCs w:val="8"/>
                <w:color w:val="auto"/>
              </w:rPr>
            </w:pPr>
          </w:p>
        </w:tc>
        <w:tc>
          <w:tcPr>
            <w:tcW w:w="8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40" w:type="dxa"/>
            <w:vAlign w:val="bottom"/>
            <w:tcBorders>
              <w:top w:val="single" w:sz="8" w:color="404040"/>
              <w:bottom w:val="single" w:sz="8" w:color="auto"/>
            </w:tcBorders>
            <w:shd w:val="clear" w:color="auto" w:fill="404040"/>
          </w:tcPr>
          <w:p>
            <w:pPr>
              <w:spacing w:after="0"/>
              <w:rPr>
                <w:sz w:val="8"/>
                <w:szCs w:val="8"/>
                <w:color w:val="auto"/>
              </w:rPr>
            </w:pPr>
          </w:p>
        </w:tc>
        <w:tc>
          <w:tcPr>
            <w:tcW w:w="3360" w:type="dxa"/>
            <w:vAlign w:val="bottom"/>
            <w:tcBorders>
              <w:top w:val="single" w:sz="8" w:color="404040"/>
              <w:bottom w:val="single" w:sz="8" w:color="auto"/>
            </w:tcBorders>
            <w:shd w:val="clear" w:color="auto" w:fill="404040"/>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MCC Code: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color w:val="auto"/>
              </w:rPr>
              <w:t>Device Information</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404040"/>
              <w:bottom w:val="single" w:sz="8" w:color="auto"/>
            </w:tcBorders>
            <w:shd w:val="clear" w:color="auto" w:fill="404040"/>
          </w:tcPr>
          <w:p>
            <w:pPr>
              <w:spacing w:after="0"/>
              <w:rPr>
                <w:sz w:val="8"/>
                <w:szCs w:val="8"/>
                <w:color w:val="auto"/>
              </w:rPr>
            </w:pPr>
          </w:p>
        </w:tc>
        <w:tc>
          <w:tcPr>
            <w:tcW w:w="800" w:type="dxa"/>
            <w:vAlign w:val="bottom"/>
            <w:tcBorders>
              <w:top w:val="single" w:sz="8" w:color="auto"/>
              <w:bottom w:val="single" w:sz="8" w:color="auto"/>
            </w:tcBorders>
            <w:shd w:val="clear" w:color="auto" w:fill="404040"/>
          </w:tcPr>
          <w:p>
            <w:pPr>
              <w:spacing w:after="0"/>
              <w:rPr>
                <w:sz w:val="8"/>
                <w:szCs w:val="8"/>
                <w:color w:val="auto"/>
              </w:rPr>
            </w:pPr>
          </w:p>
        </w:tc>
        <w:tc>
          <w:tcPr>
            <w:tcW w:w="540" w:type="dxa"/>
            <w:vAlign w:val="bottom"/>
            <w:tcBorders>
              <w:top w:val="single" w:sz="8" w:color="auto"/>
              <w:bottom w:val="single" w:sz="8" w:color="auto"/>
            </w:tcBorders>
            <w:shd w:val="clear" w:color="auto" w:fill="404040"/>
          </w:tcPr>
          <w:p>
            <w:pPr>
              <w:spacing w:after="0"/>
              <w:rPr>
                <w:sz w:val="8"/>
                <w:szCs w:val="8"/>
                <w:color w:val="auto"/>
              </w:rPr>
            </w:pPr>
          </w:p>
        </w:tc>
        <w:tc>
          <w:tcPr>
            <w:tcW w:w="20" w:type="dxa"/>
            <w:vAlign w:val="bottom"/>
            <w:tcBorders>
              <w:top w:val="single" w:sz="8" w:color="auto"/>
              <w:bottom w:val="single" w:sz="8" w:color="auto"/>
            </w:tcBorders>
            <w:shd w:val="clear" w:color="auto" w:fill="404040"/>
          </w:tcPr>
          <w:p>
            <w:pPr>
              <w:spacing w:after="0"/>
              <w:rPr>
                <w:sz w:val="8"/>
                <w:szCs w:val="8"/>
                <w:color w:val="auto"/>
              </w:rPr>
            </w:pPr>
          </w:p>
        </w:tc>
        <w:tc>
          <w:tcPr>
            <w:tcW w:w="60" w:type="dxa"/>
            <w:vAlign w:val="bottom"/>
            <w:tcBorders>
              <w:top w:val="single" w:sz="8" w:color="auto"/>
              <w:bottom w:val="single" w:sz="8" w:color="auto"/>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220" w:type="dxa"/>
            <w:vAlign w:val="bottom"/>
            <w:tcBorders>
              <w:top w:val="single" w:sz="8" w:color="404040"/>
              <w:bottom w:val="single" w:sz="8" w:color="auto"/>
            </w:tcBorders>
            <w:shd w:val="clear" w:color="auto" w:fill="404040"/>
          </w:tcPr>
          <w:p>
            <w:pPr>
              <w:spacing w:after="0"/>
              <w:rPr>
                <w:sz w:val="8"/>
                <w:szCs w:val="8"/>
                <w:color w:val="auto"/>
              </w:rPr>
            </w:pPr>
          </w:p>
        </w:tc>
        <w:tc>
          <w:tcPr>
            <w:tcW w:w="420" w:type="dxa"/>
            <w:vAlign w:val="bottom"/>
            <w:tcBorders>
              <w:top w:val="single" w:sz="8" w:color="404040"/>
              <w:bottom w:val="single" w:sz="8" w:color="auto"/>
            </w:tcBorders>
            <w:shd w:val="clear" w:color="auto" w:fill="404040"/>
          </w:tcPr>
          <w:p>
            <w:pPr>
              <w:spacing w:after="0"/>
              <w:rPr>
                <w:sz w:val="8"/>
                <w:szCs w:val="8"/>
                <w:color w:val="auto"/>
              </w:rPr>
            </w:pPr>
          </w:p>
        </w:tc>
        <w:tc>
          <w:tcPr>
            <w:tcW w:w="280" w:type="dxa"/>
            <w:vAlign w:val="bottom"/>
            <w:tcBorders>
              <w:top w:val="single" w:sz="8" w:color="404040"/>
              <w:bottom w:val="single" w:sz="8" w:color="auto"/>
            </w:tcBorders>
            <w:shd w:val="clear" w:color="auto" w:fill="404040"/>
          </w:tcPr>
          <w:p>
            <w:pPr>
              <w:spacing w:after="0"/>
              <w:rPr>
                <w:sz w:val="8"/>
                <w:szCs w:val="8"/>
                <w:color w:val="auto"/>
              </w:rPr>
            </w:pPr>
          </w:p>
        </w:tc>
        <w:tc>
          <w:tcPr>
            <w:tcW w:w="21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16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1120" w:type="dxa"/>
            <w:vAlign w:val="bottom"/>
            <w:tcBorders>
              <w:top w:val="single" w:sz="8" w:color="404040"/>
              <w:bottom w:val="single" w:sz="8" w:color="auto"/>
            </w:tcBorders>
            <w:shd w:val="clear" w:color="auto" w:fill="404040"/>
          </w:tcPr>
          <w:p>
            <w:pPr>
              <w:spacing w:after="0"/>
              <w:rPr>
                <w:sz w:val="8"/>
                <w:szCs w:val="8"/>
                <w:color w:val="auto"/>
              </w:rPr>
            </w:pPr>
          </w:p>
        </w:tc>
        <w:tc>
          <w:tcPr>
            <w:tcW w:w="8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40" w:type="dxa"/>
            <w:vAlign w:val="bottom"/>
            <w:tcBorders>
              <w:top w:val="single" w:sz="8" w:color="404040"/>
              <w:bottom w:val="single" w:sz="8" w:color="auto"/>
            </w:tcBorders>
            <w:shd w:val="clear" w:color="auto" w:fill="404040"/>
          </w:tcPr>
          <w:p>
            <w:pPr>
              <w:spacing w:after="0"/>
              <w:rPr>
                <w:sz w:val="8"/>
                <w:szCs w:val="8"/>
                <w:color w:val="auto"/>
              </w:rPr>
            </w:pPr>
          </w:p>
        </w:tc>
        <w:tc>
          <w:tcPr>
            <w:tcW w:w="3360" w:type="dxa"/>
            <w:vAlign w:val="bottom"/>
            <w:tcBorders>
              <w:top w:val="single" w:sz="8" w:color="404040"/>
              <w:bottom w:val="single" w:sz="8" w:color="auto"/>
            </w:tcBorders>
            <w:shd w:val="clear" w:color="auto" w:fill="404040"/>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Number of Devices: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Device #1: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UDID: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color w:val="auto"/>
              </w:rPr>
              <w:t>Transaction Information</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 w:type="dxa"/>
            <w:vAlign w:val="bottom"/>
            <w:tcBorders>
              <w:top w:val="single" w:sz="8" w:color="404040"/>
              <w:bottom w:val="single" w:sz="8" w:color="auto"/>
            </w:tcBorders>
            <w:shd w:val="clear" w:color="auto" w:fill="404040"/>
          </w:tcPr>
          <w:p>
            <w:pPr>
              <w:spacing w:after="0"/>
              <w:rPr>
                <w:sz w:val="8"/>
                <w:szCs w:val="8"/>
                <w:color w:val="auto"/>
              </w:rPr>
            </w:pPr>
          </w:p>
        </w:tc>
        <w:tc>
          <w:tcPr>
            <w:tcW w:w="800" w:type="dxa"/>
            <w:vAlign w:val="bottom"/>
            <w:tcBorders>
              <w:top w:val="single" w:sz="8" w:color="auto"/>
              <w:bottom w:val="single" w:sz="8" w:color="auto"/>
            </w:tcBorders>
            <w:shd w:val="clear" w:color="auto" w:fill="404040"/>
          </w:tcPr>
          <w:p>
            <w:pPr>
              <w:spacing w:after="0"/>
              <w:rPr>
                <w:sz w:val="8"/>
                <w:szCs w:val="8"/>
                <w:color w:val="auto"/>
              </w:rPr>
            </w:pPr>
          </w:p>
        </w:tc>
        <w:tc>
          <w:tcPr>
            <w:tcW w:w="540" w:type="dxa"/>
            <w:vAlign w:val="bottom"/>
            <w:tcBorders>
              <w:top w:val="single" w:sz="8" w:color="auto"/>
              <w:bottom w:val="single" w:sz="8" w:color="auto"/>
            </w:tcBorders>
            <w:shd w:val="clear" w:color="auto" w:fill="404040"/>
          </w:tcPr>
          <w:p>
            <w:pPr>
              <w:spacing w:after="0"/>
              <w:rPr>
                <w:sz w:val="8"/>
                <w:szCs w:val="8"/>
                <w:color w:val="auto"/>
              </w:rPr>
            </w:pPr>
          </w:p>
        </w:tc>
        <w:tc>
          <w:tcPr>
            <w:tcW w:w="20" w:type="dxa"/>
            <w:vAlign w:val="bottom"/>
            <w:tcBorders>
              <w:top w:val="single" w:sz="8" w:color="auto"/>
              <w:bottom w:val="single" w:sz="8" w:color="auto"/>
            </w:tcBorders>
            <w:shd w:val="clear" w:color="auto" w:fill="404040"/>
          </w:tcPr>
          <w:p>
            <w:pPr>
              <w:spacing w:after="0"/>
              <w:rPr>
                <w:sz w:val="8"/>
                <w:szCs w:val="8"/>
                <w:color w:val="auto"/>
              </w:rPr>
            </w:pPr>
          </w:p>
        </w:tc>
        <w:tc>
          <w:tcPr>
            <w:tcW w:w="60" w:type="dxa"/>
            <w:vAlign w:val="bottom"/>
            <w:tcBorders>
              <w:top w:val="single" w:sz="8" w:color="auto"/>
              <w:bottom w:val="single" w:sz="8" w:color="auto"/>
            </w:tcBorders>
            <w:shd w:val="clear" w:color="auto" w:fill="404040"/>
          </w:tcPr>
          <w:p>
            <w:pPr>
              <w:spacing w:after="0"/>
              <w:rPr>
                <w:sz w:val="8"/>
                <w:szCs w:val="8"/>
                <w:color w:val="auto"/>
              </w:rPr>
            </w:pPr>
          </w:p>
        </w:tc>
        <w:tc>
          <w:tcPr>
            <w:tcW w:w="100" w:type="dxa"/>
            <w:vAlign w:val="bottom"/>
            <w:tcBorders>
              <w:top w:val="single" w:sz="8" w:color="auto"/>
              <w:bottom w:val="single" w:sz="8" w:color="auto"/>
            </w:tcBorders>
            <w:shd w:val="clear" w:color="auto" w:fill="404040"/>
          </w:tcPr>
          <w:p>
            <w:pPr>
              <w:spacing w:after="0"/>
              <w:rPr>
                <w:sz w:val="8"/>
                <w:szCs w:val="8"/>
                <w:color w:val="auto"/>
              </w:rPr>
            </w:pPr>
          </w:p>
        </w:tc>
        <w:tc>
          <w:tcPr>
            <w:tcW w:w="220" w:type="dxa"/>
            <w:vAlign w:val="bottom"/>
            <w:tcBorders>
              <w:top w:val="single" w:sz="8" w:color="auto"/>
              <w:bottom w:val="single" w:sz="8" w:color="auto"/>
            </w:tcBorders>
            <w:shd w:val="clear" w:color="auto" w:fill="404040"/>
          </w:tcPr>
          <w:p>
            <w:pPr>
              <w:spacing w:after="0"/>
              <w:rPr>
                <w:sz w:val="8"/>
                <w:szCs w:val="8"/>
                <w:color w:val="auto"/>
              </w:rPr>
            </w:pPr>
          </w:p>
        </w:tc>
        <w:tc>
          <w:tcPr>
            <w:tcW w:w="420" w:type="dxa"/>
            <w:vAlign w:val="bottom"/>
            <w:tcBorders>
              <w:top w:val="single" w:sz="8" w:color="404040"/>
              <w:bottom w:val="single" w:sz="8" w:color="auto"/>
            </w:tcBorders>
            <w:shd w:val="clear" w:color="auto" w:fill="404040"/>
          </w:tcPr>
          <w:p>
            <w:pPr>
              <w:spacing w:after="0"/>
              <w:rPr>
                <w:sz w:val="8"/>
                <w:szCs w:val="8"/>
                <w:color w:val="auto"/>
              </w:rPr>
            </w:pPr>
          </w:p>
        </w:tc>
        <w:tc>
          <w:tcPr>
            <w:tcW w:w="280" w:type="dxa"/>
            <w:vAlign w:val="bottom"/>
            <w:tcBorders>
              <w:top w:val="single" w:sz="8" w:color="404040"/>
              <w:bottom w:val="single" w:sz="8" w:color="auto"/>
            </w:tcBorders>
            <w:shd w:val="clear" w:color="auto" w:fill="404040"/>
          </w:tcPr>
          <w:p>
            <w:pPr>
              <w:spacing w:after="0"/>
              <w:rPr>
                <w:sz w:val="8"/>
                <w:szCs w:val="8"/>
                <w:color w:val="auto"/>
              </w:rPr>
            </w:pPr>
          </w:p>
        </w:tc>
        <w:tc>
          <w:tcPr>
            <w:tcW w:w="21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16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00" w:type="dxa"/>
            <w:vAlign w:val="bottom"/>
            <w:tcBorders>
              <w:top w:val="single" w:sz="8" w:color="404040"/>
              <w:bottom w:val="single" w:sz="8" w:color="auto"/>
            </w:tcBorders>
            <w:shd w:val="clear" w:color="auto" w:fill="404040"/>
          </w:tcPr>
          <w:p>
            <w:pPr>
              <w:spacing w:after="0"/>
              <w:rPr>
                <w:sz w:val="8"/>
                <w:szCs w:val="8"/>
                <w:color w:val="auto"/>
              </w:rPr>
            </w:pPr>
          </w:p>
        </w:tc>
        <w:tc>
          <w:tcPr>
            <w:tcW w:w="1120" w:type="dxa"/>
            <w:vAlign w:val="bottom"/>
            <w:tcBorders>
              <w:top w:val="single" w:sz="8" w:color="404040"/>
              <w:bottom w:val="single" w:sz="8" w:color="auto"/>
            </w:tcBorders>
            <w:shd w:val="clear" w:color="auto" w:fill="404040"/>
          </w:tcPr>
          <w:p>
            <w:pPr>
              <w:spacing w:after="0"/>
              <w:rPr>
                <w:sz w:val="8"/>
                <w:szCs w:val="8"/>
                <w:color w:val="auto"/>
              </w:rPr>
            </w:pPr>
          </w:p>
        </w:tc>
        <w:tc>
          <w:tcPr>
            <w:tcW w:w="820" w:type="dxa"/>
            <w:vAlign w:val="bottom"/>
            <w:tcBorders>
              <w:top w:val="single" w:sz="8" w:color="404040"/>
              <w:bottom w:val="single" w:sz="8" w:color="auto"/>
              <w:right w:val="single" w:sz="8" w:color="404040"/>
            </w:tcBorders>
            <w:shd w:val="clear" w:color="auto" w:fill="404040"/>
          </w:tcPr>
          <w:p>
            <w:pPr>
              <w:spacing w:after="0"/>
              <w:rPr>
                <w:sz w:val="8"/>
                <w:szCs w:val="8"/>
                <w:color w:val="auto"/>
              </w:rPr>
            </w:pPr>
          </w:p>
        </w:tc>
        <w:tc>
          <w:tcPr>
            <w:tcW w:w="140" w:type="dxa"/>
            <w:vAlign w:val="bottom"/>
            <w:tcBorders>
              <w:top w:val="single" w:sz="8" w:color="404040"/>
              <w:bottom w:val="single" w:sz="8" w:color="auto"/>
            </w:tcBorders>
            <w:shd w:val="clear" w:color="auto" w:fill="404040"/>
          </w:tcPr>
          <w:p>
            <w:pPr>
              <w:spacing w:after="0"/>
              <w:rPr>
                <w:sz w:val="8"/>
                <w:szCs w:val="8"/>
                <w:color w:val="auto"/>
              </w:rPr>
            </w:pPr>
          </w:p>
        </w:tc>
        <w:tc>
          <w:tcPr>
            <w:tcW w:w="3360" w:type="dxa"/>
            <w:vAlign w:val="bottom"/>
            <w:tcBorders>
              <w:top w:val="single" w:sz="8" w:color="404040"/>
              <w:bottom w:val="single" w:sz="8" w:color="auto"/>
            </w:tcBorders>
            <w:shd w:val="clear" w:color="auto" w:fill="404040"/>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GPV: $</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Number Of Successful Transactions:</w:t>
            </w:r>
          </w:p>
        </w:tc>
        <w:tc>
          <w:tcPr>
            <w:tcW w:w="3200" w:type="dxa"/>
            <w:vAlign w:val="bottom"/>
            <w:gridSpan w:val="4"/>
          </w:tcPr>
          <w:p>
            <w:pPr>
              <w:ind w:left="120"/>
              <w:spacing w:after="0"/>
              <w:rPr>
                <w:sz w:val="20"/>
                <w:szCs w:val="20"/>
                <w:color w:val="auto"/>
              </w:rPr>
            </w:pPr>
            <w:r>
              <w:rPr>
                <w:rFonts w:ascii="Arial" w:cs="Arial" w:eastAsia="Arial" w:hAnsi="Arial"/>
                <w:sz w:val="18"/>
                <w:szCs w:val="18"/>
                <w:color w:val="auto"/>
                <w:w w:val="97"/>
              </w:rPr>
              <w:t>Number Of Unsuccessful Transactions:</w:t>
            </w: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auto"/>
            </w:tcBorders>
            <w:gridSpan w:val="10"/>
          </w:tcPr>
          <w:p>
            <w:pPr>
              <w:ind w:left="120"/>
              <w:spacing w:after="0"/>
              <w:rPr>
                <w:sz w:val="20"/>
                <w:szCs w:val="20"/>
                <w:color w:val="auto"/>
              </w:rPr>
            </w:pPr>
            <w:r>
              <w:rPr>
                <w:rFonts w:ascii="Arial" w:cs="Arial" w:eastAsia="Arial" w:hAnsi="Arial"/>
                <w:sz w:val="18"/>
                <w:szCs w:val="18"/>
                <w:color w:val="auto"/>
              </w:rPr>
              <w:t>Number Of Chargebacks:</w:t>
            </w:r>
          </w:p>
        </w:tc>
        <w:tc>
          <w:tcPr>
            <w:tcW w:w="6700" w:type="dxa"/>
            <w:vAlign w:val="bottom"/>
            <w:gridSpan w:val="6"/>
          </w:tcPr>
          <w:p>
            <w:pPr>
              <w:ind w:left="120"/>
              <w:spacing w:after="0"/>
              <w:rPr>
                <w:sz w:val="20"/>
                <w:szCs w:val="20"/>
                <w:color w:val="auto"/>
              </w:rPr>
            </w:pPr>
            <w:r>
              <w:rPr>
                <w:rFonts w:ascii="Arial" w:cs="Arial" w:eastAsia="Arial" w:hAnsi="Arial"/>
                <w:sz w:val="18"/>
                <w:szCs w:val="18"/>
                <w:color w:val="auto"/>
              </w:rPr>
              <w:t>Total Dollar Value of Received Chargebacks: $</w:t>
            </w: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0"/>
        </w:trPr>
        <w:tc>
          <w:tcPr>
            <w:tcW w:w="20" w:type="dxa"/>
            <w:vAlign w:val="bottom"/>
          </w:tcPr>
          <w:p>
            <w:pPr>
              <w:spacing w:after="0"/>
              <w:rPr>
                <w:sz w:val="20"/>
                <w:szCs w:val="20"/>
                <w:color w:val="auto"/>
              </w:rPr>
            </w:pPr>
          </w:p>
        </w:tc>
        <w:tc>
          <w:tcPr>
            <w:tcW w:w="4680" w:type="dxa"/>
            <w:vAlign w:val="bottom"/>
            <w:gridSpan w:val="10"/>
          </w:tcPr>
          <w:p>
            <w:pPr>
              <w:ind w:left="120"/>
              <w:spacing w:after="0"/>
              <w:rPr>
                <w:sz w:val="20"/>
                <w:szCs w:val="20"/>
                <w:color w:val="auto"/>
              </w:rPr>
            </w:pPr>
            <w:r>
              <w:rPr>
                <w:rFonts w:ascii="Arial" w:cs="Arial" w:eastAsia="Arial" w:hAnsi="Arial"/>
                <w:sz w:val="18"/>
                <w:szCs w:val="18"/>
                <w:color w:val="auto"/>
              </w:rPr>
              <w:t>Total Dollar Value of Frozen Collateral: $</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4680" w:type="dxa"/>
            <w:vAlign w:val="bottom"/>
            <w:tcBorders>
              <w:right w:val="single" w:sz="8" w:color="404040"/>
            </w:tcBorders>
            <w:gridSpan w:val="10"/>
            <w:shd w:val="clear" w:color="auto" w:fill="404040"/>
          </w:tcPr>
          <w:p>
            <w:pPr>
              <w:ind w:left="120"/>
              <w:spacing w:after="0" w:line="176" w:lineRule="exact"/>
              <w:rPr>
                <w:sz w:val="20"/>
                <w:szCs w:val="20"/>
                <w:color w:val="auto"/>
              </w:rPr>
            </w:pPr>
            <w:r>
              <w:rPr>
                <w:rFonts w:ascii="Arial" w:cs="Arial" w:eastAsia="Arial" w:hAnsi="Arial"/>
                <w:sz w:val="18"/>
                <w:szCs w:val="18"/>
                <w:color w:val="auto"/>
              </w:rPr>
              <w:t>Additional Account Notations</w:t>
            </w:r>
          </w:p>
        </w:tc>
        <w:tc>
          <w:tcPr>
            <w:tcW w:w="1160" w:type="dxa"/>
            <w:vAlign w:val="bottom"/>
            <w:tcBorders>
              <w:right w:val="single" w:sz="8" w:color="404040"/>
            </w:tcBorders>
            <w:shd w:val="clear" w:color="auto" w:fill="404040"/>
          </w:tcPr>
          <w:p>
            <w:pPr>
              <w:spacing w:after="0"/>
              <w:rPr>
                <w:sz w:val="15"/>
                <w:szCs w:val="15"/>
                <w:color w:val="auto"/>
              </w:rPr>
            </w:pPr>
          </w:p>
        </w:tc>
        <w:tc>
          <w:tcPr>
            <w:tcW w:w="100" w:type="dxa"/>
            <w:vAlign w:val="bottom"/>
            <w:shd w:val="clear" w:color="auto" w:fill="404040"/>
          </w:tcPr>
          <w:p>
            <w:pPr>
              <w:spacing w:after="0"/>
              <w:rPr>
                <w:sz w:val="15"/>
                <w:szCs w:val="15"/>
                <w:color w:val="auto"/>
              </w:rPr>
            </w:pPr>
          </w:p>
        </w:tc>
        <w:tc>
          <w:tcPr>
            <w:tcW w:w="1120" w:type="dxa"/>
            <w:vAlign w:val="bottom"/>
            <w:shd w:val="clear" w:color="auto" w:fill="404040"/>
          </w:tcPr>
          <w:p>
            <w:pPr>
              <w:spacing w:after="0"/>
              <w:rPr>
                <w:sz w:val="15"/>
                <w:szCs w:val="15"/>
                <w:color w:val="auto"/>
              </w:rPr>
            </w:pPr>
          </w:p>
        </w:tc>
        <w:tc>
          <w:tcPr>
            <w:tcW w:w="820" w:type="dxa"/>
            <w:vAlign w:val="bottom"/>
            <w:tcBorders>
              <w:right w:val="single" w:sz="8" w:color="404040"/>
            </w:tcBorders>
            <w:shd w:val="clear" w:color="auto" w:fill="404040"/>
          </w:tcPr>
          <w:p>
            <w:pPr>
              <w:spacing w:after="0"/>
              <w:rPr>
                <w:sz w:val="15"/>
                <w:szCs w:val="15"/>
                <w:color w:val="auto"/>
              </w:rPr>
            </w:pPr>
          </w:p>
        </w:tc>
        <w:tc>
          <w:tcPr>
            <w:tcW w:w="140" w:type="dxa"/>
            <w:vAlign w:val="bottom"/>
            <w:shd w:val="clear" w:color="auto" w:fill="404040"/>
          </w:tcPr>
          <w:p>
            <w:pPr>
              <w:spacing w:after="0"/>
              <w:rPr>
                <w:sz w:val="15"/>
                <w:szCs w:val="15"/>
                <w:color w:val="auto"/>
              </w:rPr>
            </w:pPr>
          </w:p>
        </w:tc>
        <w:tc>
          <w:tcPr>
            <w:tcW w:w="3360" w:type="dxa"/>
            <w:vAlign w:val="bottom"/>
            <w:shd w:val="clear" w:color="auto" w:fill="404040"/>
          </w:tcPr>
          <w:p>
            <w:pPr>
              <w:spacing w:after="0"/>
              <w:rPr>
                <w:sz w:val="15"/>
                <w:szCs w:val="15"/>
                <w:color w:val="auto"/>
              </w:rPr>
            </w:pPr>
          </w:p>
        </w:tc>
        <w:tc>
          <w:tcPr>
            <w:tcW w:w="20" w:type="dxa"/>
            <w:vAlign w:val="bottom"/>
          </w:tcPr>
          <w:p>
            <w:pPr>
              <w:spacing w:after="0"/>
              <w:rPr>
                <w:sz w:val="15"/>
                <w:szCs w:val="15"/>
                <w:color w:val="auto"/>
              </w:rPr>
            </w:pPr>
          </w:p>
        </w:tc>
      </w:tr>
      <w:tr>
        <w:trPr>
          <w:trHeight w:val="102"/>
        </w:trPr>
        <w:tc>
          <w:tcPr>
            <w:tcW w:w="20" w:type="dxa"/>
            <w:vAlign w:val="bottom"/>
          </w:tcPr>
          <w:p>
            <w:pPr>
              <w:spacing w:after="0"/>
              <w:rPr>
                <w:sz w:val="8"/>
                <w:szCs w:val="8"/>
                <w:color w:val="auto"/>
              </w:rPr>
            </w:pPr>
          </w:p>
        </w:tc>
        <w:tc>
          <w:tcPr>
            <w:tcW w:w="120" w:type="dxa"/>
            <w:vAlign w:val="bottom"/>
            <w:tcBorders>
              <w:top w:val="single" w:sz="8" w:color="404040"/>
            </w:tcBorders>
            <w:shd w:val="clear" w:color="auto" w:fill="404040"/>
          </w:tcPr>
          <w:p>
            <w:pPr>
              <w:spacing w:after="0"/>
              <w:rPr>
                <w:sz w:val="8"/>
                <w:szCs w:val="8"/>
                <w:color w:val="auto"/>
              </w:rPr>
            </w:pPr>
          </w:p>
        </w:tc>
        <w:tc>
          <w:tcPr>
            <w:tcW w:w="800" w:type="dxa"/>
            <w:vAlign w:val="bottom"/>
            <w:tcBorders>
              <w:top w:val="single" w:sz="8" w:color="auto"/>
            </w:tcBorders>
            <w:shd w:val="clear" w:color="auto" w:fill="404040"/>
          </w:tcPr>
          <w:p>
            <w:pPr>
              <w:spacing w:after="0"/>
              <w:rPr>
                <w:sz w:val="8"/>
                <w:szCs w:val="8"/>
                <w:color w:val="auto"/>
              </w:rPr>
            </w:pPr>
          </w:p>
        </w:tc>
        <w:tc>
          <w:tcPr>
            <w:tcW w:w="540" w:type="dxa"/>
            <w:vAlign w:val="bottom"/>
            <w:tcBorders>
              <w:top w:val="single" w:sz="8" w:color="auto"/>
            </w:tcBorders>
            <w:shd w:val="clear" w:color="auto" w:fill="404040"/>
          </w:tcPr>
          <w:p>
            <w:pPr>
              <w:spacing w:after="0"/>
              <w:rPr>
                <w:sz w:val="8"/>
                <w:szCs w:val="8"/>
                <w:color w:val="auto"/>
              </w:rPr>
            </w:pPr>
          </w:p>
        </w:tc>
        <w:tc>
          <w:tcPr>
            <w:tcW w:w="20" w:type="dxa"/>
            <w:vAlign w:val="bottom"/>
            <w:tcBorders>
              <w:top w:val="single" w:sz="8" w:color="auto"/>
            </w:tcBorders>
            <w:shd w:val="clear" w:color="auto" w:fill="404040"/>
          </w:tcPr>
          <w:p>
            <w:pPr>
              <w:spacing w:after="0"/>
              <w:rPr>
                <w:sz w:val="8"/>
                <w:szCs w:val="8"/>
                <w:color w:val="auto"/>
              </w:rPr>
            </w:pPr>
          </w:p>
        </w:tc>
        <w:tc>
          <w:tcPr>
            <w:tcW w:w="60" w:type="dxa"/>
            <w:vAlign w:val="bottom"/>
            <w:tcBorders>
              <w:top w:val="single" w:sz="8" w:color="auto"/>
            </w:tcBorders>
            <w:shd w:val="clear" w:color="auto" w:fill="404040"/>
          </w:tcPr>
          <w:p>
            <w:pPr>
              <w:spacing w:after="0"/>
              <w:rPr>
                <w:sz w:val="8"/>
                <w:szCs w:val="8"/>
                <w:color w:val="auto"/>
              </w:rPr>
            </w:pPr>
          </w:p>
        </w:tc>
        <w:tc>
          <w:tcPr>
            <w:tcW w:w="100" w:type="dxa"/>
            <w:vAlign w:val="bottom"/>
            <w:tcBorders>
              <w:top w:val="single" w:sz="8" w:color="auto"/>
            </w:tcBorders>
            <w:shd w:val="clear" w:color="auto" w:fill="404040"/>
          </w:tcPr>
          <w:p>
            <w:pPr>
              <w:spacing w:after="0"/>
              <w:rPr>
                <w:sz w:val="8"/>
                <w:szCs w:val="8"/>
                <w:color w:val="auto"/>
              </w:rPr>
            </w:pPr>
          </w:p>
        </w:tc>
        <w:tc>
          <w:tcPr>
            <w:tcW w:w="220" w:type="dxa"/>
            <w:vAlign w:val="bottom"/>
            <w:tcBorders>
              <w:top w:val="single" w:sz="8" w:color="auto"/>
            </w:tcBorders>
            <w:shd w:val="clear" w:color="auto" w:fill="404040"/>
          </w:tcPr>
          <w:p>
            <w:pPr>
              <w:spacing w:after="0"/>
              <w:rPr>
                <w:sz w:val="8"/>
                <w:szCs w:val="8"/>
                <w:color w:val="auto"/>
              </w:rPr>
            </w:pPr>
          </w:p>
        </w:tc>
        <w:tc>
          <w:tcPr>
            <w:tcW w:w="420" w:type="dxa"/>
            <w:vAlign w:val="bottom"/>
            <w:tcBorders>
              <w:top w:val="single" w:sz="8" w:color="auto"/>
            </w:tcBorders>
            <w:shd w:val="clear" w:color="auto" w:fill="404040"/>
          </w:tcPr>
          <w:p>
            <w:pPr>
              <w:spacing w:after="0"/>
              <w:rPr>
                <w:sz w:val="8"/>
                <w:szCs w:val="8"/>
                <w:color w:val="auto"/>
              </w:rPr>
            </w:pPr>
          </w:p>
        </w:tc>
        <w:tc>
          <w:tcPr>
            <w:tcW w:w="280" w:type="dxa"/>
            <w:vAlign w:val="bottom"/>
            <w:tcBorders>
              <w:top w:val="single" w:sz="8" w:color="404040"/>
            </w:tcBorders>
            <w:shd w:val="clear" w:color="auto" w:fill="404040"/>
          </w:tcPr>
          <w:p>
            <w:pPr>
              <w:spacing w:after="0"/>
              <w:rPr>
                <w:sz w:val="8"/>
                <w:szCs w:val="8"/>
                <w:color w:val="auto"/>
              </w:rPr>
            </w:pPr>
          </w:p>
        </w:tc>
        <w:tc>
          <w:tcPr>
            <w:tcW w:w="2120" w:type="dxa"/>
            <w:vAlign w:val="bottom"/>
            <w:tcBorders>
              <w:top w:val="single" w:sz="8" w:color="404040"/>
              <w:right w:val="single" w:sz="8" w:color="404040"/>
            </w:tcBorders>
            <w:shd w:val="clear" w:color="auto" w:fill="404040"/>
          </w:tcPr>
          <w:p>
            <w:pPr>
              <w:spacing w:after="0"/>
              <w:rPr>
                <w:sz w:val="8"/>
                <w:szCs w:val="8"/>
                <w:color w:val="auto"/>
              </w:rPr>
            </w:pPr>
          </w:p>
        </w:tc>
        <w:tc>
          <w:tcPr>
            <w:tcW w:w="1160" w:type="dxa"/>
            <w:vAlign w:val="bottom"/>
            <w:tcBorders>
              <w:top w:val="single" w:sz="8" w:color="404040"/>
              <w:right w:val="single" w:sz="8" w:color="404040"/>
            </w:tcBorders>
            <w:shd w:val="clear" w:color="auto" w:fill="404040"/>
          </w:tcPr>
          <w:p>
            <w:pPr>
              <w:spacing w:after="0"/>
              <w:rPr>
                <w:sz w:val="8"/>
                <w:szCs w:val="8"/>
                <w:color w:val="auto"/>
              </w:rPr>
            </w:pPr>
          </w:p>
        </w:tc>
        <w:tc>
          <w:tcPr>
            <w:tcW w:w="100" w:type="dxa"/>
            <w:vAlign w:val="bottom"/>
            <w:tcBorders>
              <w:top w:val="single" w:sz="8" w:color="404040"/>
            </w:tcBorders>
            <w:shd w:val="clear" w:color="auto" w:fill="404040"/>
          </w:tcPr>
          <w:p>
            <w:pPr>
              <w:spacing w:after="0"/>
              <w:rPr>
                <w:sz w:val="8"/>
                <w:szCs w:val="8"/>
                <w:color w:val="auto"/>
              </w:rPr>
            </w:pPr>
          </w:p>
        </w:tc>
        <w:tc>
          <w:tcPr>
            <w:tcW w:w="1120" w:type="dxa"/>
            <w:vAlign w:val="bottom"/>
            <w:tcBorders>
              <w:top w:val="single" w:sz="8" w:color="404040"/>
            </w:tcBorders>
            <w:shd w:val="clear" w:color="auto" w:fill="404040"/>
          </w:tcPr>
          <w:p>
            <w:pPr>
              <w:spacing w:after="0"/>
              <w:rPr>
                <w:sz w:val="8"/>
                <w:szCs w:val="8"/>
                <w:color w:val="auto"/>
              </w:rPr>
            </w:pPr>
          </w:p>
        </w:tc>
        <w:tc>
          <w:tcPr>
            <w:tcW w:w="820" w:type="dxa"/>
            <w:vAlign w:val="bottom"/>
            <w:tcBorders>
              <w:top w:val="single" w:sz="8" w:color="404040"/>
              <w:right w:val="single" w:sz="8" w:color="404040"/>
            </w:tcBorders>
            <w:shd w:val="clear" w:color="auto" w:fill="404040"/>
          </w:tcPr>
          <w:p>
            <w:pPr>
              <w:spacing w:after="0"/>
              <w:rPr>
                <w:sz w:val="8"/>
                <w:szCs w:val="8"/>
                <w:color w:val="auto"/>
              </w:rPr>
            </w:pPr>
          </w:p>
        </w:tc>
        <w:tc>
          <w:tcPr>
            <w:tcW w:w="140" w:type="dxa"/>
            <w:vAlign w:val="bottom"/>
            <w:tcBorders>
              <w:top w:val="single" w:sz="8" w:color="404040"/>
            </w:tcBorders>
            <w:shd w:val="clear" w:color="auto" w:fill="404040"/>
          </w:tcPr>
          <w:p>
            <w:pPr>
              <w:spacing w:after="0"/>
              <w:rPr>
                <w:sz w:val="8"/>
                <w:szCs w:val="8"/>
                <w:color w:val="auto"/>
              </w:rPr>
            </w:pPr>
          </w:p>
        </w:tc>
        <w:tc>
          <w:tcPr>
            <w:tcW w:w="3360" w:type="dxa"/>
            <w:vAlign w:val="bottom"/>
            <w:tcBorders>
              <w:top w:val="single" w:sz="8" w:color="404040"/>
            </w:tcBorders>
            <w:shd w:val="clear" w:color="auto" w:fill="404040"/>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-5727700</wp:posOffset>
            </wp:positionV>
            <wp:extent cx="7246620" cy="70751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707517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Why was action taken on the account?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If a merchant questionnaire was submitted, what was supplied?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public information: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background information: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Notes from the overall payment activity: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Notes from chargebacks/refunds/tipping:</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account connections: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Shared card activity (if applicable):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Summary of why the account is being escalated: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Exhibit B-5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PARTY PAYMENT PROCESSOR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certification is a JPMorgan Chase Bank, N.A. (“JPMC”) requirement for all third party processors including clients that process payments for their affiliates through their JPMC deposit accounts. This form is intended to facilitate JPMC’s compliance with applicable Anti-Money Laundering (AML) laws and regulations. This form should be updated whenever the below named Client makes changes in their Due Diligence Program that would affect the accuracy of the information provided in this certification. As used in this form, the term “Customer” means the Client’s customer, affiliate or other third party whose payments are being transmitted or otherwise processed through the Client’s account at JPMC.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4356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4356735"/>
                    </a:xfrm>
                    <a:prstGeom prst="rect">
                      <a:avLst/>
                    </a:prstGeom>
                    <a:noFill/>
                  </pic:spPr>
                </pic:pic>
              </a:graphicData>
            </a:graphic>
          </wp:anchor>
        </w:drawing>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 BE COMPLETED BY A SENIOR MANAGER OR COMPLIANCE OFFICER</w:t>
      </w:r>
    </w:p>
    <w:p>
      <w:pPr>
        <w:spacing w:after="0" w:line="33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Legal Name of Client: _______________________________________________________________</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TIN: __________________</w:t>
      </w:r>
    </w:p>
    <w:p>
      <w:pPr>
        <w:spacing w:after="0" w:line="225"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I am an authorized officer, member, manager, director or other authorized official of the above-named client (the “Client”). I hereby certify that the following information:</w:t>
      </w:r>
    </w:p>
    <w:p>
      <w:pPr>
        <w:spacing w:after="0" w:line="170"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the Client have a duly authorized Compliance Officer?</w:t>
      </w:r>
    </w:p>
    <w:p>
      <w:pPr>
        <w:spacing w:after="0" w:line="23" w:lineRule="exact"/>
        <w:rPr>
          <w:sz w:val="20"/>
          <w:szCs w:val="20"/>
          <w:color w:val="auto"/>
        </w:rPr>
      </w:pPr>
    </w:p>
    <w:p>
      <w:pPr>
        <w:ind w:left="700"/>
        <w:spacing w:after="0" w:line="207" w:lineRule="exact"/>
        <w:tabs>
          <w:tab w:leader="none" w:pos="1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“Yes”, list the following:</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___________________________ Title: ____________________________</w:t>
      </w:r>
    </w:p>
    <w:p>
      <w:pPr>
        <w:spacing w:after="0" w:line="211" w:lineRule="exact"/>
        <w:rPr>
          <w:sz w:val="20"/>
          <w:szCs w:val="20"/>
          <w:color w:val="auto"/>
        </w:rPr>
      </w:pPr>
    </w:p>
    <w:p>
      <w:pPr>
        <w:ind w:left="700" w:right="140" w:hanging="318"/>
        <w:spacing w:after="0" w:line="255" w:lineRule="auto"/>
        <w:tabs>
          <w:tab w:leader="none" w:pos="7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Does the Client maintain risk-policies, procedures, and a system of internal controls to assure ongoing Customer Due Diligence validating the legitimacy of the Customers’ businesses such as conducting background checks?</w:t>
      </w:r>
    </w:p>
    <w:p>
      <w:pPr>
        <w:spacing w:after="0" w:line="2"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ind w:left="740" w:hanging="358"/>
        <w:spacing w:after="0"/>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Does the Client maintain a written Customer Identification Program (“CIP”) that includes the validation of the identity of Customers through 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particular process or tool?</w:t>
      </w:r>
    </w:p>
    <w:p>
      <w:pPr>
        <w:spacing w:after="0" w:line="9"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“Yes”, please describe below:</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____________________________________________________________________________________________________________</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____________________________________________________________________________________________________________</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____________________________________________________________________________________________________________</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____________________________________________________________________________________________________________</w:t>
      </w:r>
    </w:p>
    <w:p>
      <w:pPr>
        <w:spacing w:after="0" w:line="222" w:lineRule="exact"/>
        <w:rPr>
          <w:sz w:val="20"/>
          <w:szCs w:val="20"/>
          <w:color w:val="auto"/>
        </w:rPr>
      </w:pPr>
    </w:p>
    <w:p>
      <w:pPr>
        <w:ind w:left="740" w:hanging="358"/>
        <w:spacing w:after="0"/>
        <w:tabs>
          <w:tab w:leader="none" w:pos="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Does the Client conduct AML training for employees involved in AML functions?</w:t>
      </w:r>
    </w:p>
    <w:p>
      <w:pPr>
        <w:spacing w:after="0" w:line="18"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5" w:name="page126"/>
    <w:bookmarkEnd w:id="125"/>
    <w:p>
      <w:pPr>
        <w:ind w:left="380"/>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5162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5162550"/>
                    </a:xfrm>
                    <a:prstGeom prst="rect">
                      <a:avLst/>
                    </a:prstGeom>
                    <a:noFill/>
                  </pic:spPr>
                </pic:pic>
              </a:graphicData>
            </a:graphic>
          </wp:anchor>
        </w:drawing>
        <w:t>4.</w:t>
      </w:r>
      <w:r>
        <w:rPr>
          <w:sz w:val="20"/>
          <w:szCs w:val="20"/>
          <w:color w:val="auto"/>
        </w:rPr>
        <w:tab/>
      </w:r>
      <w:r>
        <w:rPr>
          <w:rFonts w:ascii="Arial" w:cs="Arial" w:eastAsia="Arial" w:hAnsi="Arial"/>
          <w:sz w:val="16"/>
          <w:szCs w:val="16"/>
          <w:color w:val="auto"/>
        </w:rPr>
        <w:t>Does the Client independently test for compliance with the program and applicable laws?</w:t>
      </w:r>
    </w:p>
    <w:p>
      <w:pPr>
        <w:spacing w:after="0" w:line="23"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“Yes”, list the following:</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of last independent test: ______________________</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 of Entity who conducted the test: _________________________________</w:t>
      </w:r>
    </w:p>
    <w:p>
      <w:pPr>
        <w:spacing w:after="0" w:line="211" w:lineRule="exact"/>
        <w:rPr>
          <w:sz w:val="20"/>
          <w:szCs w:val="20"/>
          <w:color w:val="auto"/>
        </w:rPr>
      </w:pPr>
    </w:p>
    <w:p>
      <w:pPr>
        <w:ind w:left="740" w:hanging="358"/>
        <w:spacing w:after="0"/>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Does the Client perform transaction monitoring to assess and manage the risks associated with processing third party payments to identify</w:t>
      </w:r>
    </w:p>
    <w:p>
      <w:pPr>
        <w:spacing w:after="0" w:line="35" w:lineRule="exact"/>
        <w:rPr>
          <w:sz w:val="20"/>
          <w:szCs w:val="20"/>
          <w:color w:val="auto"/>
        </w:rPr>
      </w:pPr>
    </w:p>
    <w:p>
      <w:pPr>
        <w:ind w:left="780" w:right="500" w:hanging="80"/>
        <w:spacing w:after="0" w:line="226" w:lineRule="exact"/>
        <w:rPr>
          <w:sz w:val="20"/>
          <w:szCs w:val="20"/>
          <w:color w:val="auto"/>
        </w:rPr>
      </w:pPr>
      <w:r>
        <w:rPr>
          <w:rFonts w:ascii="Arial" w:cs="Arial" w:eastAsia="Arial" w:hAnsi="Arial"/>
          <w:sz w:val="18"/>
          <w:szCs w:val="18"/>
          <w:color w:val="auto"/>
        </w:rPr>
        <w:t xml:space="preserve">potentially suspicious activity, including ACH debit returns (including unauthorized returns), and if applicable, charge-backs or other returns?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left="700" w:right="140" w:hanging="318"/>
        <w:spacing w:after="0" w:line="255" w:lineRule="auto"/>
        <w:tabs>
          <w:tab w:leader="none" w:pos="691"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Does the Client immediately report to JPMC any activity or transaction of a Customer that the Client suspects or becomes aware that such activity or transaction may be of an illegal or illegitimate nature?</w:t>
      </w:r>
    </w:p>
    <w:p>
      <w:pPr>
        <w:spacing w:after="0" w:line="2" w:lineRule="exact"/>
        <w:rPr>
          <w:sz w:val="20"/>
          <w:szCs w:val="20"/>
          <w:color w:val="auto"/>
        </w:rPr>
      </w:pPr>
    </w:p>
    <w:tbl>
      <w:tblPr>
        <w:tblLayout w:type="fixed"/>
        <w:tblInd w:w="380" w:type="dxa"/>
        <w:tblCellMar>
          <w:top w:w="0" w:type="dxa"/>
          <w:left w:w="0" w:type="dxa"/>
          <w:bottom w:w="0" w:type="dxa"/>
          <w:right w:w="0" w:type="dxa"/>
        </w:tblCellMar>
      </w:tblPr>
      <w:tr>
        <w:trPr>
          <w:trHeight w:val="283"/>
        </w:trPr>
        <w:tc>
          <w:tcPr>
            <w:tcW w:w="220" w:type="dxa"/>
            <w:vAlign w:val="bottom"/>
          </w:tcPr>
          <w:p>
            <w:pPr>
              <w:spacing w:after="0"/>
              <w:rPr>
                <w:sz w:val="24"/>
                <w:szCs w:val="24"/>
                <w:color w:val="auto"/>
              </w:rPr>
            </w:pPr>
          </w:p>
        </w:tc>
        <w:tc>
          <w:tcPr>
            <w:tcW w:w="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23"/>
        </w:trPr>
        <w:tc>
          <w:tcPr>
            <w:tcW w:w="22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Does the Client conduct OFAC sanctions screening?</w:t>
            </w:r>
          </w:p>
        </w:tc>
      </w:tr>
      <w:tr>
        <w:trPr>
          <w:trHeight w:val="283"/>
        </w:trPr>
        <w:tc>
          <w:tcPr>
            <w:tcW w:w="220" w:type="dxa"/>
            <w:vAlign w:val="bottom"/>
          </w:tcPr>
          <w:p>
            <w:pPr>
              <w:spacing w:after="0"/>
              <w:rPr>
                <w:sz w:val="24"/>
                <w:szCs w:val="24"/>
                <w:color w:val="auto"/>
              </w:rPr>
            </w:pPr>
          </w:p>
        </w:tc>
        <w:tc>
          <w:tcPr>
            <w:tcW w:w="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22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0"/>
              </w:rPr>
              <w:t>Has the Client provided JPMC with a list of Customers’ names, addresses, taxpayer identification numbers, and principal business activities?</w:t>
            </w:r>
          </w:p>
        </w:tc>
      </w:tr>
      <w:tr>
        <w:trPr>
          <w:trHeight w:val="283"/>
        </w:trPr>
        <w:tc>
          <w:tcPr>
            <w:tcW w:w="220" w:type="dxa"/>
            <w:vAlign w:val="bottom"/>
          </w:tcPr>
          <w:p>
            <w:pPr>
              <w:spacing w:after="0"/>
              <w:rPr>
                <w:sz w:val="24"/>
                <w:szCs w:val="24"/>
                <w:color w:val="auto"/>
              </w:rPr>
            </w:pPr>
          </w:p>
        </w:tc>
        <w:tc>
          <w:tcPr>
            <w:tcW w:w="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0"/>
          <w:szCs w:val="20"/>
          <w:color w:val="auto"/>
        </w:rPr>
      </w:pPr>
    </w:p>
    <w:p>
      <w:pPr>
        <w:ind w:left="700" w:right="140" w:hanging="318"/>
        <w:spacing w:after="0" w:line="255" w:lineRule="auto"/>
        <w:tabs>
          <w:tab w:leader="none" w:pos="7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Does the Client notify JPMC of new customers including the name, address, taxpayer identification number, principal business activity, and does the Client collect customer identification due diligence and screening on such customers prior to submission?</w:t>
      </w:r>
    </w:p>
    <w:p>
      <w:pPr>
        <w:spacing w:after="0" w:line="2"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ind w:left="780" w:right="360" w:hanging="404"/>
        <w:spacing w:after="0" w:line="233" w:lineRule="exact"/>
        <w:rPr>
          <w:sz w:val="20"/>
          <w:szCs w:val="20"/>
          <w:color w:val="auto"/>
        </w:rPr>
      </w:pPr>
      <w:r>
        <w:rPr>
          <w:rFonts w:ascii="Arial" w:cs="Arial" w:eastAsia="Arial" w:hAnsi="Arial"/>
          <w:sz w:val="18"/>
          <w:szCs w:val="18"/>
          <w:color w:val="auto"/>
        </w:rPr>
        <w:t xml:space="preserve">10. Can the Client verify they do not have any prohibited customer types (as identified to the Client by JPMC) transacting through JPMC accounts?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left="700" w:right="140" w:hanging="318"/>
        <w:spacing w:after="0" w:line="255" w:lineRule="auto"/>
        <w:tabs>
          <w:tab w:leader="none" w:pos="7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Can the Client verify they do not permit its Customers to resell services to any parties as related to transactions through JPMC accounts or services?</w:t>
      </w:r>
    </w:p>
    <w:p>
      <w:pPr>
        <w:spacing w:after="0" w:line="2"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ind w:left="700" w:right="140" w:hanging="318"/>
        <w:spacing w:after="0" w:line="255" w:lineRule="auto"/>
        <w:tabs>
          <w:tab w:leader="none" w:pos="7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Can the Client verify they do not have any relationships with money service businesses, financial institutions, payment processors or any other intermediaries that may be executing payments on behalf of third parties through Client’s accounts at JPMC?</w:t>
      </w:r>
    </w:p>
    <w:p>
      <w:pPr>
        <w:spacing w:after="0" w:line="2" w:lineRule="exact"/>
        <w:rPr>
          <w:sz w:val="20"/>
          <w:szCs w:val="20"/>
          <w:color w:val="auto"/>
        </w:rPr>
      </w:pPr>
    </w:p>
    <w:p>
      <w:pPr>
        <w:ind w:left="780"/>
        <w:spacing w:after="0" w:line="207" w:lineRule="exact"/>
        <w:tabs>
          <w:tab w:leader="none" w:pos="1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jc w:val="right"/>
              <w:spacing w:after="0"/>
              <w:rPr>
                <w:sz w:val="20"/>
                <w:szCs w:val="20"/>
                <w:color w:val="auto"/>
              </w:rPr>
            </w:pPr>
            <w:r>
              <w:rPr>
                <w:rFonts w:ascii="Arial" w:cs="Arial" w:eastAsia="Arial" w:hAnsi="Arial"/>
                <w:sz w:val="18"/>
                <w:szCs w:val="18"/>
                <w:color w:val="auto"/>
              </w:rPr>
              <w:t>13. Can the</w:t>
            </w: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Client verify they do not have any Customers that are involved in gaming where transactions are processed through JPMC accounts?</w:t>
            </w:r>
          </w:p>
        </w:tc>
      </w:tr>
      <w:tr>
        <w:trPr>
          <w:trHeight w:val="283"/>
        </w:trPr>
        <w:tc>
          <w:tcPr>
            <w:tcW w:w="12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014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
        </w:trPr>
        <w:tc>
          <w:tcPr>
            <w:tcW w:w="1280" w:type="dxa"/>
            <w:vAlign w:val="bottom"/>
            <w:tcBorders>
              <w:bottom w:val="single" w:sz="8" w:color="auto"/>
            </w:tcBorders>
          </w:tcPr>
          <w:p>
            <w:pPr>
              <w:spacing w:after="0"/>
              <w:rPr>
                <w:sz w:val="2"/>
                <w:szCs w:val="2"/>
                <w:color w:val="auto"/>
              </w:rPr>
            </w:pPr>
          </w:p>
        </w:tc>
        <w:tc>
          <w:tcPr>
            <w:tcW w:w="10140" w:type="dxa"/>
            <w:vAlign w:val="bottom"/>
            <w:tcBorders>
              <w:bottom w:val="single" w:sz="8" w:color="auto"/>
            </w:tcBorders>
          </w:tcPr>
          <w:p>
            <w:pPr>
              <w:spacing w:after="0"/>
              <w:rPr>
                <w:sz w:val="2"/>
                <w:szCs w:val="2"/>
                <w:color w:val="auto"/>
              </w:rPr>
            </w:pPr>
          </w:p>
        </w:tc>
      </w:tr>
      <w:tr>
        <w:trPr>
          <w:trHeight w:val="675"/>
        </w:trPr>
        <w:tc>
          <w:tcPr>
            <w:tcW w:w="1280" w:type="dxa"/>
            <w:vAlign w:val="bottom"/>
            <w:tcBorders>
              <w:bottom w:val="single" w:sz="8" w:color="DCDCDC"/>
            </w:tcBorders>
          </w:tcPr>
          <w:p>
            <w:pPr>
              <w:spacing w:after="0"/>
              <w:rPr>
                <w:sz w:val="24"/>
                <w:szCs w:val="24"/>
                <w:color w:val="auto"/>
              </w:rPr>
            </w:pPr>
          </w:p>
        </w:tc>
        <w:tc>
          <w:tcPr>
            <w:tcW w:w="10140" w:type="dxa"/>
            <w:vAlign w:val="bottom"/>
            <w:tcBorders>
              <w:bottom w:val="single" w:sz="8" w:color="DCDCDC"/>
            </w:tcBorders>
          </w:tcPr>
          <w:p>
            <w:pPr>
              <w:ind w:left="3940"/>
              <w:spacing w:after="0"/>
              <w:rPr>
                <w:sz w:val="20"/>
                <w:szCs w:val="20"/>
                <w:color w:val="auto"/>
              </w:rPr>
            </w:pPr>
            <w:r>
              <w:rPr>
                <w:rFonts w:ascii="Arial" w:cs="Arial" w:eastAsia="Arial" w:hAnsi="Arial"/>
                <w:sz w:val="18"/>
                <w:szCs w:val="18"/>
                <w:color w:val="auto"/>
              </w:rPr>
              <w:t>Page 28 of 35</w:t>
            </w:r>
          </w:p>
        </w:tc>
      </w:tr>
    </w:tbl>
    <w:p>
      <w:pPr>
        <w:sectPr>
          <w:pgSz w:w="11900" w:h="16838" w:orient="portrait"/>
          <w:cols w:equalWidth="0" w:num="1">
            <w:col w:w="11420"/>
          </w:cols>
          <w:pgMar w:left="240" w:top="733" w:right="239" w:bottom="1440" w:gutter="0" w:footer="0" w:header="0"/>
        </w:sectPr>
      </w:pPr>
    </w:p>
    <w:bookmarkStart w:id="126" w:name="page127"/>
    <w:bookmarkEnd w:id="126"/>
    <w:p>
      <w:pPr>
        <w:ind w:left="780" w:right="1700" w:hanging="404"/>
        <w:spacing w:after="0" w:line="233"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5862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t xml:space="preserve">14. Has the Client provided JPMC with a Regulation GG Unlawful Internet Gambling Certification for any U.S. dollar accounts?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1"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The undersigned further certifies that he/she has read and understands this Certification, that the statements made in this Certification are complete and correct in all material respects, and that he/she is authorized to execute this Certification on behalf of the Client.</w:t>
      </w:r>
    </w:p>
    <w:tbl>
      <w:tblPr>
        <w:tblLayout w:type="fixed"/>
        <w:tblInd w:w="0" w:type="dxa"/>
        <w:tblCellMar>
          <w:top w:w="0" w:type="dxa"/>
          <w:left w:w="0" w:type="dxa"/>
          <w:bottom w:w="0" w:type="dxa"/>
          <w:right w:w="0" w:type="dxa"/>
        </w:tblCellMar>
      </w:tblPr>
      <w:tr>
        <w:trPr>
          <w:trHeight w:val="340"/>
        </w:trPr>
        <w:tc>
          <w:tcPr>
            <w:tcW w:w="3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Authorized Certifying Signature:</w:t>
            </w:r>
          </w:p>
        </w:tc>
        <w:tc>
          <w:tcPr>
            <w:tcW w:w="2900" w:type="dxa"/>
            <w:vAlign w:val="bottom"/>
            <w:tcBorders>
              <w:top w:val="single" w:sz="8" w:color="auto"/>
              <w:right w:val="single" w:sz="8" w:color="auto"/>
            </w:tcBorders>
          </w:tcPr>
          <w:p>
            <w:pPr>
              <w:spacing w:after="0"/>
              <w:rPr>
                <w:sz w:val="24"/>
                <w:szCs w:val="24"/>
                <w:color w:val="auto"/>
              </w:rPr>
            </w:pPr>
          </w:p>
        </w:tc>
        <w:tc>
          <w:tcPr>
            <w:tcW w:w="46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Date:</w:t>
            </w:r>
          </w:p>
        </w:tc>
      </w:tr>
      <w:tr>
        <w:trPr>
          <w:trHeight w:val="48"/>
        </w:trPr>
        <w:tc>
          <w:tcPr>
            <w:tcW w:w="3860" w:type="dxa"/>
            <w:vAlign w:val="bottom"/>
            <w:tcBorders>
              <w:bottom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r>
      <w:tr>
        <w:trPr>
          <w:trHeight w:val="324"/>
        </w:trPr>
        <w:tc>
          <w:tcPr>
            <w:tcW w:w="3860" w:type="dxa"/>
            <w:vAlign w:val="bottom"/>
          </w:tcPr>
          <w:p>
            <w:pPr>
              <w:ind w:left="140"/>
              <w:spacing w:after="0"/>
              <w:rPr>
                <w:sz w:val="20"/>
                <w:szCs w:val="20"/>
                <w:color w:val="auto"/>
              </w:rPr>
            </w:pPr>
            <w:r>
              <w:rPr>
                <w:rFonts w:ascii="Arial" w:cs="Arial" w:eastAsia="Arial" w:hAnsi="Arial"/>
                <w:sz w:val="18"/>
                <w:szCs w:val="18"/>
                <w:color w:val="auto"/>
              </w:rPr>
              <w:t>Printed Name:</w:t>
            </w:r>
          </w:p>
        </w:tc>
        <w:tc>
          <w:tcPr>
            <w:tcW w:w="2900" w:type="dxa"/>
            <w:vAlign w:val="bottom"/>
            <w:tcBorders>
              <w:right w:val="single" w:sz="8" w:color="auto"/>
            </w:tcBorders>
          </w:tcPr>
          <w:p>
            <w:pPr>
              <w:spacing w:after="0"/>
              <w:rPr>
                <w:sz w:val="24"/>
                <w:szCs w:val="24"/>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Title:</w:t>
            </w:r>
          </w:p>
        </w:tc>
      </w:tr>
      <w:tr>
        <w:trPr>
          <w:trHeight w:val="48"/>
        </w:trPr>
        <w:tc>
          <w:tcPr>
            <w:tcW w:w="3860" w:type="dxa"/>
            <w:vAlign w:val="bottom"/>
            <w:tcBorders>
              <w:bottom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r>
      <w:tr>
        <w:trPr>
          <w:trHeight w:val="324"/>
        </w:trPr>
        <w:tc>
          <w:tcPr>
            <w:tcW w:w="3860" w:type="dxa"/>
            <w:vAlign w:val="bottom"/>
          </w:tcPr>
          <w:p>
            <w:pPr>
              <w:ind w:left="140"/>
              <w:spacing w:after="0"/>
              <w:rPr>
                <w:sz w:val="20"/>
                <w:szCs w:val="20"/>
                <w:color w:val="auto"/>
              </w:rPr>
            </w:pPr>
            <w:r>
              <w:rPr>
                <w:rFonts w:ascii="Arial" w:cs="Arial" w:eastAsia="Arial" w:hAnsi="Arial"/>
                <w:sz w:val="18"/>
                <w:szCs w:val="18"/>
                <w:color w:val="auto"/>
              </w:rPr>
              <w:t>Address:</w:t>
            </w:r>
          </w:p>
        </w:tc>
        <w:tc>
          <w:tcPr>
            <w:tcW w:w="2900" w:type="dxa"/>
            <w:vAlign w:val="bottom"/>
            <w:tcBorders>
              <w:right w:val="single" w:sz="8" w:color="auto"/>
            </w:tcBorders>
          </w:tcPr>
          <w:p>
            <w:pPr>
              <w:spacing w:after="0"/>
              <w:rPr>
                <w:sz w:val="24"/>
                <w:szCs w:val="24"/>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Phone Number:</w:t>
            </w:r>
          </w:p>
        </w:tc>
      </w:tr>
      <w:tr>
        <w:trPr>
          <w:trHeight w:val="48"/>
        </w:trPr>
        <w:tc>
          <w:tcPr>
            <w:tcW w:w="3860" w:type="dxa"/>
            <w:vAlign w:val="bottom"/>
            <w:tcBorders>
              <w:bottom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r>
      <w:tr>
        <w:trPr>
          <w:trHeight w:val="648"/>
        </w:trPr>
        <w:tc>
          <w:tcPr>
            <w:tcW w:w="3860" w:type="dxa"/>
            <w:vAlign w:val="bottom"/>
            <w:tcBorders>
              <w:bottom w:val="single" w:sz="8" w:color="DCDCDC"/>
            </w:tcBorders>
          </w:tcPr>
          <w:p>
            <w:pPr>
              <w:spacing w:after="0"/>
              <w:rPr>
                <w:sz w:val="24"/>
                <w:szCs w:val="24"/>
                <w:color w:val="auto"/>
              </w:rPr>
            </w:pPr>
          </w:p>
        </w:tc>
        <w:tc>
          <w:tcPr>
            <w:tcW w:w="7560" w:type="dxa"/>
            <w:vAlign w:val="bottom"/>
            <w:tcBorders>
              <w:bottom w:val="single" w:sz="8" w:color="DCDCDC"/>
            </w:tcBorders>
            <w:gridSpan w:val="2"/>
          </w:tcPr>
          <w:p>
            <w:pPr>
              <w:ind w:left="1360"/>
              <w:spacing w:after="0"/>
              <w:rPr>
                <w:sz w:val="20"/>
                <w:szCs w:val="20"/>
                <w:color w:val="auto"/>
              </w:rPr>
            </w:pPr>
            <w:r>
              <w:rPr>
                <w:rFonts w:ascii="Arial" w:cs="Arial" w:eastAsia="Arial" w:hAnsi="Arial"/>
                <w:sz w:val="18"/>
                <w:szCs w:val="18"/>
                <w:color w:val="auto"/>
              </w:rPr>
              <w:t>Page 29 of 35</w:t>
            </w:r>
          </w:p>
        </w:tc>
      </w:tr>
    </w:tbl>
    <w:p>
      <w:pPr>
        <w:sectPr>
          <w:pgSz w:w="11900" w:h="16838" w:orient="portrait"/>
          <w:cols w:equalWidth="0" w:num="1">
            <w:col w:w="11420"/>
          </w:cols>
          <w:pgMar w:left="240" w:top="733"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Entities Agreement)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This Commercial Entity User Agreement (“CEA”) is provided to all Program Participants that are Commercial Entities (as defined by Visa and MasterCard) and open an account with USA Technologies, Inc. (“USA Technologies). Each such entity or person receiving this CEA is referred to herein as “Merchant” and may be referred to herein as “you” and/or “your”. This CEA constitutes your separate legally binding contract for credit and debit card processing for payment transactions between (1 ) you, as a Commercial Entity; and (2) Paymentech, LLC on behalf of itself and JPMorgan Chase Bank, NA (collectively, “Paymentech”). Paymentech shall be a third-party beneficiary of, and may enforce any provisions of, or cease providing credit and debit card processing services under, the USA Technologies ePort Connect Services Agreement (“ePCSA”), entered into by and between Merchant and USA Technologies, which sets forth requirements regarding credit and debit card payments, all of which are incorporated in this CEA by reference. In this CEA “we”, “us” and “our” refer to Paymentech.</w:t>
      </w:r>
    </w:p>
    <w:p>
      <w:pPr>
        <w:spacing w:after="0" w:line="1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262626"/>
        </w:rPr>
        <w:t xml:space="preserve">By signing the USA Technologies Payment Processing Services Agreement, the Merchant agrees to this CEA which is included in the </w:t>
      </w:r>
      <w:r>
        <w:rPr>
          <w:rFonts w:ascii="Arial" w:cs="Arial" w:eastAsia="Arial" w:hAnsi="Arial"/>
          <w:sz w:val="16"/>
          <w:szCs w:val="16"/>
          <w:color w:val="262626"/>
        </w:rPr>
        <w:t>ePCSA</w:t>
      </w:r>
      <w:r>
        <w:rPr>
          <w:rFonts w:ascii="Arial" w:cs="Arial" w:eastAsia="Arial" w:hAnsi="Arial"/>
          <w:sz w:val="16"/>
          <w:szCs w:val="16"/>
          <w:b w:val="1"/>
          <w:bCs w:val="1"/>
          <w:color w:val="262626"/>
        </w:rPr>
        <w:t xml:space="preserve"> as Exhibit A. Merchant agrees to the terms and conditions of this CEA and any documents incorporated by reference. Merchant further agrees that this CEA forms a legally binding contract between Merchant and Paymentech. Any rights not expressly granted herein are reserved by Paymentech.</w:t>
      </w:r>
    </w:p>
    <w:p>
      <w:pPr>
        <w:spacing w:after="0" w:line="129" w:lineRule="exact"/>
        <w:rPr>
          <w:sz w:val="20"/>
          <w:szCs w:val="20"/>
          <w:color w:val="auto"/>
        </w:rPr>
      </w:pPr>
    </w:p>
    <w:p>
      <w:pPr>
        <w:jc w:val="both"/>
        <w:ind w:firstLine="8"/>
        <w:spacing w:after="0" w:line="277" w:lineRule="auto"/>
        <w:tabs>
          <w:tab w:leader="none" w:pos="387" w:val="left"/>
        </w:tabs>
        <w:numPr>
          <w:ilvl w:val="0"/>
          <w:numId w:val="91"/>
        </w:numPr>
        <w:rPr>
          <w:rFonts w:ascii="Arial" w:cs="Arial" w:eastAsia="Arial" w:hAnsi="Arial"/>
          <w:sz w:val="17"/>
          <w:szCs w:val="17"/>
          <w:color w:val="262626"/>
        </w:rPr>
      </w:pPr>
      <w:r>
        <w:rPr>
          <w:rFonts w:ascii="Arial" w:cs="Arial" w:eastAsia="Arial" w:hAnsi="Arial"/>
          <w:sz w:val="17"/>
          <w:szCs w:val="17"/>
          <w:b w:val="1"/>
          <w:bCs w:val="1"/>
          <w:color w:val="262626"/>
        </w:rPr>
        <w:t xml:space="preserve">Purpose of this CEA. </w:t>
      </w:r>
      <w:r>
        <w:rPr>
          <w:rFonts w:ascii="Arial" w:cs="Arial" w:eastAsia="Arial" w:hAnsi="Arial"/>
          <w:sz w:val="17"/>
          <w:szCs w:val="17"/>
          <w:color w:val="262626"/>
        </w:rPr>
        <w:t>When your customers pay you, they may have the option of paying you through funding sources including a credit card funded</w:t>
      </w:r>
      <w:r>
        <w:rPr>
          <w:rFonts w:ascii="Arial" w:cs="Arial" w:eastAsia="Arial" w:hAnsi="Arial"/>
          <w:sz w:val="17"/>
          <w:szCs w:val="17"/>
          <w:b w:val="1"/>
          <w:bCs w:val="1"/>
          <w:color w:val="262626"/>
        </w:rPr>
        <w:t xml:space="preserve"> </w:t>
      </w:r>
      <w:r>
        <w:rPr>
          <w:rFonts w:ascii="Arial" w:cs="Arial" w:eastAsia="Arial" w:hAnsi="Arial"/>
          <w:sz w:val="17"/>
          <w:szCs w:val="17"/>
          <w:color w:val="262626"/>
        </w:rPr>
        <w:t>payment. Since you may be the recipient of a credit card funded payment, Visa U.S.A., Inc. and Visa International (“Visa”) and MasterCard International Incorporated (“MasterCard”) (collectively the “Networks”) require that you enter into a direct contractual relationship with a bank that is a Merchant of the Networks. By entering into the CEA, you are fulfilling the Network rule of entering into a direct contractual relationship with a Merchant bank, and you are agreeing to comply with Network rules as they pertain to payments you receive through USA Technologies.</w:t>
      </w:r>
    </w:p>
    <w:p>
      <w:pPr>
        <w:spacing w:after="0" w:line="195" w:lineRule="exact"/>
        <w:rPr>
          <w:rFonts w:ascii="Arial" w:cs="Arial" w:eastAsia="Arial" w:hAnsi="Arial"/>
          <w:sz w:val="17"/>
          <w:szCs w:val="17"/>
          <w:color w:val="262626"/>
        </w:rPr>
      </w:pPr>
    </w:p>
    <w:p>
      <w:pPr>
        <w:jc w:val="both"/>
        <w:ind w:firstLine="8"/>
        <w:spacing w:after="0" w:line="261" w:lineRule="auto"/>
        <w:tabs>
          <w:tab w:leader="none" w:pos="401" w:val="left"/>
        </w:tabs>
        <w:numPr>
          <w:ilvl w:val="0"/>
          <w:numId w:val="91"/>
        </w:numPr>
        <w:rPr>
          <w:rFonts w:ascii="Arial" w:cs="Arial" w:eastAsia="Arial" w:hAnsi="Arial"/>
          <w:sz w:val="18"/>
          <w:szCs w:val="18"/>
          <w:color w:val="262626"/>
        </w:rPr>
      </w:pPr>
      <w:r>
        <w:rPr>
          <w:rFonts w:ascii="Arial" w:cs="Arial" w:eastAsia="Arial" w:hAnsi="Arial"/>
          <w:sz w:val="18"/>
          <w:szCs w:val="18"/>
          <w:b w:val="1"/>
          <w:bCs w:val="1"/>
          <w:color w:val="262626"/>
        </w:rPr>
        <w:t xml:space="preserve">Network Rules. </w:t>
      </w:r>
      <w:r>
        <w:rPr>
          <w:rFonts w:ascii="Arial" w:cs="Arial" w:eastAsia="Arial" w:hAnsi="Arial"/>
          <w:sz w:val="18"/>
          <w:szCs w:val="18"/>
          <w:color w:val="262626"/>
        </w:rPr>
        <w:t>The Networks require that you comply with all bylaws, rules and regulations of the Networks, as may be applicable to you and your</w:t>
      </w:r>
      <w:r>
        <w:rPr>
          <w:rFonts w:ascii="Arial" w:cs="Arial" w:eastAsia="Arial" w:hAnsi="Arial"/>
          <w:sz w:val="18"/>
          <w:szCs w:val="18"/>
          <w:b w:val="1"/>
          <w:bCs w:val="1"/>
          <w:color w:val="262626"/>
        </w:rPr>
        <w:t xml:space="preserve"> </w:t>
      </w:r>
      <w:r>
        <w:rPr>
          <w:rFonts w:ascii="Arial" w:cs="Arial" w:eastAsia="Arial" w:hAnsi="Arial"/>
          <w:sz w:val="18"/>
          <w:szCs w:val="18"/>
          <w:color w:val="262626"/>
        </w:rPr>
        <w:t>payment transactions and as are in effect from time to time (“Network Rules”). You understand that Paymentech may be required to modify this CEA in order to comply with the requirements imposed by the Network Rules. You may use the logos of the Networks only in the manner authorized by the Networks and to indicate that Visa and MasterCard cards are accepted as methods of payment.</w:t>
      </w:r>
    </w:p>
    <w:p>
      <w:pPr>
        <w:spacing w:after="0" w:line="166" w:lineRule="exact"/>
        <w:rPr>
          <w:rFonts w:ascii="Arial" w:cs="Arial" w:eastAsia="Arial" w:hAnsi="Arial"/>
          <w:sz w:val="18"/>
          <w:szCs w:val="18"/>
          <w:color w:val="262626"/>
        </w:rPr>
      </w:pPr>
    </w:p>
    <w:p>
      <w:pPr>
        <w:ind w:left="360" w:hanging="352"/>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Merchant represents, warrants, and covenants that, to the best of its knowledge, each Transaction:</w:t>
      </w:r>
    </w:p>
    <w:p>
      <w:pPr>
        <w:spacing w:after="0" w:line="27" w:lineRule="exact"/>
        <w:rPr>
          <w:rFonts w:ascii="Arial" w:cs="Arial" w:eastAsia="Arial" w:hAnsi="Arial"/>
          <w:sz w:val="18"/>
          <w:szCs w:val="18"/>
          <w:b w:val="1"/>
          <w:bCs w:val="1"/>
          <w:color w:val="auto"/>
        </w:rPr>
      </w:pPr>
    </w:p>
    <w:p>
      <w:pPr>
        <w:ind w:left="660" w:hanging="328"/>
        <w:spacing w:after="0" w:line="250"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represents payment for or Refund of a bona fide sale or lease of the goods, services, or both, which Merchant has the legal right to sell and which is provided by Merchant in the ordinary course of its business;</w:t>
      </w: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not submitted on behalf of a third party;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represents a current obligation of the customer solely for the amount of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does not represent the collection of a dishonored check or the collection or refinancing of an existing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represents goods that have been provided or shipped, or services that have actually been rendered, to the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free from any material alteration not authorized by the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or the amount thereof, is not subject to any dispute, setoff, or counterclaim;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such Transaction represents a credit to a customer’s payment card, is a refund for a Transaction previously submitted under the ePCSA; and</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8" w:name="page129"/>
    <w:bookmarkEnd w:id="128"/>
    <w:p>
      <w:pPr>
        <w:ind w:left="660" w:hanging="328"/>
        <w:spacing w:after="0"/>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complies with applicable laws and all applicable Network Rules.</w:t>
      </w:r>
    </w:p>
    <w:p>
      <w:pPr>
        <w:spacing w:after="0" w:line="23" w:lineRule="exact"/>
        <w:rPr>
          <w:rFonts w:ascii="Arial" w:cs="Arial" w:eastAsia="Arial" w:hAnsi="Arial"/>
          <w:sz w:val="18"/>
          <w:szCs w:val="18"/>
          <w:color w:val="auto"/>
        </w:rPr>
      </w:pPr>
    </w:p>
    <w:p>
      <w:pPr>
        <w:spacing w:after="0"/>
        <w:tabs>
          <w:tab w:leader="none" w:pos="0" w:val="left"/>
        </w:tabs>
        <w:numPr>
          <w:ilvl w:val="1"/>
          <w:numId w:val="92"/>
        </w:numPr>
        <w:rPr>
          <w:rFonts w:ascii="Arial" w:cs="Arial" w:eastAsia="Arial" w:hAnsi="Arial"/>
          <w:sz w:val="18"/>
          <w:szCs w:val="18"/>
          <w:color w:val="auto"/>
        </w:rPr>
      </w:pPr>
    </w:p>
    <w:p>
      <w:pPr>
        <w:spacing w:after="0" w:line="193" w:lineRule="exact"/>
        <w:rPr>
          <w:rFonts w:ascii="Arial" w:cs="Arial" w:eastAsia="Arial" w:hAnsi="Arial"/>
          <w:sz w:val="18"/>
          <w:szCs w:val="18"/>
          <w:color w:val="auto"/>
        </w:rPr>
      </w:pPr>
    </w:p>
    <w:p>
      <w:pPr>
        <w:ind w:left="360" w:hanging="352"/>
        <w:spacing w:after="0"/>
        <w:tabs>
          <w:tab w:leader="none" w:pos="3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Furthermore, Merchant represents, warrants, and covenants that, to the best of its knowledge, Merchant has </w:t>
      </w:r>
      <w:r>
        <w:rPr>
          <w:rFonts w:ascii="Arial" w:cs="Arial" w:eastAsia="Arial" w:hAnsi="Arial"/>
          <w:sz w:val="18"/>
          <w:szCs w:val="18"/>
          <w:b w:val="1"/>
          <w:bCs w:val="1"/>
          <w:i w:val="1"/>
          <w:iCs w:val="1"/>
          <w:u w:val="single" w:color="auto"/>
          <w:color w:val="auto"/>
        </w:rPr>
        <w:t>not</w:t>
      </w:r>
    </w:p>
    <w:p>
      <w:pPr>
        <w:spacing w:after="0" w:line="229" w:lineRule="exact"/>
        <w:rPr>
          <w:rFonts w:ascii="Arial" w:cs="Arial" w:eastAsia="Arial" w:hAnsi="Arial"/>
          <w:sz w:val="18"/>
          <w:szCs w:val="18"/>
          <w:b w:val="1"/>
          <w:bCs w:val="1"/>
          <w:color w:val="auto"/>
        </w:rPr>
      </w:pPr>
    </w:p>
    <w:p>
      <w:pPr>
        <w:ind w:left="660" w:right="20" w:hanging="328"/>
        <w:spacing w:after="0" w:line="258" w:lineRule="auto"/>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disbursed or advanced any cash to the customer (except as authorized by the Card Brand Rules) for itself or to any of its representatives, agents, or employees in connection with the Transaction;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accepted payment for effecting credits to a customer or a customer’s payment card;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made any representation or agreement for the issuance of Refunds except as stated in Merchant’s Refund Policy;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been provided with any information that would lead Merchant to believe that the enforceability or collectibility of the Transaction is in any manner impaired; and</w:t>
      </w:r>
    </w:p>
    <w:p>
      <w:pPr>
        <w:ind w:left="660" w:right="20" w:hanging="328"/>
        <w:spacing w:after="0" w:line="261" w:lineRule="auto"/>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submitted any Transaction that Merchant knows or should have known to be either fraudulent, illegal, damaging to the Network(s), not authorized by the customer, or otherwise in violation of any provision of this CEA, applicable law, or Network Rules.</w:t>
      </w:r>
    </w:p>
    <w:p>
      <w:pPr>
        <w:spacing w:after="0" w:line="179" w:lineRule="exact"/>
        <w:rPr>
          <w:rFonts w:ascii="Arial" w:cs="Arial" w:eastAsia="Arial" w:hAnsi="Arial"/>
          <w:sz w:val="18"/>
          <w:szCs w:val="18"/>
          <w:color w:val="auto"/>
        </w:rPr>
      </w:pPr>
    </w:p>
    <w:p>
      <w:pPr>
        <w:ind w:firstLine="8"/>
        <w:spacing w:after="0" w:line="282" w:lineRule="auto"/>
        <w:tabs>
          <w:tab w:leader="none" w:pos="495" w:val="left"/>
        </w:tabs>
        <w:numPr>
          <w:ilvl w:val="0"/>
          <w:numId w:val="9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Discrimination. </w:t>
      </w:r>
      <w:r>
        <w:rPr>
          <w:rFonts w:ascii="Arial" w:cs="Arial" w:eastAsia="Arial" w:hAnsi="Arial"/>
          <w:sz w:val="18"/>
          <w:szCs w:val="18"/>
          <w:color w:val="262626"/>
        </w:rPr>
        <w:t>Merchant agrees that it shall not engage in any acceptance practice that discriminates against or discourages the use of Visa or</w:t>
      </w:r>
      <w:r>
        <w:rPr>
          <w:rFonts w:ascii="Arial" w:cs="Arial" w:eastAsia="Arial" w:hAnsi="Arial"/>
          <w:sz w:val="18"/>
          <w:szCs w:val="18"/>
          <w:b w:val="1"/>
          <w:bCs w:val="1"/>
          <w:color w:val="262626"/>
        </w:rPr>
        <w:t xml:space="preserve"> </w:t>
      </w:r>
      <w:r>
        <w:rPr>
          <w:rFonts w:ascii="Arial" w:cs="Arial" w:eastAsia="Arial" w:hAnsi="Arial"/>
          <w:sz w:val="18"/>
          <w:szCs w:val="18"/>
          <w:color w:val="262626"/>
        </w:rPr>
        <w:t>MasterCard in favor of any other card brand.</w:t>
      </w:r>
    </w:p>
    <w:p>
      <w:pPr>
        <w:spacing w:after="0" w:line="148" w:lineRule="exact"/>
        <w:rPr>
          <w:rFonts w:ascii="Arial" w:cs="Arial" w:eastAsia="Arial" w:hAnsi="Arial"/>
          <w:sz w:val="18"/>
          <w:szCs w:val="18"/>
          <w:b w:val="1"/>
          <w:bCs w:val="1"/>
          <w:color w:val="262626"/>
        </w:rPr>
      </w:pPr>
    </w:p>
    <w:p>
      <w:pPr>
        <w:ind w:left="380" w:hanging="372"/>
        <w:spacing w:after="0"/>
        <w:tabs>
          <w:tab w:leader="none" w:pos="380" w:val="left"/>
        </w:tabs>
        <w:numPr>
          <w:ilvl w:val="0"/>
          <w:numId w:val="93"/>
        </w:numPr>
        <w:rPr>
          <w:rFonts w:ascii="Arial" w:cs="Arial" w:eastAsia="Arial" w:hAnsi="Arial"/>
          <w:sz w:val="16"/>
          <w:szCs w:val="16"/>
          <w:b w:val="1"/>
          <w:bCs w:val="1"/>
          <w:color w:val="262626"/>
        </w:rPr>
      </w:pPr>
      <w:r>
        <w:rPr>
          <w:rFonts w:ascii="Arial" w:cs="Arial" w:eastAsia="Arial" w:hAnsi="Arial"/>
          <w:sz w:val="16"/>
          <w:szCs w:val="16"/>
          <w:b w:val="1"/>
          <w:bCs w:val="1"/>
          <w:color w:val="262626"/>
        </w:rPr>
        <w:t xml:space="preserve">Access to Cardholder Data. </w:t>
      </w:r>
      <w:r>
        <w:rPr>
          <w:rFonts w:ascii="Arial" w:cs="Arial" w:eastAsia="Arial" w:hAnsi="Arial"/>
          <w:sz w:val="16"/>
          <w:szCs w:val="16"/>
          <w:color w:val="262626"/>
        </w:rPr>
        <w:t>Merchant may receive Cardholder Data in connection with services provided under this Agreement. Merchant agrees that</w:t>
      </w:r>
    </w:p>
    <w:p>
      <w:pPr>
        <w:spacing w:after="0" w:line="50" w:lineRule="exact"/>
        <w:rPr>
          <w:rFonts w:ascii="Arial" w:cs="Arial" w:eastAsia="Arial" w:hAnsi="Arial"/>
          <w:sz w:val="16"/>
          <w:szCs w:val="16"/>
          <w:b w:val="1"/>
          <w:bCs w:val="1"/>
          <w:color w:val="262626"/>
        </w:rPr>
      </w:pPr>
    </w:p>
    <w:p>
      <w:pPr>
        <w:jc w:val="both"/>
        <w:spacing w:after="0" w:line="254" w:lineRule="auto"/>
        <w:rPr>
          <w:rFonts w:ascii="Arial" w:cs="Arial" w:eastAsia="Arial" w:hAnsi="Arial"/>
          <w:sz w:val="16"/>
          <w:szCs w:val="16"/>
          <w:b w:val="1"/>
          <w:bCs w:val="1"/>
          <w:color w:val="262626"/>
        </w:rPr>
      </w:pPr>
      <w:r>
        <w:rPr>
          <w:rFonts w:ascii="Arial" w:cs="Arial" w:eastAsia="Arial" w:hAnsi="Arial"/>
          <w:sz w:val="18"/>
          <w:szCs w:val="18"/>
          <w:color w:val="262626"/>
        </w:rPr>
        <w:t>(i) it will not use the Cardholder Data for any purpose that it knows or should know to be fraudulent or in violation of any Network Rules; (ii) it will not sell, purchase, provide or exchange in any manner or disclose Cardholder Data to anyone other than its acquirer, Visa or MasterCard (as applicable) or in response to a government request; and (iii) it will be compliant with the Payment Card Industry Data Security Standards (PCI DSS) and will cooperate in a forensic investigation if so required.</w:t>
      </w:r>
    </w:p>
    <w:p>
      <w:pPr>
        <w:spacing w:after="0" w:line="172" w:lineRule="exact"/>
        <w:rPr>
          <w:rFonts w:ascii="Arial" w:cs="Arial" w:eastAsia="Arial" w:hAnsi="Arial"/>
          <w:sz w:val="16"/>
          <w:szCs w:val="16"/>
          <w:b w:val="1"/>
          <w:bCs w:val="1"/>
          <w:color w:val="262626"/>
        </w:rPr>
      </w:pPr>
    </w:p>
    <w:p>
      <w:pPr>
        <w:ind w:firstLine="8"/>
        <w:spacing w:after="0" w:line="282" w:lineRule="auto"/>
        <w:tabs>
          <w:tab w:leader="none" w:pos="450" w:val="left"/>
        </w:tabs>
        <w:numPr>
          <w:ilvl w:val="0"/>
          <w:numId w:val="9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Merchant Identification. </w:t>
      </w:r>
      <w:r>
        <w:rPr>
          <w:rFonts w:ascii="Arial" w:cs="Arial" w:eastAsia="Arial" w:hAnsi="Arial"/>
          <w:sz w:val="18"/>
          <w:szCs w:val="18"/>
          <w:color w:val="262626"/>
        </w:rPr>
        <w:t>Merchant agrees to prominently and unequivocally inform the cardholder of the identity of the Merchant at all points of</w:t>
      </w:r>
      <w:r>
        <w:rPr>
          <w:rFonts w:ascii="Arial" w:cs="Arial" w:eastAsia="Arial" w:hAnsi="Arial"/>
          <w:sz w:val="18"/>
          <w:szCs w:val="18"/>
          <w:b w:val="1"/>
          <w:bCs w:val="1"/>
          <w:color w:val="262626"/>
        </w:rPr>
        <w:t xml:space="preserve"> </w:t>
      </w:r>
      <w:r>
        <w:rPr>
          <w:rFonts w:ascii="Arial" w:cs="Arial" w:eastAsia="Arial" w:hAnsi="Arial"/>
          <w:sz w:val="18"/>
          <w:szCs w:val="18"/>
          <w:color w:val="262626"/>
        </w:rPr>
        <w:t>interaction.</w:t>
      </w:r>
    </w:p>
    <w:p>
      <w:pPr>
        <w:spacing w:after="0" w:line="148" w:lineRule="exact"/>
        <w:rPr>
          <w:rFonts w:ascii="Arial" w:cs="Arial" w:eastAsia="Arial" w:hAnsi="Arial"/>
          <w:sz w:val="18"/>
          <w:szCs w:val="18"/>
          <w:b w:val="1"/>
          <w:bCs w:val="1"/>
          <w:color w:val="262626"/>
        </w:rPr>
      </w:pPr>
    </w:p>
    <w:p>
      <w:pPr>
        <w:jc w:val="both"/>
        <w:ind w:firstLine="8"/>
        <w:spacing w:after="0" w:line="266" w:lineRule="auto"/>
        <w:tabs>
          <w:tab w:leader="none" w:pos="428" w:val="left"/>
        </w:tabs>
        <w:numPr>
          <w:ilvl w:val="0"/>
          <w:numId w:val="9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Chargebacks. </w:t>
      </w:r>
      <w:r>
        <w:rPr>
          <w:rFonts w:ascii="Arial" w:cs="Arial" w:eastAsia="Arial" w:hAnsi="Arial"/>
          <w:sz w:val="18"/>
          <w:szCs w:val="18"/>
          <w:color w:val="262626"/>
        </w:rPr>
        <w:t>Merchant shall use all reasonable methods to resolve disputes with the cardholder. Should a chargeback dispute occur, Merchant shall</w:t>
      </w:r>
      <w:r>
        <w:rPr>
          <w:rFonts w:ascii="Arial" w:cs="Arial" w:eastAsia="Arial" w:hAnsi="Arial"/>
          <w:sz w:val="18"/>
          <w:szCs w:val="18"/>
          <w:b w:val="1"/>
          <w:bCs w:val="1"/>
          <w:color w:val="262626"/>
        </w:rPr>
        <w:t xml:space="preserve"> </w:t>
      </w:r>
      <w:r>
        <w:rPr>
          <w:rFonts w:ascii="Arial" w:cs="Arial" w:eastAsia="Arial" w:hAnsi="Arial"/>
          <w:sz w:val="18"/>
          <w:szCs w:val="18"/>
          <w:color w:val="262626"/>
        </w:rPr>
        <w:t>promptly comply with all requests for information from USA Technologies or Paymentech. Merchant shall not attempt to recharge a cardholder for an item that has been charged back to the cardholder, unless the cardholder has authorized such actions.</w:t>
      </w:r>
    </w:p>
    <w:p>
      <w:pPr>
        <w:spacing w:after="0" w:line="162" w:lineRule="exact"/>
        <w:rPr>
          <w:rFonts w:ascii="Arial" w:cs="Arial" w:eastAsia="Arial" w:hAnsi="Arial"/>
          <w:sz w:val="18"/>
          <w:szCs w:val="18"/>
          <w:b w:val="1"/>
          <w:bCs w:val="1"/>
          <w:color w:val="262626"/>
        </w:rPr>
      </w:pPr>
    </w:p>
    <w:p>
      <w:pPr>
        <w:ind w:firstLine="8"/>
        <w:spacing w:after="0" w:line="282" w:lineRule="auto"/>
        <w:tabs>
          <w:tab w:leader="none" w:pos="428" w:val="left"/>
        </w:tabs>
        <w:numPr>
          <w:ilvl w:val="0"/>
          <w:numId w:val="9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Merchant’s Refund Policy Must Be Clearly Communicated. </w:t>
      </w:r>
      <w:r>
        <w:rPr>
          <w:rFonts w:ascii="Arial" w:cs="Arial" w:eastAsia="Arial" w:hAnsi="Arial"/>
          <w:sz w:val="18"/>
          <w:szCs w:val="18"/>
          <w:color w:val="262626"/>
        </w:rPr>
        <w:t>If Merchant limits refund/exchange terms or other specific conditions for Card sales,</w:t>
      </w:r>
      <w:r>
        <w:rPr>
          <w:rFonts w:ascii="Arial" w:cs="Arial" w:eastAsia="Arial" w:hAnsi="Arial"/>
          <w:sz w:val="18"/>
          <w:szCs w:val="18"/>
          <w:b w:val="1"/>
          <w:bCs w:val="1"/>
          <w:color w:val="262626"/>
        </w:rPr>
        <w:t xml:space="preserve"> </w:t>
      </w:r>
      <w:r>
        <w:rPr>
          <w:rFonts w:ascii="Arial" w:cs="Arial" w:eastAsia="Arial" w:hAnsi="Arial"/>
          <w:sz w:val="18"/>
          <w:szCs w:val="18"/>
          <w:color w:val="262626"/>
        </w:rPr>
        <w:t>Merchant’s policy must be clearly provided to the cardholder prior to the sale and as part of the sale confirmation process.</w:t>
      </w:r>
    </w:p>
    <w:p>
      <w:pPr>
        <w:spacing w:after="0" w:line="148" w:lineRule="exact"/>
        <w:rPr>
          <w:rFonts w:ascii="Arial" w:cs="Arial" w:eastAsia="Arial" w:hAnsi="Arial"/>
          <w:sz w:val="18"/>
          <w:szCs w:val="18"/>
          <w:b w:val="1"/>
          <w:bCs w:val="1"/>
          <w:color w:val="262626"/>
        </w:rPr>
      </w:pPr>
    </w:p>
    <w:p>
      <w:pPr>
        <w:jc w:val="both"/>
        <w:ind w:firstLine="8"/>
        <w:spacing w:after="0" w:line="277" w:lineRule="auto"/>
        <w:tabs>
          <w:tab w:leader="none" w:pos="365" w:val="left"/>
        </w:tabs>
        <w:numPr>
          <w:ilvl w:val="0"/>
          <w:numId w:val="93"/>
        </w:numPr>
        <w:rPr>
          <w:rFonts w:ascii="Arial" w:cs="Arial" w:eastAsia="Arial" w:hAnsi="Arial"/>
          <w:sz w:val="17"/>
          <w:szCs w:val="17"/>
          <w:b w:val="1"/>
          <w:bCs w:val="1"/>
          <w:color w:val="262626"/>
        </w:rPr>
      </w:pPr>
      <w:r>
        <w:rPr>
          <w:rFonts w:ascii="Arial" w:cs="Arial" w:eastAsia="Arial" w:hAnsi="Arial"/>
          <w:sz w:val="17"/>
          <w:szCs w:val="17"/>
          <w:b w:val="1"/>
          <w:bCs w:val="1"/>
          <w:color w:val="262626"/>
        </w:rPr>
        <w:t xml:space="preserve">Term and Termination. </w:t>
      </w:r>
      <w:r>
        <w:rPr>
          <w:rFonts w:ascii="Arial" w:cs="Arial" w:eastAsia="Arial" w:hAnsi="Arial"/>
          <w:sz w:val="17"/>
          <w:szCs w:val="17"/>
          <w:color w:val="262626"/>
        </w:rPr>
        <w:t>This CEA is effective upon the date Merchant accepted the ePCSA and continues so long as Merchant uses the service or until</w:t>
      </w:r>
      <w:r>
        <w:rPr>
          <w:rFonts w:ascii="Arial" w:cs="Arial" w:eastAsia="Arial" w:hAnsi="Arial"/>
          <w:sz w:val="17"/>
          <w:szCs w:val="17"/>
          <w:b w:val="1"/>
          <w:bCs w:val="1"/>
          <w:color w:val="262626"/>
        </w:rPr>
        <w:t xml:space="preserve"> </w:t>
      </w:r>
      <w:r>
        <w:rPr>
          <w:rFonts w:ascii="Arial" w:cs="Arial" w:eastAsia="Arial" w:hAnsi="Arial"/>
          <w:sz w:val="17"/>
          <w:szCs w:val="17"/>
          <w:color w:val="262626"/>
        </w:rPr>
        <w:t>terminated by Merchant or Paymentech, provided that those terms which by their nature are intended to survive termination (including without limitation, indemnification obligations and limitations of liability) shall survive. This CEA may be terminated by Paymentech at any time based on a breach of any of Merchant’s obligations under this Agreement or the ePCSA, or based on the termination of the payment processing relationship between USA Technologies and Paymentech. This CEA will terminate automatically upon any termination or expiration of Merchant’s ePCSA.</w:t>
      </w:r>
    </w:p>
    <w:p>
      <w:pPr>
        <w:spacing w:after="0" w:line="168" w:lineRule="exact"/>
        <w:rPr>
          <w:rFonts w:ascii="Arial" w:cs="Arial" w:eastAsia="Arial" w:hAnsi="Arial"/>
          <w:sz w:val="17"/>
          <w:szCs w:val="17"/>
          <w:b w:val="1"/>
          <w:bCs w:val="1"/>
          <w:color w:val="262626"/>
        </w:rPr>
      </w:pPr>
    </w:p>
    <w:p>
      <w:pPr>
        <w:jc w:val="both"/>
        <w:ind w:firstLine="8"/>
        <w:spacing w:after="0" w:line="285" w:lineRule="auto"/>
        <w:tabs>
          <w:tab w:leader="none" w:pos="441" w:val="left"/>
        </w:tabs>
        <w:numPr>
          <w:ilvl w:val="0"/>
          <w:numId w:val="93"/>
        </w:numPr>
        <w:rPr>
          <w:rFonts w:ascii="Arial" w:cs="Arial" w:eastAsia="Arial" w:hAnsi="Arial"/>
          <w:sz w:val="16"/>
          <w:szCs w:val="16"/>
          <w:b w:val="1"/>
          <w:bCs w:val="1"/>
          <w:color w:val="262626"/>
        </w:rPr>
      </w:pPr>
      <w:r>
        <w:rPr>
          <w:rFonts w:ascii="Arial" w:cs="Arial" w:eastAsia="Arial" w:hAnsi="Arial"/>
          <w:sz w:val="16"/>
          <w:szCs w:val="16"/>
          <w:b w:val="1"/>
          <w:bCs w:val="1"/>
          <w:color w:val="262626"/>
        </w:rPr>
        <w:t xml:space="preserve">Indemnification. </w:t>
      </w:r>
      <w:r>
        <w:rPr>
          <w:rFonts w:ascii="Arial" w:cs="Arial" w:eastAsia="Arial" w:hAnsi="Arial"/>
          <w:sz w:val="16"/>
          <w:szCs w:val="16"/>
          <w:color w:val="262626"/>
        </w:rPr>
        <w:t>Merchant agrees to indemnify and hold Paymentech harmless from and against all losses, liabilities, damages and expense: (a)</w:t>
      </w:r>
      <w:r>
        <w:rPr>
          <w:rFonts w:ascii="Arial" w:cs="Arial" w:eastAsia="Arial" w:hAnsi="Arial"/>
          <w:sz w:val="16"/>
          <w:szCs w:val="16"/>
          <w:b w:val="1"/>
          <w:bCs w:val="1"/>
          <w:color w:val="262626"/>
        </w:rPr>
        <w:t xml:space="preserve"> </w:t>
      </w:r>
      <w:r>
        <w:rPr>
          <w:rFonts w:ascii="Arial" w:cs="Arial" w:eastAsia="Arial" w:hAnsi="Arial"/>
          <w:sz w:val="16"/>
          <w:szCs w:val="16"/>
          <w:color w:val="262626"/>
        </w:rPr>
        <w:t>resulting from any breach of any warranty, covenant or agreement or any misrepresentation by Merchant under this Agreement; (b) arising out of Merchant’s or its employees’ negligence or willful misconduct, in connection with Card transactions or otherwise arising from Merchant’s provision of goods and services to customers; (c) arising out of Merchant’s use of the payment processing services; or (d) arising out of any third party indemnifications Paymentech is obligated to make, or liabilities or other obligations Paymentech may incur, as a result of Merchant’s actions (including indemnifications of or liabilities to, any Network or Issuing Bank). Paymentech agrees to indemnify and hold Merchant harmless from and against all losses, liabilities, damages and expenses:</w:t>
      </w:r>
    </w:p>
    <w:p>
      <w:pPr>
        <w:spacing w:after="0" w:line="3" w:lineRule="exact"/>
        <w:rPr>
          <w:rFonts w:ascii="Arial" w:cs="Arial" w:eastAsia="Arial" w:hAnsi="Arial"/>
          <w:sz w:val="16"/>
          <w:szCs w:val="16"/>
          <w:b w:val="1"/>
          <w:bCs w:val="1"/>
          <w:color w:val="262626"/>
        </w:rPr>
      </w:pPr>
    </w:p>
    <w:p>
      <w:pPr>
        <w:spacing w:after="0" w:line="261" w:lineRule="auto"/>
        <w:rPr>
          <w:rFonts w:ascii="Arial" w:cs="Arial" w:eastAsia="Arial" w:hAnsi="Arial"/>
          <w:sz w:val="16"/>
          <w:szCs w:val="16"/>
          <w:b w:val="1"/>
          <w:bCs w:val="1"/>
          <w:color w:val="262626"/>
        </w:rPr>
      </w:pPr>
      <w:r>
        <w:rPr>
          <w:rFonts w:ascii="Arial" w:cs="Arial" w:eastAsia="Arial" w:hAnsi="Arial"/>
          <w:sz w:val="18"/>
          <w:szCs w:val="18"/>
          <w:color w:val="262626"/>
        </w:rPr>
        <w:t>(a) resulting from any breach of any warranty, covenant, or agreement or any misrepresentation under this Agreement; or (b) arising from our gross negligence or willful misconduct in connection with this Agreement.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9" w:name="page130"/>
    <w:bookmarkEnd w:id="129"/>
    <w:p>
      <w:pPr>
        <w:jc w:val="both"/>
        <w:ind w:firstLine="8"/>
        <w:spacing w:after="0" w:line="289" w:lineRule="auto"/>
        <w:tabs>
          <w:tab w:leader="none" w:pos="380" w:val="left"/>
        </w:tabs>
        <w:numPr>
          <w:ilvl w:val="0"/>
          <w:numId w:val="94"/>
        </w:numPr>
        <w:rPr>
          <w:rFonts w:ascii="Arial" w:cs="Arial" w:eastAsia="Arial" w:hAnsi="Arial"/>
          <w:sz w:val="17"/>
          <w:szCs w:val="17"/>
          <w:b w:val="1"/>
          <w:bCs w:val="1"/>
          <w:color w:val="262626"/>
        </w:rPr>
      </w:pPr>
      <w:r>
        <w:rPr>
          <w:rFonts w:ascii="Arial" w:cs="Arial" w:eastAsia="Arial" w:hAnsi="Arial"/>
          <w:sz w:val="17"/>
          <w:szCs w:val="17"/>
          <w:b w:val="1"/>
          <w:bCs w:val="1"/>
          <w:color w:val="262626"/>
        </w:rPr>
        <w:t xml:space="preserve">Assignment/Amendments. </w:t>
      </w:r>
      <w:r>
        <w:rPr>
          <w:rFonts w:ascii="Arial" w:cs="Arial" w:eastAsia="Arial" w:hAnsi="Arial"/>
          <w:sz w:val="17"/>
          <w:szCs w:val="17"/>
          <w:color w:val="262626"/>
        </w:rPr>
        <w:t>This CEA may not be assigned by Merchant without the prior written consent of Paymentech. Paymentech may assign its</w:t>
      </w:r>
      <w:r>
        <w:rPr>
          <w:rFonts w:ascii="Arial" w:cs="Arial" w:eastAsia="Arial" w:hAnsi="Arial"/>
          <w:sz w:val="17"/>
          <w:szCs w:val="17"/>
          <w:b w:val="1"/>
          <w:bCs w:val="1"/>
          <w:color w:val="262626"/>
        </w:rPr>
        <w:t xml:space="preserve"> </w:t>
      </w:r>
      <w:r>
        <w:rPr>
          <w:rFonts w:ascii="Arial" w:cs="Arial" w:eastAsia="Arial" w:hAnsi="Arial"/>
          <w:sz w:val="17"/>
          <w:szCs w:val="17"/>
          <w:color w:val="262626"/>
        </w:rPr>
        <w:t>rights under this CEA without Merchant’s consent. This CEA may be amended by the parties only upon mutual written agreement. Notwithstanding the above, Paymentech may amend this CEA to comply with Network and regulatory regulations upon written notice to Merchant.</w:t>
      </w:r>
    </w:p>
    <w:p>
      <w:pPr>
        <w:spacing w:after="0" w:line="144" w:lineRule="exact"/>
        <w:rPr>
          <w:rFonts w:ascii="Arial" w:cs="Arial" w:eastAsia="Arial" w:hAnsi="Arial"/>
          <w:sz w:val="17"/>
          <w:szCs w:val="17"/>
          <w:b w:val="1"/>
          <w:bCs w:val="1"/>
          <w:color w:val="262626"/>
        </w:rPr>
      </w:pPr>
    </w:p>
    <w:p>
      <w:pPr>
        <w:jc w:val="both"/>
        <w:ind w:firstLine="8"/>
        <w:spacing w:after="0" w:line="266" w:lineRule="auto"/>
        <w:tabs>
          <w:tab w:leader="none" w:pos="397" w:val="left"/>
        </w:tabs>
        <w:numPr>
          <w:ilvl w:val="0"/>
          <w:numId w:val="94"/>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Warranty Disclaimer. </w:t>
      </w:r>
      <w:r>
        <w:rPr>
          <w:rFonts w:ascii="Arial" w:cs="Arial" w:eastAsia="Arial" w:hAnsi="Arial"/>
          <w:sz w:val="18"/>
          <w:szCs w:val="18"/>
          <w:color w:val="262626"/>
        </w:rPr>
        <w:t>This CEA is a service agreement. We disclaim all representations or warranties, express or implied, made to Merchant or any</w:t>
      </w:r>
      <w:r>
        <w:rPr>
          <w:rFonts w:ascii="Arial" w:cs="Arial" w:eastAsia="Arial" w:hAnsi="Arial"/>
          <w:sz w:val="18"/>
          <w:szCs w:val="18"/>
          <w:b w:val="1"/>
          <w:bCs w:val="1"/>
          <w:color w:val="262626"/>
        </w:rPr>
        <w:t xml:space="preserve"> </w:t>
      </w:r>
      <w:r>
        <w:rPr>
          <w:rFonts w:ascii="Arial" w:cs="Arial" w:eastAsia="Arial" w:hAnsi="Arial"/>
          <w:sz w:val="18"/>
          <w:szCs w:val="18"/>
          <w:color w:val="262626"/>
        </w:rPr>
        <w:t>other person, including without limitation, any warranties regarding quality, suitability, merchantability, fitness for a particular purpose or otherwise of any services or any goods provided incidental to the services provided under this CEA to the extent permitted by law.</w:t>
      </w:r>
    </w:p>
    <w:p>
      <w:pPr>
        <w:spacing w:after="0" w:line="162" w:lineRule="exact"/>
        <w:rPr>
          <w:rFonts w:ascii="Arial" w:cs="Arial" w:eastAsia="Arial" w:hAnsi="Arial"/>
          <w:sz w:val="18"/>
          <w:szCs w:val="18"/>
          <w:b w:val="1"/>
          <w:bCs w:val="1"/>
          <w:color w:val="262626"/>
        </w:rPr>
      </w:pPr>
    </w:p>
    <w:p>
      <w:pPr>
        <w:jc w:val="both"/>
        <w:ind w:firstLine="8"/>
        <w:spacing w:after="0" w:line="256" w:lineRule="auto"/>
        <w:tabs>
          <w:tab w:leader="none" w:pos="384" w:val="left"/>
        </w:tabs>
        <w:numPr>
          <w:ilvl w:val="0"/>
          <w:numId w:val="94"/>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Limitation of Liability. </w:t>
      </w:r>
      <w:r>
        <w:rPr>
          <w:rFonts w:ascii="Arial" w:cs="Arial" w:eastAsia="Arial" w:hAnsi="Arial"/>
          <w:sz w:val="18"/>
          <w:szCs w:val="18"/>
          <w:color w:val="262626"/>
        </w:rPr>
        <w:t>Except as provided otherwise in this CEA, in no event shall Paymentech or Merchant, or their respective affiliates, directors,</w:t>
      </w:r>
      <w:r>
        <w:rPr>
          <w:rFonts w:ascii="Arial" w:cs="Arial" w:eastAsia="Arial" w:hAnsi="Arial"/>
          <w:sz w:val="18"/>
          <w:szCs w:val="18"/>
          <w:b w:val="1"/>
          <w:bCs w:val="1"/>
          <w:color w:val="262626"/>
        </w:rPr>
        <w:t xml:space="preserve"> </w:t>
      </w:r>
      <w:r>
        <w:rPr>
          <w:rFonts w:ascii="Arial" w:cs="Arial" w:eastAsia="Arial" w:hAnsi="Arial"/>
          <w:sz w:val="18"/>
          <w:szCs w:val="18"/>
          <w:color w:val="262626"/>
        </w:rPr>
        <w:t>officers, employees, agents or subcontractors, be liable for an indirect, consequential, incidental or punitive damages arising out of or related to this CEA or the payment services, including without limitation any inability, delay or errors in using the service. In addition, notwithstanding anything in this CEA to the contrary, Paymentech’s cumulative liability for all losses, claims, suits, controversies, breaches or damages for any cause whatsoever (including, but not limited to, those arising out of or related to this CEA) and regardless of the form of action or legal theory, and whether or not arising in contract or tort, shall not exceed $25,000.</w:t>
      </w:r>
    </w:p>
    <w:p>
      <w:pPr>
        <w:spacing w:after="0" w:line="174" w:lineRule="exact"/>
        <w:rPr>
          <w:rFonts w:ascii="Arial" w:cs="Arial" w:eastAsia="Arial" w:hAnsi="Arial"/>
          <w:sz w:val="18"/>
          <w:szCs w:val="18"/>
          <w:b w:val="1"/>
          <w:bCs w:val="1"/>
          <w:color w:val="262626"/>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Chase Paymentech may:</w:t>
      </w:r>
    </w:p>
    <w:p>
      <w:pPr>
        <w:spacing w:after="0" w:line="27" w:lineRule="exact"/>
        <w:rPr>
          <w:rFonts w:ascii="Arial" w:cs="Arial" w:eastAsia="Arial" w:hAnsi="Arial"/>
          <w:sz w:val="18"/>
          <w:szCs w:val="18"/>
          <w:b w:val="1"/>
          <w:bCs w:val="1"/>
          <w:color w:val="auto"/>
        </w:rPr>
      </w:pPr>
    </w:p>
    <w:p>
      <w:pPr>
        <w:ind w:left="580" w:hanging="248"/>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share information related to Merchant’s Transactions and other information provided by Merchant with Chase Paymentech’s affiliates;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use or disclose information related to Merchant’s Transactions: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as necessary to process Merchant’s Transactions or otherwise provide Services and maintain Merchant’s account pursuant to this Agreement;</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to detect prevent, reduce, or otherwise address fraud, security, or technical issues;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to enhance or improve Chase Paymentech’s products and Services generally; or</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as required or permitted by the Card Brands or applicable law; and</w:t>
      </w:r>
    </w:p>
    <w:p>
      <w:pPr>
        <w:spacing w:after="0" w:line="9" w:lineRule="exact"/>
        <w:rPr>
          <w:rFonts w:ascii="Arial" w:cs="Arial" w:eastAsia="Arial" w:hAnsi="Arial"/>
          <w:sz w:val="18"/>
          <w:szCs w:val="18"/>
          <w:color w:val="auto"/>
        </w:rPr>
      </w:pPr>
    </w:p>
    <w:p>
      <w:pPr>
        <w:ind w:left="580" w:hanging="248"/>
        <w:spacing w:after="0" w:line="261" w:lineRule="auto"/>
        <w:tabs>
          <w:tab w:leader="none" w:pos="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prepare, use, or share with third parties, aggregated, non-personally identifiable information derived from Transactions of all of Chase Paymentech’s customers or specific segments of Chase Paymentech’s customers.</w:t>
      </w:r>
    </w:p>
    <w:p>
      <w:pPr>
        <w:spacing w:after="0" w:line="179" w:lineRule="exact"/>
        <w:rPr>
          <w:rFonts w:ascii="Arial" w:cs="Arial" w:eastAsia="Arial" w:hAnsi="Arial"/>
          <w:sz w:val="18"/>
          <w:szCs w:val="18"/>
          <w:color w:val="auto"/>
        </w:rPr>
      </w:pPr>
    </w:p>
    <w:p>
      <w:pPr>
        <w:jc w:val="both"/>
        <w:ind w:firstLine="8"/>
        <w:spacing w:after="0" w:line="270" w:lineRule="auto"/>
        <w:tabs>
          <w:tab w:leader="none" w:pos="360" w:val="left"/>
        </w:tabs>
        <w:numPr>
          <w:ilvl w:val="0"/>
          <w:numId w:val="94"/>
        </w:numPr>
        <w:rPr>
          <w:rFonts w:ascii="Arial" w:cs="Arial" w:eastAsia="Arial" w:hAnsi="Arial"/>
          <w:sz w:val="17"/>
          <w:szCs w:val="17"/>
          <w:b w:val="1"/>
          <w:bCs w:val="1"/>
          <w:color w:val="262626"/>
        </w:rPr>
      </w:pPr>
      <w:r>
        <w:rPr>
          <w:rFonts w:ascii="Arial" w:cs="Arial" w:eastAsia="Arial" w:hAnsi="Arial"/>
          <w:sz w:val="17"/>
          <w:szCs w:val="17"/>
          <w:b w:val="1"/>
          <w:bCs w:val="1"/>
          <w:color w:val="262626"/>
        </w:rPr>
        <w:t xml:space="preserve">General Provisions. </w:t>
      </w:r>
      <w:r>
        <w:rPr>
          <w:rFonts w:ascii="Arial" w:cs="Arial" w:eastAsia="Arial" w:hAnsi="Arial"/>
          <w:sz w:val="17"/>
          <w:szCs w:val="17"/>
          <w:color w:val="000000"/>
        </w:rPr>
        <w:t>This CEA will be binding upon and will inure to the benefit of the parties’ respective representatives, successors, and assigns. This</w:t>
      </w:r>
      <w:r>
        <w:rPr>
          <w:rFonts w:ascii="Arial" w:cs="Arial" w:eastAsia="Arial" w:hAnsi="Arial"/>
          <w:sz w:val="17"/>
          <w:szCs w:val="17"/>
          <w:b w:val="1"/>
          <w:bCs w:val="1"/>
          <w:color w:val="262626"/>
        </w:rPr>
        <w:t xml:space="preserve"> </w:t>
      </w:r>
      <w:r>
        <w:rPr>
          <w:rFonts w:ascii="Arial" w:cs="Arial" w:eastAsia="Arial" w:hAnsi="Arial"/>
          <w:sz w:val="17"/>
          <w:szCs w:val="17"/>
          <w:color w:val="000000"/>
        </w:rPr>
        <w:t>CEA may not be amended except by Paymentech upon notice to you, and your continued use of USA Technologies’ services after such notice constitutes your acceptance of such amendment. The failure of a party to this CEA to object to or to take affirmative action with respect to any conduct of the other party that is in violation of the terms of this CEA will not be construed as a waiver thereof, or as waiver of any future breach or subsequent wrongful conduct. If any term or condition of this CEA should be held invalid by a court, arbitrator, or tribunal of competent jurisdiction in any respect, such invalidity will not affect the validity of any other term or condition hereof. If any term or condition of this CEA should be held to be unreasonable as to time, scope, or otherwise by such a court, arbitrator, or tribunal, it will be construed by limiting or reducing it to the minimum extent so as to be enforceable under then applicable law. This CEA will be governed by and construed in accordance with the laws of the State of Texas, without regard to its choice of law rules. This CEA and all referenced documents and rules constitute the entire understanding between you and Paymentech and supersede any and all agreements or understanding, whether in writing or otherwise, relating specifically to the subject matter hereof.</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SCHEDULE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FBO ACCOUNTS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FBO account may be set up as the funding account (Settlement Account) for Merchants, provided that the account meets the following terms and conditions:</w:t>
      </w:r>
    </w:p>
    <w:p>
      <w:pPr>
        <w:spacing w:after="0" w:line="170"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FBO account is the Merchant’s designated account for funding and the funds in the account belong to the Merchant.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Funds pooled in an FBO account remain the property of each Merchant associated with that account and are not the property of TP3.</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Merchant retains the right at all times to designate the use and disposition of the funds in the pooled account and can request funds be transferred to another account they control, or they can immediately access the funds in the pooled account by their own direction.</w:t>
      </w: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agreement is present to delineate the TP3 as the agent of the Merchant for purposes of the FBO account.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account represents a custodial arrangement and funds in the pooled FBO account are accounted for by TP3 as “off balance sheet” and are not commingled or accounted for as TP3’s funds or subject to the benefit of any of TP3’s creditors.</w:t>
      </w: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Escheatment process is in place and unclaimed fund are escheated to the state as required by state law and are not retained by TP3.</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SCHEDULE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TP3 Remediation Plan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TP3 agrees to demonstrate its compliance with the following terms or provide the following information to Paymentech on or before the deadlines provided below:</w:t>
      </w:r>
    </w:p>
    <w:p>
      <w:pPr>
        <w:spacing w:after="0" w:line="170" w:lineRule="exact"/>
        <w:rPr>
          <w:sz w:val="20"/>
          <w:szCs w:val="20"/>
          <w:color w:val="auto"/>
        </w:rPr>
      </w:pPr>
    </w:p>
    <w:p>
      <w:pPr>
        <w:ind w:left="660" w:right="100" w:hanging="328"/>
        <w:spacing w:after="0" w:line="256"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TP3 must have documented CIP Policies and Procedures which include the method used to perform CIP validation (validation of customers identity); documentation if identity if verified, as well as documentation and actions that must be taken when discrepancies are found; and an action plan for escalation and termination, when appropriate.</w:t>
      </w: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ind w:left="660" w:right="8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Documented updates should be complete by April 2015. Once completed, Paymentech will review and determine if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is met</w:t>
      </w:r>
    </w:p>
    <w:p>
      <w:pPr>
        <w:spacing w:after="0" w:line="183" w:lineRule="exact"/>
        <w:rPr>
          <w:rFonts w:ascii="Arial" w:cs="Arial" w:eastAsia="Arial" w:hAnsi="Arial"/>
          <w:sz w:val="18"/>
          <w:szCs w:val="18"/>
          <w:color w:val="auto"/>
        </w:rPr>
      </w:pPr>
    </w:p>
    <w:p>
      <w:pPr>
        <w:ind w:left="660" w:right="540" w:hanging="328"/>
        <w:spacing w:after="0" w:line="291"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TP3 must perform OFAC screening and other applicable sanctions screening. TP3 must document how OFAC/sanctions screening s are being performed using their internal tools, as well as detailing how investigations and escalations will be done if and when a hit gets generated.</w:t>
      </w: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6"/>
          <w:szCs w:val="16"/>
          <w:color w:val="auto"/>
        </w:rPr>
      </w:pPr>
    </w:p>
    <w:p>
      <w:pPr>
        <w:ind w:left="660" w:right="8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Paymentech will need credit application form as documentary evidence, as well as copies of updated policies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referencing internal OFAC checks and detailing how investigations / escalations will be performed. USA Tech will need to define a process on how screening will be done for existing portfolio which has yet to be performed.</w:t>
      </w:r>
    </w:p>
    <w:p>
      <w:pPr>
        <w:spacing w:after="0" w:line="190" w:lineRule="exact"/>
        <w:rPr>
          <w:rFonts w:ascii="Arial" w:cs="Arial" w:eastAsia="Arial" w:hAnsi="Arial"/>
          <w:sz w:val="16"/>
          <w:szCs w:val="16"/>
          <w:color w:val="auto"/>
        </w:rPr>
      </w:pPr>
    </w:p>
    <w:p>
      <w:pPr>
        <w:ind w:left="660" w:hanging="328"/>
        <w:spacing w:after="0"/>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TP3 will need to develop an internal transaction monitoring system capable of detecting unusual and/or egregious transaction behavior.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An approach document detailing requirements, timelines, identifying a vendor, and sizing of the project.</w:t>
      </w:r>
    </w:p>
    <w:p>
      <w:pPr>
        <w:spacing w:after="0" w:line="210" w:lineRule="exact"/>
        <w:rPr>
          <w:rFonts w:ascii="Arial" w:cs="Arial" w:eastAsia="Arial" w:hAnsi="Arial"/>
          <w:sz w:val="17"/>
          <w:szCs w:val="17"/>
          <w:color w:val="auto"/>
        </w:rPr>
      </w:pPr>
    </w:p>
    <w:p>
      <w:pPr>
        <w:ind w:left="660" w:right="420" w:hanging="328"/>
        <w:spacing w:after="0" w:line="25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TP3 processes transactions using a mobile device. TP3 must put controls in place to determine Geo-location of the mobile device and must put controls in place to test the security and encryption of the mobile device being used.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For mobile, one of two options must be decided: (1) Using Paymentech’s mobile device that has already been validated for Geo-location and security controls or (2) Paymentech would not be able to support TP3’s mobile-specific transactions and TP3 would need to agree not to submit them to Paymentech for processing.</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TP3 must designate an AML Compliance officer.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David DeMedio has been assigned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TP3 must have AML Training for its employees.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Training to be developed and timeline created for employees</w:t>
      </w:r>
    </w:p>
    <w:p>
      <w:pPr>
        <w:spacing w:after="0" w:line="210" w:lineRule="exact"/>
        <w:rPr>
          <w:rFonts w:ascii="Arial" w:cs="Arial" w:eastAsia="Arial" w:hAnsi="Arial"/>
          <w:sz w:val="18"/>
          <w:szCs w:val="18"/>
          <w:color w:val="auto"/>
        </w:rPr>
      </w:pPr>
    </w:p>
    <w:p>
      <w:pPr>
        <w:ind w:left="660" w:right="60" w:hanging="328"/>
        <w:spacing w:after="0" w:line="258"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TP3 must put system in place to perform MATCH/TMF screening on all of its Merchants TP3 must also have a documented procedure designed and implemented which will appropriately handle investigations and escalations when a potential MATCH/TMF hit occurs.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ind w:left="660" w:right="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USA Tech to develop MATCH policies and procedures when inquiries have a potential MATCH, detailing Service Level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of 3 Business Days for investigations. In the event a merchant investigation does result in a true MATCH, steps will need to be outlined such as proper notification to Paymentech within 3 Business Days along with steps communicated to terminate the Merchant or decline the prospective merchant. In the event USA Tech decides to terminate a Merchant which meets MATCH criteria, USA Tech must notify Paymentech with (3) Business Days and provide the required information detailed by MATCH requirements.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132" w:name="page133"/>
    <w:bookmarkEnd w:id="132"/>
    <w:p>
      <w:pPr>
        <w:ind w:left="328" w:hanging="328"/>
        <w:spacing w:after="0" w:line="258" w:lineRule="auto"/>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TP3 must provide a copy of their internal policies and procedures relating to the Unlawful Internet Gambling Enforcement Act of 2006. TP3 must demonstrate that it is aware of this act and attest to how they prevent its applicability or comply with its mandates.</w:t>
      </w:r>
    </w:p>
    <w:p>
      <w:pPr>
        <w:spacing w:after="0" w:line="1"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b w:val="1"/>
          <w:bCs w:val="1"/>
          <w:color w:val="auto"/>
        </w:rPr>
        <w:t xml:space="preserve">Incremental Steps: </w:t>
      </w:r>
      <w:r>
        <w:rPr>
          <w:rFonts w:ascii="Arial" w:cs="Arial" w:eastAsia="Arial" w:hAnsi="Arial"/>
          <w:sz w:val="18"/>
          <w:szCs w:val="18"/>
          <w:color w:val="auto"/>
        </w:rPr>
        <w:t>Document provided by USA Tech, awaiting feedback from Compliance</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TP3 must provide verification or sufficiently demonstrate they are registered as a PSP with Visa and are registered as a PF for MasterCard.</w:t>
      </w:r>
    </w:p>
    <w:p>
      <w:pPr>
        <w:spacing w:after="0" w:line="34" w:lineRule="exact"/>
        <w:rPr>
          <w:rFonts w:ascii="Arial" w:cs="Arial" w:eastAsia="Arial" w:hAnsi="Arial"/>
          <w:sz w:val="17"/>
          <w:szCs w:val="17"/>
          <w:color w:val="auto"/>
        </w:rPr>
      </w:pPr>
    </w:p>
    <w:p>
      <w:pPr>
        <w:ind w:left="328"/>
        <w:spacing w:after="0"/>
        <w:rPr>
          <w:rFonts w:ascii="Arial" w:cs="Arial" w:eastAsia="Arial" w:hAnsi="Arial"/>
          <w:sz w:val="17"/>
          <w:szCs w:val="17"/>
          <w:color w:val="auto"/>
        </w:rPr>
      </w:pPr>
      <w:r>
        <w:rPr>
          <w:rFonts w:ascii="Arial" w:cs="Arial" w:eastAsia="Arial" w:hAnsi="Arial"/>
          <w:sz w:val="18"/>
          <w:szCs w:val="18"/>
          <w:b w:val="1"/>
          <w:bCs w:val="1"/>
          <w:color w:val="auto"/>
        </w:rPr>
        <w:t>Deadline for Remediation: ***</w:t>
      </w:r>
    </w:p>
    <w:p>
      <w:pPr>
        <w:spacing w:after="0" w:line="9" w:lineRule="exact"/>
        <w:rPr>
          <w:rFonts w:ascii="Arial" w:cs="Arial" w:eastAsia="Arial" w:hAnsi="Arial"/>
          <w:sz w:val="17"/>
          <w:szCs w:val="17"/>
          <w:color w:val="auto"/>
        </w:rPr>
      </w:pPr>
    </w:p>
    <w:p>
      <w:pPr>
        <w:ind w:left="328"/>
        <w:spacing w:after="0"/>
        <w:rPr>
          <w:rFonts w:ascii="Arial" w:cs="Arial" w:eastAsia="Arial" w:hAnsi="Arial"/>
          <w:sz w:val="17"/>
          <w:szCs w:val="17"/>
          <w:color w:val="auto"/>
        </w:rPr>
      </w:pPr>
      <w:r>
        <w:rPr>
          <w:rFonts w:ascii="Arial" w:cs="Arial" w:eastAsia="Arial" w:hAnsi="Arial"/>
          <w:sz w:val="18"/>
          <w:szCs w:val="18"/>
          <w:b w:val="1"/>
          <w:bCs w:val="1"/>
          <w:color w:val="auto"/>
        </w:rPr>
        <w:t xml:space="preserve">In Process </w:t>
      </w:r>
      <w:r>
        <w:rPr>
          <w:rFonts w:ascii="Arial" w:cs="Arial" w:eastAsia="Arial" w:hAnsi="Arial"/>
          <w:sz w:val="18"/>
          <w:szCs w:val="18"/>
          <w:color w:val="auto"/>
        </w:rPr>
        <w:t>with ***</w:t>
      </w:r>
    </w:p>
    <w:p>
      <w:pPr>
        <w:spacing w:after="0" w:line="200" w:lineRule="exact"/>
        <w:rPr>
          <w:sz w:val="20"/>
          <w:szCs w:val="20"/>
          <w:color w:val="auto"/>
        </w:rPr>
      </w:pPr>
    </w:p>
    <w:p>
      <w:pPr>
        <w:spacing w:after="0" w:line="227"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Page 35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8"/>
          </w:cols>
          <w:pgMar w:left="572" w:top="773"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10.47</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ELEVENTH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Eleventh Amendment to Loan and Security Agreement is entered into as of May 19, 2015 (the “Amendment”), by and between AVIDBANK CORPORATE FINANCE, a division of AVIDBANK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that certain Seventh Amendment to Loan and Security Agreement is entered into as of June 17, 2014, that certain Eighth Amendment to Loan and Security Agreement is entered into as of June 30, 2014, that certain Ninth Amendment to Loan and Security Agreement is entered into as of September 30, 2014 and that certain Tenth Amendment to Loan and Security Agreement is entered into as of April 17, 2015 (collectively, the “Agreement”). Borrower and Bank desire to amend the Agreement in accordance with the terms set forth herein.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both"/>
        <w:ind w:firstLine="656"/>
        <w:spacing w:after="0" w:line="290" w:lineRule="auto"/>
        <w:tabs>
          <w:tab w:leader="none" w:pos="1461"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the restrictions set forth in Section 7.1 of the Agreement, and subject to the terms and conditions set forth herein, Bank hereby consents to Borrower’s sale and disposition of certain equipment leases and related assets (the “Assets”) to Univest Capital, Inc. (“Buyer”) as set forth in that certain Master Agreement for Sale and Assignment of Equipment Leases by and between Univest Capital, Inc. and Borrower dated as of May 19, 2015 (the “Purchase Agreement”), on substantially the terms set forth in Exhibit A attached hereto. Following the effectiveness of the Purchase Agreement, at the “Effective Time” set forth in the Purchase Agreement, Bank releases the Assets from Bank’s security interest; acknowledging that Bank retains its security interest in the proceeds from the sale of the Assets, which proceeds constitute Collateral under the Loan Agreement. Within one business day following execution, Borrower shall deliver to Bank a fully executed copy of the Purchase Agreement, which shall be in substantially the same form as Exhibit A hereto, together with all schedules and exhibits and other related documents as Bank, in its reasonable discretion, may request.</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4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the restrictions set forth in Section 6.8, Borrower may open and maintain an account with Univest Bank and Trust Co. without an account control agreement in favor of Bank, for the sole purpose of satisfying Borrower’s requirement to maintain a restricted cash holdback account for the benefit of Univest Bank and Trust Co.; provided that the amount in such account shall be limited to that which is required by Buyer under the Purchase Agreement.</w:t>
      </w:r>
    </w:p>
    <w:p>
      <w:pPr>
        <w:spacing w:after="0" w:line="186" w:lineRule="exact"/>
        <w:rPr>
          <w:rFonts w:ascii="Arial" w:cs="Arial" w:eastAsia="Arial" w:hAnsi="Arial"/>
          <w:sz w:val="18"/>
          <w:szCs w:val="18"/>
          <w:color w:val="auto"/>
        </w:rPr>
      </w:pPr>
    </w:p>
    <w:p>
      <w:pPr>
        <w:ind w:left="1380" w:hanging="724"/>
        <w:spacing w:after="0"/>
        <w:tabs>
          <w:tab w:leader="none" w:pos="1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following is hereby added to the end of Section 6.3 of the Agreement:</w:t>
      </w:r>
    </w:p>
    <w:p>
      <w:pPr>
        <w:spacing w:after="0" w:line="225" w:lineRule="exact"/>
        <w:rPr>
          <w:sz w:val="20"/>
          <w:szCs w:val="20"/>
          <w:color w:val="auto"/>
        </w:rPr>
      </w:pPr>
    </w:p>
    <w:p>
      <w:pPr>
        <w:ind w:left="1400" w:right="660"/>
        <w:spacing w:after="0" w:line="277" w:lineRule="auto"/>
        <w:rPr>
          <w:sz w:val="20"/>
          <w:szCs w:val="20"/>
          <w:color w:val="auto"/>
        </w:rPr>
      </w:pPr>
      <w:r>
        <w:rPr>
          <w:rFonts w:ascii="Arial" w:cs="Arial" w:eastAsia="Arial" w:hAnsi="Arial"/>
          <w:sz w:val="18"/>
          <w:szCs w:val="18"/>
          <w:color w:val="auto"/>
        </w:rPr>
        <w:t>Within 20 days of the end of each month, Borrower shall deliver to Bank copies of the monthly bank statements from Univest Bank and Trust Co. for so long as such account remains open.</w:t>
      </w:r>
    </w:p>
    <w:p>
      <w:pPr>
        <w:spacing w:after="0" w:line="170" w:lineRule="exact"/>
        <w:rPr>
          <w:sz w:val="20"/>
          <w:szCs w:val="20"/>
          <w:color w:val="auto"/>
        </w:rPr>
      </w:pPr>
    </w:p>
    <w:p>
      <w:pPr>
        <w:jc w:val="both"/>
        <w:ind w:firstLine="656"/>
        <w:spacing w:after="0" w:line="257" w:lineRule="auto"/>
        <w:tabs>
          <w:tab w:leader="none" w:pos="15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4" w:name="page135"/>
    <w:bookmarkEnd w:id="134"/>
    <w:p>
      <w:pPr>
        <w:ind w:firstLine="656"/>
        <w:spacing w:after="0" w:line="277" w:lineRule="auto"/>
        <w:tabs>
          <w:tab w:leader="none" w:pos="14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40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88" w:lineRule="exact"/>
        <w:rPr>
          <w:rFonts w:ascii="Arial" w:cs="Arial" w:eastAsia="Arial" w:hAnsi="Arial"/>
          <w:sz w:val="18"/>
          <w:szCs w:val="18"/>
          <w:color w:val="auto"/>
        </w:rPr>
      </w:pPr>
    </w:p>
    <w:p>
      <w:pPr>
        <w:ind w:left="1660" w:hanging="1004"/>
        <w:spacing w:after="0"/>
        <w:tabs>
          <w:tab w:leader="none" w:pos="1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a condition to the effectiveness of this Amendment, Bank shall have received, in form and substance satisfactory to Bank,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2080" w:hanging="711"/>
        <w:spacing w:after="0"/>
        <w:tabs>
          <w:tab w:leader="none" w:pos="2080"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 and</w:t>
      </w:r>
    </w:p>
    <w:p>
      <w:pPr>
        <w:spacing w:after="0" w:line="225" w:lineRule="exact"/>
        <w:rPr>
          <w:rFonts w:ascii="Arial" w:cs="Arial" w:eastAsia="Arial" w:hAnsi="Arial"/>
          <w:sz w:val="18"/>
          <w:szCs w:val="18"/>
          <w:b w:val="1"/>
          <w:bCs w:val="1"/>
          <w:color w:val="auto"/>
        </w:rPr>
      </w:pPr>
    </w:p>
    <w:p>
      <w:pPr>
        <w:ind w:left="2100" w:hanging="731"/>
        <w:spacing w:after="0"/>
        <w:tabs>
          <w:tab w:leader="none" w:pos="2100"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payment of a consent and amendment fee equal to $1,500, plus payment of all Bank Expenses incurred by Bank through the date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AVIDBANK CORPORATE FINANCE,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436245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10.48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TWELFTH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Twelfth Amendment to Loan and Security Agreement is entered into as of June 18, 2015 (the “Amendment”), by and between AVIDBANK CORPORATE FINANCE, a division of AVIDBANK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that certain Seventh Amendment to Loan and Security Agreement dated as of June 17, 2014, that certain Eighth Amendment to Loan and Security Agreement dated as of June 30, 2014, that certain Ninth Amendment to Loan and Security Agreement dated as of September 30, 2014, that certain Tenth Amendment to Loan and Security Agreement dated as of April 17, 2015 and that certain Eleventh Amendment to Loan and Security Agreement dated as of May 19, 2015 (collectively, the “Agreement”). Borrower and Bank desire to amend the Agreement in accordance with the terms set forth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1240" w:right="2780" w:hanging="584"/>
        <w:spacing w:after="0" w:line="402" w:lineRule="auto"/>
        <w:tabs>
          <w:tab w:leader="none" w:pos="12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following definitions in Section 1.1 of the Agreement is amended in its entirety to read as follows: “Revolving Maturity Date” means July 31, 2015.</w:t>
      </w:r>
    </w:p>
    <w:p>
      <w:pPr>
        <w:spacing w:after="0" w:line="62" w:lineRule="exact"/>
        <w:rPr>
          <w:rFonts w:ascii="Arial" w:cs="Arial" w:eastAsia="Arial" w:hAnsi="Arial"/>
          <w:sz w:val="18"/>
          <w:szCs w:val="18"/>
          <w:color w:val="auto"/>
        </w:rPr>
      </w:pPr>
    </w:p>
    <w:p>
      <w:pPr>
        <w:jc w:val="both"/>
        <w:ind w:firstLine="656"/>
        <w:spacing w:after="0" w:line="257" w:lineRule="auto"/>
        <w:tabs>
          <w:tab w:leader="none" w:pos="14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88" w:lineRule="exact"/>
        <w:rPr>
          <w:rFonts w:ascii="Arial" w:cs="Arial" w:eastAsia="Arial" w:hAnsi="Arial"/>
          <w:sz w:val="18"/>
          <w:szCs w:val="18"/>
          <w:color w:val="auto"/>
        </w:rPr>
      </w:pPr>
    </w:p>
    <w:p>
      <w:pPr>
        <w:ind w:firstLine="656"/>
        <w:spacing w:after="0" w:line="277" w:lineRule="auto"/>
        <w:tabs>
          <w:tab w:leader="none" w:pos="131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31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88" w:lineRule="exact"/>
        <w:rPr>
          <w:rFonts w:ascii="Arial" w:cs="Arial" w:eastAsia="Arial" w:hAnsi="Arial"/>
          <w:sz w:val="18"/>
          <w:szCs w:val="18"/>
          <w:color w:val="auto"/>
        </w:rPr>
      </w:pPr>
    </w:p>
    <w:p>
      <w:pPr>
        <w:ind w:left="1240" w:hanging="584"/>
        <w:spacing w:after="0"/>
        <w:tabs>
          <w:tab w:leader="none" w:pos="12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48" w:lineRule="exact"/>
        <w:rPr>
          <w:rFonts w:ascii="Arial" w:cs="Arial" w:eastAsia="Arial" w:hAnsi="Arial"/>
          <w:sz w:val="16"/>
          <w:szCs w:val="16"/>
          <w:color w:val="auto"/>
        </w:rPr>
      </w:pPr>
    </w:p>
    <w:p>
      <w:pPr>
        <w:ind w:left="1900" w:hanging="660"/>
        <w:spacing w:after="0"/>
        <w:tabs>
          <w:tab w:leader="none" w:pos="190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 and</w:t>
      </w:r>
    </w:p>
    <w:p>
      <w:pPr>
        <w:spacing w:after="0" w:line="225" w:lineRule="exact"/>
        <w:rPr>
          <w:rFonts w:ascii="Arial" w:cs="Arial" w:eastAsia="Arial" w:hAnsi="Arial"/>
          <w:sz w:val="18"/>
          <w:szCs w:val="18"/>
          <w:b w:val="1"/>
          <w:bCs w:val="1"/>
          <w:color w:val="auto"/>
        </w:rPr>
      </w:pPr>
    </w:p>
    <w:p>
      <w:pPr>
        <w:ind w:left="2100" w:hanging="860"/>
        <w:spacing w:after="0"/>
        <w:tabs>
          <w:tab w:leader="none" w:pos="2100" w:val="left"/>
        </w:tabs>
        <w:numPr>
          <w:ilvl w:val="1"/>
          <w:numId w:val="101"/>
        </w:numPr>
        <w:rPr>
          <w:rFonts w:ascii="Arial" w:cs="Arial" w:eastAsia="Arial" w:hAnsi="Arial"/>
          <w:sz w:val="16"/>
          <w:szCs w:val="16"/>
          <w:b w:val="1"/>
          <w:bCs w:val="1"/>
          <w:color w:val="auto"/>
        </w:rPr>
      </w:pPr>
      <w:r>
        <w:rPr>
          <w:rFonts w:ascii="Arial" w:cs="Arial" w:eastAsia="Arial" w:hAnsi="Arial"/>
          <w:sz w:val="16"/>
          <w:szCs w:val="16"/>
          <w:color w:val="auto"/>
        </w:rPr>
        <w:t>payment of a pro-rated extension fee equal to $3,889, plus payment of all Bank Expenses incurred by Bank through the date</w:t>
      </w:r>
    </w:p>
    <w:p>
      <w:pPr>
        <w:spacing w:after="0" w:line="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395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AVIDBANK CORPORATE FINANCE,</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395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426720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81"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(Nos. 333-199009 and 333-198049) on Form S-8 of USA Technologies, Inc. of our report dated September 30, 2015, relating to our audits of the consolidated financial statements and schedule which appear in this Annual Report on Form 10-K for the year ended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McGladrey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436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right="20" w:firstLine="8"/>
        <w:spacing w:after="0" w:line="277" w:lineRule="auto"/>
        <w:tabs>
          <w:tab w:leader="none" w:pos="1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 Herbert</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P. Herbert ,</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860" w:type="dxa"/>
            <w:vAlign w:val="bottom"/>
            <w:tcBorders>
              <w:bottom w:val="single" w:sz="8" w:color="DEDEDE"/>
            </w:tcBorders>
          </w:tcPr>
          <w:p>
            <w:pPr>
              <w:spacing w:after="0"/>
              <w:rPr>
                <w:sz w:val="24"/>
                <w:szCs w:val="24"/>
                <w:color w:val="auto"/>
              </w:rPr>
            </w:pPr>
          </w:p>
        </w:tc>
        <w:tc>
          <w:tcPr>
            <w:tcW w:w="4560" w:type="dxa"/>
            <w:vAlign w:val="bottom"/>
            <w:tcBorders>
              <w:bottom w:val="single" w:sz="8" w:color="DEDEDE"/>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52" w:lineRule="exact"/>
        <w:rPr>
          <w:sz w:val="20"/>
          <w:szCs w:val="20"/>
          <w:color w:val="auto"/>
        </w:rPr>
      </w:pPr>
    </w:p>
    <w:p>
      <w:pPr>
        <w:jc w:val="center"/>
        <w:ind w:left="260" w:right="236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EXCHANGE ACT SECTION 302 OF THE SRBANES OXLEY ACT OF 2002 (18 U.S.C. SECTION 1350)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 Duncan Smith, certify that:</w:t>
      </w:r>
    </w:p>
    <w:p>
      <w:pPr>
        <w:spacing w:after="0" w:line="225"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right="20" w:firstLine="8"/>
        <w:spacing w:after="0" w:line="277" w:lineRule="auto"/>
        <w:tabs>
          <w:tab w:leader="none" w:pos="1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30,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Duncan Smith</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 Duncan Smith</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6860" w:type="dxa"/>
            <w:vAlign w:val="bottom"/>
            <w:tcBorders>
              <w:bottom w:val="single" w:sz="8" w:color="DEDEDE"/>
            </w:tcBorders>
          </w:tcPr>
          <w:p>
            <w:pPr>
              <w:spacing w:after="0"/>
              <w:rPr>
                <w:sz w:val="24"/>
                <w:szCs w:val="24"/>
                <w:color w:val="auto"/>
              </w:rPr>
            </w:pPr>
          </w:p>
        </w:tc>
        <w:tc>
          <w:tcPr>
            <w:tcW w:w="4560" w:type="dxa"/>
            <w:vAlign w:val="bottom"/>
            <w:tcBorders>
              <w:bottom w:val="single" w:sz="8" w:color="DEDEDE"/>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ind w:left="260" w:right="2000"/>
        <w:spacing w:after="0" w:line="266" w:lineRule="auto"/>
        <w:rPr>
          <w:sz w:val="20"/>
          <w:szCs w:val="20"/>
          <w:color w:val="auto"/>
        </w:rPr>
      </w:pPr>
      <w:r>
        <w:rPr>
          <w:rFonts w:ascii="Arial" w:cs="Arial" w:eastAsia="Arial" w:hAnsi="Arial"/>
          <w:sz w:val="18"/>
          <w:szCs w:val="18"/>
          <w:b w:val="1"/>
          <w:bCs w:val="1"/>
          <w:color w:val="auto"/>
        </w:rPr>
        <w:t>CERTIFICATIONS OF CHIEF EXECUTIVE OFFICER AND CHIEF FINANCIAL OFFICER PURSUANT TO SECTION 906 OF THE SARBANES-OXLEY ACT OF 2002 (18 U.S.C. SECTION 1350)</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2015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90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2015 (the “Report”), I, J. Duncan Smith,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J. Duncan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Duncan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490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x"/>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2"/>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5"/>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lvl w:ilvl="1">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1."/>
      <w:numFmt w:val="decimal"/>
      <w:start w:val="1"/>
    </w:lvl>
    <w:lvl w:ilvl="1">
      <w:lvlJc w:val="left"/>
      <w:lvlText w:val="(%2)"/>
      <w:numFmt w:val="lowerLetter"/>
      <w:start w:val="1"/>
    </w:lvl>
  </w:abstractNum>
  <w:abstractNum w:abstractNumId="38">
    <w:nsid w:val="1EBA5D23"/>
    <w:multiLevelType w:val="hybridMultilevel"/>
    <w:lvl w:ilvl="0">
      <w:lvlJc w:val="left"/>
      <w:lvlText w:val="%1."/>
      <w:numFmt w:val="decimal"/>
      <w:start w:val="2"/>
    </w:lvl>
    <w:lvl w:ilvl="1">
      <w:lvlJc w:val="left"/>
      <w:lvlText w:val="(%2)"/>
      <w:numFmt w:val="lowerLetter"/>
      <w:start w:val="1"/>
    </w:lvl>
  </w:abstractNum>
  <w:abstractNum w:abstractNumId="39">
    <w:nsid w:val="661E3F1E"/>
    <w:multiLevelType w:val="hybridMultilevel"/>
    <w:lvl w:ilvl="0">
      <w:lvlJc w:val="left"/>
      <w:lvlText w:val="(%1)"/>
      <w:numFmt w:val="lowerLetter"/>
      <w:start w:val="2"/>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lowerLetter"/>
      <w:start w:val="1"/>
    </w:lvl>
  </w:abstractNum>
  <w:abstractNum w:abstractNumId="42">
    <w:nsid w:val="7BD3EE7B"/>
    <w:multiLevelType w:val="hybridMultilevel"/>
    <w:lvl w:ilvl="0">
      <w:lvlJc w:val="left"/>
      <w:lvlText w:val="(%1)"/>
      <w:numFmt w:val="lowerLetter"/>
      <w:start w:val="4"/>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lowerLetter"/>
      <w:start w:val="2"/>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13"/>
    </w:lvl>
  </w:abstractNum>
  <w:abstractNum w:abstractNumId="47">
    <w:nsid w:val="42963E5A"/>
    <w:multiLevelType w:val="hybridMultilevel"/>
    <w:lvl w:ilvl="0">
      <w:lvlJc w:val="left"/>
      <w:lvlText w:val="%1."/>
      <w:numFmt w:val="decimal"/>
      <w:start w:val="2"/>
    </w:lvl>
  </w:abstractNum>
  <w:abstractNum w:abstractNumId="48">
    <w:nsid w:val="A0382C5"/>
    <w:multiLevelType w:val="hybridMultilevel"/>
    <w:lvl w:ilvl="0">
      <w:lvlJc w:val="left"/>
      <w:lvlText w:val="%1."/>
      <w:numFmt w:val="decimal"/>
      <w:start w:val="3"/>
    </w:lvl>
  </w:abstractNum>
  <w:abstractNum w:abstractNumId="49">
    <w:nsid w:val="8F2B15E"/>
    <w:multiLevelType w:val="hybridMultilevel"/>
    <w:lvl w:ilvl="0">
      <w:lvlJc w:val="left"/>
      <w:lvlText w:val="%1."/>
      <w:numFmt w:val="decimal"/>
      <w:start w:val="4"/>
    </w:lvl>
  </w:abstractNum>
  <w:abstractNum w:abstractNumId="50">
    <w:nsid w:val="1A32234B"/>
    <w:multiLevelType w:val="hybridMultilevel"/>
    <w:lvl w:ilvl="0">
      <w:lvlJc w:val="left"/>
      <w:lvlText w:val="(%1)"/>
      <w:numFmt w:val="lowerRoman"/>
      <w:start w:val="2"/>
    </w:lvl>
  </w:abstractNum>
  <w:abstractNum w:abstractNumId="51">
    <w:nsid w:val="3B0FD379"/>
    <w:multiLevelType w:val="hybridMultilevel"/>
    <w:lvl w:ilvl="0">
      <w:lvlJc w:val="left"/>
      <w:lvlText w:val="%1."/>
      <w:numFmt w:val="decimal"/>
      <w:start w:val="5"/>
    </w:lvl>
  </w:abstractNum>
  <w:abstractNum w:abstractNumId="52">
    <w:nsid w:val="68EB2F63"/>
    <w:multiLevelType w:val="hybridMultilevel"/>
    <w:lvl w:ilvl="0">
      <w:lvlJc w:val="left"/>
      <w:lvlText w:val="%1."/>
      <w:numFmt w:val="decimal"/>
      <w:start w:val="6"/>
    </w:lvl>
  </w:abstractNum>
  <w:abstractNum w:abstractNumId="53">
    <w:nsid w:val="4962813B"/>
    <w:multiLevelType w:val="hybridMultilevel"/>
    <w:lvl w:ilvl="0">
      <w:lvlJc w:val="left"/>
      <w:lvlText w:val="%1."/>
      <w:numFmt w:val="decimal"/>
      <w:start w:val="7"/>
    </w:lvl>
  </w:abstractNum>
  <w:abstractNum w:abstractNumId="54">
    <w:nsid w:val="60B6DF70"/>
    <w:multiLevelType w:val="hybridMultilevel"/>
    <w:lvl w:ilvl="0">
      <w:lvlJc w:val="left"/>
      <w:lvlText w:val="(%1)"/>
      <w:numFmt w:val="decimal"/>
      <w:start w:val="1"/>
    </w:lvl>
    <w:lvl w:ilvl="1">
      <w:lvlJc w:val="left"/>
      <w:lvlText w:val="(%2)"/>
      <w:numFmt w:val="decimal"/>
      <w:start w:val="5"/>
    </w:lvl>
    <w:lvl w:ilvl="2">
      <w:lvlJc w:val="left"/>
      <w:lvlText w:val="(%3)"/>
      <w:numFmt w:val="decimal"/>
      <w:start w:val="5"/>
    </w:lvl>
  </w:abstractNum>
  <w:abstractNum w:abstractNumId="55">
    <w:nsid w:val="6A5EE64"/>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56">
    <w:nsid w:val="14330624"/>
    <w:multiLevelType w:val="hybridMultilevel"/>
    <w:lvl w:ilvl="0">
      <w:lvlJc w:val="left"/>
      <w:lvlText w:val="%1."/>
      <w:numFmt w:val="decimal"/>
      <w:start w:val="8"/>
    </w:lvl>
  </w:abstractNum>
  <w:abstractNum w:abstractNumId="57">
    <w:nsid w:val="7FFFCA11"/>
    <w:multiLevelType w:val="hybridMultilevel"/>
    <w:lvl w:ilvl="0">
      <w:lvlJc w:val="left"/>
      <w:lvlText w:val="(%1)"/>
      <w:numFmt w:val="lowerLetter"/>
      <w:start w:val="1"/>
    </w:lvl>
  </w:abstractNum>
  <w:abstractNum w:abstractNumId="58">
    <w:nsid w:val="1A27709E"/>
    <w:multiLevelType w:val="hybridMultilevel"/>
    <w:lvl w:ilvl="0">
      <w:lvlJc w:val="left"/>
      <w:lvlText w:val="%1."/>
      <w:numFmt w:val="decimal"/>
      <w:start w:val="10"/>
    </w:lvl>
  </w:abstractNum>
  <w:abstractNum w:abstractNumId="59">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60">
    <w:nsid w:val="100F59DC"/>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61">
    <w:nsid w:val="7FB7E0AA"/>
    <w:multiLevelType w:val="hybridMultilevel"/>
    <w:lvl w:ilvl="0">
      <w:lvlJc w:val="left"/>
      <w:lvlText w:val="(%1)"/>
      <w:numFmt w:val="lowerLetter"/>
      <w:start w:val="7"/>
    </w:lvl>
  </w:abstractNum>
  <w:abstractNum w:abstractNumId="62">
    <w:nsid w:val="6EB5BD4"/>
    <w:multiLevelType w:val="hybridMultilevel"/>
    <w:lvl w:ilvl="0">
      <w:lvlJc w:val="left"/>
      <w:lvlText w:val="%1"/>
      <w:numFmt w:val="lowerLetter"/>
      <w:start w:val="1"/>
    </w:lvl>
    <w:lvl w:ilvl="1">
      <w:lvlJc w:val="left"/>
      <w:lvlText w:val="(%2)"/>
      <w:numFmt w:val="lowerLetter"/>
      <w:start w:val="10"/>
    </w:lvl>
  </w:abstractNum>
  <w:abstractNum w:abstractNumId="63">
    <w:nsid w:val="6F6DD9AC"/>
    <w:multiLevelType w:val="hybridMultilevel"/>
    <w:lvl w:ilvl="0">
      <w:lvlJc w:val="left"/>
      <w:lvlText w:val="(%1)"/>
      <w:numFmt w:val="lowerLetter"/>
      <w:start w:val="11"/>
    </w:lvl>
    <w:lvl w:ilvl="1">
      <w:lvlJc w:val="left"/>
      <w:lvlText w:val="%2"/>
      <w:numFmt w:val="lowerLetter"/>
      <w:start w:val="1"/>
    </w:lvl>
  </w:abstractNum>
  <w:abstractNum w:abstractNumId="64">
    <w:nsid w:val="94211F2"/>
    <w:multiLevelType w:val="hybridMultilevel"/>
    <w:lvl w:ilvl="0">
      <w:lvlJc w:val="left"/>
      <w:lvlText w:val="%1."/>
      <w:numFmt w:val="decimal"/>
      <w:start w:val="11"/>
    </w:lvl>
  </w:abstractNum>
  <w:abstractNum w:abstractNumId="65">
    <w:nsid w:val="885E1B"/>
    <w:multiLevelType w:val="hybridMultilevel"/>
    <w:lvl w:ilvl="0">
      <w:lvlJc w:val="left"/>
      <w:lvlText w:val="(%1)"/>
      <w:numFmt w:val="lowerRoman"/>
      <w:start w:val="3"/>
    </w:lvl>
  </w:abstractNum>
  <w:abstractNum w:abstractNumId="66">
    <w:nsid w:val="76272110"/>
    <w:multiLevelType w:val="hybridMultilevel"/>
    <w:lvl w:ilvl="0">
      <w:lvlJc w:val="left"/>
      <w:lvlText w:val="%1."/>
      <w:numFmt w:val="decimal"/>
      <w:start w:val="12"/>
    </w:lvl>
  </w:abstractNum>
  <w:abstractNum w:abstractNumId="67">
    <w:nsid w:val="4C04A8AF"/>
    <w:multiLevelType w:val="hybridMultilevel"/>
    <w:lvl w:ilvl="0">
      <w:lvlJc w:val="left"/>
      <w:lvlText w:val="%1."/>
      <w:numFmt w:val="decimal"/>
      <w:start w:val="13"/>
    </w:lvl>
  </w:abstractNum>
  <w:abstractNum w:abstractNumId="68">
    <w:nsid w:val="1716703B"/>
    <w:multiLevelType w:val="hybridMultilevel"/>
    <w:lvl w:ilvl="0">
      <w:lvlJc w:val="left"/>
      <w:lvlText w:val="%1."/>
      <w:numFmt w:val="decimal"/>
      <w:start w:val="14"/>
    </w:lvl>
  </w:abstractNum>
  <w:abstractNum w:abstractNumId="69">
    <w:nsid w:val="14E17E33"/>
    <w:multiLevelType w:val="hybridMultilevel"/>
    <w:lvl w:ilvl="0">
      <w:lvlJc w:val="left"/>
      <w:lvlText w:val="(%1)"/>
      <w:numFmt w:val="lowerRoman"/>
      <w:start w:val="3"/>
    </w:lvl>
  </w:abstractNum>
  <w:abstractNum w:abstractNumId="70">
    <w:nsid w:val="3222E7CD"/>
    <w:multiLevelType w:val="hybridMultilevel"/>
    <w:lvl w:ilvl="0">
      <w:lvlJc w:val="left"/>
      <w:lvlText w:val="%1."/>
      <w:numFmt w:val="decimal"/>
      <w:start w:val="16"/>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1."/>
      <w:numFmt w:val="decimal"/>
      <w:start w:val="4"/>
    </w:lvl>
  </w:abstractNum>
  <w:abstractNum w:abstractNumId="73">
    <w:nsid w:val="2DF6D648"/>
    <w:multiLevelType w:val="hybridMultilevel"/>
    <w:lvl w:ilvl="0">
      <w:lvlJc w:val="left"/>
      <w:lvlText w:val="%1."/>
      <w:numFmt w:val="decimal"/>
      <w:start w:val="7"/>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lowerLetter"/>
      <w:start w:val="14"/>
    </w:lvl>
  </w:abstractNum>
  <w:abstractNum w:abstractNumId="76">
    <w:nsid w:val="39EE015C"/>
    <w:multiLevelType w:val="hybridMultilevel"/>
    <w:lvl w:ilvl="0">
      <w:lvlJc w:val="left"/>
      <w:lvlText w:val="%1."/>
      <w:numFmt w:val="upperLetter"/>
      <w:start w:val="1"/>
    </w:lvl>
  </w:abstractNum>
  <w:abstractNum w:abstractNumId="77">
    <w:nsid w:val="57FC4FBB"/>
    <w:multiLevelType w:val="hybridMultilevel"/>
    <w:lvl w:ilvl="0">
      <w:lvlJc w:val="left"/>
      <w:lvlText w:val="%1."/>
      <w:numFmt w:val="upperLetter"/>
      <w:start w:val="12"/>
    </w:lvl>
  </w:abstractNum>
  <w:abstractNum w:abstractNumId="78">
    <w:nsid w:val="CC1016F"/>
    <w:multiLevelType w:val="hybridMultilevel"/>
    <w:lvl w:ilvl="0">
      <w:lvlJc w:val="left"/>
      <w:lvlText w:val="o"/>
      <w:numFmt w:val="bullet"/>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2"/>
    </w:lvl>
  </w:abstractNum>
  <w:abstractNum w:abstractNumId="81">
    <w:nsid w:val="26F324BA"/>
    <w:multiLevelType w:val="hybridMultilevel"/>
    <w:lvl w:ilvl="0">
      <w:lvlJc w:val="left"/>
      <w:lvlText w:val="%1."/>
      <w:numFmt w:val="decimal"/>
      <w:start w:val="5"/>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decimal"/>
      <w:start w:val="2"/>
    </w:lvl>
  </w:abstractNum>
  <w:abstractNum w:abstractNumId="84">
    <w:nsid w:val="7055A5F5"/>
    <w:multiLevelType w:val="hybridMultilevel"/>
    <w:lvl w:ilvl="0">
      <w:lvlJc w:val="left"/>
      <w:lvlText w:val="%1."/>
      <w:numFmt w:val="decimal"/>
      <w:start w:val="3"/>
    </w:lvl>
  </w:abstractNum>
  <w:abstractNum w:abstractNumId="85">
    <w:nsid w:val="5FB8370B"/>
    <w:multiLevelType w:val="hybridMultilevel"/>
    <w:lvl w:ilvl="0">
      <w:lvlJc w:val="left"/>
      <w:lvlText w:val="%1."/>
      <w:numFmt w:val="decimal"/>
      <w:start w:val="5"/>
    </w:lvl>
  </w:abstractNum>
  <w:abstractNum w:abstractNumId="86">
    <w:nsid w:val="50801EE1"/>
    <w:multiLevelType w:val="hybridMultilevel"/>
    <w:lvl w:ilvl="0">
      <w:lvlJc w:val="left"/>
      <w:lvlText w:val="%1."/>
      <w:numFmt w:val="decimal"/>
      <w:start w:val="6"/>
    </w:lvl>
  </w:abstractNum>
  <w:abstractNum w:abstractNumId="87">
    <w:nsid w:val="488AC1A"/>
    <w:multiLevelType w:val="hybridMultilevel"/>
    <w:lvl w:ilvl="0">
      <w:lvlJc w:val="left"/>
      <w:lvlText w:val="%1."/>
      <w:numFmt w:val="decimal"/>
      <w:start w:val="9"/>
    </w:lvl>
  </w:abstractNum>
  <w:abstractNum w:abstractNumId="88">
    <w:nsid w:val="5FB8011C"/>
    <w:multiLevelType w:val="hybridMultilevel"/>
    <w:lvl w:ilvl="0">
      <w:lvlJc w:val="left"/>
      <w:lvlText w:val="%1."/>
      <w:numFmt w:val="decimal"/>
      <w:start w:val="11"/>
    </w:lvl>
  </w:abstractNum>
  <w:abstractNum w:abstractNumId="89">
    <w:nsid w:val="6AA78F7F"/>
    <w:multiLevelType w:val="hybridMultilevel"/>
    <w:lvl w:ilvl="0">
      <w:lvlJc w:val="left"/>
      <w:lvlText w:val="%1."/>
      <w:numFmt w:val="decimal"/>
      <w:start w:val="12"/>
    </w:lvl>
  </w:abstractNum>
  <w:abstractNum w:abstractNumId="90">
    <w:nsid w:val="7672BD23"/>
    <w:multiLevelType w:val="hybridMultilevel"/>
    <w:lvl w:ilvl="0">
      <w:lvlJc w:val="left"/>
      <w:lvlText w:val="%1."/>
      <w:numFmt w:val="decimal"/>
      <w:start w:val="1"/>
    </w:lvl>
    <w:lvl w:ilvl="1">
      <w:lvlJc w:val="left"/>
      <w:lvlText w:val="(%2)"/>
      <w:numFmt w:val="lowerLetter"/>
      <w:start w:val="1"/>
    </w:lvl>
  </w:abstractNum>
  <w:abstractNum w:abstractNumId="91">
    <w:nsid w:val="6FC75AF8"/>
    <w:multiLevelType w:val="hybridMultilevel"/>
    <w:lvl w:ilvl="0">
      <w:lvlJc w:val="left"/>
      <w:lvlText w:val="%1"/>
      <w:numFmt w:val="decimal"/>
      <w:start w:val="1"/>
    </w:lvl>
    <w:lvl w:ilvl="1">
      <w:lvlJc w:val="left"/>
      <w:lvlText w:val="(%2)"/>
      <w:numFmt w:val="lowerLetter"/>
      <w:start w:val="9"/>
    </w:lvl>
  </w:abstractNum>
  <w:abstractNum w:abstractNumId="92">
    <w:nsid w:val="6A5F7029"/>
    <w:multiLevelType w:val="hybridMultilevel"/>
    <w:lvl w:ilvl="0">
      <w:lvlJc w:val="left"/>
      <w:lvlText w:val="%1."/>
      <w:numFmt w:val="decimal"/>
      <w:start w:val="4"/>
    </w:lvl>
    <w:lvl w:ilvl="1">
      <w:lvlJc w:val="left"/>
      <w:lvlText w:val="(%2)"/>
      <w:numFmt w:val="lowerLetter"/>
      <w:start w:val="11"/>
    </w:lvl>
  </w:abstractNum>
  <w:abstractNum w:abstractNumId="93">
    <w:nsid w:val="7D5E18F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decimal"/>
      <w:start w:val="1"/>
    </w:lvl>
  </w:abstractNum>
  <w:abstractNum w:abstractNumId="96">
    <w:nsid w:val="7DE67713"/>
    <w:multiLevelType w:val="hybridMultilevel"/>
    <w:lvl w:ilvl="0">
      <w:lvlJc w:val="left"/>
      <w:lvlText w:val="%1)"/>
      <w:numFmt w:val="decimal"/>
      <w:start w:val="8"/>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4"/>
    </w:lvl>
  </w:abstractNum>
  <w:abstractNum w:abstractNumId="99">
    <w:nsid w:val="14FCE74E"/>
    <w:multiLevelType w:val="hybridMultilevel"/>
    <w:lvl w:ilvl="0">
      <w:lvlJc w:val="left"/>
      <w:lvlText w:val="%1."/>
      <w:numFmt w:val="decimal"/>
      <w:start w:val="5"/>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5"/>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5"/>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2019-12-29T15:19:22Z</dcterms:created>
  <dcterms:modified xsi:type="dcterms:W3CDTF">2019-12-29T15:19:22Z</dcterms:modified>
</cp:coreProperties>
</file>