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248" w:lineRule="exact"/>
        <w:rPr>
          <w:rFonts w:ascii="Arial" w:cs="Arial" w:eastAsia="Arial" w:hAnsi="Arial"/>
          <w:sz w:val="18"/>
          <w:szCs w:val="18"/>
          <w:color w:val="auto"/>
        </w:rPr>
      </w:pPr>
    </w:p>
    <w:p>
      <w:pPr>
        <w:ind w:left="4220"/>
        <w:spacing w:after="0"/>
        <w:rPr>
          <w:rFonts w:ascii="Arial" w:cs="Arial" w:eastAsia="Arial" w:hAnsi="Arial"/>
          <w:sz w:val="18"/>
          <w:szCs w:val="18"/>
          <w:color w:val="auto"/>
        </w:rPr>
      </w:pPr>
      <w:r>
        <w:rPr>
          <w:rFonts w:ascii="Arial" w:cs="Arial" w:eastAsia="Arial" w:hAnsi="Arial"/>
          <w:sz w:val="18"/>
          <w:szCs w:val="18"/>
          <w:b w:val="1"/>
          <w:bCs w:val="1"/>
          <w:color w:val="auto"/>
        </w:rPr>
        <w:t>For the fiscal year ended June 30, 2014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 (d) OF THE EXCHANGE ACT OF 1934</w:t>
      </w:r>
    </w:p>
    <w:p>
      <w:pPr>
        <w:spacing w:after="0" w:line="252" w:lineRule="exact"/>
        <w:rPr>
          <w:sz w:val="24"/>
          <w:szCs w:val="24"/>
          <w:color w:val="auto"/>
        </w:rPr>
      </w:pPr>
    </w:p>
    <w:p>
      <w:pPr>
        <w:ind w:left="2660"/>
        <w:spacing w:after="0"/>
        <w:rPr>
          <w:sz w:val="20"/>
          <w:szCs w:val="20"/>
          <w:color w:val="auto"/>
        </w:rPr>
      </w:pPr>
      <w:r>
        <w:rPr>
          <w:rFonts w:ascii="Arial" w:cs="Arial" w:eastAsia="Arial" w:hAnsi="Arial"/>
          <w:sz w:val="18"/>
          <w:szCs w:val="18"/>
          <w:color w:val="auto"/>
        </w:rPr>
        <w:t>For the transition period from ____________________ to _____________________</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000-50054</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USA Technologies,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5715</wp:posOffset>
            </wp:positionV>
            <wp:extent cx="11233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23315" cy="17145"/>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4"/>
          <w:szCs w:val="24"/>
          <w:color w:val="auto"/>
        </w:rPr>
      </w:pPr>
    </w:p>
    <w:tbl>
      <w:tblPr>
        <w:tblLayout w:type="fixed"/>
        <w:tblInd w:w="340" w:type="dxa"/>
        <w:tblCellMar>
          <w:top w:w="0" w:type="dxa"/>
          <w:left w:w="0" w:type="dxa"/>
          <w:bottom w:w="0" w:type="dxa"/>
          <w:right w:w="0" w:type="dxa"/>
        </w:tblCellMar>
      </w:tblPr>
      <w:tr>
        <w:trPr>
          <w:trHeight w:val="237"/>
        </w:trPr>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1"/>
              </w:rPr>
              <w:t>Pennsylvania</w:t>
            </w:r>
          </w:p>
        </w:tc>
        <w:tc>
          <w:tcPr>
            <w:tcW w:w="2240" w:type="dxa"/>
            <w:vAlign w:val="bottom"/>
            <w:gridSpan w:val="2"/>
          </w:tcPr>
          <w:p>
            <w:pPr>
              <w:spacing w:after="0"/>
              <w:rPr>
                <w:sz w:val="20"/>
                <w:szCs w:val="20"/>
                <w:color w:val="auto"/>
              </w:rPr>
            </w:pPr>
          </w:p>
        </w:tc>
        <w:tc>
          <w:tcPr>
            <w:tcW w:w="3280" w:type="dxa"/>
            <w:vAlign w:val="bottom"/>
            <w:gridSpan w:val="3"/>
          </w:tcPr>
          <w:p>
            <w:pPr>
              <w:spacing w:after="0"/>
              <w:rPr>
                <w:sz w:val="20"/>
                <w:szCs w:val="20"/>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97"/>
              </w:rPr>
              <w:t>23-2679963</w:t>
            </w:r>
          </w:p>
        </w:tc>
        <w:tc>
          <w:tcPr>
            <w:tcW w:w="1300" w:type="dxa"/>
            <w:vAlign w:val="bottom"/>
          </w:tcPr>
          <w:p>
            <w:pPr>
              <w:spacing w:after="0"/>
              <w:rPr>
                <w:sz w:val="20"/>
                <w:szCs w:val="20"/>
                <w:color w:val="auto"/>
              </w:rPr>
            </w:pPr>
          </w:p>
        </w:tc>
      </w:tr>
      <w:tr>
        <w:trPr>
          <w:trHeight w:val="230"/>
        </w:trPr>
        <w:tc>
          <w:tcPr>
            <w:tcW w:w="4780" w:type="dxa"/>
            <w:vAlign w:val="bottom"/>
            <w:gridSpan w:val="7"/>
          </w:tcPr>
          <w:p>
            <w:pPr>
              <w:spacing w:after="0"/>
              <w:rPr>
                <w:sz w:val="20"/>
                <w:szCs w:val="20"/>
                <w:color w:val="auto"/>
              </w:rPr>
            </w:pPr>
            <w:r>
              <w:rPr>
                <w:rFonts w:ascii="Arial" w:cs="Arial" w:eastAsia="Arial" w:hAnsi="Arial"/>
                <w:sz w:val="18"/>
                <w:szCs w:val="18"/>
                <w:color w:val="auto"/>
              </w:rPr>
              <w:t>(State or other jurisdiction of incorporation or organization)</w:t>
            </w: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500" w:type="dxa"/>
            <w:vAlign w:val="bottom"/>
            <w:gridSpan w:val="5"/>
          </w:tcPr>
          <w:p>
            <w:pPr>
              <w:ind w:left="500"/>
              <w:spacing w:after="0"/>
              <w:rPr>
                <w:sz w:val="20"/>
                <w:szCs w:val="20"/>
                <w:color w:val="auto"/>
              </w:rPr>
            </w:pPr>
            <w:r>
              <w:rPr>
                <w:rFonts w:ascii="Arial" w:cs="Arial" w:eastAsia="Arial" w:hAnsi="Arial"/>
                <w:sz w:val="18"/>
                <w:szCs w:val="18"/>
                <w:color w:val="auto"/>
              </w:rPr>
              <w:t>(I.R.S. Employer Identification No.)</w:t>
            </w:r>
          </w:p>
        </w:tc>
      </w:tr>
      <w:tr>
        <w:trPr>
          <w:trHeight w:val="452"/>
        </w:trPr>
        <w:tc>
          <w:tcPr>
            <w:tcW w:w="80" w:type="dxa"/>
            <w:vAlign w:val="bottom"/>
          </w:tcPr>
          <w:p>
            <w:pPr>
              <w:spacing w:after="0"/>
              <w:rPr>
                <w:sz w:val="24"/>
                <w:szCs w:val="24"/>
                <w:color w:val="auto"/>
              </w:rPr>
            </w:pPr>
          </w:p>
        </w:tc>
        <w:tc>
          <w:tcPr>
            <w:tcW w:w="39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1"/>
              </w:rPr>
              <w:t>100 Deerfield Lane, Suite 140, Malvern, Pennsylvania</w:t>
            </w:r>
          </w:p>
        </w:tc>
        <w:tc>
          <w:tcPr>
            <w:tcW w:w="760" w:type="dxa"/>
            <w:vAlign w:val="bottom"/>
          </w:tcPr>
          <w:p>
            <w:pPr>
              <w:spacing w:after="0"/>
              <w:rPr>
                <w:sz w:val="24"/>
                <w:szCs w:val="24"/>
                <w:color w:val="auto"/>
              </w:rPr>
            </w:pPr>
          </w:p>
        </w:tc>
        <w:tc>
          <w:tcPr>
            <w:tcW w:w="3560" w:type="dxa"/>
            <w:vAlign w:val="bottom"/>
            <w:gridSpan w:val="4"/>
          </w:tcPr>
          <w:p>
            <w:pPr>
              <w:spacing w:after="0"/>
              <w:rPr>
                <w:sz w:val="24"/>
                <w:szCs w:val="24"/>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19355</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80" w:type="dxa"/>
            <w:vAlign w:val="bottom"/>
          </w:tcPr>
          <w:p>
            <w:pPr>
              <w:spacing w:after="0"/>
              <w:rPr>
                <w:sz w:val="20"/>
                <w:szCs w:val="20"/>
                <w:color w:val="auto"/>
              </w:rPr>
            </w:pPr>
          </w:p>
        </w:tc>
        <w:tc>
          <w:tcPr>
            <w:tcW w:w="3940" w:type="dxa"/>
            <w:vAlign w:val="bottom"/>
            <w:gridSpan w:val="5"/>
          </w:tcPr>
          <w:p>
            <w:pPr>
              <w:ind w:left="660"/>
              <w:spacing w:after="0"/>
              <w:rPr>
                <w:sz w:val="20"/>
                <w:szCs w:val="20"/>
                <w:color w:val="auto"/>
              </w:rPr>
            </w:pPr>
            <w:r>
              <w:rPr>
                <w:rFonts w:ascii="Arial" w:cs="Arial" w:eastAsia="Arial" w:hAnsi="Arial"/>
                <w:sz w:val="18"/>
                <w:szCs w:val="18"/>
                <w:color w:val="auto"/>
              </w:rPr>
              <w:t>(Address of principal executive offices)</w:t>
            </w: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color w:val="auto"/>
                <w:w w:val="82"/>
              </w:rPr>
              <w:t>(Zip Code)</w:t>
            </w:r>
          </w:p>
        </w:tc>
        <w:tc>
          <w:tcPr>
            <w:tcW w:w="1420" w:type="dxa"/>
            <w:vAlign w:val="bottom"/>
            <w:gridSpan w:val="2"/>
          </w:tcPr>
          <w:p>
            <w:pPr>
              <w:spacing w:after="0"/>
              <w:rPr>
                <w:sz w:val="20"/>
                <w:szCs w:val="20"/>
                <w:color w:val="auto"/>
              </w:rPr>
            </w:pPr>
          </w:p>
        </w:tc>
      </w:tr>
      <w:tr>
        <w:trPr>
          <w:trHeight w:val="668"/>
        </w:trPr>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(610) 989-0340</w:t>
            </w: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3"/>
          </w:tcPr>
          <w:p>
            <w:pPr>
              <w:ind w:left="920"/>
              <w:spacing w:after="0"/>
              <w:rPr>
                <w:sz w:val="20"/>
                <w:szCs w:val="20"/>
                <w:color w:val="auto"/>
              </w:rPr>
            </w:pPr>
            <w:r>
              <w:rPr>
                <w:rFonts w:ascii="Arial" w:cs="Arial" w:eastAsia="Arial" w:hAnsi="Arial"/>
                <w:sz w:val="18"/>
                <w:szCs w:val="18"/>
                <w:color w:val="auto"/>
                <w:w w:val="96"/>
              </w:rPr>
              <w:t>(Registrant’s telephone number,</w:t>
            </w:r>
          </w:p>
        </w:tc>
        <w:tc>
          <w:tcPr>
            <w:tcW w:w="4460" w:type="dxa"/>
            <w:vAlign w:val="bottom"/>
            <w:gridSpan w:val="6"/>
          </w:tcPr>
          <w:p>
            <w:pPr>
              <w:spacing w:after="0"/>
              <w:rPr>
                <w:sz w:val="20"/>
                <w:szCs w:val="20"/>
                <w:color w:val="auto"/>
              </w:rPr>
            </w:pPr>
            <w:r>
              <w:rPr>
                <w:rFonts w:ascii="Arial" w:cs="Arial" w:eastAsia="Arial" w:hAnsi="Arial"/>
                <w:sz w:val="18"/>
                <w:szCs w:val="18"/>
                <w:color w:val="auto"/>
              </w:rPr>
              <w:t>including area code)</w:t>
            </w:r>
          </w:p>
        </w:tc>
      </w:tr>
      <w:tr>
        <w:trPr>
          <w:trHeight w:val="445"/>
        </w:trPr>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60" w:type="dxa"/>
            <w:vAlign w:val="bottom"/>
            <w:gridSpan w:val="9"/>
          </w:tcPr>
          <w:p>
            <w:pPr>
              <w:jc w:val="center"/>
              <w:ind w:right="220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439"/>
        </w:trPr>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Title of Each Class</w:t>
            </w:r>
          </w:p>
        </w:tc>
        <w:tc>
          <w:tcPr>
            <w:tcW w:w="2360" w:type="dxa"/>
            <w:vAlign w:val="bottom"/>
            <w:gridSpan w:val="3"/>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5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202"/>
        </w:trPr>
        <w:tc>
          <w:tcPr>
            <w:tcW w:w="80" w:type="dxa"/>
            <w:vAlign w:val="bottom"/>
          </w:tcPr>
          <w:p>
            <w:pPr>
              <w:spacing w:after="0"/>
              <w:rPr>
                <w:sz w:val="17"/>
                <w:szCs w:val="17"/>
                <w:color w:val="auto"/>
              </w:rPr>
            </w:pPr>
          </w:p>
        </w:tc>
        <w:tc>
          <w:tcPr>
            <w:tcW w:w="2340" w:type="dxa"/>
            <w:vAlign w:val="bottom"/>
            <w:gridSpan w:val="3"/>
          </w:tcPr>
          <w:p>
            <w:pPr>
              <w:ind w:left="600"/>
              <w:spacing w:after="0" w:line="201" w:lineRule="exact"/>
              <w:rPr>
                <w:sz w:val="20"/>
                <w:szCs w:val="20"/>
                <w:color w:val="auto"/>
              </w:rPr>
            </w:pPr>
            <w:r>
              <w:rPr>
                <w:rFonts w:ascii="Arial" w:cs="Arial" w:eastAsia="Arial" w:hAnsi="Arial"/>
                <w:sz w:val="18"/>
                <w:szCs w:val="18"/>
                <w:color w:val="auto"/>
                <w:w w:val="93"/>
              </w:rPr>
              <w:t>Common Stock, no par</w:t>
            </w:r>
          </w:p>
        </w:tc>
        <w:tc>
          <w:tcPr>
            <w:tcW w:w="2360" w:type="dxa"/>
            <w:vAlign w:val="bottom"/>
            <w:gridSpan w:val="3"/>
          </w:tcPr>
          <w:p>
            <w:pPr>
              <w:spacing w:after="0" w:line="201" w:lineRule="exact"/>
              <w:rPr>
                <w:sz w:val="20"/>
                <w:szCs w:val="20"/>
                <w:color w:val="auto"/>
              </w:rPr>
            </w:pPr>
            <w:r>
              <w:rPr>
                <w:rFonts w:ascii="Arial" w:cs="Arial" w:eastAsia="Arial" w:hAnsi="Arial"/>
                <w:sz w:val="18"/>
                <w:szCs w:val="18"/>
                <w:color w:val="auto"/>
              </w:rPr>
              <w:t>value</w:t>
            </w: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500" w:type="dxa"/>
            <w:vAlign w:val="bottom"/>
            <w:gridSpan w:val="5"/>
          </w:tcPr>
          <w:p>
            <w:pPr>
              <w:ind w:left="680"/>
              <w:spacing w:after="0" w:line="201" w:lineRule="exact"/>
              <w:rPr>
                <w:sz w:val="20"/>
                <w:szCs w:val="20"/>
                <w:color w:val="auto"/>
              </w:rPr>
            </w:pPr>
            <w:r>
              <w:rPr>
                <w:rFonts w:ascii="Arial" w:cs="Arial" w:eastAsia="Arial" w:hAnsi="Arial"/>
                <w:sz w:val="18"/>
                <w:szCs w:val="18"/>
                <w:color w:val="auto"/>
              </w:rPr>
              <w:t>The NASDAQ Stock Market LLC</w:t>
            </w:r>
          </w:p>
        </w:tc>
      </w:tr>
      <w:tr>
        <w:trPr>
          <w:trHeight w:val="230"/>
        </w:trPr>
        <w:tc>
          <w:tcPr>
            <w:tcW w:w="80" w:type="dxa"/>
            <w:vAlign w:val="bottom"/>
          </w:tcPr>
          <w:p>
            <w:pPr>
              <w:spacing w:after="0"/>
              <w:rPr>
                <w:sz w:val="20"/>
                <w:szCs w:val="20"/>
                <w:color w:val="auto"/>
              </w:rPr>
            </w:pPr>
          </w:p>
        </w:tc>
        <w:tc>
          <w:tcPr>
            <w:tcW w:w="4700" w:type="dxa"/>
            <w:vAlign w:val="bottom"/>
            <w:gridSpan w:val="6"/>
          </w:tcPr>
          <w:p>
            <w:pPr>
              <w:jc w:val="center"/>
              <w:ind w:right="1380"/>
              <w:spacing w:after="0"/>
              <w:rPr>
                <w:sz w:val="20"/>
                <w:szCs w:val="20"/>
                <w:color w:val="auto"/>
              </w:rPr>
            </w:pPr>
            <w:r>
              <w:rPr>
                <w:rFonts w:ascii="Arial" w:cs="Arial" w:eastAsia="Arial" w:hAnsi="Arial"/>
                <w:sz w:val="18"/>
                <w:szCs w:val="18"/>
                <w:color w:val="auto"/>
                <w:w w:val="91"/>
              </w:rPr>
              <w:t>Series A Convertible Preferred Stock</w:t>
            </w: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be submitted and posted pursuant to Rule 405 of Regulation S-T (§232.405 of this chapter) during the preceding 12 months (or for such shorter period that the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registrant was required to submit and post such files).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3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208"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7"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Large accelerated filer o Accelerated filer o Non-accelerated filer o Smaller reporting company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38"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The aggregate market value of the voting common equity securities held by non-affiliates of the Registrant was $61,214,929 as of the last business day of the most recently completed second fiscal quarter, December 31, 2013, based upon the closing price of the Registrant’s Common Stock on that date.</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As of September 15, 2014, there were 35,603,271 outstanding shares of Common Stock, no par value.</w:t>
      </w:r>
    </w:p>
    <w:p>
      <w:pPr>
        <w:sectPr>
          <w:pgSz w:w="11900" w:h="16838" w:orient="portrait"/>
          <w:cols w:equalWidth="0" w:num="1">
            <w:col w:w="11420"/>
          </w:cols>
          <w:pgMar w:left="240" w:top="310" w:right="2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474980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60" w:type="dxa"/>
            <w:vAlign w:val="bottom"/>
            <w:gridSpan w:val="9"/>
          </w:tcPr>
          <w:p>
            <w:pPr>
              <w:jc w:val="center"/>
              <w:ind w:right="3640"/>
              <w:spacing w:after="0"/>
              <w:rPr>
                <w:sz w:val="20"/>
                <w:szCs w:val="20"/>
                <w:color w:val="auto"/>
              </w:rPr>
            </w:pPr>
            <w:r>
              <w:rPr>
                <w:rFonts w:ascii="Arial" w:cs="Arial" w:eastAsia="Arial" w:hAnsi="Arial"/>
                <w:sz w:val="18"/>
                <w:szCs w:val="18"/>
                <w:b w:val="1"/>
                <w:bCs w:val="1"/>
                <w:color w:val="auto"/>
              </w:rPr>
              <w:t>USA TECHNOLOGIES, INC.</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20" w:type="dxa"/>
            <w:vAlign w:val="bottom"/>
            <w:gridSpan w:val="8"/>
          </w:tcPr>
          <w:p>
            <w:pPr>
              <w:jc w:val="center"/>
              <w:ind w:right="406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6"/>
            <w:shd w:val="clear" w:color="auto" w:fill="F0FFFF"/>
          </w:tcPr>
          <w:p>
            <w:pPr>
              <w:spacing w:after="0" w:line="17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42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44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48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3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148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6"/>
            <w:shd w:val="clear" w:color="auto" w:fill="F0FF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w:t>
              </w:r>
            </w:hyperlink>
          </w:p>
        </w:tc>
        <w:tc>
          <w:tcPr>
            <w:tcW w:w="220" w:type="dxa"/>
            <w:vAlign w:val="bottom"/>
            <w:gridSpan w:val="2"/>
            <w:shd w:val="clear" w:color="auto" w:fill="F0FF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72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3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148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380" w:type="dxa"/>
            <w:vAlign w:val="bottom"/>
            <w:gridSpan w:val="4"/>
            <w:shd w:val="clear" w:color="auto" w:fill="F0FF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1A.</w:t>
              </w:r>
            </w:hyperlink>
          </w:p>
        </w:tc>
        <w:tc>
          <w:tcPr>
            <w:tcW w:w="972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3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148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20" w:type="dxa"/>
            <w:vAlign w:val="bottom"/>
            <w:gridSpan w:val="2"/>
            <w:shd w:val="clear" w:color="auto" w:fill="F0FF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72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Properties.</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3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148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20" w:type="dxa"/>
            <w:vAlign w:val="bottom"/>
            <w:gridSpan w:val="2"/>
            <w:shd w:val="clear" w:color="auto" w:fill="F0FF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3.</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72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148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20" w:type="dxa"/>
            <w:vAlign w:val="bottom"/>
            <w:gridSpan w:val="2"/>
            <w:shd w:val="clear" w:color="auto" w:fill="F0FF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4.</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72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148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6"/>
            <w:shd w:val="clear" w:color="auto" w:fill="F0FFFF"/>
          </w:tcPr>
          <w:p>
            <w:pPr>
              <w:spacing w:after="0" w:line="17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w:t>
              </w:r>
            </w:hyperlink>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42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44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48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3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148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6"/>
            <w:shd w:val="clear" w:color="auto" w:fill="F0FF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w:t>
              </w:r>
            </w:hyperlink>
          </w:p>
        </w:tc>
        <w:tc>
          <w:tcPr>
            <w:tcW w:w="220" w:type="dxa"/>
            <w:vAlign w:val="bottom"/>
            <w:gridSpan w:val="2"/>
            <w:shd w:val="clear" w:color="auto" w:fill="F0FF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5.</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72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Market for Registrant’s Common Equity, Related Stockholder Matters and Issuer Purchases of Equity Securities.</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8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20" w:type="dxa"/>
            <w:vAlign w:val="bottom"/>
            <w:gridSpan w:val="2"/>
            <w:shd w:val="clear" w:color="auto" w:fill="F0FF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6.</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72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Selected Financial Data.</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148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20" w:type="dxa"/>
            <w:vAlign w:val="bottom"/>
            <w:gridSpan w:val="2"/>
            <w:shd w:val="clear" w:color="auto" w:fill="F0FF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7.</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72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148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380" w:type="dxa"/>
            <w:vAlign w:val="bottom"/>
            <w:gridSpan w:val="4"/>
            <w:shd w:val="clear" w:color="auto" w:fill="F0FF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7A.</w:t>
              </w:r>
            </w:hyperlink>
          </w:p>
        </w:tc>
        <w:tc>
          <w:tcPr>
            <w:tcW w:w="972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148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20" w:type="dxa"/>
            <w:vAlign w:val="bottom"/>
            <w:gridSpan w:val="2"/>
            <w:shd w:val="clear" w:color="auto" w:fill="F0FF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8.</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72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Financial Statements and Supplementary Data.</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148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20" w:type="dxa"/>
            <w:vAlign w:val="bottom"/>
            <w:gridSpan w:val="2"/>
            <w:shd w:val="clear" w:color="auto" w:fill="F0FFFF"/>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9.</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72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Changes in and Disagreements With Accountants on Accounting and Financial Disclosure.</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148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380" w:type="dxa"/>
            <w:vAlign w:val="bottom"/>
            <w:gridSpan w:val="4"/>
            <w:shd w:val="clear" w:color="auto" w:fill="F0FFFF"/>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9A.</w:t>
              </w:r>
            </w:hyperlink>
          </w:p>
        </w:tc>
        <w:tc>
          <w:tcPr>
            <w:tcW w:w="972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Controls and Procedures.</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148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6"/>
            <w:shd w:val="clear" w:color="auto" w:fill="F0FFFF"/>
          </w:tcPr>
          <w:p>
            <w:pPr>
              <w:spacing w:after="0" w:line="176" w:lineRule="exact"/>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PART III</w:t>
              </w:r>
            </w:hyperlink>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42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44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48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3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148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6"/>
            <w:shd w:val="clear" w:color="auto" w:fill="F0FFFF"/>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Item</w:t>
              </w:r>
            </w:hyperlink>
          </w:p>
        </w:tc>
        <w:tc>
          <w:tcPr>
            <w:tcW w:w="260" w:type="dxa"/>
            <w:vAlign w:val="bottom"/>
            <w:gridSpan w:val="3"/>
            <w:shd w:val="clear" w:color="auto" w:fill="F0FFFF"/>
          </w:tcPr>
          <w:p>
            <w:pPr>
              <w:spacing w:after="0" w:line="176" w:lineRule="exact"/>
              <w:rPr>
                <w:rFonts w:ascii="Arial" w:cs="Arial" w:eastAsia="Arial" w:hAnsi="Arial"/>
                <w:sz w:val="18"/>
                <w:szCs w:val="18"/>
                <w:color w:val="0000EE"/>
                <w:w w:val="95"/>
              </w:rPr>
            </w:pPr>
            <w:hyperlink w:anchor="page89">
              <w:r>
                <w:rPr>
                  <w:rFonts w:ascii="Arial" w:cs="Arial" w:eastAsia="Arial" w:hAnsi="Arial"/>
                  <w:sz w:val="18"/>
                  <w:szCs w:val="18"/>
                  <w:color w:val="0000EE"/>
                  <w:w w:val="95"/>
                </w:rPr>
                <w:t>10.</w:t>
              </w:r>
            </w:hyperlink>
          </w:p>
        </w:tc>
        <w:tc>
          <w:tcPr>
            <w:tcW w:w="120" w:type="dxa"/>
            <w:vAlign w:val="bottom"/>
            <w:shd w:val="clear" w:color="auto" w:fill="F0FFFF"/>
          </w:tcPr>
          <w:p>
            <w:pPr>
              <w:spacing w:after="0"/>
              <w:rPr>
                <w:sz w:val="17"/>
                <w:szCs w:val="17"/>
                <w:color w:val="auto"/>
              </w:rPr>
            </w:pPr>
          </w:p>
        </w:tc>
        <w:tc>
          <w:tcPr>
            <w:tcW w:w="972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Directors, Executive Officers and Corporate Governance.</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148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20" w:type="dxa"/>
            <w:vAlign w:val="bottom"/>
            <w:gridSpan w:val="2"/>
            <w:shd w:val="clear" w:color="auto" w:fill="F0FFFF"/>
          </w:tcPr>
          <w:p>
            <w:pPr>
              <w:spacing w:after="0" w:line="176" w:lineRule="exact"/>
              <w:rPr>
                <w:rFonts w:ascii="Arial" w:cs="Arial" w:eastAsia="Arial" w:hAnsi="Arial"/>
                <w:sz w:val="18"/>
                <w:szCs w:val="18"/>
                <w:color w:val="0000EE"/>
                <w:w w:val="79"/>
              </w:rPr>
            </w:pPr>
            <w:hyperlink w:anchor="page93">
              <w:r>
                <w:rPr>
                  <w:rFonts w:ascii="Arial" w:cs="Arial" w:eastAsia="Arial" w:hAnsi="Arial"/>
                  <w:sz w:val="18"/>
                  <w:szCs w:val="18"/>
                  <w:color w:val="0000EE"/>
                  <w:w w:val="79"/>
                </w:rPr>
                <w:t>11.</w:t>
              </w:r>
            </w:hyperlink>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72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Executive Compensation.</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148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60" w:type="dxa"/>
            <w:vAlign w:val="bottom"/>
            <w:gridSpan w:val="3"/>
            <w:shd w:val="clear" w:color="auto" w:fill="F0FFFF"/>
          </w:tcPr>
          <w:p>
            <w:pPr>
              <w:spacing w:after="0" w:line="176" w:lineRule="exact"/>
              <w:rPr>
                <w:rFonts w:ascii="Arial" w:cs="Arial" w:eastAsia="Arial" w:hAnsi="Arial"/>
                <w:sz w:val="18"/>
                <w:szCs w:val="18"/>
                <w:color w:val="0000EE"/>
                <w:w w:val="95"/>
              </w:rPr>
            </w:pPr>
            <w:hyperlink w:anchor="page110">
              <w:r>
                <w:rPr>
                  <w:rFonts w:ascii="Arial" w:cs="Arial" w:eastAsia="Arial" w:hAnsi="Arial"/>
                  <w:sz w:val="18"/>
                  <w:szCs w:val="18"/>
                  <w:color w:val="0000EE"/>
                  <w:w w:val="95"/>
                </w:rPr>
                <w:t>12.</w:t>
              </w:r>
            </w:hyperlink>
          </w:p>
        </w:tc>
        <w:tc>
          <w:tcPr>
            <w:tcW w:w="120" w:type="dxa"/>
            <w:vAlign w:val="bottom"/>
            <w:shd w:val="clear" w:color="auto" w:fill="F0FFFF"/>
          </w:tcPr>
          <w:p>
            <w:pPr>
              <w:spacing w:after="0"/>
              <w:rPr>
                <w:sz w:val="17"/>
                <w:szCs w:val="17"/>
                <w:color w:val="auto"/>
              </w:rPr>
            </w:pPr>
          </w:p>
        </w:tc>
        <w:tc>
          <w:tcPr>
            <w:tcW w:w="972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Security Ownership of Certain Beneficial Owners and Management and Related Stockholder Matters.</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148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60" w:type="dxa"/>
            <w:vAlign w:val="bottom"/>
            <w:gridSpan w:val="3"/>
            <w:shd w:val="clear" w:color="auto" w:fill="F0FFFF"/>
          </w:tcPr>
          <w:p>
            <w:pPr>
              <w:spacing w:after="0" w:line="176" w:lineRule="exact"/>
              <w:rPr>
                <w:rFonts w:ascii="Arial" w:cs="Arial" w:eastAsia="Arial" w:hAnsi="Arial"/>
                <w:sz w:val="18"/>
                <w:szCs w:val="18"/>
                <w:color w:val="0000EE"/>
                <w:w w:val="95"/>
              </w:rPr>
            </w:pPr>
            <w:hyperlink w:anchor="page111">
              <w:r>
                <w:rPr>
                  <w:rFonts w:ascii="Arial" w:cs="Arial" w:eastAsia="Arial" w:hAnsi="Arial"/>
                  <w:sz w:val="18"/>
                  <w:szCs w:val="18"/>
                  <w:color w:val="0000EE"/>
                  <w:w w:val="95"/>
                </w:rPr>
                <w:t>13.</w:t>
              </w:r>
            </w:hyperlink>
          </w:p>
        </w:tc>
        <w:tc>
          <w:tcPr>
            <w:tcW w:w="120" w:type="dxa"/>
            <w:vAlign w:val="bottom"/>
            <w:shd w:val="clear" w:color="auto" w:fill="F0FFFF"/>
          </w:tcPr>
          <w:p>
            <w:pPr>
              <w:spacing w:after="0"/>
              <w:rPr>
                <w:sz w:val="17"/>
                <w:szCs w:val="17"/>
                <w:color w:val="auto"/>
              </w:rPr>
            </w:pPr>
          </w:p>
        </w:tc>
        <w:tc>
          <w:tcPr>
            <w:tcW w:w="972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Certain Relationships and Related Transactions, and Director Independence.</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148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60" w:type="dxa"/>
            <w:vAlign w:val="bottom"/>
            <w:gridSpan w:val="3"/>
            <w:shd w:val="clear" w:color="auto" w:fill="F0FFFF"/>
          </w:tcPr>
          <w:p>
            <w:pPr>
              <w:spacing w:after="0" w:line="176" w:lineRule="exact"/>
              <w:rPr>
                <w:rFonts w:ascii="Arial" w:cs="Arial" w:eastAsia="Arial" w:hAnsi="Arial"/>
                <w:sz w:val="18"/>
                <w:szCs w:val="18"/>
                <w:color w:val="0000EE"/>
                <w:w w:val="95"/>
              </w:rPr>
            </w:pPr>
            <w:hyperlink w:anchor="page112">
              <w:r>
                <w:rPr>
                  <w:rFonts w:ascii="Arial" w:cs="Arial" w:eastAsia="Arial" w:hAnsi="Arial"/>
                  <w:sz w:val="18"/>
                  <w:szCs w:val="18"/>
                  <w:color w:val="0000EE"/>
                  <w:w w:val="95"/>
                </w:rPr>
                <w:t>14.</w:t>
              </w:r>
            </w:hyperlink>
          </w:p>
        </w:tc>
        <w:tc>
          <w:tcPr>
            <w:tcW w:w="120" w:type="dxa"/>
            <w:vAlign w:val="bottom"/>
            <w:shd w:val="clear" w:color="auto" w:fill="F0FFFF"/>
          </w:tcPr>
          <w:p>
            <w:pPr>
              <w:spacing w:after="0"/>
              <w:rPr>
                <w:sz w:val="17"/>
                <w:szCs w:val="17"/>
                <w:color w:val="auto"/>
              </w:rPr>
            </w:pPr>
          </w:p>
        </w:tc>
        <w:tc>
          <w:tcPr>
            <w:tcW w:w="972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112">
              <w:r>
                <w:rPr>
                  <w:rFonts w:ascii="Arial" w:cs="Arial" w:eastAsia="Arial" w:hAnsi="Arial"/>
                  <w:sz w:val="18"/>
                  <w:szCs w:val="18"/>
                  <w:color w:val="0000EE"/>
                </w:rPr>
                <w:t>Principal Accounting Fees and Services.</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148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6"/>
            <w:shd w:val="clear" w:color="auto" w:fill="F0FFFF"/>
          </w:tcPr>
          <w:p>
            <w:pPr>
              <w:spacing w:after="0" w:line="176" w:lineRule="exact"/>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PART IV</w:t>
              </w:r>
            </w:hyperlink>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42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44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48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3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40" w:type="dxa"/>
            <w:vAlign w:val="bottom"/>
            <w:tcBorders>
              <w:top w:val="single" w:sz="8" w:color="F0FFFF"/>
            </w:tcBorders>
          </w:tcPr>
          <w:p>
            <w:pPr>
              <w:spacing w:after="0"/>
              <w:rPr>
                <w:sz w:val="18"/>
                <w:szCs w:val="18"/>
                <w:color w:val="auto"/>
              </w:rPr>
            </w:pPr>
          </w:p>
        </w:tc>
        <w:tc>
          <w:tcPr>
            <w:tcW w:w="76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148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60" w:type="dxa"/>
            <w:vAlign w:val="bottom"/>
            <w:gridSpan w:val="3"/>
            <w:shd w:val="clear" w:color="auto" w:fill="F0FFFF"/>
          </w:tcPr>
          <w:p>
            <w:pPr>
              <w:spacing w:after="0" w:line="176" w:lineRule="exact"/>
              <w:rPr>
                <w:rFonts w:ascii="Arial" w:cs="Arial" w:eastAsia="Arial" w:hAnsi="Arial"/>
                <w:sz w:val="18"/>
                <w:szCs w:val="18"/>
                <w:color w:val="0000EE"/>
                <w:w w:val="95"/>
              </w:rPr>
            </w:pPr>
            <w:hyperlink w:anchor="page113">
              <w:r>
                <w:rPr>
                  <w:rFonts w:ascii="Arial" w:cs="Arial" w:eastAsia="Arial" w:hAnsi="Arial"/>
                  <w:sz w:val="18"/>
                  <w:szCs w:val="18"/>
                  <w:color w:val="0000EE"/>
                  <w:w w:val="95"/>
                </w:rPr>
                <w:t>15.</w:t>
              </w:r>
            </w:hyperlink>
          </w:p>
        </w:tc>
        <w:tc>
          <w:tcPr>
            <w:tcW w:w="120" w:type="dxa"/>
            <w:vAlign w:val="bottom"/>
            <w:shd w:val="clear" w:color="auto" w:fill="F0FFFF"/>
          </w:tcPr>
          <w:p>
            <w:pPr>
              <w:spacing w:after="0"/>
              <w:rPr>
                <w:sz w:val="17"/>
                <w:szCs w:val="17"/>
                <w:color w:val="auto"/>
              </w:rPr>
            </w:pPr>
          </w:p>
        </w:tc>
        <w:tc>
          <w:tcPr>
            <w:tcW w:w="9720" w:type="dxa"/>
            <w:vAlign w:val="bottom"/>
            <w:gridSpan w:val="19"/>
            <w:shd w:val="clear" w:color="auto" w:fill="F0FFFF"/>
          </w:tcPr>
          <w:p>
            <w:pPr>
              <w:ind w:left="120"/>
              <w:spacing w:after="0" w:line="176" w:lineRule="exact"/>
              <w:rPr>
                <w:rFonts w:ascii="Arial" w:cs="Arial" w:eastAsia="Arial" w:hAnsi="Arial"/>
                <w:sz w:val="18"/>
                <w:szCs w:val="18"/>
                <w:color w:val="0000EE"/>
              </w:rPr>
            </w:pPr>
            <w:hyperlink w:anchor="page113">
              <w:r>
                <w:rPr>
                  <w:rFonts w:ascii="Arial" w:cs="Arial" w:eastAsia="Arial" w:hAnsi="Arial"/>
                  <w:sz w:val="18"/>
                  <w:szCs w:val="18"/>
                  <w:color w:val="0000EE"/>
                </w:rPr>
                <w:t>Exhibits, Financial Statement Schedules.</w:t>
              </w:r>
            </w:hyperlink>
          </w:p>
        </w:tc>
        <w:tc>
          <w:tcPr>
            <w:tcW w:w="560" w:type="dxa"/>
            <w:vAlign w:val="bottom"/>
            <w:shd w:val="clear" w:color="auto" w:fill="F0FFFF"/>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20" w:type="dxa"/>
            <w:vAlign w:val="bottom"/>
            <w:tcBorders>
              <w:top w:val="single" w:sz="8" w:color="F0FFFF"/>
              <w:bottom w:val="single" w:sz="8" w:color="DCDCDC"/>
            </w:tcBorders>
          </w:tcPr>
          <w:p>
            <w:pPr>
              <w:spacing w:after="0"/>
              <w:rPr>
                <w:sz w:val="24"/>
                <w:szCs w:val="24"/>
                <w:color w:val="auto"/>
              </w:rPr>
            </w:pPr>
          </w:p>
        </w:tc>
        <w:tc>
          <w:tcPr>
            <w:tcW w:w="260" w:type="dxa"/>
            <w:vAlign w:val="bottom"/>
            <w:tcBorders>
              <w:top w:val="single" w:sz="8" w:color="F0FFFF"/>
              <w:bottom w:val="single" w:sz="8" w:color="DCDCDC"/>
            </w:tcBorders>
          </w:tcPr>
          <w:p>
            <w:pPr>
              <w:spacing w:after="0"/>
              <w:rPr>
                <w:sz w:val="24"/>
                <w:szCs w:val="24"/>
                <w:color w:val="auto"/>
              </w:rPr>
            </w:pPr>
          </w:p>
        </w:tc>
        <w:tc>
          <w:tcPr>
            <w:tcW w:w="60" w:type="dxa"/>
            <w:vAlign w:val="bottom"/>
            <w:tcBorders>
              <w:top w:val="single" w:sz="8" w:color="F0FFFF"/>
              <w:bottom w:val="single" w:sz="8" w:color="DCDCDC"/>
            </w:tcBorders>
          </w:tcPr>
          <w:p>
            <w:pPr>
              <w:spacing w:after="0"/>
              <w:rPr>
                <w:sz w:val="24"/>
                <w:szCs w:val="24"/>
                <w:color w:val="auto"/>
              </w:rPr>
            </w:pPr>
          </w:p>
        </w:tc>
        <w:tc>
          <w:tcPr>
            <w:tcW w:w="60" w:type="dxa"/>
            <w:vAlign w:val="bottom"/>
            <w:tcBorders>
              <w:top w:val="single" w:sz="8" w:color="F0FFFF"/>
              <w:bottom w:val="single" w:sz="8" w:color="DCDCDC"/>
            </w:tcBorders>
          </w:tcPr>
          <w:p>
            <w:pPr>
              <w:spacing w:after="0"/>
              <w:rPr>
                <w:sz w:val="24"/>
                <w:szCs w:val="24"/>
                <w:color w:val="auto"/>
              </w:rPr>
            </w:pPr>
          </w:p>
        </w:tc>
        <w:tc>
          <w:tcPr>
            <w:tcW w:w="20" w:type="dxa"/>
            <w:vAlign w:val="bottom"/>
            <w:tcBorders>
              <w:top w:val="single" w:sz="8" w:color="F0FFFF"/>
              <w:bottom w:val="single" w:sz="8" w:color="DCDCDC"/>
            </w:tcBorders>
          </w:tcPr>
          <w:p>
            <w:pPr>
              <w:spacing w:after="0"/>
              <w:rPr>
                <w:sz w:val="24"/>
                <w:szCs w:val="24"/>
                <w:color w:val="auto"/>
              </w:rPr>
            </w:pPr>
          </w:p>
        </w:tc>
        <w:tc>
          <w:tcPr>
            <w:tcW w:w="20" w:type="dxa"/>
            <w:vAlign w:val="bottom"/>
            <w:tcBorders>
              <w:top w:val="single" w:sz="8" w:color="F0FFFF"/>
              <w:bottom w:val="single" w:sz="8" w:color="DCDCDC"/>
            </w:tcBorders>
          </w:tcPr>
          <w:p>
            <w:pPr>
              <w:spacing w:after="0"/>
              <w:rPr>
                <w:sz w:val="24"/>
                <w:szCs w:val="24"/>
                <w:color w:val="auto"/>
              </w:rPr>
            </w:pPr>
          </w:p>
        </w:tc>
        <w:tc>
          <w:tcPr>
            <w:tcW w:w="140" w:type="dxa"/>
            <w:vAlign w:val="bottom"/>
            <w:tcBorders>
              <w:top w:val="single" w:sz="8" w:color="0000EE"/>
              <w:bottom w:val="single" w:sz="8" w:color="DCDCDC"/>
            </w:tcBorders>
          </w:tcPr>
          <w:p>
            <w:pPr>
              <w:spacing w:after="0"/>
              <w:rPr>
                <w:sz w:val="24"/>
                <w:szCs w:val="24"/>
                <w:color w:val="auto"/>
              </w:rPr>
            </w:pPr>
          </w:p>
        </w:tc>
        <w:tc>
          <w:tcPr>
            <w:tcW w:w="80" w:type="dxa"/>
            <w:vAlign w:val="bottom"/>
            <w:tcBorders>
              <w:top w:val="single" w:sz="8" w:color="0000EE"/>
              <w:bottom w:val="single" w:sz="8" w:color="DCDCDC"/>
            </w:tcBorders>
          </w:tcPr>
          <w:p>
            <w:pPr>
              <w:spacing w:after="0"/>
              <w:rPr>
                <w:sz w:val="24"/>
                <w:szCs w:val="24"/>
                <w:color w:val="auto"/>
              </w:rPr>
            </w:pPr>
          </w:p>
        </w:tc>
        <w:tc>
          <w:tcPr>
            <w:tcW w:w="4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2940" w:type="dxa"/>
            <w:vAlign w:val="bottom"/>
            <w:tcBorders>
              <w:top w:val="single" w:sz="8" w:color="0000EE"/>
              <w:bottom w:val="single" w:sz="8" w:color="DCDCDC"/>
            </w:tcBorders>
            <w:gridSpan w:val="9"/>
          </w:tcPr>
          <w:p>
            <w:pPr>
              <w:spacing w:after="0"/>
              <w:rPr>
                <w:sz w:val="24"/>
                <w:szCs w:val="24"/>
                <w:color w:val="auto"/>
              </w:rPr>
            </w:pPr>
          </w:p>
        </w:tc>
        <w:tc>
          <w:tcPr>
            <w:tcW w:w="2560" w:type="dxa"/>
            <w:vAlign w:val="bottom"/>
            <w:tcBorders>
              <w:top w:val="single" w:sz="8" w:color="F0FFFF"/>
              <w:bottom w:val="single" w:sz="8" w:color="DCDCDC"/>
            </w:tcBorders>
            <w:gridSpan w:val="4"/>
          </w:tcPr>
          <w:p>
            <w:pPr>
              <w:jc w:val="center"/>
              <w:ind w:left="370"/>
              <w:spacing w:after="0"/>
              <w:rPr>
                <w:sz w:val="20"/>
                <w:szCs w:val="20"/>
                <w:color w:val="auto"/>
              </w:rPr>
            </w:pPr>
            <w:r>
              <w:rPr>
                <w:rFonts w:ascii="Arial" w:cs="Arial" w:eastAsia="Arial" w:hAnsi="Arial"/>
                <w:sz w:val="18"/>
                <w:szCs w:val="18"/>
                <w:color w:val="auto"/>
                <w:w w:val="99"/>
              </w:rPr>
              <w:t>2</w:t>
            </w:r>
          </w:p>
        </w:tc>
        <w:tc>
          <w:tcPr>
            <w:tcW w:w="1000" w:type="dxa"/>
            <w:vAlign w:val="bottom"/>
            <w:tcBorders>
              <w:top w:val="single" w:sz="8" w:color="F0FFFF"/>
              <w:bottom w:val="single" w:sz="8" w:color="DCDCDC"/>
            </w:tcBorders>
          </w:tcPr>
          <w:p>
            <w:pPr>
              <w:spacing w:after="0"/>
              <w:rPr>
                <w:sz w:val="24"/>
                <w:szCs w:val="24"/>
                <w:color w:val="auto"/>
              </w:rPr>
            </w:pPr>
          </w:p>
        </w:tc>
        <w:tc>
          <w:tcPr>
            <w:tcW w:w="60" w:type="dxa"/>
            <w:vAlign w:val="bottom"/>
            <w:tcBorders>
              <w:top w:val="single" w:sz="8" w:color="F0FFFF"/>
              <w:bottom w:val="single" w:sz="8" w:color="DCDCDC"/>
            </w:tcBorders>
          </w:tcPr>
          <w:p>
            <w:pPr>
              <w:spacing w:after="0"/>
              <w:rPr>
                <w:sz w:val="24"/>
                <w:szCs w:val="24"/>
                <w:color w:val="auto"/>
              </w:rPr>
            </w:pPr>
          </w:p>
        </w:tc>
        <w:tc>
          <w:tcPr>
            <w:tcW w:w="780" w:type="dxa"/>
            <w:vAlign w:val="bottom"/>
            <w:tcBorders>
              <w:top w:val="single" w:sz="8" w:color="F0FFFF"/>
              <w:bottom w:val="single" w:sz="8" w:color="DCDCDC"/>
            </w:tcBorders>
          </w:tcPr>
          <w:p>
            <w:pPr>
              <w:spacing w:after="0"/>
              <w:rPr>
                <w:sz w:val="24"/>
                <w:szCs w:val="24"/>
                <w:color w:val="auto"/>
              </w:rPr>
            </w:pPr>
          </w:p>
        </w:tc>
        <w:tc>
          <w:tcPr>
            <w:tcW w:w="780" w:type="dxa"/>
            <w:vAlign w:val="bottom"/>
            <w:tcBorders>
              <w:top w:val="single" w:sz="8" w:color="F0FFFF"/>
              <w:bottom w:val="single" w:sz="8" w:color="DCDCDC"/>
            </w:tcBorders>
          </w:tcPr>
          <w:p>
            <w:pPr>
              <w:spacing w:after="0"/>
              <w:rPr>
                <w:sz w:val="24"/>
                <w:szCs w:val="24"/>
                <w:color w:val="auto"/>
              </w:rPr>
            </w:pPr>
          </w:p>
        </w:tc>
        <w:tc>
          <w:tcPr>
            <w:tcW w:w="1480" w:type="dxa"/>
            <w:vAlign w:val="bottom"/>
            <w:tcBorders>
              <w:top w:val="single" w:sz="8" w:color="F0FFFF"/>
              <w:bottom w:val="single" w:sz="8" w:color="DCDCDC"/>
            </w:tcBorders>
          </w:tcPr>
          <w:p>
            <w:pPr>
              <w:spacing w:after="0"/>
              <w:rPr>
                <w:sz w:val="24"/>
                <w:szCs w:val="24"/>
                <w:color w:val="auto"/>
              </w:rPr>
            </w:pPr>
          </w:p>
        </w:tc>
        <w:tc>
          <w:tcPr>
            <w:tcW w:w="560" w:type="dxa"/>
            <w:vAlign w:val="bottom"/>
            <w:tcBorders>
              <w:top w:val="single" w:sz="8" w:color="F0FFFF"/>
              <w:bottom w:val="single" w:sz="8" w:color="DCDCD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Form 10-K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in the “Risk Factors” section of this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forward-looking statement made by us in this Form 10-K speaks only as of the date of this Form 10-K. Unless required by law, we undertake no obligation to publicly revise any forward-looking statement to reflect circumstances or events after the date of this Form 10-K or to reflect the occurrence of unanticipated events.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USA Technologies, Inc. (the “Company”, “We”, “USAT”, or “Our”) was incorporated in the Commonwealth of Pennsylvania in January 1992. We are a provider of technology-enabled solutions and value-added services that facilitate electronic payment transactions primarily within the unattended Point of Sale (“POS”) market. We are a leading provider in the small ticket, beverage and food vending industry and are expanding our solutions and services to other unattended market segments, such as amusement, commercial laundry, kiosk, taxi and others. Since our founding, we have designed and marketed systems and solutions that facilitate electronic payment options, as well as telemetry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derive the majority of our revenues from license and transaction fees resulting from connections to, as well as services provided by, our ePort Connect service. Connections to our service stem from the sale or lease of our POS electronic payment devices or certified payment software or the servicing of similar third-party installed POS terminals. The majority of ePort Connect customers pay a monthly fee plus a blended transaction rate on the transaction dollar volume processed by the Company. Connections to the ePort Connect service, therefore, are the most significant driver of the Company’s revenues, particularly revenues from license and transaction fees.</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June 30, 2014, the Company had approximately 266,000 connections to its ePort Connect service, compared to approximately 214,000 connections as of June 30, 2013, representing a 24% increase. During the fiscal year ended June 30, 2014, the Company processed approximately 169 million cashless transactions totaling approximately $294 million in transaction dollars, representing a 31% increase in transaction volume and a 34% increase in dollars processed from the 129 million cashless transactions totaling approximately $219 million during the previous fiscal year ended 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124460</wp:posOffset>
            </wp:positionV>
            <wp:extent cx="3430270" cy="2470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3027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above chart shows the increases over the last four fiscal years in the number of connections, revenues and the dollar value of transactions handled by us. The vertical bars depict total revenues, segmented by license and transaction fees and equipment revenues. The solid line depicts the number of connections to our ePort Connect service, as of the end of each of the last four fiscal years, as indicated by the dot at the mid-point on the revenue bar for each year. Similarly, the dollar value of transactions handled by us during each of the last four fiscal years is indicated by the dotted line and the dot at the mid-point on the revenue bar for each year.</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solutions and services have been designed to simplify the transition to cashless for traditionally cash-only based businesses. As such, they are turnkey and include our comprehensive ePort Connect service and POS electronic payment devices or certified payment software, which are able to process traditional magnetic stripe credit and debit cards, contactless credit and debit cards and mobile payments. Standard services through ePort Connect are maintained on our proprietary operating systems and include merchant account setup on behalf of the customer, automatic processing and settlement, sales reporting and 24x7 customer support. Other value-added services that customers can choose from include things such as cashless deployment planning, cashless performance review and prepaid and loyalty products and services. Our solutions also provide flexibility to execute a variety of payment applications on a single system, transaction security, connectivity options, compliance with certification standards, and centralized, accurate, real-time sales and inventory data to manage distributed assets (wireless telemetry and M2M).</w:t>
      </w:r>
    </w:p>
    <w:p>
      <w:pPr>
        <w:spacing w:after="0" w:line="20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customers range from global food service organizations to small businesses that operate primarily in the self-serve, small ticket retail markets including beverage and food vending, amusement and arcade machines, smartphones via our ePort Mobile™ solution, commercial laundry, tolls, and various other self-serve kiosk applications as well as equipment developers or manufacturers who incorporate our ePort Connect service into their product offerings.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370" w:gutter="0" w:footer="0" w:header="0"/>
        </w:sectPr>
      </w:pPr>
    </w:p>
    <w:bookmarkStart w:id="5" w:name="page6"/>
    <w:bookmarkEnd w:id="5"/>
    <w:p>
      <w:pPr>
        <w:jc w:val="both"/>
        <w:ind w:right="20"/>
        <w:spacing w:after="0" w:line="286" w:lineRule="auto"/>
        <w:rPr>
          <w:sz w:val="20"/>
          <w:szCs w:val="20"/>
          <w:color w:val="auto"/>
        </w:rPr>
      </w:pPr>
      <w:r>
        <w:rPr>
          <w:rFonts w:ascii="Arial" w:cs="Arial" w:eastAsia="Arial" w:hAnsi="Arial"/>
          <w:sz w:val="17"/>
          <w:szCs w:val="17"/>
          <w:color w:val="auto"/>
        </w:rPr>
        <w:t>The Company also manufactures and sells energy management products that reduce the electrical power consumption of equipment, such as refrigerated vending machines and glass front coolers, thus reducing the electrical energy costs associated with operating this equipment. We derive equipment revenues through the sale of our energy management products both in the United States and in approximately seven countries worldwide.</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believe that we have a history of being a market leader in cashless payments with a recognized brand name, a value-added proposition for our customers and a reputation of innovation in our product and services. We believe that these attributes position us to capitalize on industry trends.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INDUSTRY</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primarily in the small ticket electronic payments industry and, more specifically, the unattended POS market. We also have the ability to accept cashless payment “on the go” through mobile-based payment services, which are generally higher ticket transactions. Our solutions and services facilitate electronic payments in industries that have traditionally relied on cash transactions. We believe the following industry trends are driving growth in demand for electronic payment systems in general and more specifically within the markets we serve:</w:t>
      </w:r>
    </w:p>
    <w:p>
      <w:pPr>
        <w:spacing w:after="0" w:line="214" w:lineRule="exact"/>
        <w:rPr>
          <w:sz w:val="20"/>
          <w:szCs w:val="20"/>
          <w:color w:val="auto"/>
        </w:rPr>
      </w:pPr>
    </w:p>
    <w:p>
      <w:pPr>
        <w:ind w:left="1500" w:hanging="749"/>
        <w:spacing w:after="0"/>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Ongoing shift toward electronic payment transactions and away from cash and checks;</w:t>
      </w:r>
    </w:p>
    <w:p>
      <w:pPr>
        <w:spacing w:after="0" w:line="252" w:lineRule="exact"/>
        <w:rPr>
          <w:rFonts w:ascii="Arial" w:cs="Arial" w:eastAsia="Arial" w:hAnsi="Arial"/>
          <w:sz w:val="18"/>
          <w:szCs w:val="18"/>
          <w:color w:val="auto"/>
        </w:rPr>
      </w:pPr>
    </w:p>
    <w:p>
      <w:pPr>
        <w:ind w:left="1500" w:hanging="749"/>
        <w:spacing w:after="0"/>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demand for electronic transaction functionality from both consumers and merchant/operators; and</w:t>
      </w:r>
    </w:p>
    <w:p>
      <w:pPr>
        <w:spacing w:after="0" w:line="252" w:lineRule="exact"/>
        <w:rPr>
          <w:rFonts w:ascii="Arial" w:cs="Arial" w:eastAsia="Arial" w:hAnsi="Arial"/>
          <w:sz w:val="18"/>
          <w:szCs w:val="18"/>
          <w:color w:val="auto"/>
        </w:rPr>
      </w:pPr>
    </w:p>
    <w:p>
      <w:pPr>
        <w:ind w:left="1500" w:hanging="749"/>
        <w:spacing w:after="0"/>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Improving POS technology and NFC equipped mobile phone payment technology.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Shift toward electronic payment transactions and away from cash and checks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has been an ongoing shift away from paper-based methods of payment, including cash and checks, towards electronic-based methods of payment. According to The Nilson Report, December 2012, paper-based methods of payment continued to decline in 2010, representing 38.97% of transaction dollars measured compared to 50.45% in 2005. The four card-based systems—credit, debit, prepaid, and electronic benefits transfer—generated $4.22 trillion in the United States in 2011, 50.6% of transaction dollars measured, compared to 42.3% in 2006. The Nilson Report projects that by 2016 spending at merchants in the U.S., from the four card-based system to grow to $6.5 trillion, or 62.8% of total transaction dollars measured.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in Consumer and Merchant/Operator Demand for Electronic Payments</w:t>
      </w:r>
    </w:p>
    <w:p>
      <w:pPr>
        <w:spacing w:after="0" w:line="24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Increase in Consumer Demand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unattended, vending and kiosk POS market has historically been dominated by cash purchases. However, oftentimes,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purchases at unattended POS locations represent a cumbersome transaction for the consumer because they do not have the correct monetary value (paper or coin), or the consumer does not have the ability to convert their bills into coins. We believe electronic payment system providers such as USA Technologies that can meet consumers’ demand within the unattended market will be able to offer retailers, card associations, card issuers and payment processors and business owners an expanding value proposition at the POS.</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Increase in Merchant/Operator Demand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increasingly, merchants and operators of unattended payment locations (e.g., vending machines,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laundry, tabletop games, etc.) are utilizing electronic payment alternatives as a means to improve business results. The Company works with its customers to help them drive increased revenue of their distributed assets through this expanded market opportunity. In addition, electronic payment systems can provide merchants and operators real-time sales and inventory data utilized for back-office reporting and forecasting, like USA Technologies’ solutions and services, helping them to manage their business more efficiently.</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Increase in Demand for Networked Assets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M2M (machine-to-machine) technology includes capturing value from wireless modules and electronic devices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improve business productivity and customer service. The term M2M describes any kind of 2-way communication system between geographically distributed devices through a centrally managed software application without human intervention and as such, the Company’s integrated POS and ePort Connect remote data management capabilities fall into this category of solution. For example, the Company’s new ePortGO™ solution integrates cashless payment with software and hardware specific to the taxi and for-hire vehicle industry. In addition, networked assets can provide valuable information regarding consumers’ purchasing patterns and payment preferences, allowing operators to more effectively tailor their offerings to consumers. According to a Verizon Wireless 2011 whitepaper (When Machines Talk, Businesses Listen), within ten years, the number of machines that can be connected should exceed sixty billion units. The Company believes that its expertise in integrating cashless payments, its scalable network data capacity, its proven ability to handle high transaction volume, and its high quality and reliable data management capabilities make it well suited for the growing opportunities in the M2M market.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 Technology and NFC Equipped Mobile Phone Payment Improvements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Consumer Interest in Mobile Payment. </w:t>
      </w:r>
      <w:r>
        <w:rPr>
          <w:rFonts w:ascii="Arial" w:cs="Arial" w:eastAsia="Arial" w:hAnsi="Arial"/>
          <w:sz w:val="16"/>
          <w:szCs w:val="16"/>
          <w:color w:val="auto"/>
        </w:rPr>
        <w:t>NFC, or Near Field Communication, is a short range wireless connectivity technology that uses electromagnetic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radio fields to enable communication between devices when there is a physical touch, or when they are within close proximity to one another. We believe that POS terminals contactless enabled to accept NFC payments and digital wallet applications, such as Softcard, Google Wallet, Apple Pay, and others, stand to benefit from these evolving trends in mobile payment. Digital wallet is essentially a digital service, accessed via the web or a mobile phone application that serves as a substitute for the traditional credit or debit card. Providers can also market directly to targeted consumers with coupons and loyalty programs.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over 50% of the Company’s connections contactless enabled to accept NFC payments (in addition to magnetic stripe cards) as of June 30, 2014, we believe that we are well-positioned to benefit from this emerging space.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TECHNOLOGY-BASED SOLUTION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solutions have been designed to be turnkey and includes ePort Connect service, POS electronic payment devices, certified payment software able to process traditional magnetic stripe credit and debit cards, contactless credit and debit cards, and NFC equipped mobile phones that allow consumers to make payments with their cell phones. We believe that our ability to bundle our products and services, as well as the ability to tailor and customize them to individual customer needs, makes it easy and efficient for our customers to adopt and deploy our technology, and results in a service unmatched in the small-ticket, unattended retail market today.</w:t>
      </w:r>
    </w:p>
    <w:p>
      <w:pPr>
        <w:sectPr>
          <w:pgSz w:w="11900" w:h="16838" w:orient="portrait"/>
          <w:cols w:equalWidth="0" w:num="1">
            <w:col w:w="11420"/>
          </w:cols>
          <w:pgMar w:left="240" w:top="922" w:right="239" w:bottom="0" w:gutter="0" w:footer="0" w:header="0"/>
        </w:sectPr>
      </w:pPr>
    </w:p>
    <w:bookmarkStart w:id="6" w:name="page7"/>
    <w:bookmarkEnd w:id="6"/>
    <w:p>
      <w:pPr>
        <w:jc w:val="both"/>
        <w:spacing w:after="0" w:line="264" w:lineRule="auto"/>
        <w:rPr>
          <w:sz w:val="20"/>
          <w:szCs w:val="20"/>
          <w:color w:val="auto"/>
        </w:rPr>
      </w:pPr>
      <w:r>
        <w:rPr>
          <w:rFonts w:ascii="Arial" w:cs="Arial" w:eastAsia="Arial" w:hAnsi="Arial"/>
          <w:sz w:val="18"/>
          <w:szCs w:val="18"/>
          <w:i w:val="1"/>
          <w:iCs w:val="1"/>
          <w:color w:val="auto"/>
        </w:rPr>
        <w:t>The Product</w:t>
      </w:r>
      <w:r>
        <w:rPr>
          <w:rFonts w:ascii="Arial" w:cs="Arial" w:eastAsia="Arial" w:hAnsi="Arial"/>
          <w:sz w:val="18"/>
          <w:szCs w:val="18"/>
          <w:color w:val="auto"/>
        </w:rPr>
        <w:t>. The Company offers its customers several different devices or software to connect their distributed assets. These range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QuickConnect™ Web service, more fully described below under the section “OUR PRODUCTS”, and encrypted magnetic stripe card readers to our ePort</w:t>
      </w:r>
      <w:r>
        <w:rPr>
          <w:rFonts w:ascii="Arial" w:cs="Arial" w:eastAsia="Arial" w:hAnsi="Arial"/>
          <w:sz w:val="18"/>
          <w:szCs w:val="18"/>
          <w:i w:val="1"/>
          <w:iCs w:val="1"/>
          <w:color w:val="auto"/>
        </w:rPr>
        <w:t>®</w:t>
      </w:r>
      <w:r>
        <w:rPr>
          <w:rFonts w:ascii="Arial" w:cs="Arial" w:eastAsia="Arial" w:hAnsi="Arial"/>
          <w:sz w:val="18"/>
          <w:szCs w:val="18"/>
          <w:color w:val="auto"/>
        </w:rPr>
        <w:t xml:space="preserve"> hardware that can be attached to the door of a stand-alone terminal.</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jc w:val="both"/>
        <w:spacing w:after="0" w:line="302" w:lineRule="auto"/>
        <w:rPr>
          <w:sz w:val="20"/>
          <w:szCs w:val="20"/>
          <w:color w:val="auto"/>
        </w:rPr>
      </w:pPr>
      <w:r>
        <w:rPr>
          <w:rFonts w:ascii="Arial" w:cs="Arial" w:eastAsia="Arial" w:hAnsi="Arial"/>
          <w:sz w:val="16"/>
          <w:szCs w:val="16"/>
          <w:i w:val="1"/>
          <w:iCs w:val="1"/>
          <w:color w:val="auto"/>
        </w:rPr>
        <w:t>The Network</w:t>
      </w:r>
      <w:r>
        <w:rPr>
          <w:rFonts w:ascii="Arial" w:cs="Arial" w:eastAsia="Arial" w:hAnsi="Arial"/>
          <w:sz w:val="16"/>
          <w:szCs w:val="16"/>
          <w:color w:val="auto"/>
        </w:rPr>
        <w:t>. Our network is designed to transmit payment information from our customers’ terminals for processing and sales and diagnostic data for</w:t>
      </w:r>
      <w:r>
        <w:rPr>
          <w:rFonts w:ascii="Arial" w:cs="Arial" w:eastAsia="Arial" w:hAnsi="Arial"/>
          <w:sz w:val="16"/>
          <w:szCs w:val="16"/>
          <w:i w:val="1"/>
          <w:iCs w:val="1"/>
          <w:color w:val="auto"/>
        </w:rPr>
        <w:t xml:space="preserve"> </w:t>
      </w:r>
      <w:r>
        <w:rPr>
          <w:rFonts w:ascii="Arial" w:cs="Arial" w:eastAsia="Arial" w:hAnsi="Arial"/>
          <w:sz w:val="16"/>
          <w:szCs w:val="16"/>
          <w:color w:val="auto"/>
        </w:rPr>
        <w:t>storage and reporting to our customers. Also, the network, through server-based software applications, provides remote management information, and enables control of the networked device’s functionality. Through our network we have the ability to upload software and update devices remotely enabling us to manage the devices easily and efficiently (e.g., change protocol functionality, provide software upgrades, and change terminal display messages).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The Connectivity Mediums. </w:t>
      </w:r>
      <w:r>
        <w:rPr>
          <w:rFonts w:ascii="Arial" w:cs="Arial" w:eastAsia="Arial" w:hAnsi="Arial"/>
          <w:sz w:val="18"/>
          <w:szCs w:val="18"/>
          <w:color w:val="auto"/>
        </w:rPr>
        <w:t>The client devices (described above) are interconnected for the transfer of our customers’ data through our ePort Connect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that provides multiple connectivity options such as phone line, ethernet, and wireless. Increased wireless connectivity options, coverage and reliability have allowed us to service a greater number of geographically dispersed customer locations. Additionally, we make it easy for our customers to deploy wireless solutions by acting as a single point of contact. We have contracted with Verizon Wireless and AT&amp;T in the United States and Rogers Wireless in Canada in order to supply our customers with wireless network coverage.</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Data Security. </w:t>
      </w:r>
      <w:r>
        <w:rPr>
          <w:rFonts w:ascii="Arial" w:cs="Arial" w:eastAsia="Arial" w:hAnsi="Arial"/>
          <w:sz w:val="17"/>
          <w:szCs w:val="17"/>
          <w:color w:val="auto"/>
        </w:rPr>
        <w:t>We are listed on the VISA Global Registry of Service Providers, meaning that VISA has reviewed and accepted our Report on Compliance</w:t>
      </w:r>
      <w:r>
        <w:rPr>
          <w:rFonts w:ascii="Arial" w:cs="Arial" w:eastAsia="Arial" w:hAnsi="Arial"/>
          <w:sz w:val="17"/>
          <w:szCs w:val="17"/>
          <w:i w:val="1"/>
          <w:iCs w:val="1"/>
          <w:color w:val="auto"/>
        </w:rPr>
        <w:t xml:space="preserve"> </w:t>
      </w:r>
      <w:r>
        <w:rPr>
          <w:rFonts w:ascii="Arial" w:cs="Arial" w:eastAsia="Arial" w:hAnsi="Arial"/>
          <w:sz w:val="17"/>
          <w:szCs w:val="17"/>
          <w:color w:val="auto"/>
        </w:rPr>
        <w:t>(RoC) from an authorized Payment Card Industry (“PCI”) assessor as a PCI Level 1 Service Provider. Our entry on this is renewed annually, and our current entry is valid through January 31, 2015. The VISA listing can be found online at http://www.visa.com/splisting/searchGrsp.do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fiscal year ended June 30, 2014, license and transaction fees generated by our ePort Connect service represented 84% of the Company’s revenues. Our ePort Connect solution provides customers with all of the following services, under one cohesive service umbrella:</w:t>
      </w:r>
    </w:p>
    <w:p>
      <w:pPr>
        <w:spacing w:after="0" w:line="197" w:lineRule="exact"/>
        <w:rPr>
          <w:sz w:val="20"/>
          <w:szCs w:val="20"/>
          <w:color w:val="auto"/>
        </w:rPr>
      </w:pPr>
    </w:p>
    <w:p>
      <w:pPr>
        <w:ind w:left="1120" w:hanging="369"/>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Diverse POS options. Ability to connect to a broad product line of cashless acceptance devices or software.</w:t>
      </w:r>
    </w:p>
    <w:p>
      <w:pPr>
        <w:spacing w:after="0" w:line="252" w:lineRule="exact"/>
        <w:rPr>
          <w:rFonts w:ascii="Arial" w:cs="Arial" w:eastAsia="Arial" w:hAnsi="Arial"/>
          <w:sz w:val="18"/>
          <w:szCs w:val="18"/>
          <w:color w:val="auto"/>
        </w:rPr>
      </w:pPr>
    </w:p>
    <w:p>
      <w:pPr>
        <w:jc w:val="both"/>
        <w:ind w:left="1120" w:right="20" w:hanging="369"/>
        <w:spacing w:after="0" w:line="286" w:lineRule="auto"/>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Card Processing Services. Through our existing relationships with card processors and card associations, we provide merchant account and terminal ID set up, pre-negotiated discounted fees on small ticket purchases, and direct electronic funds transfers (EFTs) to our customers’ bank accounts for all settled card transactions as well as ensure compliance with current processing regulations.</w:t>
      </w:r>
    </w:p>
    <w:p>
      <w:pPr>
        <w:spacing w:after="0" w:line="192" w:lineRule="exact"/>
        <w:rPr>
          <w:rFonts w:ascii="Arial" w:cs="Arial" w:eastAsia="Arial" w:hAnsi="Arial"/>
          <w:sz w:val="17"/>
          <w:szCs w:val="17"/>
          <w:color w:val="auto"/>
        </w:rPr>
      </w:pPr>
    </w:p>
    <w:p>
      <w:pPr>
        <w:ind w:left="1120" w:hanging="369"/>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Wireless Connectivity. We manage the wireless account activation, distribution, and the relationship with wireless providers for our customers, if needed.</w:t>
      </w:r>
    </w:p>
    <w:p>
      <w:pPr>
        <w:spacing w:after="0" w:line="197" w:lineRule="exact"/>
        <w:rPr>
          <w:rFonts w:ascii="Arial" w:cs="Arial" w:eastAsia="Arial" w:hAnsi="Arial"/>
          <w:sz w:val="18"/>
          <w:szCs w:val="18"/>
          <w:color w:val="auto"/>
        </w:rPr>
      </w:pPr>
    </w:p>
    <w:p>
      <w:pPr>
        <w:jc w:val="both"/>
        <w:ind w:left="1120" w:hanging="369"/>
        <w:spacing w:after="0" w:line="264"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Customer/Consumer Services. We support our installed base by providing 24-hour help desk support, repairs, and replacement of impaired system solutions. In addition, all inbound billing inquiries are handled through a 24-hour help desk, thereby eliminating the need for our customers to deal with consumer billing inquiries and potential chargebacks.</w:t>
      </w:r>
    </w:p>
    <w:p>
      <w:pPr>
        <w:spacing w:after="0" w:line="208" w:lineRule="exact"/>
        <w:rPr>
          <w:rFonts w:ascii="Arial" w:cs="Arial" w:eastAsia="Arial" w:hAnsi="Arial"/>
          <w:sz w:val="18"/>
          <w:szCs w:val="18"/>
          <w:color w:val="auto"/>
        </w:rPr>
      </w:pPr>
    </w:p>
    <w:p>
      <w:pPr>
        <w:jc w:val="both"/>
        <w:ind w:left="1120" w:hanging="369"/>
        <w:spacing w:after="0" w:line="259"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Online Sales Reporting. Via the USALive online reporting system, we provide customers with a host of sales and operational data, including information regarding their credit and cash transactions, user configuration, reporting by machine and region, by date range and transaction type, data reports for operations and finance, graphical reporting of sales, and condition monitoring for equipment service, as well as activation of new devices and redeployments.</w:t>
      </w:r>
    </w:p>
    <w:p>
      <w:pPr>
        <w:spacing w:after="0" w:line="213" w:lineRule="exact"/>
        <w:rPr>
          <w:rFonts w:ascii="Arial" w:cs="Arial" w:eastAsia="Arial" w:hAnsi="Arial"/>
          <w:sz w:val="18"/>
          <w:szCs w:val="18"/>
          <w:color w:val="auto"/>
        </w:rPr>
      </w:pPr>
    </w:p>
    <w:p>
      <w:pPr>
        <w:jc w:val="both"/>
        <w:ind w:left="1120" w:hanging="369"/>
        <w:spacing w:after="0" w:line="276" w:lineRule="auto"/>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M2M Telemetry and DEX data transfer. DEX, an acronym for digital exchange, is the Vending Industry’s standard way to communicate information such as sales, cash in bill validators, coins in coin boxes, sales of units by selection, pricing, door openings, and much more. USA Technologies is able to remotely transfer and push DEX data to customers’ route management systems through its DEX partner program. USA Technologies operates within the VDI (Vending Data Interchange) standards established by NAMA (National Automatic Merchandising Association) and sends DEX files compatible with most major remote management software systems.</w:t>
      </w:r>
    </w:p>
    <w:p>
      <w:pPr>
        <w:spacing w:after="0" w:line="199" w:lineRule="exact"/>
        <w:rPr>
          <w:rFonts w:ascii="Arial" w:cs="Arial" w:eastAsia="Arial" w:hAnsi="Arial"/>
          <w:sz w:val="17"/>
          <w:szCs w:val="17"/>
          <w:color w:val="auto"/>
        </w:rPr>
      </w:pPr>
    </w:p>
    <w:p>
      <w:pPr>
        <w:jc w:val="both"/>
        <w:ind w:left="1120" w:hanging="369"/>
        <w:spacing w:after="0" w:line="264"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Over-the-Air Update Capabilities. Automatic over-the-air updates to software, settings, and security protocol from our network to our ePort card reader keep our customers’ hardware up-to-date and enable customers to benefit from any advancement made after their hardware or software purchase.</w:t>
      </w:r>
    </w:p>
    <w:p>
      <w:pPr>
        <w:spacing w:after="0" w:line="208" w:lineRule="exact"/>
        <w:rPr>
          <w:rFonts w:ascii="Arial" w:cs="Arial" w:eastAsia="Arial" w:hAnsi="Arial"/>
          <w:sz w:val="18"/>
          <w:szCs w:val="18"/>
          <w:color w:val="auto"/>
        </w:rPr>
      </w:pPr>
    </w:p>
    <w:p>
      <w:pPr>
        <w:jc w:val="both"/>
        <w:ind w:left="1120" w:hanging="369"/>
        <w:spacing w:after="0" w:line="264"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Value-added Services. Access to additional services such as </w:t>
      </w:r>
      <w:r>
        <w:rPr>
          <w:rFonts w:ascii="Arial" w:cs="Arial" w:eastAsia="Arial" w:hAnsi="Arial"/>
          <w:sz w:val="18"/>
          <w:szCs w:val="18"/>
          <w:b w:val="1"/>
          <w:bCs w:val="1"/>
          <w:i w:val="1"/>
          <w:iCs w:val="1"/>
          <w:color w:val="auto"/>
        </w:rPr>
        <w:t>MORE</w:t>
      </w:r>
      <w:r>
        <w:rPr>
          <w:rFonts w:ascii="Arial" w:cs="Arial" w:eastAsia="Arial" w:hAnsi="Arial"/>
          <w:sz w:val="18"/>
          <w:szCs w:val="18"/>
          <w:color w:val="auto"/>
        </w:rPr>
        <w:t>, our loyalty and prepaid program, two-tier pricing, special promotions such our nationwide Softcard mobile payment and loyalty promotion for vending customers, as well as a menu of hardware purchasing options including JumpStart, our terminal-included service option.</w:t>
      </w:r>
    </w:p>
    <w:p>
      <w:pPr>
        <w:spacing w:after="0" w:line="208" w:lineRule="exact"/>
        <w:rPr>
          <w:rFonts w:ascii="Arial" w:cs="Arial" w:eastAsia="Arial" w:hAnsi="Arial"/>
          <w:sz w:val="18"/>
          <w:szCs w:val="18"/>
          <w:color w:val="auto"/>
        </w:rPr>
      </w:pPr>
    </w:p>
    <w:p>
      <w:pPr>
        <w:ind w:left="1120" w:hanging="369"/>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Deployment Planning. Access to services to help operators successfully deploy cashless payment systems and integrated solutions that is based on our extensive market and customer experience data.</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 into a processing and licensing agreement, or ePort Connect Services Agreement, with our customers pursuant to which we act as a provider of cashless financial services for the customer’s distributed asset, and the customer agrees to pay us an activation fee, monthly service fees, and transaction processing fees. Our agreements are generally cancelable by the customer upon thirty to sixty days’ notice to us. It typically takes thirty to sixty days for a new connection to begin contributing to the Company’s license and transaction fee revenues.</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counts its ePort connections upon shipment of an active terminal to a customer under contract, at which time activation on its network is performed by the Company, and the terminal is capable of conducting business via the Company’s network and related services. An ePort connection does not necessarily mean that the unit is actually installed by the customer on a machine, or that the unit has begun processing transactions, or that the Company has begun receiving monthly service fees in connection with the unit. Rather, at the time of shipment of the ePort, the customer becomes obligated to pay the one-time activation fee, and is obligated to pay monthly service fees in accordance with the terms of the customer’s contract with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ePort is the Company’s core device, which is currently being utilized in self-service, unattended markets such as vending, amusement and arcade, and various other kiosk applications. Our ePort product facilitates cashless payments by capturing payment information and transmitting it to our network for</w:t>
      </w:r>
    </w:p>
    <w:p>
      <w:pPr>
        <w:sectPr>
          <w:pgSz w:w="11900" w:h="16838" w:orient="portrait"/>
          <w:cols w:equalWidth="0" w:num="1">
            <w:col w:w="11420"/>
          </w:cols>
          <w:pgMar w:left="240" w:top="922" w:right="239" w:bottom="0" w:gutter="0" w:footer="0" w:header="0"/>
        </w:sectPr>
      </w:pPr>
    </w:p>
    <w:bookmarkStart w:id="8" w:name="page9"/>
    <w:bookmarkEnd w:id="8"/>
    <w:p>
      <w:pPr>
        <w:jc w:val="both"/>
        <w:spacing w:after="0" w:line="257" w:lineRule="auto"/>
        <w:rPr>
          <w:sz w:val="20"/>
          <w:szCs w:val="20"/>
          <w:color w:val="auto"/>
        </w:rPr>
      </w:pPr>
      <w:r>
        <w:rPr>
          <w:rFonts w:ascii="Arial" w:cs="Arial" w:eastAsia="Arial" w:hAnsi="Arial"/>
          <w:sz w:val="18"/>
          <w:szCs w:val="18"/>
          <w:color w:val="auto"/>
        </w:rPr>
        <w:t>authorization with the payment system (e.g., credit card processors). Additional capabilities of our ePort consist of control/access management by authorized users, collection of audit information (e.g., date and time of sale and sales amount), diagnostic information of the host equipment, and transmission of this data back to our network for web-based reporting, or to a compatible remote management system. Our ePort products are available in several distinctive modular configurations, and as hardware, software or as an API Web service, offering our customers flexibility to install a POS solution that best fits their needs and customer demands.</w:t>
      </w:r>
    </w:p>
    <w:p>
      <w:pPr>
        <w:spacing w:after="0" w:line="215" w:lineRule="exact"/>
        <w:rPr>
          <w:sz w:val="20"/>
          <w:szCs w:val="20"/>
          <w:color w:val="auto"/>
        </w:rPr>
      </w:pPr>
    </w:p>
    <w:p>
      <w:pPr>
        <w:ind w:left="1160" w:hanging="293"/>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ePort Edge™ is a one-piece design and is intended for those customers who require a magnetic swipe-only cashless system with basic features at a lower price point.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ind w:left="1160" w:right="20" w:hanging="293"/>
        <w:spacing w:after="0" w:line="258"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ePort G-8 is a PCI compliant two-piece design that supports traditional magnetic stripe credit/debit cards and contactless cards. The ePort G8 telemeter is also available as a stand-alone DEX telemetry solution.</w:t>
      </w:r>
    </w:p>
    <w:p>
      <w:pPr>
        <w:spacing w:after="0" w:line="1" w:lineRule="exact"/>
        <w:rPr>
          <w:rFonts w:ascii="Arial" w:cs="Arial" w:eastAsia="Arial" w:hAnsi="Arial"/>
          <w:sz w:val="18"/>
          <w:szCs w:val="18"/>
          <w:color w:val="auto"/>
        </w:rPr>
      </w:pPr>
    </w:p>
    <w:p>
      <w:pPr>
        <w:jc w:val="both"/>
        <w:ind w:left="1160" w:hanging="293"/>
        <w:spacing w:after="0" w:line="250"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ePort G-9 was introduced in Fiscal 2013 and became available to the market in the latter part of our second quarter of Fiscal 2014. It has been designed to offer all the features of the G-8 plus additional new features that support expanded acceptance options, consumer engagement offerings and advanced diagnostics.</w:t>
      </w:r>
    </w:p>
    <w:p>
      <w:pPr>
        <w:spacing w:after="0" w:line="1" w:lineRule="exact"/>
        <w:rPr>
          <w:rFonts w:ascii="Arial" w:cs="Arial" w:eastAsia="Arial" w:hAnsi="Arial"/>
          <w:sz w:val="18"/>
          <w:szCs w:val="18"/>
          <w:color w:val="auto"/>
        </w:rPr>
      </w:pPr>
    </w:p>
    <w:p>
      <w:pPr>
        <w:jc w:val="both"/>
        <w:ind w:left="1160" w:hanging="293"/>
        <w:spacing w:after="0" w:line="255"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QuickConnect is a Web service that allows a client application to securely interface with the Company’s ePort Connect service. QuickConnect essentially replaces ePort SDK (software development kit), which captured our ePort technology in software form for PC-based devices such as kiosks.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Other forms of our ePort technology include:</w:t>
      </w:r>
    </w:p>
    <w:p>
      <w:pPr>
        <w:spacing w:after="0" w:line="252" w:lineRule="exact"/>
        <w:rPr>
          <w:sz w:val="20"/>
          <w:szCs w:val="20"/>
          <w:color w:val="auto"/>
        </w:rPr>
      </w:pPr>
    </w:p>
    <w:p>
      <w:pPr>
        <w:jc w:val="both"/>
        <w:ind w:left="1140" w:hanging="286"/>
        <w:spacing w:after="0" w:line="269" w:lineRule="auto"/>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eSuds, our solution developed for the commercial laundry industry that enables laundry operators to provide customers cashless transactions via the use of their credit cards, debit cards and other payment mediums such as student IDs. Effective with the April 2013 mutually exclusive agreement with Setomatic Systems, we are no longer selling the entire eSuds solution to new customers, but we continue to provide processing services for laundry machines equipped with cashless hardware supplied by Setomatics Systems.</w:t>
      </w:r>
    </w:p>
    <w:p>
      <w:pPr>
        <w:spacing w:after="0" w:line="2" w:lineRule="exact"/>
        <w:rPr>
          <w:rFonts w:ascii="Arial" w:cs="Arial" w:eastAsia="Arial" w:hAnsi="Arial"/>
          <w:sz w:val="17"/>
          <w:szCs w:val="17"/>
          <w:color w:val="auto"/>
        </w:rPr>
      </w:pPr>
    </w:p>
    <w:p>
      <w:pPr>
        <w:jc w:val="both"/>
        <w:ind w:left="1140" w:hanging="286"/>
        <w:spacing w:after="0" w:line="250"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ePort Mobile is a mobile acceptance solution for credit and debit cards that is supported by USAT’s ePort Connect service. ePort Mobile is available as a download from the iTunes and Google Play Store and is also available as an All-In-One solution that includes the phone and data plan.</w:t>
      </w:r>
    </w:p>
    <w:p>
      <w:pPr>
        <w:spacing w:after="0" w:line="1" w:lineRule="exact"/>
        <w:rPr>
          <w:rFonts w:ascii="Arial" w:cs="Arial" w:eastAsia="Arial" w:hAnsi="Arial"/>
          <w:sz w:val="18"/>
          <w:szCs w:val="18"/>
          <w:color w:val="auto"/>
        </w:rPr>
      </w:pPr>
    </w:p>
    <w:p>
      <w:pPr>
        <w:jc w:val="both"/>
        <w:ind w:left="1140" w:hanging="286"/>
        <w:spacing w:after="0" w:line="255"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ePortGO was introduced in August 2013. ePortGO integrates our ePort Mobile solution and ePort Connect service with software developed by eTaxi USA, LLC, to address the opportunities for streamlined business process and credit and debit card acceptance in the taxi and for-hire vehicle market.</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Energy Management Products</w:t>
      </w:r>
      <w:r>
        <w:rPr>
          <w:rFonts w:ascii="Arial" w:cs="Arial" w:eastAsia="Arial" w:hAnsi="Arial"/>
          <w:sz w:val="17"/>
          <w:szCs w:val="17"/>
          <w:color w:val="auto"/>
        </w:rPr>
        <w:t>. Our Company offers energy conservation products (“Energy Misers®”) that reduce the electrical power consumption of</w:t>
      </w:r>
      <w:r>
        <w:rPr>
          <w:rFonts w:ascii="Arial" w:cs="Arial" w:eastAsia="Arial" w:hAnsi="Arial"/>
          <w:sz w:val="17"/>
          <w:szCs w:val="17"/>
          <w:i w:val="1"/>
          <w:iCs w:val="1"/>
          <w:color w:val="auto"/>
        </w:rPr>
        <w:t xml:space="preserve"> </w:t>
      </w:r>
      <w:r>
        <w:rPr>
          <w:rFonts w:ascii="Arial" w:cs="Arial" w:eastAsia="Arial" w:hAnsi="Arial"/>
          <w:sz w:val="17"/>
          <w:szCs w:val="17"/>
          <w:color w:val="auto"/>
        </w:rPr>
        <w:t>various types of existing equipment, such as vending machines, glass front coolers and other “always-on” appliances by allowing the equipment to selectively operate in a power saving mode when the full power mode is not necessary. Each of the Company’s Energy Miser products utilizes occupancy sensing technology to determine when the surrounding area is vacant or occupied. The Energy Miser then utilizes occupancy data, product temperatures, and an energy saving algorithm to selectively control certain high-energy components (e.g., compressor and fan) to realize electrical power savings over the long-term use of the equipment. Customers of our Vending Miser® product benefit from reduced energy consumption costs, depending on regional energy costs, machine type, and utilization of the machine. Our Energy Misers also reduce the overall stress loads on the equipment, helping to reduce associated maintenance costs. Energy Miser products are not currently networked to our ePort Connect service.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MARKETS WE SERVE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current customers are primarily in the self-serve, small ticket retail markets including beverage and food vending and kiosk, commercial laundry, car wash, tolls, amusement and gaming, and office coffee. While these industry sectors represent only a small fraction of our total market potential, as described below, these are the areas where we have gained the most traction to date. In addition to being our current primary markets, we believe these sectors serve as a proof-of-concept for other unattended POS industry applications.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Vending. </w:t>
      </w:r>
      <w:r>
        <w:rPr>
          <w:rFonts w:ascii="Arial" w:cs="Arial" w:eastAsia="Arial" w:hAnsi="Arial"/>
          <w:sz w:val="18"/>
          <w:szCs w:val="18"/>
          <w:color w:val="auto"/>
        </w:rPr>
        <w:t>According to Vending Times’ 2012 Census of the Industry, annual U.S. sales in the vending industry sector were estimated to be approximately $43</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in 2011 transacted by over 6 million machines. The Company believes these machines represent a significant market opportunity for electronic payment conversion when compared to the Company’s existing ePort Connect service base and the overall low rate of industry adoption to date. For example, in another study conducted by Automatic Merchandiser (State of the Vending Industry, June 2013) that included a representative 5.4 million machines, cashless adoption was projected at only 7% in 2012, up from 4% in 2011. The increase was attributed to higher product price points, increased acceptance of debit and credit in retail for smaller purchases, Gen X and Y/millennials joining the workforce to become vending consumers and the growing research about how cashless payment systems can increase sales. With the continued shift to electronic payments and the advancement in mobile and POS technology, we believe that the traditional beverage and food vending industry will continue to look to cashless payments and telemetry systems to improve their business results.</w:t>
      </w:r>
    </w:p>
    <w:p>
      <w:pPr>
        <w:spacing w:after="0" w:line="2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Kiosk</w:t>
      </w:r>
      <w:r>
        <w:rPr>
          <w:rFonts w:ascii="Arial" w:cs="Arial" w:eastAsia="Arial" w:hAnsi="Arial"/>
          <w:sz w:val="16"/>
          <w:szCs w:val="16"/>
          <w:color w:val="auto"/>
        </w:rPr>
        <w:t>. According to IHL Consulting Group’s August 2012 North American Self-Service Kiosks Market Study, which defines, for purposes of their study, a</w:t>
      </w:r>
      <w:r>
        <w:rPr>
          <w:rFonts w:ascii="Arial" w:cs="Arial" w:eastAsia="Arial" w:hAnsi="Arial"/>
          <w:sz w:val="16"/>
          <w:szCs w:val="16"/>
          <w:i w:val="1"/>
          <w:iCs w:val="1"/>
          <w:color w:val="auto"/>
        </w:rPr>
        <w:t xml:space="preserve"> </w:t>
      </w:r>
      <w:r>
        <w:rPr>
          <w:rFonts w:ascii="Arial" w:cs="Arial" w:eastAsia="Arial" w:hAnsi="Arial"/>
          <w:sz w:val="16"/>
          <w:szCs w:val="16"/>
          <w:color w:val="auto"/>
        </w:rPr>
        <w:t>kiosk as a self-standing, technology-based, unmanned device deployed across six retail and hospitality environments, approximately $926 billion will be transacted through self-service kiosks in 2013, with compound annual growth for the subsequent three years of seven percent (7%). We believe that kiosks are becoming increasingly popular as credit, debit or contactless payment options enable kiosks to sell an increased variety of items. In addition, the study points to the increasing trend toward self-sufficiency, where time is the most important commodity of the consumer. As merchants continue to seek new ways to reach their customers through kiosk applications, we believe the need for a reliable cashless payment provider experienced with machine integration, PCI compliance and cashless payment services designed specifically for the unattended market will be of increasing value in this market. Our existing kiosk customers integrate with our cashless payment services via our QuickConnect Web service using one of our encrypted readers or ePort POS technologies.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Laundry</w:t>
      </w:r>
      <w:r>
        <w:rPr>
          <w:rFonts w:ascii="Arial" w:cs="Arial" w:eastAsia="Arial" w:hAnsi="Arial"/>
          <w:sz w:val="18"/>
          <w:szCs w:val="18"/>
          <w:color w:val="auto"/>
        </w:rPr>
        <w:t>. Our primary targets in laundry consist of the coin-operated commercial laundry and multi-housing laundry markets. According to the Coin Laundry</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 the U.S. commercial laundry industry is comprised of 30,000-35,000 laundromats that our partner, Setomatic Systems, estimates translates to roughly 2.5 million commercial washers and dryers. Additionally, an industry participant indicates there are approximately 3.4 million machines in the multi-housing market. While no revenue figures are available for the multi-housing market, the Coin Laundry Association estimates gross revenue in the laundromat market at nearly $5 billion annually.</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Mobile Merchant. </w:t>
      </w:r>
      <w:r>
        <w:rPr>
          <w:rFonts w:ascii="Arial" w:cs="Arial" w:eastAsia="Arial" w:hAnsi="Arial"/>
          <w:sz w:val="16"/>
          <w:szCs w:val="16"/>
          <w:color w:val="auto"/>
        </w:rPr>
        <w:t>New mobile-based payment acceptance technology has made a transformational impact on an entire base of merchants that previously had</w:t>
      </w:r>
      <w:r>
        <w:rPr>
          <w:rFonts w:ascii="Arial" w:cs="Arial" w:eastAsia="Arial" w:hAnsi="Arial"/>
          <w:sz w:val="16"/>
          <w:szCs w:val="16"/>
          <w:i w:val="1"/>
          <w:iCs w:val="1"/>
          <w:color w:val="auto"/>
        </w:rPr>
        <w:t xml:space="preserve"> </w:t>
      </w:r>
      <w:r>
        <w:rPr>
          <w:rFonts w:ascii="Arial" w:cs="Arial" w:eastAsia="Arial" w:hAnsi="Arial"/>
          <w:sz w:val="16"/>
          <w:szCs w:val="16"/>
          <w:color w:val="auto"/>
        </w:rPr>
        <w:t>almost no access to electronic-based payments. Goldman Sachs (Equity Research Report, June 19, 2012) sees the arrival of mobile technology at the micro/small merchant level addressing an estimated 13 million U.S.-based micro merchants that are likely to benefit from the ability to accept electronic payment from mobile devices. The Company believes that its mobile-based acceptance product and existing turnkey service platform align well with the market’s need for integrated, mobile payment solutions. For example, ePortGO™ demonstrates how we have utilized ePort Mobile to address the specific needs of customers in the taxi and for-hire vehicle industry. According to IBISWorld website, estimated revenues in the taxi and for-hire vehicle industry are $11 billion in the U.S. According to the Taxicab, Limousine and Paratransit Association website, there are approximately 12,400 limousine companies</w:t>
      </w:r>
    </w:p>
    <w:p>
      <w:pPr>
        <w:sectPr>
          <w:pgSz w:w="11900" w:h="16838" w:orient="portrait"/>
          <w:cols w:equalWidth="0" w:num="1">
            <w:col w:w="11420"/>
          </w:cols>
          <w:pgMar w:left="240" w:top="922" w:right="239" w:bottom="0" w:gutter="0" w:footer="0" w:header="0"/>
        </w:sectPr>
      </w:pPr>
    </w:p>
    <w:bookmarkStart w:id="10" w:name="page11"/>
    <w:bookmarkEnd w:id="10"/>
    <w:p>
      <w:pPr>
        <w:spacing w:after="0" w:line="308" w:lineRule="auto"/>
        <w:rPr>
          <w:sz w:val="20"/>
          <w:szCs w:val="20"/>
          <w:color w:val="auto"/>
        </w:rPr>
      </w:pPr>
      <w:r>
        <w:rPr>
          <w:rFonts w:ascii="Arial" w:cs="Arial" w:eastAsia="Arial" w:hAnsi="Arial"/>
          <w:sz w:val="17"/>
          <w:szCs w:val="17"/>
          <w:color w:val="auto"/>
        </w:rPr>
        <w:t>operating 126,000 vehicles and approximately 6,300 companies operating 171,000 taxicabs throughout the United States. Municipalities such as New York City and Washington D.C. have recently been mandating the use of in-vehicle credit/debit card acceptance and navigation features in taxis.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benefit from a number of advantages gained through our over twenty year history in our industry. They include:</w:t>
      </w:r>
    </w:p>
    <w:p>
      <w:pPr>
        <w:spacing w:after="0" w:line="252" w:lineRule="exact"/>
        <w:rPr>
          <w:sz w:val="20"/>
          <w:szCs w:val="20"/>
          <w:color w:val="auto"/>
        </w:rPr>
      </w:pPr>
    </w:p>
    <w:p>
      <w:pPr>
        <w:jc w:val="both"/>
        <w:ind w:left="380" w:hanging="372"/>
        <w:spacing w:after="0" w:line="255" w:lineRule="auto"/>
        <w:tabs>
          <w:tab w:leader="none" w:pos="38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One-Stop Shop, End-to-End Solution. </w:t>
      </w:r>
      <w:r>
        <w:rPr>
          <w:rFonts w:ascii="Arial" w:cs="Arial" w:eastAsia="Arial" w:hAnsi="Arial"/>
          <w:sz w:val="18"/>
          <w:szCs w:val="18"/>
          <w:color w:val="auto"/>
        </w:rPr>
        <w:t>We believe that our ability to offer our customers one point of contact through a bundled cashless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 makes it easy and efficient for our customers to adopt and deploy our electronic payment solutions and results in a service that is unmatched in the small ticket, self-service retail market today. To our knowledge, other cashless payment solutions available in the market today require the operator to set up their own accounts for cashless processing and manage multiple service providers (i.e., hardware terminal manufacturer, wireless network provider, and/or credit card processor). We interface directly with our card processor and wireless service provider, and with our hardware solutions are able to offer a bundled solution to our customers.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jc w:val="both"/>
        <w:ind w:left="380" w:hanging="372"/>
        <w:spacing w:after="0" w:line="273" w:lineRule="auto"/>
        <w:tabs>
          <w:tab w:leader="none" w:pos="38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Trusted Brand Name. </w:t>
      </w:r>
      <w:r>
        <w:rPr>
          <w:rFonts w:ascii="Arial" w:cs="Arial" w:eastAsia="Arial" w:hAnsi="Arial"/>
          <w:sz w:val="17"/>
          <w:szCs w:val="17"/>
          <w:color w:val="auto"/>
        </w:rPr>
        <w:t>We believe that the ePort and Energy Miser brands have a strong national reputation for quality, reliability, and innovation.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that card associations, payment processors, and merchants/operators trust our system solutions and services to handle financial transactions in a secure operating environment. Our trusted brand name is best exemplified by our high level of customer retention, over two dozen exclusive three-year agreements with customers for use of our ePort Connect service. We have agreements with partners like Visa and Verizon Wireless as well as several one-way exclusive relationships which we have solidified with leading organizations within the unattended POS industry, including Setomatic Systems, AMI Entertainment Network, Inc., Innovative Foto, and Air-Serv.</w:t>
      </w:r>
    </w:p>
    <w:p>
      <w:pPr>
        <w:spacing w:after="0" w:line="205" w:lineRule="exact"/>
        <w:rPr>
          <w:rFonts w:ascii="Arial" w:cs="Arial" w:eastAsia="Arial" w:hAnsi="Arial"/>
          <w:sz w:val="17"/>
          <w:szCs w:val="17"/>
          <w:i w:val="1"/>
          <w:iCs w:val="1"/>
          <w:color w:val="auto"/>
        </w:rPr>
      </w:pPr>
    </w:p>
    <w:p>
      <w:pPr>
        <w:jc w:val="both"/>
        <w:ind w:left="380" w:hanging="372"/>
        <w:spacing w:after="0" w:line="297"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Market Leadership. </w:t>
      </w:r>
      <w:r>
        <w:rPr>
          <w:rFonts w:ascii="Arial" w:cs="Arial" w:eastAsia="Arial" w:hAnsi="Arial"/>
          <w:sz w:val="16"/>
          <w:szCs w:val="16"/>
          <w:color w:val="auto"/>
        </w:rPr>
        <w:t>We believe we have the largest installed base of unattended POS electronic payment systems in the unattended small-ticket retail</w:t>
      </w:r>
      <w:r>
        <w:rPr>
          <w:rFonts w:ascii="Arial" w:cs="Arial" w:eastAsia="Arial" w:hAnsi="Arial"/>
          <w:sz w:val="16"/>
          <w:szCs w:val="16"/>
          <w:i w:val="1"/>
          <w:iCs w:val="1"/>
          <w:color w:val="auto"/>
        </w:rPr>
        <w:t xml:space="preserve"> </w:t>
      </w:r>
      <w:r>
        <w:rPr>
          <w:rFonts w:ascii="Arial" w:cs="Arial" w:eastAsia="Arial" w:hAnsi="Arial"/>
          <w:sz w:val="16"/>
          <w:szCs w:val="16"/>
          <w:color w:val="auto"/>
        </w:rPr>
        <w:t>market for food and beverage vending and we are continuing to expand to other adjacent markets such as laundry, taxi, amusement and gaming and kiosks. As of June 30, 2014, we had approximately 266,000 connections to our network. Our installed base supports our sales and marketing initiatives by enhancing our ability to establish or expand our market position. Finally, we believe our installed base provides multiple opportunities for referrals for new business, either from the merchant or operator of the deployed asset or through one of our several strategic relationships.</w:t>
      </w:r>
    </w:p>
    <w:p>
      <w:pPr>
        <w:spacing w:after="0" w:line="185" w:lineRule="exact"/>
        <w:rPr>
          <w:rFonts w:ascii="Arial" w:cs="Arial" w:eastAsia="Arial" w:hAnsi="Arial"/>
          <w:sz w:val="16"/>
          <w:szCs w:val="16"/>
          <w:color w:val="auto"/>
        </w:rPr>
      </w:pPr>
    </w:p>
    <w:p>
      <w:pPr>
        <w:jc w:val="both"/>
        <w:ind w:left="380" w:hanging="372"/>
        <w:spacing w:after="0" w:line="255"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Attractive Value Proposition for Our Customers</w:t>
      </w:r>
      <w:r>
        <w:rPr>
          <w:rFonts w:ascii="Arial" w:cs="Arial" w:eastAsia="Arial" w:hAnsi="Arial"/>
          <w:sz w:val="18"/>
          <w:szCs w:val="18"/>
          <w:color w:val="auto"/>
        </w:rPr>
        <w:t>. We believe that our solutions provide our customers an attractive value proposition. Our solutions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make possible increased purchases by consumers who in the past were limited to the physical cash on hand while making a purchase at an unattended terminal, thereby increasing the universe of potential customers and the buying activity of those customers. In addition, value-added offerings and services such as Two-Tier Pricing, which allows the operator to charge different amounts for the same product depending upon how the consumer choices to pay, and M2M telemetry provide operators with the ability to pursue additional opportunities to reduce costs and improve operating efficiencies. Lastly, new consumer engagement services further extend the potential for customers to build new revenue opportunities, customer loyalty and brand distinction.</w:t>
      </w:r>
    </w:p>
    <w:p>
      <w:pPr>
        <w:spacing w:after="0" w:line="216" w:lineRule="exact"/>
        <w:rPr>
          <w:rFonts w:ascii="Arial" w:cs="Arial" w:eastAsia="Arial" w:hAnsi="Arial"/>
          <w:sz w:val="18"/>
          <w:szCs w:val="18"/>
          <w:color w:val="auto"/>
        </w:rPr>
      </w:pPr>
    </w:p>
    <w:p>
      <w:pPr>
        <w:jc w:val="both"/>
        <w:ind w:left="380" w:hanging="372"/>
        <w:spacing w:after="0" w:line="259"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Increasing Scale and Financial Stability. </w:t>
      </w:r>
      <w:r>
        <w:rPr>
          <w:rFonts w:ascii="Arial" w:cs="Arial" w:eastAsia="Arial" w:hAnsi="Arial"/>
          <w:sz w:val="18"/>
          <w:szCs w:val="18"/>
          <w:color w:val="auto"/>
        </w:rPr>
        <w:t>Due to the continued growth in connections to the Company’s ePort Connect service, during the 2014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84% of the Company’s revenues were from licensing and processing fees which are recurring in nature. We believe that this growing scale provides us improved financial stability and the footprint to market and distribute our products and services more effectively and in more markets than most of our competitors.</w:t>
      </w:r>
    </w:p>
    <w:p>
      <w:pPr>
        <w:spacing w:after="0" w:line="213" w:lineRule="exact"/>
        <w:rPr>
          <w:rFonts w:ascii="Arial" w:cs="Arial" w:eastAsia="Arial" w:hAnsi="Arial"/>
          <w:sz w:val="18"/>
          <w:szCs w:val="18"/>
          <w:color w:val="auto"/>
        </w:rPr>
      </w:pPr>
    </w:p>
    <w:p>
      <w:pPr>
        <w:jc w:val="both"/>
        <w:ind w:left="380" w:hanging="372"/>
        <w:spacing w:after="0" w:line="279"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Customer-Focused Research and Development. </w:t>
      </w:r>
      <w:r>
        <w:rPr>
          <w:rFonts w:ascii="Arial" w:cs="Arial" w:eastAsia="Arial" w:hAnsi="Arial"/>
          <w:sz w:val="17"/>
          <w:szCs w:val="17"/>
          <w:color w:val="auto"/>
        </w:rPr>
        <w:t>Our research and development initiatives focus primarily on adding features and functionality to our</w:t>
      </w:r>
      <w:r>
        <w:rPr>
          <w:rFonts w:ascii="Arial" w:cs="Arial" w:eastAsia="Arial" w:hAnsi="Arial"/>
          <w:sz w:val="17"/>
          <w:szCs w:val="17"/>
          <w:i w:val="1"/>
          <w:iCs w:val="1"/>
          <w:color w:val="auto"/>
        </w:rPr>
        <w:t xml:space="preserve"> </w:t>
      </w:r>
      <w:r>
        <w:rPr>
          <w:rFonts w:ascii="Arial" w:cs="Arial" w:eastAsia="Arial" w:hAnsi="Arial"/>
          <w:sz w:val="17"/>
          <w:szCs w:val="17"/>
          <w:color w:val="auto"/>
        </w:rPr>
        <w:t>electronic payment solutions based on customer input and emerging market trends. Since we began operations in 1992 and through June 30, 2014, we have been granted 87 patents (US and International) and currently have 10 patent applications pending. We have generated considerable intellectual property and know-how associated with creating a seamless, end-to-end experience for our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OPPORTUNITY</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objective is to continue to enhance our position as a leading provider of technology that enables electronic payment transactions and value-added services primarily at small-ticket, self-service retail locations such as vending, kiosks, commercial laundry, and other similar markets. The Company believes its service-approach business model can create a high-margin stream of recurring revenues that could create a foundation for long-term value and continued growth. Key elements of our strategy are to:</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Drive Growth in Connections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Leverage Existing Customers/Partners. </w:t>
      </w:r>
      <w:r>
        <w:rPr>
          <w:rFonts w:ascii="Arial" w:cs="Arial" w:eastAsia="Arial" w:hAnsi="Arial"/>
          <w:sz w:val="17"/>
          <w:szCs w:val="17"/>
          <w:color w:val="auto"/>
        </w:rPr>
        <w:t>We have a solid base of key customers across multiple markets, particularly in vending, that have currently deployed</w:t>
      </w:r>
      <w:r>
        <w:rPr>
          <w:rFonts w:ascii="Arial" w:cs="Arial" w:eastAsia="Arial" w:hAnsi="Arial"/>
          <w:sz w:val="17"/>
          <w:szCs w:val="17"/>
          <w:i w:val="1"/>
          <w:iCs w:val="1"/>
          <w:color w:val="auto"/>
        </w:rPr>
        <w:t xml:space="preserve"> </w:t>
      </w:r>
      <w:r>
        <w:rPr>
          <w:rFonts w:ascii="Arial" w:cs="Arial" w:eastAsia="Arial" w:hAnsi="Arial"/>
          <w:sz w:val="17"/>
          <w:szCs w:val="17"/>
          <w:color w:val="auto"/>
        </w:rPr>
        <w:t>our solutions and services to just a small portion of their deployed base. As a result, they are a key component of our plan to drive future sales. We have worked to build these relationships, drive future deployments, and develop customized network interfaces. Our customers have seen the benefits of our products and services first-hand and we believe they represent the largest opportunity to scale connections to our service.</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Expand Distribution and Sales Reach. </w:t>
      </w:r>
      <w:r>
        <w:rPr>
          <w:rFonts w:ascii="Arial" w:cs="Arial" w:eastAsia="Arial" w:hAnsi="Arial"/>
          <w:sz w:val="18"/>
          <w:szCs w:val="18"/>
          <w:color w:val="auto"/>
        </w:rPr>
        <w:t>We are intently focused on driving profitable growth through efficient sales channels. Added sales resources and new</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relationships have led to approximately 2,250 new ePort Connect customers as well as increased penetration in markets such as amusement and arcade, and commercial laundry in fiscal year 2014.</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Further Penetrate Attractive Adjacent Markets. </w:t>
      </w:r>
      <w:r>
        <w:rPr>
          <w:rFonts w:ascii="Arial" w:cs="Arial" w:eastAsia="Arial" w:hAnsi="Arial"/>
          <w:sz w:val="18"/>
          <w:szCs w:val="18"/>
          <w:color w:val="auto"/>
        </w:rPr>
        <w:t>We plan to continue to introduce our turnkey solutions and services to various adjacent markets such as the</w:t>
      </w:r>
      <w:r>
        <w:rPr>
          <w:rFonts w:ascii="Arial" w:cs="Arial" w:eastAsia="Arial" w:hAnsi="Arial"/>
          <w:sz w:val="18"/>
          <w:szCs w:val="18"/>
          <w:i w:val="1"/>
          <w:iCs w:val="1"/>
          <w:color w:val="auto"/>
        </w:rPr>
        <w:t xml:space="preserve"> </w:t>
      </w:r>
      <w:r>
        <w:rPr>
          <w:rFonts w:ascii="Arial" w:cs="Arial" w:eastAsia="Arial" w:hAnsi="Arial"/>
          <w:sz w:val="18"/>
          <w:szCs w:val="18"/>
          <w:color w:val="auto"/>
        </w:rPr>
        <w:t>broad-based kiosk market and other similar markets by leveraging our expertise in cashless payment integration combined with the capacity and uniqueness of our ePort Connect solution.</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Capitalize on Opportunities in International Markets</w:t>
      </w:r>
      <w:r>
        <w:rPr>
          <w:rFonts w:ascii="Arial" w:cs="Arial" w:eastAsia="Arial" w:hAnsi="Arial"/>
          <w:sz w:val="17"/>
          <w:szCs w:val="17"/>
          <w:color w:val="auto"/>
        </w:rPr>
        <w:t>. We are currently focused on the U.S. and Canadian markets for our ePort devices and related ePort</w:t>
      </w:r>
      <w:r>
        <w:rPr>
          <w:rFonts w:ascii="Arial" w:cs="Arial" w:eastAsia="Arial" w:hAnsi="Arial"/>
          <w:sz w:val="17"/>
          <w:szCs w:val="17"/>
          <w:i w:val="1"/>
          <w:iCs w:val="1"/>
          <w:color w:val="auto"/>
        </w:rPr>
        <w:t xml:space="preserve"> </w:t>
      </w:r>
      <w:r>
        <w:rPr>
          <w:rFonts w:ascii="Arial" w:cs="Arial" w:eastAsia="Arial" w:hAnsi="Arial"/>
          <w:sz w:val="17"/>
          <w:szCs w:val="17"/>
          <w:color w:val="auto"/>
        </w:rPr>
        <w:t>Connect service but may seek to establish a presence in electronic payment markets in Europe, Asia, and Latin America. In order to do so, however, we would have to invest in additional sales and marketing and research and development resources targeted towards these regions. At this time, the Company believes the most efficient route to these markets will be achieved by optimizing and coordinating opportunities with its global partners and customers. Our energy management devices have been shipped to customers located in North America, Europe, and Asia.</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Expanding the Value of our Service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Capitalize on the emerging NFC and growing mobile payments trends. </w:t>
      </w:r>
      <w:r>
        <w:rPr>
          <w:rFonts w:ascii="Arial" w:cs="Arial" w:eastAsia="Arial" w:hAnsi="Arial"/>
          <w:sz w:val="18"/>
          <w:szCs w:val="18"/>
          <w:color w:val="auto"/>
        </w:rPr>
        <w:t>With over 50% of our connected base contactless enabled to accept NFC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mobile wallets), the Company believes that continued increases in consumer preferences towards contactless payments represents a significant opportunity for the Company to further drive adoption.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Continuous Innovation. </w:t>
      </w:r>
      <w:r>
        <w:rPr>
          <w:rFonts w:ascii="Arial" w:cs="Arial" w:eastAsia="Arial" w:hAnsi="Arial"/>
          <w:sz w:val="18"/>
          <w:szCs w:val="18"/>
          <w:color w:val="auto"/>
        </w:rPr>
        <w:t>We are continuously enhancing our solutions and services in order to satisfy our customers and the end-consumers relying on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at the POS locations. Our product innovation team is always working to enhance the design, size, and speed of data transmission, as well as security and compatibility with other electronic payment solution providers’ technologies. We believe our continued innovation will lead to further adoption of USAT’s solutions and services in the unattended POS payments market.</w:t>
      </w:r>
    </w:p>
    <w:p>
      <w:pPr>
        <w:sectPr>
          <w:pgSz w:w="11900" w:h="16838" w:orient="portrait"/>
          <w:cols w:equalWidth="0" w:num="1">
            <w:col w:w="11420"/>
          </w:cols>
          <w:pgMar w:left="240" w:top="922" w:right="239" w:bottom="34"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i w:val="1"/>
          <w:iCs w:val="1"/>
          <w:color w:val="auto"/>
        </w:rPr>
        <w:t>Leverage Intellectual Property</w:t>
      </w:r>
      <w:r>
        <w:rPr>
          <w:rFonts w:ascii="Arial" w:cs="Arial" w:eastAsia="Arial" w:hAnsi="Arial"/>
          <w:sz w:val="18"/>
          <w:szCs w:val="18"/>
          <w:color w:val="auto"/>
        </w:rPr>
        <w:t>. Through June 30, 2014, we have been granted 87 patents which contain various claims, including claims relating to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networking and energy management devices. In addition, we own numerous trademarks, copyrights, and trade secrets. We will continue to explore ways to leverage this intellectual property in order to add value for our customers, attain an increased share of the market, and possibly generate licensing revenues.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sales strategy includes both direct sales and channel development, depending on the particular dynamics of each of our markets. Our marketing strategy is diversified and includes media relations, direct mail, conferences, and client referrals. As of August 31, 2014, the Company was marketing and selling its products through its full and part-time sales staff consisting of nineteen people.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direct sales efforts are currently primarily focused on the beverage and food vending industry, although we continue to further develop our presence in our ancillary market segments.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Indirect Sales/ Distribution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strategy to expand our sales reach while optimizing resources, we also have agreements with select resellers in the car wash, amusement and arcade, and vending markets. We also have a strategic marketing relationship in the commercial laundry market that makes the Company the exclusive service provider to Setomatic Systems’ POS offering, SpyderWash. We have also entered into agreements with resellers and distributors in connection with our energy management products.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marketing strategy includes advertising and outreach initiatives designed to build brand awareness, make clear USAT’s competitive strengths, and prove the value of our services to our target markets-both for existing and prospective customers. Activities include creating company and product presence on the web including </w:t>
      </w:r>
      <w:r>
        <w:rPr>
          <w:rFonts w:ascii="Arial" w:cs="Arial" w:eastAsia="Arial" w:hAnsi="Arial"/>
          <w:sz w:val="18"/>
          <w:szCs w:val="18"/>
          <w:u w:val="single" w:color="auto"/>
          <w:color w:val="auto"/>
        </w:rPr>
        <w:t>www.usatech.com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www.energymisers.com,</w:t>
      </w:r>
      <w:r>
        <w:rPr>
          <w:rFonts w:ascii="Arial" w:cs="Arial" w:eastAsia="Arial" w:hAnsi="Arial"/>
          <w:sz w:val="18"/>
          <w:szCs w:val="18"/>
          <w:color w:val="auto"/>
        </w:rPr>
        <w:t xml:space="preserve"> digital advertising, SEO (Search Engine Optimization), and social media; the use of direct mail and email campaigns; educational and instructional online training sessions; advertising in vertically-oriented trade publications; participating in industry tradeshows and events; and working closely with customers and key strategic partners on co-marketing opportunities and new, innovative solutions that drive customer and consumer adoption of our services.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RELATIONSHIPS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Verizon Wireless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2011, we signed an agreement with Verizon for access to their digital wireless wide area network for the transport of data, including credit card transactions and inventory management data. The initial term of the agreement is three years, expiring April 2014. In August 2013, we signed an amendment to this agreement which extended the term until April 2016. At the end of the term, the agreement automatically renews for successive one month periods unless terminated by either party upon thirty days’ notice.</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21, 2011, the Company and Verizon entered into a Joint Marketing Addendum (the “Verizon Agreement”) which amended the agreement described above. Pursuant to the Verizon Agreement, the Company and Verizon would work together to help identify business opportunities for the Company’s products and services. Verizon may introduce the Company to existing or potential Verizon customers that Verizon believes are potential purchasers of the Company’s products or services, and may attend sales calls with the Company made to these customers. The Company and Verizon would collaborate on marketing and communications materials that would be used by each of them to educate and inform customers regarding their joint marketing work. Verizon has the right to list the Company’s products and services in its Data Solutions Guide for use by its sales and marketing employees and in its external website. The Company has agreed to pay to Verizon a one-time referral fee for each customer introduced to the Company by Verizon that becomes a customer of the Company. The Verizon Marketing Agreement is terminable by either party upon 45 days’ notice.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VISA</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October 12, 2011, following implementation of the Durbin Amendment, we entered into a one-year agreement with VISA to establish a new, fixed debit interchange rate. On October 8, 2012, we entered into a first amendment pursuant to which the original one-year term was extended until October 31, 2013, and further automatically renewed for an additional year, or until October 31,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Compass/Foodbuy</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per its website, Compass is a $12 billion organization with locations worldwide, is the leader in vending, food service management and support services, is the largest national vending operating company, has over 500,000 associations, and is one of the leading owners and operators of vending machines in the United States. Compass is a division of UK-based Compass Group PLC.</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June 30, 2009, we entered into a Master Purchase Agreement (“MPA”) with Foodbuy, LLC (“Foodbuy”), the procurement company for Compass Group USA, Inc. (“Compass”) and other customers. The MPA provides, among other things, that for a period of thirty-six months, Foodbuy on behalf of Compass shall utilize USAT as the sole credit or debit card vending system hardware and related software and connect services provider for not less than seventy-five percent of the vending machines of Compass utilizing cashless payments solutions. The MPA also provides that for a period of thirty-six months from the effective date of the agreement, USAT shall be a preferred supplier and provider to Foodbuy and its customers, including Compass, of USAT’s products and services. The MPA automatically renews for successive one-year periods unless terminated by either party upon sixty days’ notice prior to the end of any such one year renewal period. On July 1, 2009, USAT and Compass, in conjunction with the MPA described above, entered into a Quick Start Master Lease Agreement pursuant to which Compass could purchase ePort devices utilizing USAT’s Quick Start Program. The Quick Start Program enables Compass to acquire USAT’s ePort devices through a 36 month non-cancellable lease. Under the Quick Start Program, Compass will pay USAT a monthly amount, per terminal, that includes the lease of the ePort hardware and activation fee. Compass would be able to utilize the Quick Start Program to acquire ePorts during the three year term of the Master Purchase Agreement referred to above. In addition, on July 1, 2009, USAT and Compass, in conjunction with the MPA described above, also entered into a three year ePort Connect Services Agreement pursuant to which USAT will provide Compass with all card processing, data, network, communications and financial services, and DEX telemetry data services required in connection with all Compass vending machines utilizing ePorts. The agreement automatically renews for successive one year periods unless terminated by either party upon sixty days’ notice prior to the end of any</w:t>
      </w:r>
    </w:p>
    <w:p>
      <w:pPr>
        <w:sectPr>
          <w:pgSz w:w="11900" w:h="16941" w:orient="portrait"/>
          <w:cols w:equalWidth="0" w:num="1">
            <w:col w:w="11420"/>
          </w:cols>
          <w:pgMar w:left="240" w:top="918" w:right="239" w:bottom="0" w:gutter="0" w:footer="0" w:header="0"/>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color w:val="auto"/>
        </w:rPr>
        <w:t>such one year renewal period. During the fiscal year ended June 30, 2014, Foodbuy and its customers, including Compass, represented 23% of our total 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AMI Entertainment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22, 2011, we entered into an exclusive three-year agreement with AMI Entertainment (“AMI”) as their exclusive processor of credit and debit cards and other electronic payments in connection with equipment operated on AMI’s network in the U.S. and Canada. The agreement is subject to renewal for one year periods thereafter, subject to notice of non-renewal by either party; the agreement renewed for one year in August 2014. AMI manufactures various types of amusement, entertainment and music equipment for sale to third party users.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Setomatic Systems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2013, we entered into an three-year exclusive agreement with Setomatic Systems (“Setomatic”), a privately owned and operated developer and manufacturer of both open and closed loop card payment systems, drop coin meters and electronic timers for the commercial laundry industry. Under the terms of the agreement, the Company, through our ePort Connect® service, will act as the exclusive service provider for all credit/debit card processing for all new customers of Setomatic’s SpyderWash, a credit/debit card acceptance product. Similarly, the Company will market its ePort Connect service in the United States laundry market exclusively through Setomatic.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Softcard</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Fiscal 2013, the Company entered into a strategic marketing agreement with Softcard (formerly known as ISIS), a mobile commerce joint venture comprised of the three major telecommunication companies; Verizon Wireless, AT&amp;T Mobility and T-Mobile USA. As part of the agreement, the Company was a participant in the Softcard Mobile Wallet in their two launch markets, Austin and Salt Lake City, during Fiscal 2013 for which it received financial and marketing support from Softcard. In addition, in April 2013, the Company announced, with Softcard, what we believe is the largest nationwide loyalty program in vending. The promotion is designed to allow any of our vending customers nationwide the ability to participate in Softcard Mobile Wallet payment and loyalty rewards program, provided that their locations are enabled for Softcard SmartTap technology for loyalty tracking. Consumers using the Softcard Mobile Wallet at one of these terminals would be eligible to receive their fifth vend free. Under the terms of the agreement covering the promotion, Softcard, through the Company, would essentially reimburse our vending customers for that free vend.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JUMP START PROGRAM</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order to accelerate adoption in the marketplace as well as increase the Company’s license and transaction fee revenues, the Company commenced a program for its customers referred to as the JumpStart Program (“JumpStart”) in December 2009. Pursuant to the JumpStart Program, customers acquire the ePort cashless device at no upfront cost by paying a higher monthly service fee, avoiding the need to make a major upfront capital investment. The Company would continue to own the ePort device utilized by its customer. At the time of the shipment of the ePort device, the customer is obligated to pay to the Company a one-time activation fee, and is later obligated to pay monthly ePort Connect service fees in accordance with the terms of the customer’s contract with the Company, in addition to transaction processing fees generated from the device.</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fiscal 2014, the Company added approximately 60% of its gross connections through JumpStart. The Company anticipates using the JumpStart Program for a similar approximately 60% to 65% of its anticipated new connections in Fiscal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utilizes independent third party companies for the manufacturing of its products. Our internal manufacturing process mainly consists of quality assurance of materials and testing of finished goods received from our contract manufacturers. We have not entered into a long-term contract with our contract manufacturers, nor have we agreed to commit to purchase certain quantities of materials or finished goods from our manufacturers beyond those submitted under routine purchase orders, typically covering short-term forecasts.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 leading provider and believe we have the largest installed base of unattended POS electronic payment systems in the small ticket, beverage and food vending industry. Factors that we consider to be our competitive advantages are described above under “OUR COMPETITIVE STRENGTHS.” Our competitors are increasingly and actively marketing products and services that compete with our products and services in the vending space including manufacturers who may include in their new vending machines their own (or another third party’s) cashless payment systems and services. These major competitors include Crane Payment Innovations, Coin Acceptors Inc. (Coinco), Cantaloupe Systems, Inc. and Coca-Cola Refreshments USA, Inc. While we believe our products and services are superior to our competitors’, many of our competitors are much larger enterprises and have substantially greater revenues. In addition to these competitors, there are also numerous credit card processors that offer card processing services to traditional retail establishments that could decide to offer similar services to the industries that we serve.</w:t>
      </w:r>
    </w:p>
    <w:p>
      <w:pPr>
        <w:spacing w:after="0" w:line="20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cashless laundry market, our joint solution with Setomatic Systems competes with hardware manufacturers, who provide joint solutions to their customers in partnership with payment processors, and with at least one competitor who provides an integrated hardware and payment processing solution.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Financial instruments that subject the Company to a concentration of credit risk consist principally of cash and cash equivalents and accounts and finance receivables. The Company maintains cash and cash equivalents with various financial institutions. Approximately 22% and 41% of the Company’s trade accounts and finance receivables at June 30, 2014 and 2013, respectively, were concentrated with one customer. Approximately 26%, 37%, and 43% of the Company’s license and transaction processing revenues for the years ended June 30, 2014, 2013, and 2012, respectively, were concentrated with one and two customer(s), respectively: 26%, 26%, and 25%, respectively for each year, with one; and 11%, and 18%, for the years ended June 30, 2013, and 2012, respectively, with another. There was no concentration of equipment sales revenue for the years ended June 30, 2014, 2013, and 2012. The Company’s customers are principally located in the United States.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PROPRIETARY INFORMATION, AND PATENTS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owns US federal registrations for the following trademarks and service marks: Blue Light Sequence®, Business Express®, CM2iQ®, Creating Value Through Innovation®, EnergyMiser®, ePort®, ePort Connect®, ePort Edge®, ePort GO®, ePort Mobile®, eSuds®, Intelligent Vending®, PC Express®, Public PC®, SnackMiser®, TransAct®, USA Technologies® USALive®, VendingMiser®, and VM2iQ®. The Company owns pending applications for US federal registration of the following trademarks and service marks: Horizontal Blue Light Sequence™and QuickConnect™.</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Much of the technology developed or to be developed by the Company is subject to trade secret protection. To reduce the risk of loss of trade secret protection through disclosure, the Company has entered into confidentiality agreements with its key employees. There can be no assurance that the Company</w:t>
      </w:r>
    </w:p>
    <w:p>
      <w:pPr>
        <w:sectPr>
          <w:pgSz w:w="11900" w:h="16989" w:orient="portrait"/>
          <w:cols w:equalWidth="0" w:num="1">
            <w:col w:w="11420"/>
          </w:cols>
          <w:pgMar w:left="240" w:top="918" w:right="239" w:bottom="0" w:gutter="0" w:footer="0" w:header="0"/>
        </w:sectPr>
      </w:pPr>
    </w:p>
    <w:bookmarkStart w:id="16" w:name="page17"/>
    <w:bookmarkEnd w:id="16"/>
    <w:p>
      <w:pPr>
        <w:spacing w:after="0" w:line="277" w:lineRule="auto"/>
        <w:rPr>
          <w:sz w:val="20"/>
          <w:szCs w:val="20"/>
          <w:color w:val="auto"/>
        </w:rPr>
      </w:pPr>
      <w:r>
        <w:rPr>
          <w:rFonts w:ascii="Arial" w:cs="Arial" w:eastAsia="Arial" w:hAnsi="Arial"/>
          <w:sz w:val="18"/>
          <w:szCs w:val="18"/>
          <w:color w:val="auto"/>
        </w:rPr>
        <w:t>will be successful in maintaining such trade secret protection, that they will be recognized as trade secrets by a court of law, or that others will not capitalize on certain aspects of the Company’s technology.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Through June 30, 2014, 87 patents have been granted to the Company, including 74 United States patents and 13 foreign patents, and 7 United States and 3 foreign patent applications are pending. Of the 87 patents, 79 are still in force.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filed for re-examination of U.S. Patent No. 7,131,575 (Reexamination Control No. 90/008,437) and for reexamination of U.S. Patent No. 6,505,095 (Reexamination Control No. 90/008,448). On January 6, 2009, the U.S. Patent Office issued an Ex Parte Reexamination Certificate in connection with U.S. Patent No. 7,131,575 confirming patentability without any amendment to the claims. On August 11, 2009, the U.S. Patent Office issued an Ex Parte Reexamination Certificate in connection with U.S. Patent No. 6,505,095 which, among other things, approved amendments to certain of the prior claims and approved twelve new claims, for a total of 43 claims.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which are included in selling, general and administrative expense in the Consolidated Statements of Operations, were approximately $1,018,000, $901,000, and $1,038,000, for the years ended June 30, 2014, 2013, and 2012,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On August 31, 2014, the Company had fifty-six full-time employees and five part-time employees.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since inception and if we continue to incur losses, the price of our shares can be expected to fall.</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experienced losses from inception through June 30, 2012, with net income for the year ended June 30, 2013 and June 30, 2014. However, continued profitability is not assured. From our inception through June 30, 2014, our cumulative losses from operations are approximately $171 million. For our fiscal year ended June 30, 2012, we incurred a net loss of $5,211,238, due primarily to the fact that our revenues had not been sufficient to sustain our operations. Until the Company’s products and services can generate sufficient annual revenues, the Company will be required to use its cash and cash equivalents on hand, its line of credit, and may raise capital to meet its cash flow requirements including the issuance of Common Stock or debt financing. For the year ended June 30, 2014 and 2013, we earned net income of $27,530,652, which includes a benefit for income taxes of $27,255,398 and $854,123, respectively. If we incur losses in the future, the price of our common stock can be expected to fall.</w:t>
      </w:r>
    </w:p>
    <w:p>
      <w:pPr>
        <w:spacing w:after="0" w:line="20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occurrence of unusual or unanticipated non-operational expenses may require us to divert our cash resources from achieving our business plan, adversely affecting our financial performance and resulting in the decline of our stock price.</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fiscal year 2015 business plan assumes that no material unusual or unanticipated non-operational expenses would be incurred by us. In the event we would incur any such expenses, we would anticipate diverting our cash resources from our JumpStart program in order to fund any such expenses. During the fiscal year ending June 30, 2015, we anticipate utilizing substantial cash resources in connection with the JumpStart program. Any such reduction may cause our anticipated connections, revenues, gross profits, adjusted EBITDA, and other financial metrics for the 2015 fiscal year and beyond to be materially adversely affected. In such event, the price of our common stock could be expected to fall.</w:t>
      </w:r>
    </w:p>
    <w:p>
      <w:pPr>
        <w:spacing w:after="0" w:line="19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require additional financing or find it necessary to raise capital to sustain our operations and without it we may not be able to achieve our business plan.</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June 30, 2014, we had working capital deficit of $611,010. We had operating cash flows of $7,085,400, $6,038,952, and $78,236, for the fiscal years ended June 30, 2014, 2013, and 2012, respectively. The foregoing does not reflect, and is not sufficient to pay for, our investments in the JumpStart Program of $10.9 million, $9 million and $5.8 million incurred during the fiscal years 2014, 2013 and 2012, respectively. Although we believe that we have adequate existing resources to provide for our funding requirements through at least July 1, 2015, there can be no assurances that we will be able to continue to generate sufficient funds thereafter. Unless we maintain or grow our current level of operations and maintain or reduce the number of JumpStart connections, we may need additional funds to continue these operations. We may also need additional capital to update our technology or respond to unusual or unanticipated non-operational events. Should the financing we require to sustain our working capital needs be unavailable or prohibitively expensive when we require it, the consequences could be a material adverse effect on our business, operating results, financial condition and prospects.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operating results may fluctuate.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future operating results will depend significantly on our ability to continue to drive revenues from license and transaction fees and our ability to develop and commercialize new products and services. Our operating results may fluctuate based upon many factors, including:</w:t>
      </w:r>
    </w:p>
    <w:p>
      <w:pPr>
        <w:spacing w:after="0" w:line="197" w:lineRule="exact"/>
        <w:rPr>
          <w:sz w:val="20"/>
          <w:szCs w:val="20"/>
          <w:color w:val="auto"/>
        </w:rPr>
      </w:pPr>
    </w:p>
    <w:p>
      <w:pPr>
        <w:ind w:left="760" w:hanging="29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revenue generated by our business;</w:t>
      </w:r>
    </w:p>
    <w:p>
      <w:pPr>
        <w:spacing w:after="0" w:line="23" w:lineRule="exact"/>
        <w:rPr>
          <w:rFonts w:ascii="Arial" w:cs="Arial" w:eastAsia="Arial" w:hAnsi="Arial"/>
          <w:sz w:val="18"/>
          <w:szCs w:val="18"/>
          <w:color w:val="auto"/>
        </w:rPr>
      </w:pPr>
    </w:p>
    <w:p>
      <w:pPr>
        <w:ind w:left="760" w:hanging="29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operating expenses;</w:t>
      </w:r>
    </w:p>
    <w:p>
      <w:pPr>
        <w:spacing w:after="0" w:line="9" w:lineRule="exact"/>
        <w:rPr>
          <w:rFonts w:ascii="Arial" w:cs="Arial" w:eastAsia="Arial" w:hAnsi="Arial"/>
          <w:sz w:val="18"/>
          <w:szCs w:val="18"/>
          <w:color w:val="auto"/>
        </w:rPr>
      </w:pPr>
    </w:p>
    <w:p>
      <w:pPr>
        <w:ind w:left="760" w:hanging="29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or maintain effective relationships with significant partners and suppliers on acceptable terms;</w:t>
      </w:r>
    </w:p>
    <w:p>
      <w:pPr>
        <w:spacing w:after="0" w:line="9" w:lineRule="exact"/>
        <w:rPr>
          <w:rFonts w:ascii="Arial" w:cs="Arial" w:eastAsia="Arial" w:hAnsi="Arial"/>
          <w:sz w:val="18"/>
          <w:szCs w:val="18"/>
          <w:color w:val="auto"/>
        </w:rPr>
      </w:pPr>
    </w:p>
    <w:p>
      <w:pPr>
        <w:ind w:left="760" w:hanging="29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of debit or credit card interchange rates that are charged by Visa and Mastercard;</w:t>
      </w:r>
    </w:p>
    <w:p>
      <w:pPr>
        <w:spacing w:after="0" w:line="9" w:lineRule="exact"/>
        <w:rPr>
          <w:rFonts w:ascii="Arial" w:cs="Arial" w:eastAsia="Arial" w:hAnsi="Arial"/>
          <w:sz w:val="18"/>
          <w:szCs w:val="18"/>
          <w:color w:val="auto"/>
        </w:rPr>
      </w:pPr>
    </w:p>
    <w:p>
      <w:pPr>
        <w:ind w:left="760" w:hanging="29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fees that we charge our customers for processing services;</w:t>
      </w:r>
    </w:p>
    <w:p>
      <w:pPr>
        <w:spacing w:after="0" w:line="9" w:lineRule="exact"/>
        <w:rPr>
          <w:rFonts w:ascii="Arial" w:cs="Arial" w:eastAsia="Arial" w:hAnsi="Arial"/>
          <w:sz w:val="18"/>
          <w:szCs w:val="18"/>
          <w:color w:val="auto"/>
        </w:rPr>
      </w:pPr>
    </w:p>
    <w:p>
      <w:pPr>
        <w:ind w:left="760" w:hanging="29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successful operation of our network;</w:t>
      </w:r>
    </w:p>
    <w:p>
      <w:pPr>
        <w:spacing w:after="0" w:line="9" w:lineRule="exact"/>
        <w:rPr>
          <w:rFonts w:ascii="Arial" w:cs="Arial" w:eastAsia="Arial" w:hAnsi="Arial"/>
          <w:sz w:val="18"/>
          <w:szCs w:val="18"/>
          <w:color w:val="auto"/>
        </w:rPr>
      </w:pPr>
    </w:p>
    <w:p>
      <w:pPr>
        <w:ind w:left="760" w:hanging="29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commercial success of our customers, which could be affected by such factors as general economic conditions;</w:t>
      </w:r>
    </w:p>
    <w:p>
      <w:pPr>
        <w:spacing w:after="0" w:line="9" w:lineRule="exact"/>
        <w:rPr>
          <w:rFonts w:ascii="Arial" w:cs="Arial" w:eastAsia="Arial" w:hAnsi="Arial"/>
          <w:sz w:val="18"/>
          <w:szCs w:val="18"/>
          <w:color w:val="auto"/>
        </w:rPr>
      </w:pPr>
    </w:p>
    <w:p>
      <w:pPr>
        <w:ind w:left="760" w:hanging="29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product and price competition;</w:t>
      </w:r>
    </w:p>
    <w:p>
      <w:pPr>
        <w:spacing w:after="0" w:line="9" w:lineRule="exact"/>
        <w:rPr>
          <w:rFonts w:ascii="Arial" w:cs="Arial" w:eastAsia="Arial" w:hAnsi="Arial"/>
          <w:sz w:val="18"/>
          <w:szCs w:val="18"/>
          <w:color w:val="auto"/>
        </w:rPr>
      </w:pPr>
    </w:p>
    <w:p>
      <w:pPr>
        <w:ind w:left="760" w:hanging="29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cost of, and our ability to develop and successfully commercialize, new or enhanced products and services;</w:t>
      </w:r>
    </w:p>
    <w:p>
      <w:pPr>
        <w:spacing w:after="0" w:line="9" w:lineRule="exact"/>
        <w:rPr>
          <w:rFonts w:ascii="Arial" w:cs="Arial" w:eastAsia="Arial" w:hAnsi="Arial"/>
          <w:sz w:val="18"/>
          <w:szCs w:val="18"/>
          <w:color w:val="auto"/>
        </w:rPr>
      </w:pPr>
    </w:p>
    <w:p>
      <w:pPr>
        <w:ind w:left="760" w:hanging="29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activities of, and acquisitions or announcements by, competitors;</w:t>
      </w:r>
    </w:p>
    <w:p>
      <w:pPr>
        <w:spacing w:after="0" w:line="9" w:lineRule="exact"/>
        <w:rPr>
          <w:rFonts w:ascii="Arial" w:cs="Arial" w:eastAsia="Arial" w:hAnsi="Arial"/>
          <w:sz w:val="18"/>
          <w:szCs w:val="18"/>
          <w:color w:val="auto"/>
        </w:rPr>
      </w:pPr>
    </w:p>
    <w:p>
      <w:pPr>
        <w:ind w:left="760" w:hanging="29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from any impairment of inventory, goodwill, fixed assets or intangibles;</w:t>
      </w:r>
    </w:p>
    <w:p>
      <w:pPr>
        <w:spacing w:after="0" w:line="9" w:lineRule="exact"/>
        <w:rPr>
          <w:rFonts w:ascii="Arial" w:cs="Arial" w:eastAsia="Arial" w:hAnsi="Arial"/>
          <w:sz w:val="18"/>
          <w:szCs w:val="18"/>
          <w:color w:val="auto"/>
        </w:rPr>
      </w:pPr>
    </w:p>
    <w:p>
      <w:pPr>
        <w:ind w:left="760" w:hanging="29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increase the number of customer connections to our network;</w:t>
      </w:r>
    </w:p>
    <w:p>
      <w:pPr>
        <w:spacing w:after="0" w:line="9" w:lineRule="exact"/>
        <w:rPr>
          <w:rFonts w:ascii="Arial" w:cs="Arial" w:eastAsia="Arial" w:hAnsi="Arial"/>
          <w:sz w:val="18"/>
          <w:szCs w:val="18"/>
          <w:color w:val="auto"/>
        </w:rPr>
      </w:pPr>
    </w:p>
    <w:p>
      <w:pPr>
        <w:ind w:left="760" w:hanging="29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marketing programs which delay realization by us of monthly service fees on our new connections;</w:t>
      </w:r>
    </w:p>
    <w:p>
      <w:pPr>
        <w:spacing w:after="0" w:line="9" w:lineRule="exact"/>
        <w:rPr>
          <w:rFonts w:ascii="Arial" w:cs="Arial" w:eastAsia="Arial" w:hAnsi="Arial"/>
          <w:sz w:val="18"/>
          <w:szCs w:val="18"/>
          <w:color w:val="auto"/>
        </w:rPr>
      </w:pPr>
    </w:p>
    <w:p>
      <w:pPr>
        <w:ind w:left="760" w:hanging="29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material breach of security of any of the Company’s systems or third party systems utilized by the Company; and</w:t>
      </w:r>
    </w:p>
    <w:p>
      <w:pPr>
        <w:spacing w:after="0" w:line="9" w:lineRule="exact"/>
        <w:rPr>
          <w:rFonts w:ascii="Arial" w:cs="Arial" w:eastAsia="Arial" w:hAnsi="Arial"/>
          <w:sz w:val="18"/>
          <w:szCs w:val="18"/>
          <w:color w:val="auto"/>
        </w:rPr>
      </w:pPr>
    </w:p>
    <w:p>
      <w:pPr>
        <w:ind w:left="760" w:hanging="29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anticipation of and response to technological changes, including mobile commerce.</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products may fail to gain substantial increased market acceptance. As a result, we may not generate sufficient revenues or profit margins to achieve our financial objectives or growth plans.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assurances that demand for our products will be sufficient to enable us to generate sufficient revenue or become profitable on a sustainable basis. Likewise, no assurance can be given that we will be able to have a sufficient number of ePorts</w:t>
      </w:r>
      <w:r>
        <w:rPr>
          <w:rFonts w:ascii="Arial" w:cs="Arial" w:eastAsia="Arial" w:hAnsi="Arial"/>
          <w:sz w:val="18"/>
          <w:szCs w:val="18"/>
          <w:i w:val="1"/>
          <w:iCs w:val="1"/>
          <w:color w:val="auto"/>
        </w:rPr>
        <w:t>®</w:t>
      </w:r>
      <w:r>
        <w:rPr>
          <w:rFonts w:ascii="Arial" w:cs="Arial" w:eastAsia="Arial" w:hAnsi="Arial"/>
          <w:sz w:val="18"/>
          <w:szCs w:val="18"/>
          <w:color w:val="auto"/>
        </w:rPr>
        <w:t xml:space="preserve"> connected to our network or sell equipment utilizing our network to enough locations to achieve significant revenues. Alternatively, the locations which utilize the network may not be successful locations and our revenues would be adversely affected. We may lose locations utilizing our products to competitors, or may not be able to install our products at competitors’ locations, or may not obtain future locations which would be obtained by our competitors. In addition, there can be no assurance that our products could evolve or be improved to meet the future needs of the marketplace. In any such event we may not be able to achieve our growth plans, including anticipated connections and revenue growth.</w:t>
      </w:r>
    </w:p>
    <w:p>
      <w:pPr>
        <w:spacing w:after="0" w:line="21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be required to incur further debt to meet future capital requirements of our business, including funding our JumpStart program. Should we be required to incur additional debt, the restrictions imposed by the terms of such debt could adversely affect our financial condition and our ability to respond to changes in our business.</w:t>
      </w:r>
    </w:p>
    <w:p>
      <w:pPr>
        <w:sectPr>
          <w:pgSz w:w="11900" w:h="16838" w:orient="portrait"/>
          <w:cols w:equalWidth="0" w:num="1">
            <w:col w:w="11420"/>
          </w:cols>
          <w:pgMar w:left="240" w:top="891" w:right="239" w:bottom="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If we incur additional debt, we may be subject to the following risks:</w:t>
      </w:r>
    </w:p>
    <w:p>
      <w:pPr>
        <w:spacing w:after="0" w:line="252" w:lineRule="exact"/>
        <w:rPr>
          <w:sz w:val="20"/>
          <w:szCs w:val="20"/>
          <w:color w:val="auto"/>
        </w:rPr>
      </w:pPr>
    </w:p>
    <w:p>
      <w:pPr>
        <w:ind w:left="1500" w:hanging="749"/>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vulnerability to adverse economic conditions and competitive pressures may be heightened;</w:t>
      </w:r>
    </w:p>
    <w:p>
      <w:pPr>
        <w:spacing w:after="0" w:line="252" w:lineRule="exact"/>
        <w:rPr>
          <w:rFonts w:ascii="Arial" w:cs="Arial" w:eastAsia="Arial" w:hAnsi="Arial"/>
          <w:sz w:val="18"/>
          <w:szCs w:val="18"/>
          <w:color w:val="auto"/>
        </w:rPr>
      </w:pPr>
    </w:p>
    <w:p>
      <w:pPr>
        <w:ind w:left="1500" w:hanging="749"/>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flexibility in planning for, or reacting to, changes in our business and industry may be limited;</w:t>
      </w:r>
    </w:p>
    <w:p>
      <w:pPr>
        <w:spacing w:after="0" w:line="252" w:lineRule="exact"/>
        <w:rPr>
          <w:rFonts w:ascii="Arial" w:cs="Arial" w:eastAsia="Arial" w:hAnsi="Arial"/>
          <w:sz w:val="18"/>
          <w:szCs w:val="18"/>
          <w:color w:val="auto"/>
        </w:rPr>
      </w:pPr>
    </w:p>
    <w:p>
      <w:pPr>
        <w:ind w:left="1500" w:hanging="749"/>
        <w:spacing w:after="0"/>
        <w:tabs>
          <w:tab w:leader="none" w:pos="1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debt covenants may affect our flexibility in planning for, and reacting to, changes in the economy and in our industry;</w:t>
      </w:r>
    </w:p>
    <w:p>
      <w:pPr>
        <w:spacing w:after="0" w:line="200" w:lineRule="exact"/>
        <w:rPr>
          <w:sz w:val="20"/>
          <w:szCs w:val="20"/>
          <w:color w:val="auto"/>
        </w:rPr>
      </w:pPr>
    </w:p>
    <w:p>
      <w:pPr>
        <w:spacing w:after="0" w:line="2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60"/>
          </w:cols>
          <w:pgMar w:left="240" w:top="125" w:right="1399" w:bottom="1440" w:gutter="0" w:footer="0" w:header="0"/>
        </w:sectPr>
      </w:pPr>
    </w:p>
    <w:bookmarkStart w:id="20" w:name="page21"/>
    <w:bookmarkEnd w:id="20"/>
    <w:p>
      <w:pPr>
        <w:ind w:left="1500" w:hanging="749"/>
        <w:spacing w:after="0" w:line="277" w:lineRule="auto"/>
        <w:tabs>
          <w:tab w:leader="none" w:pos="1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high level of debt may place us at a competitive disadvantage compared to our competitors that are less leveraged and therefore, may be able to take advantage of opportunities that our indebtedness would prevent us from pursuing;</w:t>
      </w:r>
    </w:p>
    <w:p>
      <w:pPr>
        <w:spacing w:after="0" w:line="197" w:lineRule="exact"/>
        <w:rPr>
          <w:rFonts w:ascii="Arial" w:cs="Arial" w:eastAsia="Arial" w:hAnsi="Arial"/>
          <w:sz w:val="18"/>
          <w:szCs w:val="18"/>
          <w:color w:val="auto"/>
        </w:rPr>
      </w:pPr>
    </w:p>
    <w:p>
      <w:pPr>
        <w:ind w:left="1500" w:hanging="749"/>
        <w:spacing w:after="0" w:line="277" w:lineRule="auto"/>
        <w:tabs>
          <w:tab w:leader="none" w:pos="1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covenants contained in the agreements governing our outstanding indebtedness may limit our ability to borrow additional funds, dispose of assets and make certain investments;</w:t>
      </w:r>
    </w:p>
    <w:p>
      <w:pPr>
        <w:spacing w:after="0" w:line="197" w:lineRule="exact"/>
        <w:rPr>
          <w:rFonts w:ascii="Arial" w:cs="Arial" w:eastAsia="Arial" w:hAnsi="Arial"/>
          <w:sz w:val="18"/>
          <w:szCs w:val="18"/>
          <w:color w:val="auto"/>
        </w:rPr>
      </w:pPr>
    </w:p>
    <w:p>
      <w:pPr>
        <w:ind w:left="1500" w:hanging="749"/>
        <w:spacing w:after="0"/>
        <w:tabs>
          <w:tab w:leader="none" w:pos="1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significant portion of our cash flows could be used to service our indebtedness;</w:t>
      </w:r>
    </w:p>
    <w:p>
      <w:pPr>
        <w:spacing w:after="0" w:line="252" w:lineRule="exact"/>
        <w:rPr>
          <w:rFonts w:ascii="Arial" w:cs="Arial" w:eastAsia="Arial" w:hAnsi="Arial"/>
          <w:sz w:val="18"/>
          <w:szCs w:val="18"/>
          <w:color w:val="auto"/>
        </w:rPr>
      </w:pPr>
    </w:p>
    <w:p>
      <w:pPr>
        <w:ind w:left="1500" w:hanging="749"/>
        <w:spacing w:after="0"/>
        <w:tabs>
          <w:tab w:leader="none" w:pos="1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sensitive to fluctuations in interest rates if any of our debt obligations are subject to variable interest rates; and</w:t>
      </w:r>
    </w:p>
    <w:p>
      <w:pPr>
        <w:spacing w:after="0" w:line="252" w:lineRule="exact"/>
        <w:rPr>
          <w:rFonts w:ascii="Arial" w:cs="Arial" w:eastAsia="Arial" w:hAnsi="Arial"/>
          <w:sz w:val="18"/>
          <w:szCs w:val="18"/>
          <w:color w:val="auto"/>
        </w:rPr>
      </w:pPr>
    </w:p>
    <w:p>
      <w:pPr>
        <w:ind w:left="1500" w:hanging="749"/>
        <w:spacing w:after="0" w:line="277" w:lineRule="auto"/>
        <w:tabs>
          <w:tab w:leader="none" w:pos="1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additional financing in the future for working capital, capital expenditures, acquisitions, general corporate purposes or other purposes may be impaired.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assure you that our leverage and such restrictions will not materially and adversely affect our ability to finance our future operations or capital needs or to engage in other business activities. In addition, we cannot assure you that additional financing will be available when required or, if available, will be on terms satisfactory to us.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one or more of our key customers could significantly reduce our revenues, results of operations, and net income.</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derived, and believe we may continue to derive, a significant portion of our revenues from one large customer or a limited number of large customers. Approximately 22% and 41% of the Company’s trade accounts and finance receivables at June 30, 2014 and 2013, respectively, were concentrated with one customer. Approximately 26%, 37%, and 43% of the Company’s license and transaction processing revenues for the years ended June 30, 2014, 2013, and 2012, respectively, were concentrated with one and two customer(s), respectively: 26%, 26%, and 25%, respectively for each year, with one; and 11%, and 18%, for the years ended June 30, 2013, and 2012, respectively, with another. There was no concentration of equipment sales revenue for the years ended June 30, 2014, 2013, and 2012.</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customers may buy less of our products or services depending on their own technological developments, end-user demand for our products and internal budget cycles. A major customer in one year may not purchase any of our products or services in another year, which may negatively affect our financial performance. If we are required to sell products to any of our large customers at reduced prices or unfavorable terms, our results of operations and revenue could be materially adversely affected. Further, there is no assurance that our customers will continue to utilize our transaction processing and related services as our customer agreements are generally cancelable by the customer on thirty to sixty days’ notice.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our key personnel and if they would leave us, our business could be adversely affected</w:t>
      </w:r>
      <w:r>
        <w:rPr>
          <w:rFonts w:ascii="Arial" w:cs="Arial" w:eastAsia="Arial" w:hAnsi="Arial"/>
          <w:sz w:val="18"/>
          <w:szCs w:val="18"/>
          <w:color w:val="auto"/>
        </w:rPr>
        <w: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dependent on key management personnel, particularly the Chairman and Chief Executive Officer, Stephen P. Herbert and our Chief Financial Officer, David DeMedio. The loss of services of Mr. Herbert or Mr. DeMedio or other officers could dramatically affect our business prospects. Our executive officers and certain of our officers and employees are particularly valuable to us because:</w:t>
      </w:r>
    </w:p>
    <w:p>
      <w:pPr>
        <w:spacing w:after="0" w:line="208" w:lineRule="exact"/>
        <w:rPr>
          <w:sz w:val="20"/>
          <w:szCs w:val="20"/>
          <w:color w:val="auto"/>
        </w:rPr>
      </w:pPr>
    </w:p>
    <w:p>
      <w:pPr>
        <w:ind w:left="1500" w:hanging="749"/>
        <w:spacing w:after="0"/>
        <w:tabs>
          <w:tab w:leader="none" w:pos="1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have specialized knowledge about our company and operations;</w:t>
      </w:r>
    </w:p>
    <w:p>
      <w:pPr>
        <w:spacing w:after="0" w:line="252" w:lineRule="exact"/>
        <w:rPr>
          <w:rFonts w:ascii="Arial" w:cs="Arial" w:eastAsia="Arial" w:hAnsi="Arial"/>
          <w:sz w:val="18"/>
          <w:szCs w:val="18"/>
          <w:color w:val="auto"/>
        </w:rPr>
      </w:pPr>
    </w:p>
    <w:p>
      <w:pPr>
        <w:ind w:left="1500" w:hanging="749"/>
        <w:spacing w:after="0"/>
        <w:tabs>
          <w:tab w:leader="none" w:pos="1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have specialized skills that are important to our operations; or</w:t>
      </w:r>
    </w:p>
    <w:p>
      <w:pPr>
        <w:spacing w:after="0" w:line="252" w:lineRule="exact"/>
        <w:rPr>
          <w:rFonts w:ascii="Arial" w:cs="Arial" w:eastAsia="Arial" w:hAnsi="Arial"/>
          <w:sz w:val="18"/>
          <w:szCs w:val="18"/>
          <w:color w:val="auto"/>
        </w:rPr>
      </w:pPr>
    </w:p>
    <w:p>
      <w:pPr>
        <w:ind w:left="1500" w:hanging="749"/>
        <w:spacing w:after="0"/>
        <w:tabs>
          <w:tab w:leader="none" w:pos="1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would be particularly difficult to replace.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entered into an employment agreement with Mr. Herbert that expires on January 1, 2015 and with Mr. DeMedio which expires on June 30, 2015, each of which contains confidentiality and non-compete agreements.</w:t>
      </w:r>
    </w:p>
    <w:p>
      <w:pPr>
        <w:spacing w:after="0" w:line="197"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We also may be unable to retain other existing senior management, sales personnel, and development and engineering personnel critical to our ability to execute our business plan, which could result in harm to key customer relationships, loss of key information, expertise or know-how and unanticipated recruitment and training costs.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dependence on proprietary technology and limited ability to protect our intellectual property may adversely affect our ability to compete.</w:t>
      </w: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Challenge to our ownership of our intellectual property could materially damage our business prospects. Our technology may infringe upon the proprietary rights of others. Our ability to execute our business plan is dependent, in part, on our ability to obtain patent protection for our proprietary products, maintain trade secret protection and operate without infringing the proprietary rights of others.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June 30, 2014, we had 10 pending United States and foreign patent applications, and will consider filing applications for additional patents covering aspects of our future developments, although there can be no assurance that we will do so. In addition, there can be no assurance that we will maintain or prosecute these applications. The United States Government and other countries have granted us 87 patents as of June 30, 2014. There can be no assurance that:</w:t>
      </w:r>
    </w:p>
    <w:p>
      <w:pPr>
        <w:spacing w:after="0" w:line="214" w:lineRule="exact"/>
        <w:rPr>
          <w:sz w:val="20"/>
          <w:szCs w:val="20"/>
          <w:color w:val="auto"/>
        </w:rPr>
      </w:pPr>
    </w:p>
    <w:p>
      <w:pPr>
        <w:ind w:left="1500" w:hanging="749"/>
        <w:spacing w:after="0"/>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of the remaining patent applications will be granted to us;</w:t>
      </w:r>
    </w:p>
    <w:p>
      <w:pPr>
        <w:spacing w:after="0" w:line="252" w:lineRule="exact"/>
        <w:rPr>
          <w:rFonts w:ascii="Arial" w:cs="Arial" w:eastAsia="Arial" w:hAnsi="Arial"/>
          <w:sz w:val="18"/>
          <w:szCs w:val="18"/>
          <w:color w:val="auto"/>
        </w:rPr>
      </w:pPr>
    </w:p>
    <w:p>
      <w:pPr>
        <w:ind w:left="1500" w:hanging="749"/>
        <w:spacing w:after="0"/>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will develop additional products that are patentable or do not infringe the patents of others;</w:t>
      </w:r>
    </w:p>
    <w:p>
      <w:pPr>
        <w:spacing w:after="0" w:line="252" w:lineRule="exact"/>
        <w:rPr>
          <w:rFonts w:ascii="Arial" w:cs="Arial" w:eastAsia="Arial" w:hAnsi="Arial"/>
          <w:sz w:val="18"/>
          <w:szCs w:val="18"/>
          <w:color w:val="auto"/>
        </w:rPr>
      </w:pPr>
    </w:p>
    <w:p>
      <w:pPr>
        <w:ind w:left="1500" w:hanging="749"/>
        <w:spacing w:after="0"/>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patents issued to us will provide us with any competitive advantages or adequate protection for our products;</w:t>
      </w:r>
    </w:p>
    <w:p>
      <w:pPr>
        <w:spacing w:after="0" w:line="252" w:lineRule="exact"/>
        <w:rPr>
          <w:rFonts w:ascii="Arial" w:cs="Arial" w:eastAsia="Arial" w:hAnsi="Arial"/>
          <w:sz w:val="18"/>
          <w:szCs w:val="18"/>
          <w:color w:val="auto"/>
        </w:rPr>
      </w:pPr>
    </w:p>
    <w:p>
      <w:pPr>
        <w:ind w:left="1500" w:hanging="749"/>
        <w:spacing w:after="0"/>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patents issued to us will not be challenged, invalidated or circumvented by others; or</w:t>
      </w:r>
    </w:p>
    <w:p>
      <w:pPr>
        <w:sectPr>
          <w:pgSz w:w="11900" w:h="16838" w:orient="portrait"/>
          <w:cols w:equalWidth="0" w:num="1">
            <w:col w:w="11420"/>
          </w:cols>
          <w:pgMar w:left="240" w:top="922" w:right="239" w:bottom="0" w:gutter="0" w:footer="0" w:header="0"/>
        </w:sectPr>
      </w:pPr>
    </w:p>
    <w:bookmarkStart w:id="21" w:name="page22"/>
    <w:bookmarkEnd w:id="21"/>
    <w:p>
      <w:pPr>
        <w:ind w:left="1500" w:hanging="749"/>
        <w:spacing w:after="0"/>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of our products would not infringe the patents of others.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of our products or services is found to have infringed any patent, there can be no assurance that we will be able to obtain licenses to continue to manufacture, use, sell, and license such product or service or that we will not have to pay damages and/or be enjoined as a result of such infringement. Even if a patent application is granted for any of our products, there can be no assurance that the patented technology will be a commercial success or result in any profits to us.</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we are unable to adequately protect our proprietary technology or fail to enforce or prosecute our patents against others, third parties may be able to compete more effectively against us, which could result in the loss of customers and our business being adversely affected. Patent and proprietary rights litigation entails substantial legal and other costs, and diverts Company resources as well as the attention of our management. There can be no assurance we will have the necessary financial resources to appropriately defend or prosecute our intellectual property rights in connection with any such litigation.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Competition from others could prevent the Company from increasing revenue and achieving its growth plans.</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While we are a leading provider and believe we have the largest installed base of unattended POS electronic payment systems in the small ticket, beverage and food vending industry, our competitors are increasingly and actively marketing products and services that compete with our products and services in this vending space. The competition includes manufacturers who may include in their new vending machines their own (or another third party’s) cashless payment systems and services other than our systems and services. While we believe our products and services are superior to our competitors, many of our competitors are much larger enterprises and have substantially greater revenues. In addition to these competitors, there are also numerous credit card processors that offer card processing services to traditional retail establishments that could decide to offer similar services to the industries that we serve. Competition from other companies, including those that are well established and have substantially greater resources, may reduce our profitability or reduce our business opportunities. Competition may result in lower profit margins on our products or may reduce potential profits or result in a loss of some or all of our customer base. To the extent that our competitors are able to offer more attractive technology, our ability to compete could be adversely affected.</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termination of any of our relationships with third parties upon whom we rely for supplies and services that are critical to our products could adversely affect our business and delay achievement of our business plan.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depend on arrangements with third parties for a variety of component parts used in our products. We have contracted with various suppliers to assist us to develop and manufacture our ePort® products. For other components, we do not have supply contracts with any of our third-party suppliers and we purchase components as needed from time to time. We have contracted with Xand to host our network in a secure, 24/7 environment to ensure the reliability of our network services. We also have contracted with multiple land-based telecommunications providers to ensure the reliability of our land-based network. If these business relationships are terminated, the implementation of our business plan may be delayed until an alternative supplier or service provider can be retained. If we are unable to find another source or one that is comparable, the content and quality of our products could suffer and our business, operating results and financial condition could be harmed.</w:t>
      </w:r>
    </w:p>
    <w:p>
      <w:pPr>
        <w:spacing w:after="0" w:line="212"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A disruption in the manufacturing capabilities of our third-party manufacturers, suppliers or distributors would negatively impact our ability to meet customer requirements.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depend upon third-party manufacturers, suppliers and distributors to deliver components free from defects, competitive in functionality and cost, and in compliance with our specifications and delivery schedules. Since we generally do not maintain large inventories of our products or components, any termination of, or significant disruption in, our manufacturing capability or our relationship with our third-party manufacturers or suppliers may prevent us from filling customer orders in a timely manner.</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occasionally experienced, and may in the future experience, delays in delivery of products and delivery of products of inferior quality from third-party manufacturers. Although alternate manufacturers and suppliers are generally available to produce our products and product components, the number of manufacturers or suppliers of some of our products and components is limited, and a qualified replacement manufacturer or supplier could take several months. In addition, our use of third-party manufacturers reduces our direct control over product quality, manufacturing timing, yields and costs. Disruption of the manufacture or supply of our products and components, or a third-party manufacturer’s or supplier’s failure to remain competitive in functionality, quality or price, could delay or interrupt our ability to manufacture or deliver our products to customers on a timely basis, which would have a material adverse effect on our business and financial performance.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Substantially all of the network service contracts with our customers are terminable for any or no reason upon thirty to sixty days’ advance notice.</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Substantially all of our customers may terminate their network service contracts with us for any or no reason upon providing us with thirty or sixty days’ advance notice. Accordingly, consistent demand for and satisfaction with our products by our customers is critical to our financial condition and future success. Problems, defects, or dissatisfaction with our products or services or competition in the marketplace could cause us to lose a substantial number of our customers with minimal notice. If a substantial number of our customers were to exercise their termination rights, it would result in a material adverse effect to our business, operating results, and financial condition.</w:t>
      </w:r>
    </w:p>
    <w:p>
      <w:pPr>
        <w:spacing w:after="0" w:line="21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reliance on our wireless telecommunication service provider exposes us to a number of risks over which we have no control, including risks with respect to increased prices and termination of essential services.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operation of our wireless networked devices depends upon the capacity, reliability and security of services provided to us by our wireless telecommunication services providers, AT&amp;T Mobility and Verizon Wireless. We have no control over the operation, quality or maintenance of these services or whether the vendor will improve its services or continue to provide services that are essential to our business. In addition, subject to our existing contracts with them, our wireless telecommunication services providers may increase their prices, which would increase our costs. If our wireless telecommunication services providers were to cease to provide essential services or to significantly increase prices, we could be required to find alternative vendors for these services. With a limited number of vendors, we could experience significant delays in obtaining new or replacement services, which could lead to slowdowns or failures of our network. In addition, we may have to replace our existing ePort</w:t>
      </w:r>
      <w:r>
        <w:rPr>
          <w:rFonts w:ascii="Arial" w:cs="Arial" w:eastAsia="Arial" w:hAnsi="Arial"/>
          <w:sz w:val="16"/>
          <w:szCs w:val="16"/>
          <w:i w:val="1"/>
          <w:iCs w:val="1"/>
          <w:color w:val="auto"/>
        </w:rPr>
        <w:t>®</w:t>
      </w:r>
      <w:r>
        <w:rPr>
          <w:rFonts w:ascii="Arial" w:cs="Arial" w:eastAsia="Arial" w:hAnsi="Arial"/>
          <w:sz w:val="16"/>
          <w:szCs w:val="16"/>
          <w:color w:val="auto"/>
        </w:rPr>
        <w:t xml:space="preserve"> devices that are already installed in the marketplace and which are utilizing the existing vendor’s services. This could significantly harm our reputation and could cause us to lose customers and revenues.</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accumulate excess or obsolete inventory that could result in unanticipated price reductions and write downs and adversely affect our financial results.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Managing the proper inventory levels for components and finished products is challenging. In formulating our product offerings, we have focused our efforts on providing products with greater capability and functionality, which requires us to develop and incorporate the most current technologies in our products. This approach tends to increase the risk of obsolescence for products and components we hold in inventory and may compound the difficulties posed by other factors that affect our inventory levels, including the following:</w:t>
      </w:r>
    </w:p>
    <w:p>
      <w:pPr>
        <w:spacing w:after="0" w:line="214" w:lineRule="exact"/>
        <w:rPr>
          <w:sz w:val="20"/>
          <w:szCs w:val="20"/>
          <w:color w:val="auto"/>
        </w:rPr>
      </w:pPr>
    </w:p>
    <w:p>
      <w:pPr>
        <w:ind w:left="1500" w:hanging="749"/>
        <w:spacing w:after="0"/>
        <w:tabs>
          <w:tab w:leader="none" w:pos="1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need to maintain significant inventory of components that are in limited supply;</w:t>
      </w:r>
    </w:p>
    <w:p>
      <w:pPr>
        <w:spacing w:after="0" w:line="252" w:lineRule="exact"/>
        <w:rPr>
          <w:rFonts w:ascii="Arial" w:cs="Arial" w:eastAsia="Arial" w:hAnsi="Arial"/>
          <w:sz w:val="18"/>
          <w:szCs w:val="18"/>
          <w:color w:val="auto"/>
        </w:rPr>
      </w:pPr>
    </w:p>
    <w:p>
      <w:pPr>
        <w:ind w:left="1500" w:hanging="749"/>
        <w:spacing w:after="0"/>
        <w:tabs>
          <w:tab w:leader="none" w:pos="1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buying components in bulk for the best pricing;</w:t>
      </w:r>
    </w:p>
    <w:p>
      <w:pPr>
        <w:sectPr>
          <w:pgSz w:w="11900" w:h="16838" w:orient="portrait"/>
          <w:cols w:equalWidth="0" w:num="1">
            <w:col w:w="11420"/>
          </w:cols>
          <w:pgMar w:left="240" w:top="918" w:right="239" w:bottom="0" w:gutter="0" w:footer="0" w:header="0"/>
        </w:sectPr>
      </w:pPr>
    </w:p>
    <w:bookmarkStart w:id="23" w:name="page24"/>
    <w:bookmarkEnd w:id="23"/>
    <w:p>
      <w:pPr>
        <w:ind w:left="1500" w:hanging="749"/>
        <w:spacing w:after="0"/>
        <w:tabs>
          <w:tab w:leader="none" w:pos="1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responding to the unpredictable demand for products;</w:t>
      </w:r>
    </w:p>
    <w:p>
      <w:pPr>
        <w:spacing w:after="0" w:line="252" w:lineRule="exact"/>
        <w:rPr>
          <w:rFonts w:ascii="Arial" w:cs="Arial" w:eastAsia="Arial" w:hAnsi="Arial"/>
          <w:sz w:val="18"/>
          <w:szCs w:val="18"/>
          <w:color w:val="auto"/>
        </w:rPr>
      </w:pPr>
    </w:p>
    <w:p>
      <w:pPr>
        <w:ind w:left="1500" w:hanging="749"/>
        <w:spacing w:after="0"/>
        <w:tabs>
          <w:tab w:leader="none" w:pos="1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responding to customer requests for short lead-time delivery schedules; and</w:t>
      </w:r>
    </w:p>
    <w:p>
      <w:pPr>
        <w:spacing w:after="0" w:line="252" w:lineRule="exact"/>
        <w:rPr>
          <w:rFonts w:ascii="Arial" w:cs="Arial" w:eastAsia="Arial" w:hAnsi="Arial"/>
          <w:sz w:val="18"/>
          <w:szCs w:val="18"/>
          <w:color w:val="auto"/>
        </w:rPr>
      </w:pPr>
    </w:p>
    <w:p>
      <w:pPr>
        <w:ind w:left="1500" w:hanging="749"/>
        <w:spacing w:after="0"/>
        <w:tabs>
          <w:tab w:leader="none" w:pos="1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customers to take delivery of ordered products.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accumulate excess or obsolete inventory, price reductions and inventory write-downs may result, which could adversely affect our results of operation and financial condition.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We may not be able to adapt to changing technology and our customers’ technology needs.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face rapidly changing technology and frequent new service offerings that can render existing services obsolete or unmarketable. Our future depends, in part, on our ability to enhance existing services and to develop, introduce and market, on a timely and cost effective basis, new services that keep pace with technological developments and customer requirements. Developing new products and technologies is a complex, uncertain process requiring innovation and accurate anticipation of technological and market trends. When changes to the product line are announced, we will be challenged to manage possible shortened life cycles for existing products and continue to sell existing products. Our inability to respond effectively to any of these challenges may have a material adverse effect on our business and financial success.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Security is vital to our customers and therefore breaches in the security of transactions involving our products or services could adversely affect our reputation and results of operations.</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Protection against fraud is of key importance to purchasers and end-users of our products. We incorporate security features, such as encryption software and secure hardware, into our products to protect against fraud in electronic payment transactions and to ensure the privacy and integrity of consumer data. We design and test our products to industry security standards and our products and methodologies are under periodic review and improvement. We also maintain the highest level PCI validation standard as mandated by the card industry and engage third party auditors not only to ensure that we meet the highest industry standards, but also to advise us on improving our security methods. Nevertheless, our products and services and third party products and services that are utilized by us may be vulnerable to breaches in security due to defects in our security mechanisms, the operating system and applications in our hardware platform. Security vulnerabilities could jeopardize the security of information transmitted or stored using our products. The security of the information in our products is compromised, our reputation and marketplace acceptance of our products will be adversely affected, which would adversely affect our results of operations, and subject us to potential liability. If our security applications are breached and sensitive data is lost or stolen, we could incur significant costs to not only assess and repair any damage to our systems, but also to reimburse customers for losses that occur from the fraudulent use of the data. We may also be subject to fines and penalties from the credit card associations in the event of the loss of confidential card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 may be vulnerable to security breach.</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Credit card issuers have promulgated credit card security guidelines as part of their ongoing efforts to battle identity theft and credit card fraud. We continue to work with credit card issuers to assure that our products and services comply with these rules. There can be no assurances, however, that our products and services or third party products and services utilized by us are invulnerable to unauthorized access or hacking. When there is unauthorized access to credit card data that results in financial loss, there is the potential that parties could seek damages from us, and our business reputation may be materially adversely affected.</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adhere to the standards of the Visa and MasterCard credit card associations, our registrations with these associations could be terminated and we could be required to stop providing payment processing services for Visa and MasterCard.</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Substantially all of the transactions handled by our network involve Visa or MasterCard. If we fail to comply with the applicable requirements of the Visa and MasterCard credit card associations, Visa or MasterCard could suspend or terminate our registration with them. The termination of our registration with them or any changes in the Visa or MasterCard rules that would impair our registration with them could require us to stop providing payment processing services through our network. In such event, our business plan and/or competitive advantages in the market place could be materially adversely affected.</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other card payment processors; if they fail or no longer agree to provide their services, our customer relationships could be adversely affected and we could lose business.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rely on agreements with other large payment processing organizations, primarily Elavon, Inc. (“Elavon”), to enable us to provide card authorization, data capture, settlement and merchant accounting services and access to various reporting tools for the customers we serve. The termination by our card processing providers of their arrangements with us or their failure to perform their services efficiently and effectively may adversely affect our relationships with the customers whose accounts we serve and may cause those customers to terminate their processing agreements with us.</w:t>
      </w:r>
    </w:p>
    <w:p>
      <w:pPr>
        <w:spacing w:after="0" w:line="19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are subject to laws and regulations that affect the products, services and markets in which we operate. Failure by us to comply with these laws or regulations would have an adverse effect on our business, financial condition, or results of operations.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among other things, subject to banking regulations and credit card association regulations. Failure to comply with these regulations may result in the suspension of our business, the limitation, suspension or termination of service, and/or the imposition of fines that could have an adverse effect on our financial condition. Additionally, changes to legal rules and regulations, or interpretation or enforcement thereof, could have a negative financial effect on us or our product offerings. To the extent this occurs, we could be subject to additional technical, contractual or other requirements as a condition of our continuing to conduct our payment processing business. These requirements could cause us to incur additional costs, which could be significant, or to lose revenues to the extent we do not comply with these requirements.</w:t>
      </w:r>
    </w:p>
    <w:p>
      <w:pPr>
        <w:spacing w:after="0" w:line="22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New legislation could be enacted regulating the basis upon which interchange rates are charged for debit or credit card transactions, which could increase the debit or credit card interchange fees charged by bankcard networks. An example of such legislation is the so-called “Durbin Amendment,” to the Dodd Frank Wall Street Reform and Consumer Protection Act of 2010. The Durbin Amendment regulates the basis upon which interchange rates for debit card transactions are made to ensure that interchange rates are “reasonable and proportionate to costs.” Pursuant to regulations that were promulgated by the Federal Reserve, Visa and MasterCard have significantly increased their interchange fees for small ticket debit card transactions.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12, 2011, the Company and Visa entered into a one-year agreement (the “Visa Agreement”) pursuant to which Visa has agreed to make available to the Company reduced interchange fees for debit card transactions. The interchange reimbursement fees made available to the Company will allow the Company to continue to accept Visa’s debit products without adversely impacting the Company’s historical gross profit from license and transaction fee revenues. On October 9, 2012, the Company and Visa entered into a First Amendment to extend the terms of the original agreement to October 31, 2013, which automatically renewed for one year through October 31, 2014. If the Visa Agreement is not extended, our financial results would be materially adversely affected unless we are able to pass these significant additional charges to our customers.</w:t>
      </w:r>
    </w:p>
    <w:p>
      <w:pPr>
        <w:sectPr>
          <w:pgSz w:w="11900" w:h="16838" w:orient="portrait"/>
          <w:cols w:equalWidth="0" w:num="1">
            <w:col w:w="11420"/>
          </w:cols>
          <w:pgMar w:left="240" w:top="918" w:right="239" w:bottom="0" w:gutter="0" w:footer="0" w:header="0"/>
        </w:sectPr>
      </w:pPr>
    </w:p>
    <w:bookmarkStart w:id="25" w:name="page26"/>
    <w:bookmarkEnd w:id="25"/>
    <w:p>
      <w:pPr>
        <w:jc w:val="both"/>
        <w:spacing w:after="0" w:line="266" w:lineRule="auto"/>
        <w:rPr>
          <w:sz w:val="20"/>
          <w:szCs w:val="20"/>
          <w:color w:val="auto"/>
        </w:rPr>
      </w:pPr>
      <w:r>
        <w:rPr>
          <w:rFonts w:ascii="Arial" w:cs="Arial" w:eastAsia="Arial" w:hAnsi="Arial"/>
          <w:sz w:val="18"/>
          <w:szCs w:val="18"/>
          <w:b w:val="1"/>
          <w:bCs w:val="1"/>
          <w:color w:val="auto"/>
        </w:rPr>
        <w:t>Increases in card association and debit network interchange fees could increase our operating costs or otherwise adversely affect our operations. If we do not pass along to our customers any future increases in credit or debit card interchange fees, assessments and transaction fees, our gross profits would be reduced.</w:t>
      </w: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obligated to pay interchange fees and other network fees set by the bankcard networks to the card issuing bank and the bankcard networks for each transaction we process through our network. From time to time, card associations and debit networks increase the organization and/or processing fees, known as interchange fees that they charge. Under our processing agreements with our customers, we are permitted to pass along these fee increases to our customers through corresponding increases in our processing fees. Passing along such increases could result in some of our customers canceling their contracts with us. Consequently, it is possible that competitive pressures will result in our Company absorbing some or all of the increases in the future, which would increase our operating costs, reduce our gross profit and adversely affect our business.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line="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term of the Visa Agreement, the Company does not anticipate accepting any debit cards with interchange fees that are higher than the rates provided under the Visa Agreement. The Company will continue to accept Visa- branded debit and pre-paid cards in addition to all major credit cards, including Visa, MasterCard, Discover and American Express at its current processing rates. If the Visa Agreement is not extended, our financial results would be materially adversely affected unless we are able to pass these significant additional charges to our customers.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ability to recruit, retain and develop qualified personnel is critical to the Company’s success and growth.</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Company to successfully compete and grow, it must retain, recruit and develop the necessary personnel who can provide the needed expertise required in its business. In addition, the Company must develop its personnel to provide succession plans capable of maintaining continuity in the midst of the inevitable unpredictability of human capital. However, the market for qualified personnel is competitive and the Company may not succeed in recruiting additional personnel or may fail to effectively replace current personnel who depart with qualified or effective successors. The Company’s effort to retain and develop personnel may also result in significant additional expenses. The Company cannot assure that key personnel, including executive officers, will continue to be employed or that it will be able to attract and retain qualified personnel in the future. Failure to retain or attract key personnel could have a material adverse effect on the Company.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do not expect to pay cash dividends in the foreseeable future and therefore investors should not anticipate cash dividends on their investment.</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holders of our common stock and series A convertible preferred stock are entitled to receive dividends when, and if, declared by our board of directors. Our board of directors does not intend to pay cash dividends in the foreseeable future, but instead intends to retain any and all earnings to finance the growth of the business. To date, we have not paid any cash dividends on our common stock or our series A convertible preferred stock and there can be no assurance that cash dividends will ever be paid on our common stock.</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our articles of incorporation prohibit the declaration of any dividends on our common stock unless and until all unpaid and accumulated dividends on the series A convertible preferred stock have been declared and paid. Through September 15, 2014, the unpaid and cumulative dividends on the series A convertible preferred stock are $12,593,002. As of June 30, 2014, each share of series A convertible preferred stock was convertible into 0.1940 of a share of common stock at the option of the holder and is subject to further adjustment as provided in our Articles of Incorporation. The unpaid and cumulative dividends on the series A convertible preferred stock are convertible into shares of our common stock at the rate of $1,000 per share at the option of the holder. During the year ended June 30, 2014, none of our series A convertible preferred stock and no cumulative preferred dividends were converted into shares of common stock.</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articles of incorporation also provide that the preferred stock has a liquidation preference over the common stock in the amount of $10 per share plus accrued and unpaid dividends. As of June 30, 2014, the liquidation preference was $16,690,456.</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Upon certain fundamental transactions involving the Company, such as a merger or sale of substantially all of our assets, we may be required to distribute the liquidation preference then due to the holders of our series A preferred stock as well as cash payments to certain of our warrant holders which would reduce the amount of the distributions otherwise to be made to the holders of our common stock in connection with such transactions.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articles of incorporation provide that upon a merger or sale of substantially all of our assets or upon the disposition of more than 50% of our voting power, the holders of at least 60% of the preferred stock may elect to have such transaction treated as a liquidation and be entitled to receive their liquidation preference. Upon our liquidation, the holders of our preferred stock are entitled to receive a liquidation preference prior to any distribution to the holders of common stock which as of June 30, 2014 is equal to $16,690,456.</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terms of the warrants that were issued in March 2011 to acquire up to 3,900,000 shares of common stock at $2.6058 per share which expire in September 2016 provide that upon a Fundamental Transaction (as defined in the warrant) the holder shall have the right to have the warrant purchased by the Company for cash at its Black Scholes Value (as defined in the warrant). The term Fundamental Transaction includes a merger, sale of substantially all of our assets, or if any person shall acquire 50% or more of the voting power of our shares. The Black Scholes Value (as defined in the warrant) payable as of June 30, 2014 was approximately $3.1 million.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issue additional shares of our common stock, which could depress the market price of our common stock and dilute your ownership.</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September 15, 2014, we had issued and outstanding warrants to purchase 4,309,000 shares of our common stock. The shares underlying 4,264,000 of these warrants have been registered and may be freely sold. Market sales of large amounts of our common stock, or the potential for those sales even if they do not actually occur, may have the effect of depressing the market price of our common stock. In addition, if our future financing needs require us to issue additional shares of common stock or securities convertible into common stock, the supply of common stock available for resale could be increased which could stimulate trading activity and cause the market price of our common stock to drop, even if our business is doing well. Furthermore, the issuance of any additional shares of our common stock including those pursuant to the exercise of warrants by the holders thereof, or securities convertible into our common stock could be substantially dilutive to holders of our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trading price of our common stock is expected to be subject to significant fluctuations in response to various factors including, but not limited to, the following:</w:t>
      </w:r>
    </w:p>
    <w:p>
      <w:pPr>
        <w:spacing w:after="0" w:line="197" w:lineRule="exact"/>
        <w:rPr>
          <w:sz w:val="20"/>
          <w:szCs w:val="20"/>
          <w:color w:val="auto"/>
        </w:rPr>
      </w:pPr>
    </w:p>
    <w:p>
      <w:pPr>
        <w:ind w:left="1500" w:hanging="749"/>
        <w:spacing w:after="0"/>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variations in operating results and achievement of key business metrics;</w:t>
      </w:r>
    </w:p>
    <w:p>
      <w:pPr>
        <w:spacing w:after="0" w:line="252" w:lineRule="exact"/>
        <w:rPr>
          <w:rFonts w:ascii="Arial" w:cs="Arial" w:eastAsia="Arial" w:hAnsi="Arial"/>
          <w:sz w:val="18"/>
          <w:szCs w:val="18"/>
          <w:color w:val="auto"/>
        </w:rPr>
      </w:pPr>
    </w:p>
    <w:p>
      <w:pPr>
        <w:ind w:left="1500" w:hanging="749"/>
        <w:spacing w:after="0"/>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if any;</w:t>
      </w:r>
    </w:p>
    <w:p>
      <w:pPr>
        <w:spacing w:after="0" w:line="252" w:lineRule="exact"/>
        <w:rPr>
          <w:rFonts w:ascii="Arial" w:cs="Arial" w:eastAsia="Arial" w:hAnsi="Arial"/>
          <w:sz w:val="18"/>
          <w:szCs w:val="18"/>
          <w:color w:val="auto"/>
        </w:rPr>
      </w:pPr>
    </w:p>
    <w:p>
      <w:pPr>
        <w:ind w:left="1500" w:hanging="749"/>
        <w:spacing w:after="0"/>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differences between reported results and securities analysts’ published or unpublished expectations;</w:t>
      </w:r>
    </w:p>
    <w:p>
      <w:pPr>
        <w:sectPr>
          <w:pgSz w:w="11900" w:h="16874" w:orient="portrait"/>
          <w:cols w:equalWidth="0" w:num="1">
            <w:col w:w="11420"/>
          </w:cols>
          <w:pgMar w:left="240" w:top="922" w:right="239" w:bottom="0" w:gutter="0" w:footer="0" w:header="0"/>
        </w:sectPr>
      </w:pPr>
    </w:p>
    <w:bookmarkStart w:id="27" w:name="page28"/>
    <w:bookmarkEnd w:id="27"/>
    <w:p>
      <w:pPr>
        <w:ind w:left="749" w:hanging="749"/>
        <w:spacing w:after="0"/>
        <w:tabs>
          <w:tab w:leader="none" w:pos="749"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announcements of new contracts, service offerings or technological innovations by us or our competitors;</w:t>
      </w:r>
    </w:p>
    <w:p>
      <w:pPr>
        <w:spacing w:after="0" w:line="263" w:lineRule="exact"/>
        <w:rPr>
          <w:rFonts w:ascii="Arial" w:cs="Arial" w:eastAsia="Arial" w:hAnsi="Arial"/>
          <w:sz w:val="17"/>
          <w:szCs w:val="17"/>
          <w:color w:val="auto"/>
        </w:rPr>
      </w:pPr>
    </w:p>
    <w:p>
      <w:pPr>
        <w:ind w:left="749" w:hanging="749"/>
        <w:spacing w:after="0"/>
        <w:tabs>
          <w:tab w:leader="none" w:pos="7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market reaction to any acquisitions, joint ventures or strategic investments announced by us or our competitors;</w:t>
      </w:r>
    </w:p>
    <w:p>
      <w:pPr>
        <w:spacing w:after="0" w:line="200" w:lineRule="exact"/>
        <w:rPr>
          <w:sz w:val="20"/>
          <w:szCs w:val="20"/>
          <w:color w:val="auto"/>
        </w:rPr>
      </w:pPr>
    </w:p>
    <w:p>
      <w:pPr>
        <w:spacing w:after="0" w:line="291" w:lineRule="exact"/>
        <w:rPr>
          <w:sz w:val="20"/>
          <w:szCs w:val="20"/>
          <w:color w:val="auto"/>
        </w:rPr>
      </w:pPr>
    </w:p>
    <w:p>
      <w:pPr>
        <w:jc w:val="center"/>
        <w:ind w:right="-44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468"/>
          </w:cols>
          <w:pgMar w:left="991" w:top="368" w:right="1440" w:bottom="1440" w:gutter="0" w:footer="0" w:header="0"/>
        </w:sectPr>
      </w:pPr>
    </w:p>
    <w:bookmarkStart w:id="28" w:name="page29"/>
    <w:bookmarkEnd w:id="28"/>
    <w:p>
      <w:pPr>
        <w:ind w:left="1500" w:hanging="749"/>
        <w:spacing w:after="0"/>
        <w:tabs>
          <w:tab w:leader="none" w:pos="1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demand for our services and products;</w:t>
      </w:r>
    </w:p>
    <w:p>
      <w:pPr>
        <w:spacing w:after="0" w:line="252" w:lineRule="exact"/>
        <w:rPr>
          <w:rFonts w:ascii="Arial" w:cs="Arial" w:eastAsia="Arial" w:hAnsi="Arial"/>
          <w:sz w:val="18"/>
          <w:szCs w:val="18"/>
          <w:color w:val="auto"/>
        </w:rPr>
      </w:pPr>
    </w:p>
    <w:p>
      <w:pPr>
        <w:ind w:left="1500" w:hanging="749"/>
        <w:spacing w:after="0"/>
        <w:tabs>
          <w:tab w:leader="none" w:pos="1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of common stock being sold pursuant to Rule 144 or upon exercise of warrants;</w:t>
      </w:r>
    </w:p>
    <w:p>
      <w:pPr>
        <w:spacing w:after="0" w:line="252" w:lineRule="exact"/>
        <w:rPr>
          <w:rFonts w:ascii="Arial" w:cs="Arial" w:eastAsia="Arial" w:hAnsi="Arial"/>
          <w:sz w:val="18"/>
          <w:szCs w:val="18"/>
          <w:color w:val="auto"/>
        </w:rPr>
      </w:pPr>
    </w:p>
    <w:p>
      <w:pPr>
        <w:ind w:left="1500" w:hanging="749"/>
        <w:spacing w:after="0"/>
        <w:tabs>
          <w:tab w:leader="none" w:pos="1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252" w:lineRule="exact"/>
        <w:rPr>
          <w:rFonts w:ascii="Arial" w:cs="Arial" w:eastAsia="Arial" w:hAnsi="Arial"/>
          <w:sz w:val="18"/>
          <w:szCs w:val="18"/>
          <w:color w:val="auto"/>
        </w:rPr>
      </w:pPr>
    </w:p>
    <w:p>
      <w:pPr>
        <w:ind w:left="1500" w:right="20" w:hanging="749"/>
        <w:spacing w:after="0" w:line="277" w:lineRule="auto"/>
        <w:tabs>
          <w:tab w:leader="none" w:pos="1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concerns about our financial position, operating results, litigation, government regulation, developments or disputes relating to agreements, patents or proprietary rights;</w:t>
      </w:r>
    </w:p>
    <w:p>
      <w:pPr>
        <w:spacing w:after="0" w:line="197" w:lineRule="exact"/>
        <w:rPr>
          <w:rFonts w:ascii="Arial" w:cs="Arial" w:eastAsia="Arial" w:hAnsi="Arial"/>
          <w:sz w:val="18"/>
          <w:szCs w:val="18"/>
          <w:color w:val="auto"/>
        </w:rPr>
      </w:pPr>
    </w:p>
    <w:p>
      <w:pPr>
        <w:ind w:left="1500" w:hanging="749"/>
        <w:spacing w:after="0"/>
        <w:tabs>
          <w:tab w:leader="none" w:pos="1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dilutive effects of future sales of shares of common stock by shareholders and by the Company;</w:t>
      </w:r>
    </w:p>
    <w:p>
      <w:pPr>
        <w:spacing w:after="0" w:line="252" w:lineRule="exact"/>
        <w:rPr>
          <w:rFonts w:ascii="Arial" w:cs="Arial" w:eastAsia="Arial" w:hAnsi="Arial"/>
          <w:sz w:val="18"/>
          <w:szCs w:val="18"/>
          <w:color w:val="auto"/>
        </w:rPr>
      </w:pPr>
    </w:p>
    <w:p>
      <w:pPr>
        <w:ind w:left="1500" w:hanging="749"/>
        <w:spacing w:after="0"/>
        <w:tabs>
          <w:tab w:leader="none" w:pos="1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of average daily trading volume in our common stock;</w:t>
      </w:r>
    </w:p>
    <w:p>
      <w:pPr>
        <w:spacing w:after="0" w:line="252" w:lineRule="exact"/>
        <w:rPr>
          <w:rFonts w:ascii="Arial" w:cs="Arial" w:eastAsia="Arial" w:hAnsi="Arial"/>
          <w:sz w:val="18"/>
          <w:szCs w:val="18"/>
          <w:color w:val="auto"/>
        </w:rPr>
      </w:pPr>
    </w:p>
    <w:p>
      <w:pPr>
        <w:ind w:left="1500" w:hanging="749"/>
        <w:spacing w:after="0"/>
        <w:tabs>
          <w:tab w:leader="none" w:pos="1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working capital financing; and</w:t>
      </w:r>
    </w:p>
    <w:p>
      <w:pPr>
        <w:spacing w:after="0" w:line="252" w:lineRule="exact"/>
        <w:rPr>
          <w:rFonts w:ascii="Arial" w:cs="Arial" w:eastAsia="Arial" w:hAnsi="Arial"/>
          <w:sz w:val="18"/>
          <w:szCs w:val="18"/>
          <w:color w:val="auto"/>
        </w:rPr>
      </w:pPr>
    </w:p>
    <w:p>
      <w:pPr>
        <w:ind w:left="1500" w:hanging="749"/>
        <w:spacing w:after="0"/>
        <w:tabs>
          <w:tab w:leader="none" w:pos="1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or stock market conditions unrelated to our operating performance.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securities market in recent years has from time to time experienced significant price and volume fluctuations that are unrelated to the operating performance of particular companies. These market fluctuations, as well as general economic conditions, may also materially and adversely affect the market price of our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substantial market overhang of our shares may tend to depress the market price of our shares.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15, 2014, the Company has 4,264,000 of our shares underlying warrants exercisable at $2.6058 per share at any time before September 18, 2016 which are required to be registered by us for resale under applicable securities laws. Sales in the public market of a substantial number of the shares underlying these warrants, or the perception that these sales may occur, could cause the market price of our common stock to decline. In addition, the sale of these shares could impair our ability to raise capital, should we wish to do so, through the sale of additional common stock. We are unable to estimate the number of shares that may be sold because this will depend on the market price for our common stock, the personal circumstances of the sellers and other factors.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liability is limited.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permitted by Pennsylvania law, our by-laws limit the liability of our directors for monetary damages for breach of a director’s fiduciary duty except for liability in certain instances. As a result of our by-law provisions and Pennsylvania law, shareholders may have limited rights to recover against directors for breach of fiduciary duty. In addition, our by-laws and indemnification agreements entered into by the Company with each of the officers and directors provide that we shall indemnify our directors and officers to the fullest extent permitted by law.</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publicly-filed reports are reviewed by the SEC from time to time and any significant changes required as a result of any such review may result in material liability to us, and have a material adverse impact on the trading price of our common stock.</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reports of publicly-traded companies are subject to review by the SEC from time to time for the purpose of assisting companies in complying with applicable disclosure requirements and to enhance the overall effectiveness of companies’ public filings, and comprehensive reviews of such reports are now required at least every three years under the Sarbanes-Oxley Act of 2002. SEC reviews may be initiated at any time. While we believe that our previously filed SEC reports comply, and we intend that all future reports will comply in all material respects with the published SEC rules and regulations, we could be required to modify or reformulate information contained in prior filings as a result of an SEC review. Any modification or reformulation of information contained in such reports could be significant and result in material liability to us and have a material adverse impact on the trading price of our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conducts its operations from various facilities under operating leases. The Company leases 17,249 square feet of space located in Malvern, Pennsylvania for its principal executive office and for general administrative functions, sales activities, product development, and customer support. The lease term expires on April 30, 2016. As of June 30, 2014, the Company’s rent payment for this facility is approximately $31,000 per month.</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also leases 11,250 square feet of space in Malvern, Pennsylvania for its product warehousing and shipping under a lease agreement, which expires on February 28, 2016. As of June 30, 2014, the Company’s rent payment is approximately $5,000 per month.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is involved in various litigation proceedings arising during the normal course of business which, in the opinion of the management of the Company, will not have a material effect on the Company’s financial position and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73"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common stock of the Company trades on The NASDAQ Global Market under the symbol USAT. The high and low bid prices on The NASDAQ Global Market for the common stock were as follows:</w:t>
      </w:r>
    </w:p>
    <w:p>
      <w:pPr>
        <w:spacing w:after="0" w:line="197"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Year ended June 30, 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High</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Low</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F0FFFF"/>
          </w:tcPr>
          <w:p>
            <w:pPr>
              <w:spacing w:after="0"/>
              <w:rPr>
                <w:sz w:val="20"/>
                <w:szCs w:val="20"/>
                <w:color w:val="auto"/>
              </w:rPr>
            </w:pPr>
            <w:r>
              <w:rPr>
                <w:rFonts w:ascii="Arial" w:cs="Arial" w:eastAsia="Arial" w:hAnsi="Arial"/>
                <w:sz w:val="18"/>
                <w:szCs w:val="18"/>
                <w:color w:val="auto"/>
              </w:rPr>
              <w:t>First Quarter (through September 30, 2013)</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2.18</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Second Quarter (through December 31, 2013)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F0FFFF"/>
          </w:tcPr>
          <w:p>
            <w:pPr>
              <w:spacing w:after="0"/>
              <w:rPr>
                <w:sz w:val="20"/>
                <w:szCs w:val="20"/>
                <w:color w:val="auto"/>
              </w:rPr>
            </w:pPr>
            <w:r>
              <w:rPr>
                <w:rFonts w:ascii="Arial" w:cs="Arial" w:eastAsia="Arial" w:hAnsi="Arial"/>
                <w:sz w:val="18"/>
                <w:szCs w:val="18"/>
                <w:color w:val="auto"/>
              </w:rPr>
              <w:t>Third Quarter (through March 31, 2014)</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2.48</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Fourth Quarter (through June 30, 2014)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418"/>
        </w:trPr>
        <w:tc>
          <w:tcPr>
            <w:tcW w:w="4060" w:type="dxa"/>
            <w:vAlign w:val="bottom"/>
            <w:gridSpan w:val="2"/>
          </w:tcPr>
          <w:p>
            <w:pPr>
              <w:spacing w:after="0"/>
              <w:rPr>
                <w:sz w:val="20"/>
                <w:szCs w:val="20"/>
                <w:color w:val="auto"/>
              </w:rPr>
            </w:pPr>
            <w:r>
              <w:rPr>
                <w:rFonts w:ascii="Arial" w:cs="Arial" w:eastAsia="Arial" w:hAnsi="Arial"/>
                <w:sz w:val="18"/>
                <w:szCs w:val="18"/>
                <w:color w:val="auto"/>
              </w:rPr>
              <w:t>Year ended June 30, 2013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High</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Low</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F0FFFF"/>
          </w:tcPr>
          <w:p>
            <w:pPr>
              <w:spacing w:after="0"/>
              <w:rPr>
                <w:sz w:val="20"/>
                <w:szCs w:val="20"/>
                <w:color w:val="auto"/>
              </w:rPr>
            </w:pPr>
            <w:r>
              <w:rPr>
                <w:rFonts w:ascii="Arial" w:cs="Arial" w:eastAsia="Arial" w:hAnsi="Arial"/>
                <w:sz w:val="18"/>
                <w:szCs w:val="18"/>
                <w:color w:val="auto"/>
              </w:rPr>
              <w:t>First Quarter (through September 30, 2012)</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1.75</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Second Quarter (through December 31, 2012)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F0FFFF"/>
          </w:tcPr>
          <w:p>
            <w:pPr>
              <w:spacing w:after="0"/>
              <w:rPr>
                <w:sz w:val="20"/>
                <w:szCs w:val="20"/>
                <w:color w:val="auto"/>
              </w:rPr>
            </w:pPr>
            <w:r>
              <w:rPr>
                <w:rFonts w:ascii="Arial" w:cs="Arial" w:eastAsia="Arial" w:hAnsi="Arial"/>
                <w:sz w:val="18"/>
                <w:szCs w:val="18"/>
                <w:color w:val="auto"/>
              </w:rPr>
              <w:t>Third Quarter (through March 31, 2013)</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2.75</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Fourth Quarter (through June 30, 2013)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September 15, 2014, there were 618 record holders of the Common Stock and 321 record holders of the Preferred Stock.</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holders of the Common Stock are entitled to receive such dividends as the Board of Directors of the Company may from time to time declare out of funds legally available for payment of dividends. Through the date hereof, no cash dividends have been declared on the Company’s Common Stock or Preferred Stock. No dividend may be paid on the Common Stock until all accumulated and unpaid dividends on the Preferred Stock have been paid. As of September 15, 2014, such accumulated unpaid dividends amounted to $12,593,002. The Preferred Stock is also entitled to a liquidation preference over the Common Stock which as of June 30, 2014 equaled $16,690,456.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2014, equity securities authorized for issuance by the Company with respect to compensation plans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Number of Securities</w:t>
            </w:r>
          </w:p>
        </w:tc>
        <w:tc>
          <w:tcPr>
            <w:tcW w:w="100" w:type="dxa"/>
            <w:vAlign w:val="bottom"/>
          </w:tcPr>
          <w:p>
            <w:pPr>
              <w:spacing w:after="0"/>
              <w:rPr>
                <w:sz w:val="18"/>
                <w:szCs w:val="18"/>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w w:val="91"/>
              </w:rPr>
              <w:t>Weighted average</w:t>
            </w:r>
          </w:p>
        </w:tc>
        <w:tc>
          <w:tcPr>
            <w:tcW w:w="20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remaining available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to be issued upon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exercise price of</w:t>
            </w: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future 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exercise of outstanding</w:t>
            </w:r>
          </w:p>
        </w:tc>
        <w:tc>
          <w:tcPr>
            <w:tcW w:w="100" w:type="dxa"/>
            <w:vAlign w:val="bottom"/>
          </w:tcPr>
          <w:p>
            <w:pPr>
              <w:spacing w:after="0"/>
              <w:rPr>
                <w:sz w:val="18"/>
                <w:szCs w:val="18"/>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outstanding options</w:t>
            </w:r>
          </w:p>
        </w:tc>
        <w:tc>
          <w:tcPr>
            <w:tcW w:w="20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(excluding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options and warrants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and warrants</w:t>
            </w:r>
          </w:p>
        </w:tc>
        <w:tc>
          <w:tcPr>
            <w:tcW w:w="20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reflected in column (a))</w:t>
            </w:r>
          </w:p>
        </w:tc>
        <w:tc>
          <w:tcPr>
            <w:tcW w:w="0" w:type="dxa"/>
            <w:vAlign w:val="bottom"/>
          </w:tcPr>
          <w:p>
            <w:pPr>
              <w:spacing w:after="0"/>
              <w:rPr>
                <w:sz w:val="1"/>
                <w:szCs w:val="1"/>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Plan category</w:t>
            </w:r>
          </w:p>
        </w:tc>
        <w:tc>
          <w:tcPr>
            <w:tcW w:w="20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(b)</w:t>
            </w:r>
          </w:p>
        </w:tc>
        <w:tc>
          <w:tcPr>
            <w:tcW w:w="20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F0FF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00" w:type="dxa"/>
            <w:vAlign w:val="bottom"/>
            <w:shd w:val="clear" w:color="auto" w:fill="F0FFFF"/>
          </w:tcPr>
          <w:p>
            <w:pPr>
              <w:spacing w:after="0"/>
              <w:rPr>
                <w:sz w:val="18"/>
                <w:szCs w:val="18"/>
                <w:color w:val="auto"/>
              </w:rPr>
            </w:pPr>
          </w:p>
        </w:tc>
        <w:tc>
          <w:tcPr>
            <w:tcW w:w="1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120,000</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2.05</w:t>
            </w:r>
          </w:p>
        </w:tc>
        <w:tc>
          <w:tcPr>
            <w:tcW w:w="2040" w:type="dxa"/>
            <w:vAlign w:val="bottom"/>
            <w:gridSpan w:val="2"/>
            <w:shd w:val="clear" w:color="auto" w:fill="F0FFFF"/>
          </w:tcPr>
          <w:p>
            <w:pPr>
              <w:ind w:left="1000"/>
              <w:spacing w:after="0"/>
              <w:rPr>
                <w:sz w:val="20"/>
                <w:szCs w:val="20"/>
                <w:color w:val="auto"/>
              </w:rPr>
            </w:pPr>
            <w:r>
              <w:rPr>
                <w:rFonts w:ascii="Arial" w:cs="Arial" w:eastAsia="Arial" w:hAnsi="Arial"/>
                <w:sz w:val="18"/>
                <w:szCs w:val="18"/>
                <w:color w:val="auto"/>
                <w:w w:val="95"/>
              </w:rPr>
              <w:t>1,218,991 (1)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F0FFFF"/>
          </w:tcPr>
          <w:p>
            <w:pPr>
              <w:spacing w:after="0"/>
              <w:rPr>
                <w:sz w:val="20"/>
                <w:szCs w:val="20"/>
                <w:color w:val="auto"/>
              </w:rPr>
            </w:pPr>
            <w:r>
              <w:rPr>
                <w:rFonts w:ascii="Arial" w:cs="Arial" w:eastAsia="Arial" w:hAnsi="Arial"/>
                <w:sz w:val="18"/>
                <w:szCs w:val="18"/>
                <w:color w:val="auto"/>
              </w:rPr>
              <w:t>Total</w:t>
            </w:r>
          </w:p>
        </w:tc>
        <w:tc>
          <w:tcPr>
            <w:tcW w:w="202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120,000</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2.05</w:t>
            </w:r>
          </w:p>
        </w:tc>
        <w:tc>
          <w:tcPr>
            <w:tcW w:w="1720" w:type="dxa"/>
            <w:vAlign w:val="bottom"/>
            <w:shd w:val="clear" w:color="auto" w:fill="F0FFFF"/>
          </w:tcPr>
          <w:p>
            <w:pPr>
              <w:ind w:left="1000"/>
              <w:spacing w:after="0"/>
              <w:rPr>
                <w:sz w:val="20"/>
                <w:szCs w:val="20"/>
                <w:color w:val="auto"/>
              </w:rPr>
            </w:pPr>
            <w:r>
              <w:rPr>
                <w:rFonts w:ascii="Arial" w:cs="Arial" w:eastAsia="Arial" w:hAnsi="Arial"/>
                <w:sz w:val="18"/>
                <w:szCs w:val="18"/>
                <w:color w:val="auto"/>
                <w:w w:val="87"/>
              </w:rPr>
              <w:t>1,218,991</w:t>
            </w:r>
          </w:p>
        </w:tc>
        <w:tc>
          <w:tcPr>
            <w:tcW w:w="3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8"/>
        <w:spacing w:after="0" w:line="297" w:lineRule="auto"/>
        <w:tabs>
          <w:tab w:leader="none" w:pos="2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88,991 shares of Common Stock issuable under the Company’s 2012 Stock Incentive Plan as approved by shareholders on June 28, 2012, and 500,000 shares of Common Stock issuable under the Company’s 2013 Stock Incentive Plan as approved by shareholders on June 21, 2013 for use in compensating employees, officers and directors, and 630,000 shares of Common Stock underlying stock options issuable under the Company’s 2014 Stock Option Incentive Plan as approved by shareholders on June 18, 2014 for use in compensating employees, officers and directors. The shares either have been, or will be registered with the Securities and Exchange Commission as employee benefit plans under Form S-8.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15, 2014, shares of Common Stock reserved for future issuance were as follows:</w:t>
      </w:r>
    </w:p>
    <w:p>
      <w:pPr>
        <w:spacing w:after="0" w:line="252" w:lineRule="exact"/>
        <w:rPr>
          <w:sz w:val="20"/>
          <w:szCs w:val="20"/>
          <w:color w:val="auto"/>
        </w:rPr>
      </w:pPr>
    </w:p>
    <w:p>
      <w:pPr>
        <w:ind w:left="660" w:hanging="166"/>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4,309,000 shares issuable upon the exercise of common stock warrants at exercise prices ranging from $2.10 to $2.6058 per share; all warrants were exercisable as of September 15, 2014;</w:t>
      </w:r>
    </w:p>
    <w:p>
      <w:pPr>
        <w:spacing w:after="0" w:line="170"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98,529 shares issuable upon the conversion of outstanding Preferred Stock and cumulative Preferred Stock dividends;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31,484 shares issuable under the 2012 Stock Incentive Plan;</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466,740 shares issuable under the 2013 Stock Incentive Plan;</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750,000 shares underlying stock options issued or to be issued under the 2014 Stock Option Incentive Plan; and</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140,000 shares issuable to our former CEO upon the occurrence of a USA Transaction.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PERFORMANCE GRAPH</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graph shows a comparison of the 5-year cumulative total shareholder return for our common stock with The NASDAQ Composite Index and the S&amp;P 500 Information Technology Index for small cap companies in the United States. The graph assumes a $100 investment on June 30, 2009 in our common stock and in the NASDAQ Composite Index and the S&amp;P 500 Information Technology Index, including reinvestment of dividends.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5-YEAR CUMULATIVE TOTAL RETURN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Among USA Technologies, Inc., The NASDAQ Composite Index and The S&amp;P 500 Information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169545</wp:posOffset>
            </wp:positionV>
            <wp:extent cx="3944620" cy="2641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44620" cy="264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57"/>
        </w:trPr>
        <w:tc>
          <w:tcPr>
            <w:tcW w:w="2880" w:type="dxa"/>
            <w:vAlign w:val="bottom"/>
            <w:gridSpan w:val="2"/>
          </w:tcPr>
          <w:p>
            <w:pPr>
              <w:spacing w:after="0"/>
              <w:rPr>
                <w:sz w:val="20"/>
                <w:szCs w:val="20"/>
                <w:color w:val="auto"/>
              </w:rPr>
            </w:pPr>
            <w:r>
              <w:rPr>
                <w:rFonts w:ascii="Arial" w:cs="Arial" w:eastAsia="Arial" w:hAnsi="Arial"/>
                <w:sz w:val="18"/>
                <w:szCs w:val="18"/>
                <w:color w:val="auto"/>
              </w:rPr>
              <w:t>Total Return For:</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Jun-09</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Jun-10</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Jun-11</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w w:val="98"/>
              </w:rPr>
              <w:t>Jun-12</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w w:val="98"/>
              </w:rPr>
              <w:t>Jun-13</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Jun-14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F0FFFF"/>
          </w:tcPr>
          <w:p>
            <w:pPr>
              <w:spacing w:after="0"/>
              <w:rPr>
                <w:sz w:val="20"/>
                <w:szCs w:val="20"/>
                <w:color w:val="auto"/>
              </w:rPr>
            </w:pPr>
            <w:r>
              <w:rPr>
                <w:rFonts w:ascii="Arial" w:cs="Arial" w:eastAsia="Arial" w:hAnsi="Arial"/>
                <w:sz w:val="18"/>
                <w:szCs w:val="18"/>
                <w:color w:val="auto"/>
              </w:rPr>
              <w:t>USA Technologies, Inc.</w:t>
            </w:r>
          </w:p>
        </w:tc>
        <w:tc>
          <w:tcPr>
            <w:tcW w:w="880" w:type="dxa"/>
            <w:vAlign w:val="bottom"/>
            <w:gridSpan w:val="2"/>
            <w:shd w:val="clear" w:color="auto" w:fill="F0FFFF"/>
          </w:tcPr>
          <w:p>
            <w:pPr>
              <w:jc w:val="right"/>
              <w:ind w:right="590"/>
              <w:spacing w:after="0"/>
              <w:rPr>
                <w:sz w:val="20"/>
                <w:szCs w:val="20"/>
                <w:color w:val="auto"/>
              </w:rPr>
            </w:pPr>
            <w:r>
              <w:rPr>
                <w:rFonts w:ascii="Arial" w:cs="Arial" w:eastAsia="Arial" w:hAnsi="Arial"/>
                <w:sz w:val="18"/>
                <w:szCs w:val="18"/>
                <w:color w:val="auto"/>
              </w:rPr>
              <w:t>$</w:t>
            </w:r>
          </w:p>
        </w:tc>
        <w:tc>
          <w:tcPr>
            <w:tcW w:w="2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100</w:t>
            </w:r>
          </w:p>
        </w:tc>
        <w:tc>
          <w:tcPr>
            <w:tcW w:w="980" w:type="dxa"/>
            <w:vAlign w:val="bottom"/>
            <w:gridSpan w:val="2"/>
            <w:shd w:val="clear" w:color="auto" w:fill="F0FFFF"/>
          </w:tcPr>
          <w:p>
            <w:pPr>
              <w:jc w:val="right"/>
              <w:ind w:right="590"/>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w:t>
            </w:r>
          </w:p>
        </w:tc>
        <w:tc>
          <w:tcPr>
            <w:tcW w:w="980" w:type="dxa"/>
            <w:vAlign w:val="bottom"/>
            <w:gridSpan w:val="2"/>
            <w:shd w:val="clear" w:color="auto" w:fill="F0FFFF"/>
          </w:tcPr>
          <w:p>
            <w:pPr>
              <w:jc w:val="right"/>
              <w:ind w:right="590"/>
              <w:spacing w:after="0"/>
              <w:rPr>
                <w:sz w:val="20"/>
                <w:szCs w:val="20"/>
                <w:color w:val="auto"/>
              </w:rPr>
            </w:pPr>
            <w:r>
              <w:rPr>
                <w:rFonts w:ascii="Arial" w:cs="Arial" w:eastAsia="Arial" w:hAnsi="Arial"/>
                <w:sz w:val="18"/>
                <w:szCs w:val="18"/>
                <w:color w:val="auto"/>
              </w:rPr>
              <w:t>$</w:t>
            </w:r>
          </w:p>
        </w:tc>
        <w:tc>
          <w:tcPr>
            <w:tcW w:w="2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73</w:t>
            </w:r>
          </w:p>
        </w:tc>
        <w:tc>
          <w:tcPr>
            <w:tcW w:w="4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48</w:t>
            </w:r>
          </w:p>
        </w:tc>
        <w:tc>
          <w:tcPr>
            <w:tcW w:w="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57</w:t>
            </w:r>
          </w:p>
        </w:tc>
        <w:tc>
          <w:tcPr>
            <w:tcW w:w="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NASDAQ Composite</w:t>
            </w:r>
          </w:p>
        </w:tc>
        <w:tc>
          <w:tcPr>
            <w:tcW w:w="88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100</w:t>
            </w:r>
          </w:p>
        </w:tc>
        <w:tc>
          <w:tcPr>
            <w:tcW w:w="98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115</w:t>
            </w:r>
          </w:p>
        </w:tc>
        <w:tc>
          <w:tcPr>
            <w:tcW w:w="98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151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185</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S&amp;P 500 Information Technology</w:t>
            </w:r>
          </w:p>
        </w:tc>
        <w:tc>
          <w:tcPr>
            <w:tcW w:w="12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F0FFFF"/>
          </w:tcPr>
          <w:p>
            <w:pPr>
              <w:spacing w:after="0"/>
              <w:rPr>
                <w:sz w:val="20"/>
                <w:szCs w:val="20"/>
                <w:color w:val="auto"/>
              </w:rPr>
            </w:pPr>
            <w:r>
              <w:rPr>
                <w:rFonts w:ascii="Arial" w:cs="Arial" w:eastAsia="Arial" w:hAnsi="Arial"/>
                <w:sz w:val="18"/>
                <w:szCs w:val="18"/>
                <w:color w:val="auto"/>
              </w:rPr>
              <w:t>Index</w:t>
            </w:r>
          </w:p>
        </w:tc>
        <w:tc>
          <w:tcPr>
            <w:tcW w:w="880" w:type="dxa"/>
            <w:vAlign w:val="bottom"/>
            <w:gridSpan w:val="2"/>
            <w:shd w:val="clear" w:color="auto" w:fill="F0FFFF"/>
          </w:tcPr>
          <w:p>
            <w:pPr>
              <w:jc w:val="right"/>
              <w:ind w:right="590"/>
              <w:spacing w:after="0"/>
              <w:rPr>
                <w:sz w:val="20"/>
                <w:szCs w:val="20"/>
                <w:color w:val="auto"/>
              </w:rPr>
            </w:pPr>
            <w:r>
              <w:rPr>
                <w:rFonts w:ascii="Arial" w:cs="Arial" w:eastAsia="Arial" w:hAnsi="Arial"/>
                <w:sz w:val="18"/>
                <w:szCs w:val="18"/>
                <w:color w:val="auto"/>
              </w:rPr>
              <w:t>$</w:t>
            </w:r>
          </w:p>
        </w:tc>
        <w:tc>
          <w:tcPr>
            <w:tcW w:w="2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100</w:t>
            </w:r>
          </w:p>
        </w:tc>
        <w:tc>
          <w:tcPr>
            <w:tcW w:w="980" w:type="dxa"/>
            <w:vAlign w:val="bottom"/>
            <w:gridSpan w:val="2"/>
            <w:shd w:val="clear" w:color="auto" w:fill="F0FFFF"/>
          </w:tcPr>
          <w:p>
            <w:pPr>
              <w:jc w:val="right"/>
              <w:ind w:right="590"/>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115</w:t>
            </w:r>
          </w:p>
        </w:tc>
        <w:tc>
          <w:tcPr>
            <w:tcW w:w="980" w:type="dxa"/>
            <w:vAlign w:val="bottom"/>
            <w:gridSpan w:val="2"/>
            <w:shd w:val="clear" w:color="auto" w:fill="F0FFFF"/>
          </w:tcPr>
          <w:p>
            <w:pPr>
              <w:jc w:val="right"/>
              <w:ind w:right="590"/>
              <w:spacing w:after="0"/>
              <w:rPr>
                <w:sz w:val="20"/>
                <w:szCs w:val="20"/>
                <w:color w:val="auto"/>
              </w:rPr>
            </w:pPr>
            <w:r>
              <w:rPr>
                <w:rFonts w:ascii="Arial" w:cs="Arial" w:eastAsia="Arial" w:hAnsi="Arial"/>
                <w:sz w:val="18"/>
                <w:szCs w:val="18"/>
                <w:color w:val="auto"/>
              </w:rPr>
              <w:t>$</w:t>
            </w:r>
          </w:p>
        </w:tc>
        <w:tc>
          <w:tcPr>
            <w:tcW w:w="2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86"/>
              </w:rPr>
              <w:t>143</w:t>
            </w:r>
          </w:p>
        </w:tc>
        <w:tc>
          <w:tcPr>
            <w:tcW w:w="4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161</w:t>
            </w:r>
          </w:p>
        </w:tc>
        <w:tc>
          <w:tcPr>
            <w:tcW w:w="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170</w:t>
            </w:r>
          </w:p>
        </w:tc>
        <w:tc>
          <w:tcPr>
            <w:tcW w:w="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 the performance graph is not deemed to be “soliciting material” or to be “filed” with the Securities and Exchange Commission or subject to Regulation 14A or 14C under the Securities Exchange Act of 1934, as amended, or to the liabilities of Section 18 of the Securities Exchange Act of 1934, as amended, and will not be deemed to be incorporated by reference into any filing under the Securities Act of 1933, as amended, or the Securities Exchange Act of 1934, as amended, except to the extent that we specifically incorporate it by reference into such a filing. The stock price performance included in this graph is not necessarily indicative of future stock price performance.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selected financial data for the five years ended June 30, 2014 are derived from the audited consolidated financial statements of USA Technologies, Inc. The data should be read in conjunction with the consolidated financial statements, related notes, and other financial information.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w w:val="86"/>
              </w:rPr>
              <w:t>Year ended June 30,</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F0FFFF"/>
          </w:tcPr>
          <w:p>
            <w:pPr>
              <w:spacing w:after="0"/>
              <w:rPr>
                <w:sz w:val="20"/>
                <w:szCs w:val="20"/>
                <w:color w:val="auto"/>
              </w:rPr>
            </w:pPr>
            <w:r>
              <w:rPr>
                <w:rFonts w:ascii="Arial" w:cs="Arial" w:eastAsia="Arial" w:hAnsi="Arial"/>
                <w:sz w:val="18"/>
                <w:szCs w:val="18"/>
                <w:color w:val="auto"/>
              </w:rPr>
              <w:t>OPERATIONS DATA</w:t>
            </w:r>
          </w:p>
        </w:tc>
        <w:tc>
          <w:tcPr>
            <w:tcW w:w="6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F0FFFF"/>
          </w:tcPr>
          <w:p>
            <w:pPr>
              <w:spacing w:after="0"/>
              <w:rPr>
                <w:sz w:val="20"/>
                <w:szCs w:val="20"/>
                <w:color w:val="auto"/>
              </w:rPr>
            </w:pPr>
            <w:r>
              <w:rPr>
                <w:rFonts w:ascii="Arial" w:cs="Arial" w:eastAsia="Arial" w:hAnsi="Arial"/>
                <w:sz w:val="18"/>
                <w:szCs w:val="18"/>
                <w:color w:val="auto"/>
              </w:rPr>
              <w:t>Revenues</w:t>
            </w:r>
          </w:p>
        </w:tc>
        <w:tc>
          <w:tcPr>
            <w:tcW w:w="86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42,344,964</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35,940,244</w:t>
            </w:r>
          </w:p>
        </w:tc>
        <w:tc>
          <w:tcPr>
            <w:tcW w:w="4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29,017,243</w:t>
            </w: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w w:val="99"/>
              </w:rPr>
              <w:t>22,868,789</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15,771,106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F0FFFF"/>
          </w:tcPr>
          <w:p>
            <w:pPr>
              <w:spacing w:after="0"/>
              <w:rPr>
                <w:sz w:val="20"/>
                <w:szCs w:val="20"/>
                <w:color w:val="auto"/>
              </w:rPr>
            </w:pPr>
            <w:r>
              <w:rPr>
                <w:rFonts w:ascii="Arial" w:cs="Arial" w:eastAsia="Arial" w:hAnsi="Arial"/>
                <w:sz w:val="18"/>
                <w:szCs w:val="18"/>
                <w:color w:val="auto"/>
              </w:rPr>
              <w:t>Operating income (loss)</w:t>
            </w:r>
          </w:p>
        </w:tc>
        <w:tc>
          <w:tcPr>
            <w:tcW w:w="86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436,332</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713,925</w:t>
            </w:r>
          </w:p>
        </w:tc>
        <w:tc>
          <w:tcPr>
            <w:tcW w:w="4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(7,000,392)</w:t>
            </w: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(5,688,217)</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w w:val="97"/>
              </w:rPr>
              <w:t>(11,595,697)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86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27,530,652</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854,123</w:t>
            </w:r>
          </w:p>
        </w:tc>
        <w:tc>
          <w:tcPr>
            <w:tcW w:w="4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(5,211,238)</w:t>
            </w: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(6,457,067)</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w w:val="97"/>
              </w:rPr>
              <w:t>(11,571,495)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6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(664,452)</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(664,452)</w:t>
            </w:r>
          </w:p>
        </w:tc>
        <w:tc>
          <w:tcPr>
            <w:tcW w:w="2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(664,452)</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(665,577)</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(735,139)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shd w:val="clear" w:color="auto" w:fill="F0FFFF"/>
          </w:tcPr>
          <w:p>
            <w:pPr>
              <w:spacing w:after="0"/>
              <w:rPr>
                <w:sz w:val="2"/>
                <w:szCs w:val="2"/>
                <w:color w:val="auto"/>
              </w:rPr>
            </w:pPr>
          </w:p>
        </w:tc>
        <w:tc>
          <w:tcPr>
            <w:tcW w:w="64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tcBorders>
              <w:right w:val="single" w:sz="8" w:color="F0FFFF"/>
            </w:tcBorders>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income (loss) applicable to common shares</w:t>
            </w:r>
          </w:p>
        </w:tc>
        <w:tc>
          <w:tcPr>
            <w:tcW w:w="6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26,866,200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189,671</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(5,875,690)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(7,122,644)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(12,306,634)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earnings (loss) per common share - basic</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0.78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(0.26)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earnings (loss) per common share - diluted</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0.78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(0.26)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Cash dividends per common share</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BALANCE SHEET DATA</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F0FFFF"/>
          </w:tcPr>
          <w:p>
            <w:pPr>
              <w:spacing w:after="0"/>
              <w:rPr>
                <w:sz w:val="20"/>
                <w:szCs w:val="20"/>
                <w:color w:val="auto"/>
              </w:rPr>
            </w:pPr>
            <w:r>
              <w:rPr>
                <w:rFonts w:ascii="Arial" w:cs="Arial" w:eastAsia="Arial" w:hAnsi="Arial"/>
                <w:sz w:val="18"/>
                <w:szCs w:val="18"/>
                <w:color w:val="auto"/>
              </w:rPr>
              <w:t>Total assets</w:t>
            </w:r>
          </w:p>
        </w:tc>
        <w:tc>
          <w:tcPr>
            <w:tcW w:w="86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70,764,242</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36,576,196</w:t>
            </w:r>
          </w:p>
        </w:tc>
        <w:tc>
          <w:tcPr>
            <w:tcW w:w="4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33,219,657</w:t>
            </w: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w w:val="99"/>
              </w:rPr>
              <w:t>36,004,005</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29,848,424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Long-term debt</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422,776</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369,906</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728,330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253,061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596,155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F0FFFF"/>
          </w:tcPr>
          <w:p>
            <w:pPr>
              <w:spacing w:after="0"/>
              <w:rPr>
                <w:sz w:val="20"/>
                <w:szCs w:val="20"/>
                <w:color w:val="auto"/>
              </w:rPr>
            </w:pPr>
            <w:r>
              <w:rPr>
                <w:rFonts w:ascii="Arial" w:cs="Arial" w:eastAsia="Arial" w:hAnsi="Arial"/>
                <w:sz w:val="18"/>
                <w:szCs w:val="18"/>
                <w:color w:val="auto"/>
              </w:rPr>
              <w:t>Shareholders’ equity</w:t>
            </w:r>
          </w:p>
        </w:tc>
        <w:tc>
          <w:tcPr>
            <w:tcW w:w="86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53,736,667</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23,379,191</w:t>
            </w:r>
          </w:p>
        </w:tc>
        <w:tc>
          <w:tcPr>
            <w:tcW w:w="4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21,655,022</w:t>
            </w: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w w:val="99"/>
              </w:rPr>
              <w:t>26,125,531</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22,812,172</w:t>
            </w: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4040" w:type="dxa"/>
            <w:vAlign w:val="bottom"/>
            <w:tcBorders>
              <w:bottom w:val="single" w:sz="8" w:color="DCDCDC"/>
            </w:tcBorders>
          </w:tcPr>
          <w:p>
            <w:pPr>
              <w:spacing w:after="0"/>
              <w:rPr>
                <w:sz w:val="24"/>
                <w:szCs w:val="24"/>
                <w:color w:val="auto"/>
              </w:rPr>
            </w:pPr>
          </w:p>
        </w:tc>
        <w:tc>
          <w:tcPr>
            <w:tcW w:w="6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32" w:name="page33"/>
    <w:bookmarkEnd w:id="32"/>
    <w:p>
      <w:pPr>
        <w:jc w:val="both"/>
        <w:spacing w:after="0" w:line="264" w:lineRule="auto"/>
        <w:rPr>
          <w:sz w:val="20"/>
          <w:szCs w:val="20"/>
          <w:color w:val="auto"/>
        </w:rPr>
      </w:pPr>
      <w:r>
        <w:rPr>
          <w:rFonts w:ascii="Arial" w:cs="Arial" w:eastAsia="Arial" w:hAnsi="Arial"/>
          <w:sz w:val="18"/>
          <w:szCs w:val="18"/>
          <w:color w:val="auto"/>
        </w:rPr>
        <w:t>The following unaudited quarterly financial operations data for the years ended June 30, 2014 and June 30, 2013 is derived from the audited consolidated financial statements of USA Technologies, Inc. and its interim reports for the quarters therein. The data should be read in conjunction with the consolidated financial statements, related notes, and other financial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i w:val="1"/>
                <w:iCs w:val="1"/>
                <w:color w:val="auto"/>
              </w:rPr>
              <w:t>UNAUDITED</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ind w:right="170"/>
              <w:spacing w:after="0" w:line="198" w:lineRule="exact"/>
              <w:rPr>
                <w:sz w:val="20"/>
                <w:szCs w:val="20"/>
                <w:color w:val="auto"/>
              </w:rPr>
            </w:pPr>
            <w:r>
              <w:rPr>
                <w:rFonts w:ascii="Arial" w:cs="Arial" w:eastAsia="Arial" w:hAnsi="Arial"/>
                <w:sz w:val="18"/>
                <w:szCs w:val="18"/>
                <w:b w:val="1"/>
                <w:bCs w:val="1"/>
                <w:color w:val="auto"/>
                <w:w w:val="82"/>
              </w:rPr>
              <w:t>Second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center"/>
              <w:ind w:right="230"/>
              <w:spacing w:after="0" w:line="198" w:lineRule="exact"/>
              <w:rPr>
                <w:sz w:val="20"/>
                <w:szCs w:val="20"/>
                <w:color w:val="auto"/>
              </w:rPr>
            </w:pPr>
            <w:r>
              <w:rPr>
                <w:rFonts w:ascii="Arial" w:cs="Arial" w:eastAsia="Arial" w:hAnsi="Arial"/>
                <w:sz w:val="18"/>
                <w:szCs w:val="18"/>
                <w:b w:val="1"/>
                <w:bCs w:val="1"/>
                <w:color w:val="auto"/>
                <w:w w:val="94"/>
              </w:rPr>
              <w:t>Fourth</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YEAR ENDED JUNE 30, 2014</w:t>
            </w:r>
          </w:p>
        </w:tc>
        <w:tc>
          <w:tcPr>
            <w:tcW w:w="280" w:type="dxa"/>
            <w:vAlign w:val="bottom"/>
          </w:tcPr>
          <w:p>
            <w:pPr>
              <w:spacing w:after="0"/>
              <w:rPr>
                <w:sz w:val="20"/>
                <w:szCs w:val="20"/>
                <w:color w:val="auto"/>
              </w:rPr>
            </w:pPr>
          </w:p>
        </w:tc>
        <w:tc>
          <w:tcPr>
            <w:tcW w:w="13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First Quarter</w:t>
            </w:r>
          </w:p>
        </w:tc>
        <w:tc>
          <w:tcPr>
            <w:tcW w:w="26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Quarter</w:t>
            </w: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Third Quarter</w:t>
            </w:r>
          </w:p>
        </w:tc>
        <w:tc>
          <w:tcPr>
            <w:tcW w:w="260" w:type="dxa"/>
            <w:vAlign w:val="bottom"/>
          </w:tcPr>
          <w:p>
            <w:pPr>
              <w:spacing w:after="0"/>
              <w:rPr>
                <w:sz w:val="20"/>
                <w:szCs w:val="20"/>
                <w:color w:val="auto"/>
              </w:rPr>
            </w:pPr>
          </w:p>
        </w:tc>
        <w:tc>
          <w:tcPr>
            <w:tcW w:w="110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Quarter</w:t>
            </w:r>
          </w:p>
        </w:tc>
        <w:tc>
          <w:tcPr>
            <w:tcW w:w="28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Year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Revenues</w:t>
            </w:r>
          </w:p>
        </w:tc>
        <w:tc>
          <w:tcPr>
            <w:tcW w:w="5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10,123,058</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10,570,514</w:t>
            </w:r>
          </w:p>
        </w:tc>
        <w:tc>
          <w:tcPr>
            <w:tcW w:w="3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10,443,932</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11,207,460</w:t>
            </w:r>
          </w:p>
        </w:tc>
        <w:tc>
          <w:tcPr>
            <w:tcW w:w="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42,344,964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Gross profit</w:t>
            </w:r>
          </w:p>
        </w:tc>
        <w:tc>
          <w:tcPr>
            <w:tcW w:w="5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3,582,771</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3,830,133</w:t>
            </w:r>
          </w:p>
        </w:tc>
        <w:tc>
          <w:tcPr>
            <w:tcW w:w="3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3,997,788</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3,662,144</w:t>
            </w:r>
          </w:p>
        </w:tc>
        <w:tc>
          <w:tcPr>
            <w:tcW w:w="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15,072,836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Operating income (loss)</w:t>
            </w:r>
          </w:p>
        </w:tc>
        <w:tc>
          <w:tcPr>
            <w:tcW w:w="5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128,918</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509,690</w:t>
            </w:r>
          </w:p>
        </w:tc>
        <w:tc>
          <w:tcPr>
            <w:tcW w:w="3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365,535</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(567,811)</w:t>
            </w:r>
          </w:p>
        </w:tc>
        <w:tc>
          <w:tcPr>
            <w:tcW w:w="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436,332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5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293,654</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409,191</w:t>
            </w:r>
          </w:p>
        </w:tc>
        <w:tc>
          <w:tcPr>
            <w:tcW w:w="3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26,866,526</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(38,719)</w:t>
            </w:r>
          </w:p>
        </w:tc>
        <w:tc>
          <w:tcPr>
            <w:tcW w:w="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27,530,652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5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(332,226)</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(332,226)</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(664,452)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 applicable to common shares</w:t>
            </w:r>
          </w:p>
        </w:tc>
        <w:tc>
          <w:tcPr>
            <w:tcW w:w="5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(38,572)</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409,191</w:t>
            </w:r>
          </w:p>
        </w:tc>
        <w:tc>
          <w:tcPr>
            <w:tcW w:w="3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26,534,300</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(38,719)</w:t>
            </w:r>
          </w:p>
        </w:tc>
        <w:tc>
          <w:tcPr>
            <w:tcW w:w="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26,866,200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Net earnings (loss) per common share - basic</w:t>
            </w:r>
          </w:p>
        </w:tc>
        <w:tc>
          <w:tcPr>
            <w:tcW w:w="5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0.01</w:t>
            </w:r>
          </w:p>
        </w:tc>
        <w:tc>
          <w:tcPr>
            <w:tcW w:w="3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0.75</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w w:val="94"/>
              </w:rPr>
              <w:t>Weighted average number of common shares outstanding</w:t>
            </w:r>
          </w:p>
        </w:tc>
        <w:tc>
          <w:tcPr>
            <w:tcW w:w="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33,324,295</w:t>
            </w:r>
          </w:p>
        </w:tc>
        <w:tc>
          <w:tcPr>
            <w:tcW w:w="260" w:type="dxa"/>
            <w:vAlign w:val="bottom"/>
            <w:shd w:val="clear" w:color="auto" w:fill="F0FFFF"/>
          </w:tcPr>
          <w:p>
            <w:pPr>
              <w:spacing w:after="0"/>
              <w:rPr>
                <w:sz w:val="18"/>
                <w:szCs w:val="18"/>
                <w:color w:val="auto"/>
              </w:rPr>
            </w:pP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34,136,884</w:t>
            </w:r>
          </w:p>
        </w:tc>
        <w:tc>
          <w:tcPr>
            <w:tcW w:w="32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35,504,911</w:t>
            </w:r>
          </w:p>
        </w:tc>
        <w:tc>
          <w:tcPr>
            <w:tcW w:w="260" w:type="dxa"/>
            <w:vAlign w:val="bottom"/>
            <w:shd w:val="clear" w:color="auto" w:fill="F0FFFF"/>
          </w:tcPr>
          <w:p>
            <w:pPr>
              <w:spacing w:after="0"/>
              <w:rPr>
                <w:sz w:val="18"/>
                <w:szCs w:val="18"/>
                <w:color w:val="auto"/>
              </w:rPr>
            </w:pPr>
          </w:p>
        </w:tc>
        <w:tc>
          <w:tcPr>
            <w:tcW w:w="110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35,517,099</w:t>
            </w:r>
          </w:p>
        </w:tc>
        <w:tc>
          <w:tcPr>
            <w:tcW w:w="2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34,613,497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Net earnings (loss) per common share - diluted</w:t>
            </w:r>
          </w:p>
        </w:tc>
        <w:tc>
          <w:tcPr>
            <w:tcW w:w="5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0.01</w:t>
            </w:r>
          </w:p>
        </w:tc>
        <w:tc>
          <w:tcPr>
            <w:tcW w:w="3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0.75</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Diluted weighted average number of common shares</w:t>
            </w:r>
          </w:p>
        </w:tc>
        <w:tc>
          <w:tcPr>
            <w:tcW w:w="2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outstanding</w:t>
            </w:r>
          </w:p>
        </w:tc>
        <w:tc>
          <w:tcPr>
            <w:tcW w:w="28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10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33,324,295</w:t>
            </w:r>
          </w:p>
        </w:tc>
        <w:tc>
          <w:tcPr>
            <w:tcW w:w="260" w:type="dxa"/>
            <w:vAlign w:val="bottom"/>
            <w:shd w:val="clear" w:color="auto" w:fill="F0FFFF"/>
          </w:tcPr>
          <w:p>
            <w:pPr>
              <w:spacing w:after="0"/>
              <w:rPr>
                <w:sz w:val="20"/>
                <w:szCs w:val="20"/>
                <w:color w:val="auto"/>
              </w:rPr>
            </w:pP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34,222,731</w:t>
            </w:r>
          </w:p>
        </w:tc>
        <w:tc>
          <w:tcPr>
            <w:tcW w:w="320" w:type="dxa"/>
            <w:vAlign w:val="bottom"/>
            <w:shd w:val="clear" w:color="auto" w:fill="F0FFFF"/>
          </w:tcPr>
          <w:p>
            <w:pPr>
              <w:spacing w:after="0"/>
              <w:rPr>
                <w:sz w:val="20"/>
                <w:szCs w:val="20"/>
                <w:color w:val="auto"/>
              </w:rPr>
            </w:pP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35,504,911</w:t>
            </w:r>
          </w:p>
        </w:tc>
        <w:tc>
          <w:tcPr>
            <w:tcW w:w="260" w:type="dxa"/>
            <w:vAlign w:val="bottom"/>
            <w:shd w:val="clear" w:color="auto" w:fill="F0FFFF"/>
          </w:tcPr>
          <w:p>
            <w:pPr>
              <w:spacing w:after="0"/>
              <w:rPr>
                <w:sz w:val="20"/>
                <w:szCs w:val="20"/>
                <w:color w:val="auto"/>
              </w:rPr>
            </w:pPr>
          </w:p>
        </w:tc>
        <w:tc>
          <w:tcPr>
            <w:tcW w:w="110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35,517,099</w:t>
            </w:r>
          </w:p>
        </w:tc>
        <w:tc>
          <w:tcPr>
            <w:tcW w:w="28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34,613,497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i w:val="1"/>
                <w:iCs w:val="1"/>
                <w:color w:val="auto"/>
              </w:rPr>
              <w:t>UNAUDITED</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ind w:right="170"/>
              <w:spacing w:after="0" w:line="198" w:lineRule="exact"/>
              <w:rPr>
                <w:sz w:val="20"/>
                <w:szCs w:val="20"/>
                <w:color w:val="auto"/>
              </w:rPr>
            </w:pPr>
            <w:r>
              <w:rPr>
                <w:rFonts w:ascii="Arial" w:cs="Arial" w:eastAsia="Arial" w:hAnsi="Arial"/>
                <w:sz w:val="18"/>
                <w:szCs w:val="18"/>
                <w:b w:val="1"/>
                <w:bCs w:val="1"/>
                <w:color w:val="auto"/>
                <w:w w:val="82"/>
              </w:rPr>
              <w:t>Second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center"/>
              <w:ind w:right="230"/>
              <w:spacing w:after="0" w:line="198" w:lineRule="exact"/>
              <w:rPr>
                <w:sz w:val="20"/>
                <w:szCs w:val="20"/>
                <w:color w:val="auto"/>
              </w:rPr>
            </w:pPr>
            <w:r>
              <w:rPr>
                <w:rFonts w:ascii="Arial" w:cs="Arial" w:eastAsia="Arial" w:hAnsi="Arial"/>
                <w:sz w:val="18"/>
                <w:szCs w:val="18"/>
                <w:b w:val="1"/>
                <w:bCs w:val="1"/>
                <w:color w:val="auto"/>
                <w:w w:val="94"/>
              </w:rPr>
              <w:t>Fourth</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YEAR ENDED JUNE 30, 2013</w:t>
            </w:r>
          </w:p>
        </w:tc>
        <w:tc>
          <w:tcPr>
            <w:tcW w:w="280" w:type="dxa"/>
            <w:vAlign w:val="bottom"/>
          </w:tcPr>
          <w:p>
            <w:pPr>
              <w:spacing w:after="0"/>
              <w:rPr>
                <w:sz w:val="20"/>
                <w:szCs w:val="20"/>
                <w:color w:val="auto"/>
              </w:rPr>
            </w:pPr>
          </w:p>
        </w:tc>
        <w:tc>
          <w:tcPr>
            <w:tcW w:w="13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First Quarter</w:t>
            </w:r>
          </w:p>
        </w:tc>
        <w:tc>
          <w:tcPr>
            <w:tcW w:w="26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Quarter</w:t>
            </w: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Third Quarter</w:t>
            </w:r>
          </w:p>
        </w:tc>
        <w:tc>
          <w:tcPr>
            <w:tcW w:w="260" w:type="dxa"/>
            <w:vAlign w:val="bottom"/>
          </w:tcPr>
          <w:p>
            <w:pPr>
              <w:spacing w:after="0"/>
              <w:rPr>
                <w:sz w:val="20"/>
                <w:szCs w:val="20"/>
                <w:color w:val="auto"/>
              </w:rPr>
            </w:pPr>
          </w:p>
        </w:tc>
        <w:tc>
          <w:tcPr>
            <w:tcW w:w="110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Quarter</w:t>
            </w:r>
          </w:p>
        </w:tc>
        <w:tc>
          <w:tcPr>
            <w:tcW w:w="28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Year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Revenues</w:t>
            </w:r>
          </w:p>
        </w:tc>
        <w:tc>
          <w:tcPr>
            <w:tcW w:w="5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8,390,277</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8,884,321</w:t>
            </w:r>
          </w:p>
        </w:tc>
        <w:tc>
          <w:tcPr>
            <w:tcW w:w="3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8,980,804</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9,684,842</w:t>
            </w:r>
          </w:p>
        </w:tc>
        <w:tc>
          <w:tcPr>
            <w:tcW w:w="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35,940,244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Gross profit</w:t>
            </w:r>
          </w:p>
        </w:tc>
        <w:tc>
          <w:tcPr>
            <w:tcW w:w="5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3,144,281</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3,600,181</w:t>
            </w:r>
          </w:p>
        </w:tc>
        <w:tc>
          <w:tcPr>
            <w:tcW w:w="3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3,681,339</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3,670,812</w:t>
            </w:r>
          </w:p>
        </w:tc>
        <w:tc>
          <w:tcPr>
            <w:tcW w:w="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14,096,613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Operating income (loss)</w:t>
            </w:r>
          </w:p>
        </w:tc>
        <w:tc>
          <w:tcPr>
            <w:tcW w:w="5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(414,232)</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567,650</w:t>
            </w:r>
          </w:p>
        </w:tc>
        <w:tc>
          <w:tcPr>
            <w:tcW w:w="3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350,219</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210,288</w:t>
            </w:r>
          </w:p>
        </w:tc>
        <w:tc>
          <w:tcPr>
            <w:tcW w:w="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713,925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5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39,140</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153,758</w:t>
            </w:r>
          </w:p>
        </w:tc>
        <w:tc>
          <w:tcPr>
            <w:tcW w:w="3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(1,015,943)</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1,677,168</w:t>
            </w:r>
          </w:p>
        </w:tc>
        <w:tc>
          <w:tcPr>
            <w:tcW w:w="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854,123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5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(332,226)</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(332,226)</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(664,452)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 applicable to common shares</w:t>
            </w:r>
          </w:p>
        </w:tc>
        <w:tc>
          <w:tcPr>
            <w:tcW w:w="5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(293,086)</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153,758</w:t>
            </w:r>
          </w:p>
        </w:tc>
        <w:tc>
          <w:tcPr>
            <w:tcW w:w="3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(1,348,169)</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1,677,168</w:t>
            </w:r>
          </w:p>
        </w:tc>
        <w:tc>
          <w:tcPr>
            <w:tcW w:w="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189,671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Net earnings (loss) per common share - basic</w:t>
            </w:r>
          </w:p>
        </w:tc>
        <w:tc>
          <w:tcPr>
            <w:tcW w:w="5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(0.04)</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0.05</w:t>
            </w:r>
          </w:p>
        </w:tc>
        <w:tc>
          <w:tcPr>
            <w:tcW w:w="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w w:val="94"/>
              </w:rPr>
              <w:t>Weighted average number of common shares outstanding</w:t>
            </w:r>
          </w:p>
        </w:tc>
        <w:tc>
          <w:tcPr>
            <w:tcW w:w="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32,518,230</w:t>
            </w:r>
          </w:p>
        </w:tc>
        <w:tc>
          <w:tcPr>
            <w:tcW w:w="260" w:type="dxa"/>
            <w:vAlign w:val="bottom"/>
            <w:shd w:val="clear" w:color="auto" w:fill="F0FFFF"/>
          </w:tcPr>
          <w:p>
            <w:pPr>
              <w:spacing w:after="0"/>
              <w:rPr>
                <w:sz w:val="18"/>
                <w:szCs w:val="18"/>
                <w:color w:val="auto"/>
              </w:rPr>
            </w:pP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32,734,394</w:t>
            </w:r>
          </w:p>
        </w:tc>
        <w:tc>
          <w:tcPr>
            <w:tcW w:w="32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32,821,345</w:t>
            </w:r>
          </w:p>
        </w:tc>
        <w:tc>
          <w:tcPr>
            <w:tcW w:w="260" w:type="dxa"/>
            <w:vAlign w:val="bottom"/>
            <w:shd w:val="clear" w:color="auto" w:fill="F0FFFF"/>
          </w:tcPr>
          <w:p>
            <w:pPr>
              <w:spacing w:after="0"/>
              <w:rPr>
                <w:sz w:val="18"/>
                <w:szCs w:val="18"/>
                <w:color w:val="auto"/>
              </w:rPr>
            </w:pPr>
          </w:p>
        </w:tc>
        <w:tc>
          <w:tcPr>
            <w:tcW w:w="110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33,080,641</w:t>
            </w:r>
          </w:p>
        </w:tc>
        <w:tc>
          <w:tcPr>
            <w:tcW w:w="2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32,787,673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Net earnings (loss) per common share - diluted</w:t>
            </w:r>
          </w:p>
        </w:tc>
        <w:tc>
          <w:tcPr>
            <w:tcW w:w="5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F0FF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(0.04)</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0.05</w:t>
            </w:r>
          </w:p>
        </w:tc>
        <w:tc>
          <w:tcPr>
            <w:tcW w:w="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Diluted weighted average number of common shares</w:t>
            </w:r>
          </w:p>
        </w:tc>
        <w:tc>
          <w:tcPr>
            <w:tcW w:w="2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outstanding</w:t>
            </w:r>
          </w:p>
        </w:tc>
        <w:tc>
          <w:tcPr>
            <w:tcW w:w="28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10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32,518,230</w:t>
            </w:r>
          </w:p>
        </w:tc>
        <w:tc>
          <w:tcPr>
            <w:tcW w:w="260" w:type="dxa"/>
            <w:vAlign w:val="bottom"/>
            <w:shd w:val="clear" w:color="auto" w:fill="F0FFFF"/>
          </w:tcPr>
          <w:p>
            <w:pPr>
              <w:spacing w:after="0"/>
              <w:rPr>
                <w:sz w:val="20"/>
                <w:szCs w:val="20"/>
                <w:color w:val="auto"/>
              </w:rPr>
            </w:pP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33,468,336</w:t>
            </w:r>
          </w:p>
        </w:tc>
        <w:tc>
          <w:tcPr>
            <w:tcW w:w="320" w:type="dxa"/>
            <w:vAlign w:val="bottom"/>
            <w:shd w:val="clear" w:color="auto" w:fill="F0FFFF"/>
          </w:tcPr>
          <w:p>
            <w:pPr>
              <w:spacing w:after="0"/>
              <w:rPr>
                <w:sz w:val="20"/>
                <w:szCs w:val="20"/>
                <w:color w:val="auto"/>
              </w:rPr>
            </w:pP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32,821,345</w:t>
            </w:r>
          </w:p>
        </w:tc>
        <w:tc>
          <w:tcPr>
            <w:tcW w:w="260" w:type="dxa"/>
            <w:vAlign w:val="bottom"/>
            <w:shd w:val="clear" w:color="auto" w:fill="F0FFFF"/>
          </w:tcPr>
          <w:p>
            <w:pPr>
              <w:spacing w:after="0"/>
              <w:rPr>
                <w:sz w:val="20"/>
                <w:szCs w:val="20"/>
                <w:color w:val="auto"/>
              </w:rPr>
            </w:pPr>
          </w:p>
        </w:tc>
        <w:tc>
          <w:tcPr>
            <w:tcW w:w="110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34,115,444</w:t>
            </w:r>
          </w:p>
        </w:tc>
        <w:tc>
          <w:tcPr>
            <w:tcW w:w="28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33,613,346</w:t>
            </w: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440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jc w:val="right"/>
              <w:ind w:right="130"/>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2" w:right="2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The following unaudited quarterly cash flow data for the years ended June 30, 2014 and June 30, 2013 is derived from the audited consolidated financial statements of USA Technologies, Inc. and its interim reports for the quarters therein. The data reflects the reclassification of the cash used for purchase of property for the rental program from operating activities to investing activities. The data should be read in conjunction with the consolidated financial statements, related notes, and other financial information.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UNAUDITED</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Second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Fourth</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YEAR ENDED JUNE 30, 2014</w:t>
            </w:r>
          </w:p>
        </w:tc>
        <w:tc>
          <w:tcPr>
            <w:tcW w:w="120" w:type="dxa"/>
            <w:vAlign w:val="bottom"/>
          </w:tcPr>
          <w:p>
            <w:pPr>
              <w:spacing w:after="0"/>
              <w:rPr>
                <w:sz w:val="20"/>
                <w:szCs w:val="20"/>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First Quarter</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8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Third Quarter</w:t>
            </w:r>
          </w:p>
        </w:tc>
        <w:tc>
          <w:tcPr>
            <w:tcW w:w="18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Year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911,824</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1,743,352</w:t>
            </w:r>
          </w:p>
        </w:tc>
        <w:tc>
          <w:tcPr>
            <w:tcW w:w="30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2,162,782</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2,267,442</w:t>
            </w:r>
          </w:p>
        </w:tc>
        <w:tc>
          <w:tcPr>
            <w:tcW w:w="3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7,085,400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(2,089,601)</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(2,478,986)</w:t>
            </w:r>
          </w:p>
        </w:tc>
        <w:tc>
          <w:tcPr>
            <w:tcW w:w="30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(2,673,060)</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(675,805)</w:t>
            </w:r>
          </w:p>
        </w:tc>
        <w:tc>
          <w:tcPr>
            <w:tcW w:w="3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(7,917,452)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1,008,677</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1,578,733</w:t>
            </w:r>
          </w:p>
        </w:tc>
        <w:tc>
          <w:tcPr>
            <w:tcW w:w="30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432,396</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903,566</w:t>
            </w:r>
          </w:p>
        </w:tc>
        <w:tc>
          <w:tcPr>
            <w:tcW w:w="3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3,923,372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(169,100)</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843,099</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(77,882)</w:t>
            </w: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2,495,203</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3,091,320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8"/>
                <w:szCs w:val="18"/>
                <w:color w:val="auto"/>
              </w:rPr>
              <w:t>Cash and cash equivalents at beginning of year</w:t>
            </w:r>
          </w:p>
        </w:tc>
        <w:tc>
          <w:tcPr>
            <w:tcW w:w="1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5,981,000</w:t>
            </w:r>
          </w:p>
        </w:tc>
        <w:tc>
          <w:tcPr>
            <w:tcW w:w="10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5,811,900</w:t>
            </w:r>
          </w:p>
        </w:tc>
        <w:tc>
          <w:tcPr>
            <w:tcW w:w="8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6,654,999</w:t>
            </w:r>
          </w:p>
        </w:tc>
        <w:tc>
          <w:tcPr>
            <w:tcW w:w="2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6,577,117</w:t>
            </w:r>
          </w:p>
        </w:tc>
        <w:tc>
          <w:tcPr>
            <w:tcW w:w="8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5,981,000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8"/>
                <w:szCs w:val="18"/>
                <w:color w:val="auto"/>
              </w:rPr>
              <w:t>Cash and cash equivalents at end of year</w:t>
            </w: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5,811,900</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6,654,999</w:t>
            </w:r>
          </w:p>
        </w:tc>
        <w:tc>
          <w:tcPr>
            <w:tcW w:w="30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6,577,117</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9,072,320</w:t>
            </w:r>
          </w:p>
        </w:tc>
        <w:tc>
          <w:tcPr>
            <w:tcW w:w="3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9,072,320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UNAUDITED</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Second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Fourth</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YEAR ENDED JUNE 30, 2013</w:t>
            </w:r>
          </w:p>
        </w:tc>
        <w:tc>
          <w:tcPr>
            <w:tcW w:w="120" w:type="dxa"/>
            <w:vAlign w:val="bottom"/>
          </w:tcPr>
          <w:p>
            <w:pPr>
              <w:spacing w:after="0"/>
              <w:rPr>
                <w:sz w:val="20"/>
                <w:szCs w:val="20"/>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First Quarter</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8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Third Quarter</w:t>
            </w:r>
          </w:p>
        </w:tc>
        <w:tc>
          <w:tcPr>
            <w:tcW w:w="18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Year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678,010</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1,922,175</w:t>
            </w:r>
          </w:p>
        </w:tc>
        <w:tc>
          <w:tcPr>
            <w:tcW w:w="30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(217,437)</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3,656,204</w:t>
            </w:r>
          </w:p>
        </w:tc>
        <w:tc>
          <w:tcPr>
            <w:tcW w:w="3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6,038,952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(2,076,915)</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(2,515,533)</w:t>
            </w:r>
          </w:p>
        </w:tc>
        <w:tc>
          <w:tcPr>
            <w:tcW w:w="30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(1,790,849)</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(2,797,540)</w:t>
            </w:r>
          </w:p>
        </w:tc>
        <w:tc>
          <w:tcPr>
            <w:tcW w:w="3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(9,180,837)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1,175,963</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(563,999)</w:t>
            </w:r>
          </w:p>
        </w:tc>
        <w:tc>
          <w:tcPr>
            <w:tcW w:w="30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910,477</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1,173,799</w:t>
            </w:r>
          </w:p>
        </w:tc>
        <w:tc>
          <w:tcPr>
            <w:tcW w:w="3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2,696,240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(222,942)</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(1,157,357)</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(1,097,809)</w:t>
            </w: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2,032,463</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(445,645)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8"/>
                <w:szCs w:val="18"/>
                <w:color w:val="auto"/>
              </w:rPr>
              <w:t>Cash and cash equivalents at beginning of year</w:t>
            </w:r>
          </w:p>
        </w:tc>
        <w:tc>
          <w:tcPr>
            <w:tcW w:w="1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6,426,645</w:t>
            </w:r>
          </w:p>
        </w:tc>
        <w:tc>
          <w:tcPr>
            <w:tcW w:w="10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6,203,703</w:t>
            </w:r>
          </w:p>
        </w:tc>
        <w:tc>
          <w:tcPr>
            <w:tcW w:w="8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5,046,346</w:t>
            </w:r>
          </w:p>
        </w:tc>
        <w:tc>
          <w:tcPr>
            <w:tcW w:w="2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3,948,537</w:t>
            </w:r>
          </w:p>
        </w:tc>
        <w:tc>
          <w:tcPr>
            <w:tcW w:w="8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6,426,645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8"/>
                <w:szCs w:val="18"/>
                <w:color w:val="auto"/>
              </w:rPr>
              <w:t>Cash and cash equivalents at end of year</w:t>
            </w:r>
          </w:p>
        </w:tc>
        <w:tc>
          <w:tcPr>
            <w:tcW w:w="36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6,203,703</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5,046,346</w:t>
            </w:r>
          </w:p>
        </w:tc>
        <w:tc>
          <w:tcPr>
            <w:tcW w:w="30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3,948,537</w:t>
            </w:r>
          </w:p>
        </w:tc>
        <w:tc>
          <w:tcPr>
            <w:tcW w:w="200" w:type="dxa"/>
            <w:vAlign w:val="bottom"/>
            <w:shd w:val="clear" w:color="auto" w:fill="F0FFFF"/>
          </w:tcPr>
          <w:p>
            <w:pPr>
              <w:spacing w:after="0"/>
              <w:rPr>
                <w:sz w:val="22"/>
                <w:szCs w:val="22"/>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5,981,000</w:t>
            </w:r>
          </w:p>
        </w:tc>
        <w:tc>
          <w:tcPr>
            <w:tcW w:w="3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5,981,000</w:t>
            </w: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456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240" w:type="dxa"/>
            <w:vAlign w:val="bottom"/>
            <w:tcBorders>
              <w:top w:val="single" w:sz="8" w:color="auto"/>
              <w:bottom w:val="single" w:sz="8" w:color="DCDCDC"/>
            </w:tcBorders>
          </w:tcPr>
          <w:p>
            <w:pPr>
              <w:spacing w:after="0"/>
              <w:rPr>
                <w:sz w:val="24"/>
                <w:szCs w:val="24"/>
                <w:color w:val="auto"/>
              </w:rPr>
            </w:pPr>
          </w:p>
        </w:tc>
        <w:tc>
          <w:tcPr>
            <w:tcW w:w="920" w:type="dxa"/>
            <w:vAlign w:val="bottom"/>
            <w:tcBorders>
              <w:top w:val="single" w:sz="8" w:color="auto"/>
              <w:bottom w:val="single" w:sz="8" w:color="DCDCDC"/>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F0FFFF"/>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160" w:type="dxa"/>
            <w:vAlign w:val="bottom"/>
            <w:tcBorders>
              <w:top w:val="single" w:sz="8" w:color="auto"/>
              <w:bottom w:val="single" w:sz="8" w:color="DCDCDC"/>
            </w:tcBorders>
          </w:tcPr>
          <w:p>
            <w:pPr>
              <w:spacing w:after="0"/>
              <w:rPr>
                <w:sz w:val="24"/>
                <w:szCs w:val="24"/>
                <w:color w:val="auto"/>
              </w:rPr>
            </w:pPr>
          </w:p>
        </w:tc>
        <w:tc>
          <w:tcPr>
            <w:tcW w:w="980" w:type="dxa"/>
            <w:vAlign w:val="bottom"/>
            <w:tcBorders>
              <w:top w:val="single" w:sz="8" w:color="auto"/>
              <w:bottom w:val="single" w:sz="8" w:color="DCDCDC"/>
            </w:tcBorders>
          </w:tcPr>
          <w:p>
            <w:pPr>
              <w:spacing w:after="0"/>
              <w:rPr>
                <w:sz w:val="24"/>
                <w:szCs w:val="24"/>
                <w:color w:val="auto"/>
              </w:rPr>
            </w:pPr>
          </w:p>
        </w:tc>
        <w:tc>
          <w:tcPr>
            <w:tcW w:w="140" w:type="dxa"/>
            <w:vAlign w:val="bottom"/>
            <w:tcBorders>
              <w:top w:val="single" w:sz="8" w:color="F0FFFF"/>
              <w:bottom w:val="single" w:sz="8" w:color="DCDCDC"/>
            </w:tcBorders>
          </w:tcPr>
          <w:p>
            <w:pPr>
              <w:spacing w:after="0"/>
              <w:rPr>
                <w:sz w:val="24"/>
                <w:szCs w:val="24"/>
                <w:color w:val="auto"/>
              </w:rPr>
            </w:pPr>
          </w:p>
        </w:tc>
        <w:tc>
          <w:tcPr>
            <w:tcW w:w="80" w:type="dxa"/>
            <w:vAlign w:val="bottom"/>
            <w:tcBorders>
              <w:top w:val="single" w:sz="8" w:color="F0FFFF"/>
              <w:bottom w:val="single" w:sz="8" w:color="DCDCDC"/>
            </w:tcBorders>
          </w:tcPr>
          <w:p>
            <w:pPr>
              <w:spacing w:after="0"/>
              <w:rPr>
                <w:sz w:val="24"/>
                <w:szCs w:val="24"/>
                <w:color w:val="auto"/>
              </w:rPr>
            </w:pPr>
          </w:p>
        </w:tc>
        <w:tc>
          <w:tcPr>
            <w:tcW w:w="220" w:type="dxa"/>
            <w:vAlign w:val="bottom"/>
            <w:tcBorders>
              <w:top w:val="single" w:sz="8" w:color="auto"/>
              <w:bottom w:val="single" w:sz="8" w:color="DCDCDC"/>
            </w:tcBorders>
          </w:tcPr>
          <w:p>
            <w:pPr>
              <w:spacing w:after="0"/>
              <w:rPr>
                <w:sz w:val="24"/>
                <w:szCs w:val="24"/>
                <w:color w:val="auto"/>
              </w:rPr>
            </w:pPr>
          </w:p>
        </w:tc>
        <w:tc>
          <w:tcPr>
            <w:tcW w:w="920" w:type="dxa"/>
            <w:vAlign w:val="bottom"/>
            <w:tcBorders>
              <w:top w:val="single" w:sz="8" w:color="auto"/>
              <w:bottom w:val="single" w:sz="8" w:color="DCDCDC"/>
            </w:tcBorders>
          </w:tcPr>
          <w:p>
            <w:pPr>
              <w:spacing w:after="0"/>
              <w:rPr>
                <w:sz w:val="24"/>
                <w:szCs w:val="24"/>
                <w:color w:val="auto"/>
              </w:rPr>
            </w:pPr>
          </w:p>
        </w:tc>
        <w:tc>
          <w:tcPr>
            <w:tcW w:w="200" w:type="dxa"/>
            <w:vAlign w:val="bottom"/>
            <w:tcBorders>
              <w:top w:val="single" w:sz="8" w:color="F0FFFF"/>
              <w:bottom w:val="single" w:sz="8" w:color="DCDCDC"/>
            </w:tcBorders>
          </w:tcPr>
          <w:p>
            <w:pPr>
              <w:spacing w:after="0"/>
              <w:rPr>
                <w:sz w:val="24"/>
                <w:szCs w:val="24"/>
                <w:color w:val="auto"/>
              </w:rPr>
            </w:pPr>
          </w:p>
        </w:tc>
        <w:tc>
          <w:tcPr>
            <w:tcW w:w="180" w:type="dxa"/>
            <w:vAlign w:val="bottom"/>
            <w:tcBorders>
              <w:top w:val="single" w:sz="8" w:color="auto"/>
              <w:bottom w:val="single" w:sz="8" w:color="DCDCDC"/>
            </w:tcBorders>
          </w:tcPr>
          <w:p>
            <w:pPr>
              <w:spacing w:after="0"/>
              <w:rPr>
                <w:sz w:val="24"/>
                <w:szCs w:val="24"/>
                <w:color w:val="auto"/>
              </w:rPr>
            </w:pPr>
          </w:p>
        </w:tc>
        <w:tc>
          <w:tcPr>
            <w:tcW w:w="960" w:type="dxa"/>
            <w:vAlign w:val="bottom"/>
            <w:tcBorders>
              <w:top w:val="single" w:sz="8" w:color="auto"/>
              <w:bottom w:val="single" w:sz="8" w:color="DCDCDC"/>
            </w:tcBorders>
          </w:tcPr>
          <w:p>
            <w:pPr>
              <w:spacing w:after="0"/>
              <w:rPr>
                <w:sz w:val="24"/>
                <w:szCs w:val="24"/>
                <w:color w:val="auto"/>
              </w:rPr>
            </w:pPr>
          </w:p>
        </w:tc>
        <w:tc>
          <w:tcPr>
            <w:tcW w:w="140" w:type="dxa"/>
            <w:vAlign w:val="bottom"/>
            <w:tcBorders>
              <w:top w:val="single" w:sz="8" w:color="F0FFFF"/>
              <w:bottom w:val="single" w:sz="8" w:color="DCDCDC"/>
            </w:tcBorders>
          </w:tcPr>
          <w:p>
            <w:pPr>
              <w:spacing w:after="0"/>
              <w:rPr>
                <w:sz w:val="24"/>
                <w:szCs w:val="24"/>
                <w:color w:val="auto"/>
              </w:rPr>
            </w:pPr>
          </w:p>
        </w:tc>
        <w:tc>
          <w:tcPr>
            <w:tcW w:w="80" w:type="dxa"/>
            <w:vAlign w:val="bottom"/>
            <w:tcBorders>
              <w:top w:val="single" w:sz="8" w:color="F0FFFF"/>
              <w:bottom w:val="single" w:sz="8" w:color="DCDCDC"/>
            </w:tcBorders>
          </w:tcPr>
          <w:p>
            <w:pPr>
              <w:spacing w:after="0"/>
              <w:rPr>
                <w:sz w:val="24"/>
                <w:szCs w:val="24"/>
                <w:color w:val="auto"/>
              </w:rPr>
            </w:pPr>
          </w:p>
        </w:tc>
        <w:tc>
          <w:tcPr>
            <w:tcW w:w="220" w:type="dxa"/>
            <w:vAlign w:val="bottom"/>
            <w:tcBorders>
              <w:top w:val="single" w:sz="8" w:color="auto"/>
              <w:bottom w:val="single" w:sz="8" w:color="DCDCDC"/>
            </w:tcBorders>
          </w:tcPr>
          <w:p>
            <w:pPr>
              <w:spacing w:after="0"/>
              <w:rPr>
                <w:sz w:val="24"/>
                <w:szCs w:val="24"/>
                <w:color w:val="auto"/>
              </w:rPr>
            </w:pPr>
          </w:p>
        </w:tc>
        <w:tc>
          <w:tcPr>
            <w:tcW w:w="920" w:type="dxa"/>
            <w:vAlign w:val="bottom"/>
            <w:tcBorders>
              <w:top w:val="single" w:sz="8" w:color="auto"/>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2" w:right="239" w:bottom="1440" w:gutter="0" w:footer="0" w:header="0"/>
        </w:sectPr>
      </w:pPr>
    </w:p>
    <w:bookmarkStart w:id="34" w:name="page35"/>
    <w:bookmarkEnd w:id="34"/>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USA Technologies, Inc. provides wireless networking, cashless transactions, asset monitoring and other value-added services principally to the small ticket, unattended retail markets. Our ePort</w:t>
      </w:r>
      <w:r>
        <w:rPr>
          <w:rFonts w:ascii="Arial" w:cs="Arial" w:eastAsia="Arial" w:hAnsi="Arial"/>
          <w:sz w:val="18"/>
          <w:szCs w:val="18"/>
          <w:i w:val="1"/>
          <w:iCs w:val="1"/>
          <w:color w:val="auto"/>
        </w:rPr>
        <w:t>®</w:t>
      </w:r>
      <w:r>
        <w:rPr>
          <w:rFonts w:ascii="Arial" w:cs="Arial" w:eastAsia="Arial" w:hAnsi="Arial"/>
          <w:sz w:val="18"/>
          <w:szCs w:val="18"/>
          <w:color w:val="auto"/>
        </w:rPr>
        <w:t xml:space="preserve"> technology can be installed and/or embedded into everyday devices such as vending machines, a variety of kiosks, amusement &amp; arcade machines and smartphones via our ePort Mobile™ solution. Our associated service, ePort Connect</w:t>
      </w:r>
      <w:r>
        <w:rPr>
          <w:rFonts w:ascii="Arial" w:cs="Arial" w:eastAsia="Arial" w:hAnsi="Arial"/>
          <w:sz w:val="18"/>
          <w:szCs w:val="18"/>
          <w:i w:val="1"/>
          <w:iCs w:val="1"/>
          <w:color w:val="auto"/>
        </w:rPr>
        <w:t>®</w:t>
      </w:r>
      <w:r>
        <w:rPr>
          <w:rFonts w:ascii="Arial" w:cs="Arial" w:eastAsia="Arial" w:hAnsi="Arial"/>
          <w:sz w:val="18"/>
          <w:szCs w:val="18"/>
          <w:color w:val="auto"/>
        </w:rPr>
        <w:t>, is a PCI-compliant, comprehensive service that includes simplified credit/debit card processing and support, consumer engagement services as well as telemetry and machine-to-machine (“M2M”) services, including the ability to remotely monitor, control and report on the results of distributed assets containing our electronic payment solutions. In addition, the Company provides energy management products, such as its VendingMiser</w:t>
      </w:r>
      <w:r>
        <w:rPr>
          <w:rFonts w:ascii="Arial" w:cs="Arial" w:eastAsia="Arial" w:hAnsi="Arial"/>
          <w:sz w:val="18"/>
          <w:szCs w:val="18"/>
          <w:i w:val="1"/>
          <w:iCs w:val="1"/>
          <w:color w:val="auto"/>
        </w:rPr>
        <w:t>®</w:t>
      </w:r>
      <w:r>
        <w:rPr>
          <w:rFonts w:ascii="Arial" w:cs="Arial" w:eastAsia="Arial" w:hAnsi="Arial"/>
          <w:sz w:val="18"/>
          <w:szCs w:val="18"/>
          <w:color w:val="auto"/>
        </w:rPr>
        <w:t xml:space="preserve"> and CoolerMiser™, which reduce energy consumption in vending machines and coolers.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generates revenue in multiple ways. We derive the majority of our revenues from license and transaction fees related to our ePort Connect service. Connections to our service stem from the sale, or lease of our POS electronic payment devices or certified payment software or the servicing of similar third-party installed POS terminals. The majority of ePort Connect customers pay a monthly fee plus a blended transaction rate on the dollar volume processed by the Company. Customers with higher expected transaction rates might pay a lower or no ePort Connect monthly fee, but a higher blended transaction rate on dollar volume processed by the Company. Connections to the ePort Connect service, therefore, are the most significant driver of the Company’s revenues, particularly revenues from license and transaction fees.</w:t>
      </w:r>
    </w:p>
    <w:p>
      <w:pPr>
        <w:spacing w:after="0" w:line="22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also generates equipment revenue through the direct sale or rental of ePort</w:t>
      </w:r>
      <w:r>
        <w:rPr>
          <w:rFonts w:ascii="Arial" w:cs="Arial" w:eastAsia="Arial" w:hAnsi="Arial"/>
          <w:sz w:val="18"/>
          <w:szCs w:val="18"/>
          <w:i w:val="1"/>
          <w:iCs w:val="1"/>
          <w:color w:val="auto"/>
        </w:rPr>
        <w:t>®</w:t>
      </w:r>
      <w:r>
        <w:rPr>
          <w:rFonts w:ascii="Arial" w:cs="Arial" w:eastAsia="Arial" w:hAnsi="Arial"/>
          <w:sz w:val="18"/>
          <w:szCs w:val="18"/>
          <w:color w:val="auto"/>
        </w:rPr>
        <w:t xml:space="preserve"> technology as well as our stand-alone, non-networked energy management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requires management to make estimates and assumptions that affect the amounts reported in the consolidated financial statements and the accompanying notes. Actual results could differ from those estimates. We believe the policies and estimates related to revenue recognition, software development costs, impairment of long-lived assets, goodwill and intangible assets, and investments represent our critical accounting policies and estimates. Future results may differ from our estimates under different assumptions or conditions.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from the sale of equipment is recognized on the terms of freight-on-board shipping point. Activation fee revenue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LIVED ASSETS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accordance with the Financial Accounting Standards Board Accounting Standards Codification® (“ASC”) Topic 360 “Impairment or Disposal of Long-lived Assets”, the Company reviews its definite lived long-lived assets whenever events or changes in circumstances indicate that the carrying amount of such assets may not be recoverable. If the carrying amount of an asset or group of assets exceeds its net realizable value, the asset will be written down to its fair value. In the period when the plan of sale criteria of ASC 360 are met, definite lived long-lived assets are reported as held for sale, depreciation and amortization cease, and the assets are reported at the lower of carrying value or fair value less costs to sell.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In September 2011, the FASB issued ASU No. 2011-08, which amends current guidance to allow the Company to first assess qualitative factors to determine if it is necessary to perform the two-step quantitative impairment test. If after this assessment the Company determines that it is not more likely than not that the fair value of a reporting unit is less than its carrying amount, then the two-step impairment test are unnecessary. If after this assessment the Company determines that it is more likely than not that the fair value of a reporting unit is less than its carrying amount, than the Company will perform the first step of the two-step impairment test. The first step screens for potential impairment, while the second step measures the amount of impairment. The Company uses a quantitative method, including a discounted cash flow analysis to complete the first step in this process. We also give consideration to our market capitalization. Testing for impairment is to be done at least annually and at other times if events or circumstances arise that indicate that impairment may have occurred. The Company has selected April 1 as its annual test date. The Company has concluded there has been no impairment of goodwill as a result of its testing on April 1, 2014, April 1, 2013, and April 1, 2012.</w:t>
      </w:r>
    </w:p>
    <w:p>
      <w:pPr>
        <w:spacing w:after="0" w:line="2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trademarks with an indefinite economic life are not being amortized. The trademarks, not subject to amortization, are related to the miser asset group and consist of the following trademarks: 1) VendingMiser, 2) CoolerMiser, 3) PlugMiser and 4) SnackMiser. The Company tests indefinite-lived intangible assets for impairment using a two-step process. The first step screens for potential impairment, while the second step measures the amount of impairment. The Company uses a relief from royalty analysis to complete the first step in this process. Testing for impairment is to be done at least annually and at other times if events or circumstances arise that indicate that impairment may have occurred. The Company has selected April 1 as its annual test date for its indefinite-lived intangible assets. There was no impairment expense recorded during the fiscal year ended June 30, 2014, 2013 and 2012.</w:t>
      </w:r>
    </w:p>
    <w:p>
      <w:pPr>
        <w:spacing w:after="0" w:line="19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Patents and trademarks, with an estimated economic life, are carried at cost less accumulated amortization, which is calculated on a straight-line basis over their estimated economic life. The Company reviews intangibles, subject to amortization, for impairment whenever events or changes in circumstances indicate that the carrying amount may not be recoverable. An asset is considered to be impaired when the sum of the undiscounted future net cash flows resulting from the use of the asset and its eventual disposition is less than its carrying amount. The amount of the impairment loss, if any, is measured as the</w:t>
      </w:r>
    </w:p>
    <w:p>
      <w:pPr>
        <w:sectPr>
          <w:pgSz w:w="11900" w:h="16877" w:orient="portrait"/>
          <w:cols w:equalWidth="0" w:num="1">
            <w:col w:w="11420"/>
          </w:cols>
          <w:pgMar w:left="240" w:top="675" w:right="239" w:bottom="0" w:gutter="0" w:footer="0" w:header="0"/>
        </w:sectPr>
      </w:pPr>
    </w:p>
    <w:bookmarkStart w:id="35" w:name="page36"/>
    <w:bookmarkEnd w:id="35"/>
    <w:p>
      <w:pPr>
        <w:spacing w:after="0" w:line="277" w:lineRule="auto"/>
        <w:rPr>
          <w:sz w:val="20"/>
          <w:szCs w:val="20"/>
          <w:color w:val="auto"/>
        </w:rPr>
      </w:pPr>
      <w:r>
        <w:rPr>
          <w:rFonts w:ascii="Arial" w:cs="Arial" w:eastAsia="Arial" w:hAnsi="Arial"/>
          <w:sz w:val="18"/>
          <w:szCs w:val="18"/>
          <w:color w:val="auto"/>
        </w:rPr>
        <w:t>difference between the net book value of the asset and its estimated fair value. For the years ended June 30, 2014, 2013, and 2012, the Company has concluded there has been no impairment of its other patents or trademarks that are subject to amortization.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JUNE 30, 2014 COMPARED TO FISCAL YEAR ENDED JUNE 30, 2013</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Results for the fiscal year ended June 30, 2014 continued to demonstrate growth and improvements in the Company’s operations as compared to the fiscal year ended June 30, 2013. Highlights of year over year improvements include:</w:t>
      </w:r>
    </w:p>
    <w:p>
      <w:pPr>
        <w:spacing w:after="0" w:line="170" w:lineRule="exact"/>
        <w:rPr>
          <w:sz w:val="20"/>
          <w:szCs w:val="20"/>
          <w:color w:val="auto"/>
        </w:rPr>
      </w:pPr>
    </w:p>
    <w:p>
      <w:pPr>
        <w:ind w:left="700" w:hanging="341"/>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$27.3 million of deferred tax assets recognized;</w:t>
      </w:r>
    </w:p>
    <w:p>
      <w:pPr>
        <w:spacing w:after="0" w:line="23" w:lineRule="exact"/>
        <w:rPr>
          <w:rFonts w:ascii="Arial" w:cs="Arial" w:eastAsia="Arial" w:hAnsi="Arial"/>
          <w:sz w:val="18"/>
          <w:szCs w:val="18"/>
          <w:color w:val="auto"/>
        </w:rPr>
      </w:pPr>
    </w:p>
    <w:p>
      <w:pPr>
        <w:ind w:left="700" w:hanging="341"/>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revenue up 18% to $42.3 million;</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Recurring license and transaction fee revenue up 19% to $35.6 million; and</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connections to its ePort Connect service base as of June 30, 2014 up 24% as compared to June 30, 2013.</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for the fiscal year ended June 30, 2014 were $42,344,964, consisting of $35,638,121 of license and transactions fees and $6,706,843 of equipment sales, compared to $35,940,244 for the fiscal year ended June 30, 2013, consisting of $30,044,429 of license and transaction fees and $5,895,815 of equipment sales. The increase in total revenue of $6,404,720, or 18%, was primarily due to an increase in license and transaction fees of $5,593,692, or 19%, from the prior year, and an increase in equipment sales of $811,028 or 14%, from the prior year.</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license and transaction fees, which represented 84% of total revenue for fiscal 2014, is primarily attributable to monthly ePort Connect® service fees and transaction processing fees. Highlights for fiscal 2014 include:</w:t>
      </w:r>
    </w:p>
    <w:p>
      <w:pPr>
        <w:spacing w:after="0" w:line="170" w:lineRule="exact"/>
        <w:rPr>
          <w:sz w:val="20"/>
          <w:szCs w:val="20"/>
          <w:color w:val="auto"/>
        </w:rPr>
      </w:pPr>
    </w:p>
    <w:p>
      <w:pPr>
        <w:ind w:left="920" w:hanging="331"/>
        <w:spacing w:after="0" w:line="258"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Adding 52,000 net connections to our service, consisting of 76,000 new connections to our ePort Connect service in fiscal 2014, offset by 24,000 deactivations, compared to 50,000 net connections added in fiscal 2013;</w:t>
      </w:r>
    </w:p>
    <w:p>
      <w:pPr>
        <w:spacing w:after="0" w:line="1" w:lineRule="exact"/>
        <w:rPr>
          <w:rFonts w:ascii="Arial" w:cs="Arial" w:eastAsia="Arial" w:hAnsi="Arial"/>
          <w:sz w:val="18"/>
          <w:szCs w:val="18"/>
          <w:color w:val="auto"/>
        </w:rPr>
      </w:pPr>
    </w:p>
    <w:p>
      <w:pPr>
        <w:ind w:left="920" w:hanging="331"/>
        <w:spacing w:after="0" w:line="265" w:lineRule="auto"/>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As of June 30, 2014, the Company had approximately 266,000 connections to the ePort Connect service compared to approximately 214,000 connections to the ePort Connect service as of June 30, 2013, an increase of 52,000 net connections or 24%;</w:t>
      </w:r>
    </w:p>
    <w:p>
      <w:pPr>
        <w:ind w:left="920" w:hanging="331"/>
        <w:spacing w:after="0" w:line="250"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the number of small-ticket, credit/debit transactions and dollars handled for fiscal 2014 of 31% and 34%, respectively, compared to the same period a year ago; and</w:t>
      </w:r>
    </w:p>
    <w:p>
      <w:pPr>
        <w:ind w:left="920" w:hanging="331"/>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ePort Connect customer base grew 24% from June 30, 2013.</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increase in license and transaction fees was due to the growth in ePort Connect service fees and transaction dollars that stems from the increased number of connections to our ePort Connect service. As of June 30, 2014, the Company had approximately 266,000 connections to the ePort Connect service compared to approximately 214,000 connections to the ePort Connect service as of June 30, 2013. During the year ended June 30, 2014, the Company added approximately 52,000 net connections to our network compared to approximately 50,000 net connections added during the year ended June 30, 2013.</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its agreements with customers, in addition to ePort Connect service fees, the Company earns transaction processing fees equal to a percentage of the dollar volume processed by the Company. During the year ended June 30, 2014, the Company processed approximately 169 million transactions totaling approximately $294 million compared to approximately 129 million transactions totaling approximately $219 million during the year ended June 30, 2013, an increase of approximately 31% in the number of transactions and approximately 34% in the value of transactions processed.</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New customers added to our ePort® Connect service during the fiscal year ended June 30, 2014 totaled 2,250, bringing the total number of customers to approximately 7,300 as of June 30, 2014. The Company added approximately 1,750 new customers in the year ended June 30, 2013. By comparison, the Company had approximately 5,050 customers as of June 30, 2013, representing a 45% increase during the past twelve months. The Company views the total installed base of machines managed by its customers that have yet to transition to cashless payment, as a key strategic opportunity for future growth in connections. We count a customer as a new customer upon the signing of their ePort Connect service agreement. When a reseller sells our ePort, we count a customer as a new customer upon the signing of the applicable services agreement with the customer.</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$811,028 increase in equipment sales was a result of an increase of approximately $1,058,000 related to ePort® products, offset by decreases of approximately $174,000 in Energy Miser products and approximately $73,000 in other products. The $1,058,000 increase in ePort products is directly attributable to selling more units and an increase in activation fees during the current fiscal year. The $174,000 decrease in Energy Miser products is directly attributable to selling fewer units during the current fiscal year.</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Cost of sales consisted of cost of services for license and transaction fee related costs of $23,018,001 and $18,219,945 and equipment costs of $4,254,127 and $3,623,686, for the years ended June 30, 2014 and 2013, respectively. The increase in total cost of sales of $5,428,497, or 25%, was due to an increase in cost of services of $4,798,056 that stemmed from the greater number of connections to the Company’s ePort Connect service and increases in transaction dollars processed by those connections. Also, there was an increase in cost of equipment sales of $630,441 due to selling more units during the period.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(“GP”) for the year ended June 30, 2014 was $15,072,836 compared to GP of $14,096,613 for the previous fiscal year, an increase of $976,223, or 7%, of which $12,620,120 is attributable to license and transaction fees GP and $2,452,716 of equipment sales GP. Overall gross profit margins decreased from 39% to 36% due to a decrease in license and transaction fees margins to 35%, from 39% in the prior fiscal year and by a decrease in equipment sales margins to 37%, from 39% in the prior fiscal year. Lower license and transaction fee margins are largely attributable to approximately 24,000 deactivations that occurred during the fiscal year primarily attributable to one customer as well as the impact of certain new JumpStart connections associated with grace periods under sales incentives. For the new connections associated with the grace periods, the Company incurred costs without receiving the associated monthly service fees.</w:t>
      </w:r>
    </w:p>
    <w:p>
      <w:pPr>
        <w:spacing w:after="0" w:line="2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Selling, general and administrative (“SG&amp;A”) expenses of $14,036,016 for the fiscal year ended June 30, 2014, increased by $1,967,450 or 16%, from the prior fiscal year. The overall increase is comprised of approximately a $1,207,000 increase in employee and director compensation and benefit expenses; $329,000 in professional services, $224,000 increase in sales and marketing expenses; and, smaller, numerous, net increases in several other expenses totaling $207,000. The increase in employee and director compensation and benefits expenses predominantly related to expanding our base of employees, sales commissions and bonuses for record connections added in fiscal 2014 as well as bonus accruals related to performance-based compensation arrangements.</w:t>
      </w:r>
    </w:p>
    <w:p>
      <w:pPr>
        <w:spacing w:after="0" w:line="18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Other income and expense for the year ended June 30, 2014, primarily consisted of a reduction of $26.7 million of the valuation allowance we had on our deferred tax assets as the Company believes that it is more likely than not it will be able to utilize net operating loss carryforwards to offset future taxable</w:t>
      </w:r>
    </w:p>
    <w:p>
      <w:pPr>
        <w:sectPr>
          <w:pgSz w:w="11900" w:h="16854" w:orient="portrait"/>
          <w:cols w:equalWidth="0" w:num="1">
            <w:col w:w="11420"/>
          </w:cols>
          <w:pgMar w:left="240" w:top="918" w:right="239" w:bottom="0" w:gutter="0" w:footer="0" w:header="0"/>
        </w:sectPr>
      </w:pPr>
    </w:p>
    <w:bookmarkStart w:id="37" w:name="page38"/>
    <w:bookmarkEnd w:id="37"/>
    <w:p>
      <w:pPr>
        <w:jc w:val="both"/>
        <w:spacing w:after="0" w:line="264" w:lineRule="auto"/>
        <w:rPr>
          <w:sz w:val="20"/>
          <w:szCs w:val="20"/>
          <w:color w:val="auto"/>
        </w:rPr>
      </w:pPr>
      <w:r>
        <w:rPr>
          <w:rFonts w:ascii="Arial" w:cs="Arial" w:eastAsia="Arial" w:hAnsi="Arial"/>
          <w:sz w:val="18"/>
          <w:szCs w:val="18"/>
          <w:color w:val="auto"/>
        </w:rPr>
        <w:t>earnings. Also included is $65,429 of non-cash gain for the change in the fair value of the Company’s warrant liabilities. The primary factor affecting the change in fair value is the decrease in the Black-Scholes value of the warrants from June 30, 2013 to June 30, 2014, which factored in the increase in the Company’s stock price as well as a decrease in its volatility during that period.</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fiscal year ended June 30, 2014 resulted in net income of $27,530,652 compared to net income of $854,123 for the fiscal year ended June 30, 2013, an improvement of $26,676,529 between fiscal years. Included in net income for the fiscal year ended June 30, 2014 is a benefit from reduction income tax valuation allowances of $26,713,897. After preferred dividends of $664,452 for each fiscal year, net income applicable to common shareholders was $26,866,200 and $189,671 for the fiscal years ended 2014 and 2013, respectively. For the fiscal year ended June 30, 2014, net earnings per common share (basic and diluted) were $0.78, compared to net earnings per common share (basic and diluted) of $0.01.</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jc w:val="both"/>
        <w:spacing w:after="0" w:line="272" w:lineRule="auto"/>
        <w:rPr>
          <w:sz w:val="20"/>
          <w:szCs w:val="20"/>
          <w:color w:val="auto"/>
        </w:rPr>
      </w:pPr>
      <w:r>
        <w:rPr>
          <w:rFonts w:ascii="Arial" w:cs="Arial" w:eastAsia="Arial" w:hAnsi="Arial"/>
          <w:sz w:val="17"/>
          <w:szCs w:val="17"/>
          <w:color w:val="auto"/>
        </w:rPr>
        <w:t>Non-GAAP net income was $751,326 for the year ended June 30, 2014, compared to non-GAAP net income of $914,195 for the year ended June 30, 2013. Management believes that non-GAAP net income, non-GAAP net income is an important measure of USAT’s business. Management uses the aforementioned non-GAAP measures to monitor and evaluate ongoing operating results and trends and to gain an understanding of our comparative operating performance. We believe that non-GAAP financial measures serve as useful metrics for our management and investors because they enable a better understanding of the long-term performance of our core business and facilitate comparisons of our operating results over multiple periods, and when taken together with the corresponding GAAP (United States’ Generally Accepted Accounting Principles) financial measures and our reconciliations, enhance investors’ overall understanding of our current and future financial performance.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w w:val="94"/>
              </w:rPr>
              <w:t>A reconciliation of net income to Non-GAAP net income for the years ended June 30, 2014 and 2013 is as follows: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24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Year ended June 30,</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27,530,652</w:t>
            </w:r>
          </w:p>
        </w:tc>
        <w:tc>
          <w:tcPr>
            <w:tcW w:w="28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854,123</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Non-GAAP adjustments: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340" w:type="dxa"/>
            <w:vAlign w:val="bottom"/>
          </w:tcPr>
          <w:p>
            <w:pPr>
              <w:ind w:left="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340" w:type="dxa"/>
            <w:vAlign w:val="bottom"/>
            <w:shd w:val="clear" w:color="auto" w:fill="F0FFFF"/>
          </w:tcPr>
          <w:p>
            <w:pPr>
              <w:ind w:left="180"/>
              <w:spacing w:after="0"/>
              <w:rPr>
                <w:sz w:val="20"/>
                <w:szCs w:val="20"/>
                <w:color w:val="auto"/>
              </w:rPr>
            </w:pPr>
            <w:r>
              <w:rPr>
                <w:rFonts w:ascii="Arial" w:cs="Arial" w:eastAsia="Arial" w:hAnsi="Arial"/>
                <w:sz w:val="18"/>
                <w:szCs w:val="18"/>
                <w:color w:val="auto"/>
              </w:rPr>
              <w:t>Proxy related costs</w:t>
            </w:r>
          </w:p>
        </w:tc>
        <w:tc>
          <w:tcPr>
            <w:tcW w:w="2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328,000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Fair value of warrant adjustment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(65,429)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(267,928)</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Benefit from reduction of valuation allowances</w:t>
            </w:r>
          </w:p>
        </w:tc>
        <w:tc>
          <w:tcPr>
            <w:tcW w:w="28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w w:val="95"/>
              </w:rPr>
              <w:t>(26,713,897)</w:t>
            </w:r>
          </w:p>
        </w:tc>
        <w:tc>
          <w:tcPr>
            <w:tcW w:w="8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34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Non-GAAP net income</w:t>
            </w:r>
          </w:p>
        </w:tc>
        <w:tc>
          <w:tcPr>
            <w:tcW w:w="28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751,326</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914,195</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40" w:type="dxa"/>
            <w:vAlign w:val="bottom"/>
            <w:vMerge w:val="restart"/>
          </w:tcPr>
          <w:p>
            <w:pPr>
              <w:spacing w:after="0"/>
              <w:rPr>
                <w:sz w:val="12"/>
                <w:szCs w:val="12"/>
                <w:color w:val="auto"/>
              </w:rPr>
            </w:pPr>
          </w:p>
        </w:tc>
        <w:tc>
          <w:tcPr>
            <w:tcW w:w="83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9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9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27,530,652</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854,123</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Non-GAAP net income</w:t>
            </w:r>
          </w:p>
        </w:tc>
        <w:tc>
          <w:tcPr>
            <w:tcW w:w="4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751,326</w:t>
            </w:r>
          </w:p>
        </w:tc>
        <w:tc>
          <w:tcPr>
            <w:tcW w:w="140" w:type="dxa"/>
            <w:vAlign w:val="bottom"/>
            <w:shd w:val="clear" w:color="auto" w:fill="F0FFFF"/>
          </w:tcPr>
          <w:p>
            <w:pPr>
              <w:spacing w:after="0"/>
              <w:rPr>
                <w:sz w:val="18"/>
                <w:szCs w:val="18"/>
                <w:color w:val="auto"/>
              </w:rPr>
            </w:pPr>
          </w:p>
        </w:tc>
        <w:tc>
          <w:tcPr>
            <w:tcW w:w="28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914,195</w:t>
            </w:r>
          </w:p>
        </w:tc>
        <w:tc>
          <w:tcPr>
            <w:tcW w:w="0" w:type="dxa"/>
            <w:vAlign w:val="bottom"/>
          </w:tcPr>
          <w:p>
            <w:pPr>
              <w:spacing w:after="0"/>
              <w:rPr>
                <w:sz w:val="1"/>
                <w:szCs w:val="1"/>
                <w:color w:val="auto"/>
              </w:rPr>
            </w:pPr>
          </w:p>
        </w:tc>
      </w:tr>
      <w:tr>
        <w:trPr>
          <w:trHeight w:val="149"/>
        </w:trPr>
        <w:tc>
          <w:tcPr>
            <w:tcW w:w="240" w:type="dxa"/>
            <w:vAlign w:val="bottom"/>
            <w:vMerge w:val="restart"/>
          </w:tcPr>
          <w:p>
            <w:pPr>
              <w:spacing w:after="0"/>
              <w:rPr>
                <w:sz w:val="12"/>
                <w:szCs w:val="12"/>
                <w:color w:val="auto"/>
              </w:rPr>
            </w:pPr>
          </w:p>
        </w:tc>
        <w:tc>
          <w:tcPr>
            <w:tcW w:w="8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2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(664,452)</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(664,452)</w:t>
            </w:r>
          </w:p>
        </w:tc>
        <w:tc>
          <w:tcPr>
            <w:tcW w:w="0" w:type="dxa"/>
            <w:vAlign w:val="bottom"/>
          </w:tcPr>
          <w:p>
            <w:pPr>
              <w:spacing w:after="0"/>
              <w:rPr>
                <w:sz w:val="1"/>
                <w:szCs w:val="1"/>
                <w:color w:val="auto"/>
              </w:rPr>
            </w:pPr>
          </w:p>
        </w:tc>
      </w:tr>
      <w:tr>
        <w:trPr>
          <w:trHeight w:val="27"/>
        </w:trPr>
        <w:tc>
          <w:tcPr>
            <w:tcW w:w="240" w:type="dxa"/>
            <w:vAlign w:val="bottom"/>
            <w:vMerge w:val="restart"/>
          </w:tcPr>
          <w:p>
            <w:pPr>
              <w:spacing w:after="0"/>
              <w:rPr>
                <w:sz w:val="2"/>
                <w:szCs w:val="2"/>
                <w:color w:val="auto"/>
              </w:rPr>
            </w:pPr>
          </w:p>
        </w:tc>
        <w:tc>
          <w:tcPr>
            <w:tcW w:w="8340" w:type="dxa"/>
            <w:vAlign w:val="bottom"/>
            <w:shd w:val="clear" w:color="auto" w:fill="F0FFFF"/>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income applicable to common shares</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26,866,200</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189,671</w:t>
            </w: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Non-GAAP net income applicable to common shares</w:t>
            </w:r>
          </w:p>
        </w:tc>
        <w:tc>
          <w:tcPr>
            <w:tcW w:w="4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86,874</w:t>
            </w:r>
          </w:p>
        </w:tc>
        <w:tc>
          <w:tcPr>
            <w:tcW w:w="28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249,743</w:t>
            </w:r>
          </w:p>
        </w:tc>
        <w:tc>
          <w:tcPr>
            <w:tcW w:w="0" w:type="dxa"/>
            <w:vAlign w:val="bottom"/>
          </w:tcPr>
          <w:p>
            <w:pPr>
              <w:spacing w:after="0"/>
              <w:rPr>
                <w:sz w:val="1"/>
                <w:szCs w:val="1"/>
                <w:color w:val="auto"/>
              </w:rPr>
            </w:pPr>
          </w:p>
        </w:tc>
      </w:tr>
      <w:tr>
        <w:trPr>
          <w:trHeight w:val="142"/>
        </w:trPr>
        <w:tc>
          <w:tcPr>
            <w:tcW w:w="240" w:type="dxa"/>
            <w:vAlign w:val="bottom"/>
            <w:vMerge w:val="restart"/>
          </w:tcPr>
          <w:p>
            <w:pPr>
              <w:spacing w:after="0"/>
              <w:rPr>
                <w:sz w:val="12"/>
                <w:szCs w:val="12"/>
                <w:color w:val="auto"/>
              </w:rPr>
            </w:pPr>
          </w:p>
        </w:tc>
        <w:tc>
          <w:tcPr>
            <w:tcW w:w="8340" w:type="dxa"/>
            <w:vAlign w:val="bottom"/>
            <w:tcBorders>
              <w:top w:val="single" w:sz="8" w:color="F0FFFF"/>
            </w:tcBorders>
          </w:tcPr>
          <w:p>
            <w:pPr>
              <w:spacing w:after="0"/>
              <w:rPr>
                <w:sz w:val="12"/>
                <w:szCs w:val="12"/>
                <w:color w:val="auto"/>
              </w:rPr>
            </w:pPr>
          </w:p>
        </w:tc>
        <w:tc>
          <w:tcPr>
            <w:tcW w:w="280" w:type="dxa"/>
            <w:vAlign w:val="bottom"/>
            <w:tcBorders>
              <w:top w:val="single" w:sz="8" w:color="F0FF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40" w:type="dxa"/>
            <w:vAlign w:val="bottom"/>
            <w:vMerge w:val="continue"/>
          </w:tcPr>
          <w:p>
            <w:pPr>
              <w:spacing w:after="0"/>
              <w:rPr>
                <w:sz w:val="22"/>
                <w:szCs w:val="22"/>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Net earnings per common share - basic</w:t>
            </w:r>
          </w:p>
        </w:tc>
        <w:tc>
          <w:tcPr>
            <w:tcW w:w="280" w:type="dxa"/>
            <w:vAlign w:val="bottom"/>
            <w:shd w:val="clear" w:color="auto" w:fill="F0FFFF"/>
          </w:tcPr>
          <w:p>
            <w:pPr>
              <w:spacing w:after="0"/>
              <w:rPr>
                <w:sz w:val="22"/>
                <w:szCs w:val="22"/>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0.78</w:t>
            </w:r>
          </w:p>
        </w:tc>
        <w:tc>
          <w:tcPr>
            <w:tcW w:w="28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834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Non-GAAP net earnings per common share - basic</w:t>
            </w:r>
          </w:p>
        </w:tc>
        <w:tc>
          <w:tcPr>
            <w:tcW w:w="28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40" w:type="dxa"/>
            <w:vAlign w:val="bottom"/>
            <w:vMerge w:val="restart"/>
          </w:tcPr>
          <w:p>
            <w:pPr>
              <w:spacing w:after="0"/>
              <w:rPr>
                <w:sz w:val="12"/>
                <w:szCs w:val="12"/>
                <w:color w:val="auto"/>
              </w:rPr>
            </w:pPr>
          </w:p>
        </w:tc>
        <w:tc>
          <w:tcPr>
            <w:tcW w:w="83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9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9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 basic</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34,613,497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32,787,673</w:t>
            </w:r>
          </w:p>
        </w:tc>
        <w:tc>
          <w:tcPr>
            <w:tcW w:w="0" w:type="dxa"/>
            <w:vAlign w:val="bottom"/>
          </w:tcPr>
          <w:p>
            <w:pPr>
              <w:spacing w:after="0"/>
              <w:rPr>
                <w:sz w:val="1"/>
                <w:szCs w:val="1"/>
                <w:color w:val="auto"/>
              </w:rPr>
            </w:pPr>
          </w:p>
        </w:tc>
      </w:tr>
      <w:tr>
        <w:trPr>
          <w:trHeight w:val="149"/>
        </w:trPr>
        <w:tc>
          <w:tcPr>
            <w:tcW w:w="240" w:type="dxa"/>
            <w:vAlign w:val="bottom"/>
            <w:vMerge w:val="restart"/>
          </w:tcPr>
          <w:p>
            <w:pPr>
              <w:spacing w:after="0"/>
              <w:rPr>
                <w:sz w:val="12"/>
                <w:szCs w:val="12"/>
                <w:color w:val="auto"/>
              </w:rPr>
            </w:pPr>
          </w:p>
        </w:tc>
        <w:tc>
          <w:tcPr>
            <w:tcW w:w="834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9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9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earnings per common share - diluted</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0.78</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Non-GAAP net earnings per common share - diluted</w:t>
            </w:r>
          </w:p>
        </w:tc>
        <w:tc>
          <w:tcPr>
            <w:tcW w:w="4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1"/>
                <w:szCs w:val="21"/>
                <w:color w:val="auto"/>
              </w:rPr>
            </w:pPr>
          </w:p>
        </w:tc>
        <w:tc>
          <w:tcPr>
            <w:tcW w:w="28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42"/>
        </w:trPr>
        <w:tc>
          <w:tcPr>
            <w:tcW w:w="240" w:type="dxa"/>
            <w:vAlign w:val="bottom"/>
            <w:vMerge w:val="restart"/>
          </w:tcPr>
          <w:p>
            <w:pPr>
              <w:spacing w:after="0"/>
              <w:rPr>
                <w:sz w:val="12"/>
                <w:szCs w:val="12"/>
                <w:color w:val="auto"/>
              </w:rPr>
            </w:pPr>
          </w:p>
        </w:tc>
        <w:tc>
          <w:tcPr>
            <w:tcW w:w="8340" w:type="dxa"/>
            <w:vAlign w:val="bottom"/>
            <w:tcBorders>
              <w:top w:val="single" w:sz="8" w:color="F0FFFF"/>
            </w:tcBorders>
          </w:tcPr>
          <w:p>
            <w:pPr>
              <w:spacing w:after="0"/>
              <w:rPr>
                <w:sz w:val="12"/>
                <w:szCs w:val="12"/>
                <w:color w:val="auto"/>
              </w:rPr>
            </w:pPr>
          </w:p>
        </w:tc>
        <w:tc>
          <w:tcPr>
            <w:tcW w:w="280" w:type="dxa"/>
            <w:vAlign w:val="bottom"/>
            <w:tcBorders>
              <w:top w:val="single" w:sz="8" w:color="F0FF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8340" w:type="dxa"/>
            <w:vAlign w:val="bottom"/>
            <w:shd w:val="clear" w:color="auto" w:fill="F0FFFF"/>
          </w:tcPr>
          <w:p>
            <w:pPr>
              <w:spacing w:after="0"/>
              <w:rPr>
                <w:sz w:val="20"/>
                <w:szCs w:val="20"/>
                <w:color w:val="auto"/>
              </w:rPr>
            </w:pPr>
            <w:r>
              <w:rPr>
                <w:rFonts w:ascii="Arial" w:cs="Arial" w:eastAsia="Arial" w:hAnsi="Arial"/>
                <w:sz w:val="18"/>
                <w:szCs w:val="18"/>
                <w:color w:val="auto"/>
              </w:rPr>
              <w:t>Diluted weighted average number of common shares outstanding</w:t>
            </w:r>
          </w:p>
        </w:tc>
        <w:tc>
          <w:tcPr>
            <w:tcW w:w="2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34,613,497</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9"/>
              </w:rPr>
              <w:t>33,613,346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used herein, non-GAAP net income represents GAAP net income excluding costs relating to the proxy contest, any adjustment for fair value of warrant liabilities and changes in the Company’s valuation allowances for taxes. As used herein, non-GAAP net earnings per common share is calculated by dividing non-GAAP net income applicable to common shares by the weighted average number of shares outstanding, and where diluted shares are required, adds back the preferred dividend since the conversion of preferred shares are accounted for in the diluted share count.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For the fiscal year ended June 30, 2014, the Company had Adjusted EBITDA of $6,451,311. Reconciliation of net income to Adjusted EBITDA for the years ended June 30, 2014 and 2013 is as follows:</w:t>
      </w:r>
    </w:p>
    <w:p>
      <w:pPr>
        <w:spacing w:after="0" w:line="103"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gridSpan w:val="6"/>
          </w:tcPr>
          <w:p>
            <w:pPr>
              <w:jc w:val="right"/>
              <w:ind w:right="660"/>
              <w:spacing w:after="0"/>
              <w:rPr>
                <w:sz w:val="20"/>
                <w:szCs w:val="20"/>
                <w:color w:val="auto"/>
              </w:rPr>
            </w:pPr>
            <w:r>
              <w:rPr>
                <w:rFonts w:ascii="Arial" w:cs="Arial" w:eastAsia="Arial" w:hAnsi="Arial"/>
                <w:sz w:val="16"/>
                <w:szCs w:val="16"/>
                <w:b w:val="1"/>
                <w:bCs w:val="1"/>
                <w:color w:val="auto"/>
              </w:rPr>
              <w:t>Year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F0FFFF"/>
          </w:tcPr>
          <w:p>
            <w:pPr>
              <w:spacing w:after="0"/>
              <w:rPr>
                <w:sz w:val="20"/>
                <w:szCs w:val="20"/>
                <w:color w:val="auto"/>
              </w:rPr>
            </w:pPr>
            <w:r>
              <w:rPr>
                <w:rFonts w:ascii="Arial" w:cs="Arial" w:eastAsia="Arial" w:hAnsi="Arial"/>
                <w:sz w:val="16"/>
                <w:szCs w:val="16"/>
                <w:color w:val="auto"/>
              </w:rPr>
              <w:t>Net income</w:t>
            </w:r>
          </w:p>
        </w:tc>
        <w:tc>
          <w:tcPr>
            <w:tcW w:w="20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27,530,652</w:t>
            </w:r>
          </w:p>
        </w:tc>
        <w:tc>
          <w:tcPr>
            <w:tcW w:w="120" w:type="dxa"/>
            <w:vAlign w:val="bottom"/>
            <w:shd w:val="clear" w:color="auto" w:fill="F0FFFF"/>
          </w:tcPr>
          <w:p>
            <w:pPr>
              <w:spacing w:after="0"/>
              <w:rPr>
                <w:sz w:val="17"/>
                <w:szCs w:val="17"/>
                <w:color w:val="auto"/>
              </w:rPr>
            </w:pPr>
          </w:p>
        </w:tc>
        <w:tc>
          <w:tcPr>
            <w:tcW w:w="32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854,123</w:t>
            </w: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40" w:type="dxa"/>
            <w:vAlign w:val="bottom"/>
            <w:shd w:val="clear" w:color="auto" w:fill="F0FFFF"/>
          </w:tcPr>
          <w:p>
            <w:pPr>
              <w:spacing w:after="0"/>
              <w:rPr>
                <w:sz w:val="20"/>
                <w:szCs w:val="20"/>
                <w:color w:val="auto"/>
              </w:rPr>
            </w:pPr>
            <w:r>
              <w:rPr>
                <w:rFonts w:ascii="Arial" w:cs="Arial" w:eastAsia="Arial" w:hAnsi="Arial"/>
                <w:sz w:val="16"/>
                <w:szCs w:val="16"/>
                <w:color w:val="auto"/>
              </w:rPr>
              <w:t>Less interest income</w:t>
            </w:r>
          </w:p>
        </w:tc>
        <w:tc>
          <w:tcPr>
            <w:tcW w:w="18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(30,337)</w:t>
            </w:r>
          </w:p>
        </w:tc>
        <w:tc>
          <w:tcPr>
            <w:tcW w:w="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(57,121)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40" w:type="dxa"/>
            <w:vAlign w:val="bottom"/>
            <w:shd w:val="clear" w:color="auto" w:fill="F0FFFF"/>
          </w:tcPr>
          <w:p>
            <w:pPr>
              <w:spacing w:after="0"/>
              <w:rPr>
                <w:sz w:val="20"/>
                <w:szCs w:val="20"/>
                <w:color w:val="auto"/>
              </w:rPr>
            </w:pPr>
            <w:r>
              <w:rPr>
                <w:rFonts w:ascii="Arial" w:cs="Arial" w:eastAsia="Arial" w:hAnsi="Arial"/>
                <w:sz w:val="16"/>
                <w:szCs w:val="16"/>
                <w:color w:val="auto"/>
              </w:rPr>
              <w:t>Plus interest expense</w:t>
            </w:r>
          </w:p>
        </w:tc>
        <w:tc>
          <w:tcPr>
            <w:tcW w:w="18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256,844</w:t>
            </w: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157,205</w:t>
            </w: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40" w:type="dxa"/>
            <w:vAlign w:val="bottom"/>
            <w:shd w:val="clear" w:color="auto" w:fill="F0FFFF"/>
          </w:tcPr>
          <w:p>
            <w:pPr>
              <w:spacing w:after="0"/>
              <w:rPr>
                <w:sz w:val="20"/>
                <w:szCs w:val="20"/>
                <w:color w:val="auto"/>
              </w:rPr>
            </w:pPr>
            <w:r>
              <w:rPr>
                <w:rFonts w:ascii="Arial" w:cs="Arial" w:eastAsia="Arial" w:hAnsi="Arial"/>
                <w:sz w:val="16"/>
                <w:szCs w:val="16"/>
                <w:color w:val="auto"/>
              </w:rPr>
              <w:t>Plus income tax expense (benefit)</w:t>
            </w:r>
          </w:p>
        </w:tc>
        <w:tc>
          <w:tcPr>
            <w:tcW w:w="18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(27,255,398)</w:t>
            </w:r>
          </w:p>
        </w:tc>
        <w:tc>
          <w:tcPr>
            <w:tcW w:w="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27,646</w:t>
            </w: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40" w:type="dxa"/>
            <w:vAlign w:val="bottom"/>
            <w:shd w:val="clear" w:color="auto" w:fill="F0FFFF"/>
          </w:tcPr>
          <w:p>
            <w:pPr>
              <w:spacing w:after="0"/>
              <w:rPr>
                <w:sz w:val="20"/>
                <w:szCs w:val="20"/>
                <w:color w:val="auto"/>
              </w:rPr>
            </w:pPr>
            <w:r>
              <w:rPr>
                <w:rFonts w:ascii="Arial" w:cs="Arial" w:eastAsia="Arial" w:hAnsi="Arial"/>
                <w:sz w:val="16"/>
                <w:szCs w:val="16"/>
                <w:color w:val="auto"/>
              </w:rPr>
              <w:t>Plus depreciation expense</w:t>
            </w:r>
          </w:p>
        </w:tc>
        <w:tc>
          <w:tcPr>
            <w:tcW w:w="18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5,463,985</w:t>
            </w: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3,837,174</w:t>
            </w: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40" w:type="dxa"/>
            <w:vAlign w:val="bottom"/>
            <w:shd w:val="clear" w:color="auto" w:fill="F0FFFF"/>
          </w:tcPr>
          <w:p>
            <w:pPr>
              <w:spacing w:after="0"/>
              <w:rPr>
                <w:sz w:val="20"/>
                <w:szCs w:val="20"/>
                <w:color w:val="auto"/>
              </w:rPr>
            </w:pPr>
            <w:r>
              <w:rPr>
                <w:rFonts w:ascii="Arial" w:cs="Arial" w:eastAsia="Arial" w:hAnsi="Arial"/>
                <w:sz w:val="16"/>
                <w:szCs w:val="16"/>
                <w:color w:val="auto"/>
              </w:rPr>
              <w:t>Plus amortization expense</w:t>
            </w:r>
          </w:p>
        </w:tc>
        <w:tc>
          <w:tcPr>
            <w:tcW w:w="18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21,953</w:t>
            </w: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742,400</w:t>
            </w: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40" w:type="dxa"/>
            <w:vAlign w:val="bottom"/>
            <w:shd w:val="clear" w:color="auto" w:fill="F0FFFF"/>
          </w:tcPr>
          <w:p>
            <w:pPr>
              <w:spacing w:after="0"/>
              <w:rPr>
                <w:sz w:val="20"/>
                <w:szCs w:val="20"/>
                <w:color w:val="auto"/>
              </w:rPr>
            </w:pPr>
            <w:r>
              <w:rPr>
                <w:rFonts w:ascii="Arial" w:cs="Arial" w:eastAsia="Arial" w:hAnsi="Arial"/>
                <w:sz w:val="16"/>
                <w:szCs w:val="16"/>
                <w:color w:val="auto"/>
              </w:rPr>
              <w:t>Plus change in fair value of warrant liabilities</w:t>
            </w:r>
          </w:p>
        </w:tc>
        <w:tc>
          <w:tcPr>
            <w:tcW w:w="18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(65,429)</w:t>
            </w:r>
          </w:p>
        </w:tc>
        <w:tc>
          <w:tcPr>
            <w:tcW w:w="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(267,928)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40" w:type="dxa"/>
            <w:vAlign w:val="bottom"/>
            <w:shd w:val="clear" w:color="auto" w:fill="F0FFFF"/>
          </w:tcPr>
          <w:p>
            <w:pPr>
              <w:spacing w:after="0"/>
              <w:rPr>
                <w:sz w:val="20"/>
                <w:szCs w:val="20"/>
                <w:color w:val="auto"/>
              </w:rPr>
            </w:pPr>
            <w:r>
              <w:rPr>
                <w:rFonts w:ascii="Arial" w:cs="Arial" w:eastAsia="Arial" w:hAnsi="Arial"/>
                <w:sz w:val="16"/>
                <w:szCs w:val="16"/>
                <w:color w:val="auto"/>
              </w:rPr>
              <w:t>Plus stock-based compensation</w:t>
            </w:r>
          </w:p>
        </w:tc>
        <w:tc>
          <w:tcPr>
            <w:tcW w:w="18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529,041</w:t>
            </w: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502,907</w:t>
            </w: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shd w:val="clear" w:color="auto" w:fill="F0FFFF"/>
          </w:tcPr>
          <w:p>
            <w:pPr>
              <w:spacing w:after="0"/>
              <w:rPr>
                <w:sz w:val="20"/>
                <w:szCs w:val="20"/>
                <w:color w:val="auto"/>
              </w:rPr>
            </w:pPr>
            <w:r>
              <w:rPr>
                <w:rFonts w:ascii="Arial" w:cs="Arial" w:eastAsia="Arial" w:hAnsi="Arial"/>
                <w:sz w:val="16"/>
                <w:szCs w:val="16"/>
                <w:color w:val="auto"/>
              </w:rPr>
              <w:t>Adjusted EBITDA</w:t>
            </w:r>
          </w:p>
        </w:tc>
        <w:tc>
          <w:tcPr>
            <w:tcW w:w="20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6,451,311</w:t>
            </w:r>
          </w:p>
        </w:tc>
        <w:tc>
          <w:tcPr>
            <w:tcW w:w="120" w:type="dxa"/>
            <w:vAlign w:val="bottom"/>
            <w:shd w:val="clear" w:color="auto" w:fill="F0FFFF"/>
          </w:tcPr>
          <w:p>
            <w:pPr>
              <w:spacing w:after="0"/>
              <w:rPr>
                <w:sz w:val="19"/>
                <w:szCs w:val="19"/>
                <w:color w:val="auto"/>
              </w:rPr>
            </w:pPr>
          </w:p>
        </w:tc>
        <w:tc>
          <w:tcPr>
            <w:tcW w:w="32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5,796,406</w:t>
            </w:r>
          </w:p>
        </w:tc>
        <w:tc>
          <w:tcPr>
            <w:tcW w:w="10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F0FFFF"/>
            </w:tcBorders>
            <w:shd w:val="clear" w:color="auto" w:fill="F0FFFF"/>
          </w:tcPr>
          <w:p>
            <w:pPr>
              <w:spacing w:after="0" w:line="20" w:lineRule="exact"/>
              <w:rPr>
                <w:sz w:val="1"/>
                <w:szCs w:val="1"/>
                <w:color w:val="auto"/>
              </w:rPr>
            </w:pPr>
          </w:p>
        </w:tc>
        <w:tc>
          <w:tcPr>
            <w:tcW w:w="180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used herein, Adjusted EBITDA represents net income before interest income, interest expense, income taxes, depreciation, amortization, change in fair value of warrant liabilities and stock-based compensation expense. We have excluded the non-operating item, change in fair value of warrant liabilities, because it represents a non-cash charge that is not related to the Company’s operations. We have excluded the non-cash expense, stock-based compensation, as it does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FISCAL YEAR ENDED JUNE 30, 2013 COMPARED TO FISCAL YEAR ENDED JUNE 30, 2012</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Results for the fiscal year ended June 30, 2013 continued to demonstrate significant growth and improvements in the Company’s operations. Highlights of year over year improvements include:</w:t>
      </w:r>
    </w:p>
    <w:p>
      <w:pPr>
        <w:spacing w:after="0" w:line="170" w:lineRule="exact"/>
        <w:rPr>
          <w:sz w:val="20"/>
          <w:szCs w:val="20"/>
          <w:color w:val="auto"/>
        </w:rPr>
      </w:pPr>
    </w:p>
    <w:p>
      <w:pPr>
        <w:ind w:left="920" w:hanging="331"/>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revenue up 24%;</w:t>
      </w:r>
    </w:p>
    <w:p>
      <w:pPr>
        <w:spacing w:after="0" w:line="23" w:lineRule="exact"/>
        <w:rPr>
          <w:rFonts w:ascii="Arial" w:cs="Arial" w:eastAsia="Arial" w:hAnsi="Arial"/>
          <w:sz w:val="18"/>
          <w:szCs w:val="18"/>
          <w:color w:val="auto"/>
        </w:rPr>
      </w:pPr>
    </w:p>
    <w:p>
      <w:pPr>
        <w:ind w:left="920" w:hanging="331"/>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Recurring license and transaction fee revenue up 29%;</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ePort Connect service base up 30%;</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Gross profit dollars up 42%, and</w:t>
      </w:r>
    </w:p>
    <w:p>
      <w:pPr>
        <w:spacing w:after="0" w:line="9" w:lineRule="exact"/>
        <w:rPr>
          <w:rFonts w:ascii="Arial" w:cs="Arial" w:eastAsia="Arial" w:hAnsi="Arial"/>
          <w:sz w:val="18"/>
          <w:szCs w:val="18"/>
          <w:color w:val="auto"/>
        </w:rPr>
      </w:pPr>
    </w:p>
    <w:p>
      <w:pPr>
        <w:ind w:left="920" w:hanging="331"/>
        <w:spacing w:after="0" w:line="261"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income of $854,000 (includes $268,000 non-cash income for change in fair value of warrants), from a net loss of ($5.2) million (includes $1.8 million non-cash income for fair value of warrants).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for the fiscal year ended June 30, 2013 were $35,940,244, consisting of $30,044,429 of license and transactions fees and $5,895,815 of equipment sales, compared to $29,017,243 for the fiscal year ended June 30, 2012, consisting of $23,370,754 of license and transaction fees and $5,646,489 of equipment sales. The increase in total revenue of $6,923,001, or 24%, was primarily due to an increase in license and transaction fees of $6,673,675, or 29%, from the prior year, and an increase in equipment sales of $249,326 or 4%, from the prior year.</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from license and transaction fees, which represented 84% of total revenue for fiscal 2013, is fueled primarily by monthly ePort Connect® service fees and transaction processing fees. Highlights for fiscal 2013 include:</w:t>
      </w:r>
    </w:p>
    <w:p>
      <w:pPr>
        <w:spacing w:after="0" w:line="170" w:lineRule="exact"/>
        <w:rPr>
          <w:sz w:val="20"/>
          <w:szCs w:val="20"/>
          <w:color w:val="auto"/>
        </w:rPr>
      </w:pPr>
    </w:p>
    <w:p>
      <w:pPr>
        <w:ind w:left="920" w:hanging="331"/>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50,000 additional net connections to the Company’s ePort Connect service in fiscal 2013 compared to 45,000 for fiscal 2012;</w:t>
      </w:r>
    </w:p>
    <w:p>
      <w:pPr>
        <w:spacing w:after="0" w:line="23" w:lineRule="exact"/>
        <w:rPr>
          <w:rFonts w:ascii="Arial" w:cs="Arial" w:eastAsia="Arial" w:hAnsi="Arial"/>
          <w:sz w:val="18"/>
          <w:szCs w:val="18"/>
          <w:color w:val="auto"/>
        </w:rPr>
      </w:pPr>
    </w:p>
    <w:p>
      <w:pPr>
        <w:ind w:left="920" w:hanging="331"/>
        <w:spacing w:after="0" w:line="250"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of June 30, 2013, the Company had approximately 214,000 connections to the ePort Connect service compared to approximately 164,000 connections to the ePort Connect service as of June 30, 2012, an increase of approximately 30%;</w:t>
      </w:r>
    </w:p>
    <w:p>
      <w:pPr>
        <w:ind w:left="920" w:hanging="331"/>
        <w:spacing w:after="0" w:line="250" w:lineRule="auto"/>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the number of small-ticket, credit/debit transactions and dollars handled for fiscal 2013 of 26% and 28%, respectively, compared to the same period a year ago; and</w:t>
      </w:r>
    </w:p>
    <w:p>
      <w:pPr>
        <w:ind w:left="920" w:hanging="331"/>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1,750 ePort Connect customers added in the current fiscal year, up 53% from the prior fiscal year, for 5,050 customers at June 30, 2013.</w:t>
      </w: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license and transaction fees was due to the growth in ePort Connect service fees and transaction dollars that stems from the increased number of connections to our ePort Connect service. As of June 30, 2013, the Company had approximately 214,000 connections to the ePort Connect service compared to approximately 164,000 connections to the ePort Connect service as of June 30, 2012. During the year ended June 30, 2013, the Company added approximately 50,000 net connections to our network compared to approximately 45,000 net connections added during the year ended June 30, 2012. Connections added as part of our JumpStart program represented approximately 70% and 65% of net connections added during the 2013 and 2012 fiscal years, respectively.</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its agreements with customers, in addition to ePort Connect service fees, the Company earns transaction processing fees equal to a percentage of the dollar volume processed by the Company. During the year ended June 30, 2013, the Company processed approximately 129 million transactions totaling approximately $219 million compared to approximately 103 million transactions totaling approximately $171 million during the year ended June 30, 2012, an increase of approximately 26% in the number of transactions and approximately 28% in the value of transactions processed.</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New customers added to our ePort® Connect service during the fiscal year ended June 30, 2013 totaled 1,750, bringing the total number of such customers to approximately 5,050 as of June 30, 2013. The Company added approximately 1,350 new customers in the year ended June 30, 2012. By comparison, the Company had approximately 3,300 customers as of June 30, 2012, representing a 53% increase during the past twelve months. We count a customer as a new customer upon the signing of their ePort Connect service agreement. When a reseller sells our ePort, we count a customer as a new customer upon the signing of the applicable services agreement with the customer.</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$249,326 increase in equipment sales was a result of an increase of approximately $787,000 related to ePort® products, offset by a decrease of approximately $529,000 in Energy Miser products and $9,000 in other products. The $787,000 increase in ePort products is directly attributable to selling more units and an increase in activation fees during the current fiscal year. The $529,000 decrease in Energy Miser products is directly attributable to selling fewer units during the current fiscal year as a result of fewer Energy Miser product promotions.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sales consisted of cost of services for license and transaction fee related costs of $18,219,945 and $15,312,966 and equipment costs of $3,623,686 and $3,743,226, for the years ended June 30, 2013 and 2012, respectively. The increase in total cost of sales of $2,787,439, or 15%, was due to an increase in cost of services of $2,906,979 that stemmed from the greater number of connections to the Company’s ePort Connect service and increases in transaction dollars processed by those connections, offset by improvements in pricing from major suppliers. This increase was partially offset by a decrease in cost of equipment sales of $119,540.</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(“GP”) for the year ended June 30, 2013 was $14,096,613 compared to GP of $9,961,051 for the previous fiscal year, an increase of $4,135,562, or 42%, of which $3,766,696 is attributable to license and transaction fees GP and $368,866 of equipment sales GP. Overall gross profit margins increased from 34% to 39% due to an increase in license and transaction fees margins to 39%, from 34% in the prior fiscal year and by an increase in equipment sales margins to 39%, from 34% in the prior fiscal year. Improved license and transaction fee margins are due to increased efficiencies stemming from new/or renegotiated supplier agreements as well as a larger ePort Connect service base, including the VISA agreement described under the section titled “Important Relationships” that was entered into on October 12, 2011.</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(“SG&amp;A”) expenses of $12,068,566 for the fiscal year ended June 30, 2013, decreased by $3,392,102 or 22%, from the prior fiscal year. Fiscal 2013 SG&amp;A expenses include $328,000 of expenses related to the fiscal 2012 proxy contest, related litigation and settlement. Included in the $15,460,668 of SG&amp;A expenses during the year ended June 30, 2012 were approximately $975,000 of expenses for the separation of the former CEO from the Company and approximately $2.2 million related to the proxy contest, related litigation and settlement.</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Exclusive of the two matters described above, SG&amp;A decreased approximately $516,000, or 4%, in fiscal 2013 as compared to fiscal 2012. The overall decrease is comprised of approximately $363,000 for the reversal of sales tax audit assessment accruals estimated in fiscal 2012 that were finalized at a lower</w:t>
      </w:r>
    </w:p>
    <w:p>
      <w:pPr>
        <w:sectPr>
          <w:pgSz w:w="11900" w:h="16838" w:orient="portrait"/>
          <w:cols w:equalWidth="0" w:num="1">
            <w:col w:w="11420"/>
          </w:cols>
          <w:pgMar w:left="240" w:top="918" w:right="239" w:bottom="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amount in fiscal 2013; a $222,000 reduction in employee and director compensation and benefit expenses; and, smaller decreases in several other areas totaling $158,000. These reductions are offset, by a $227,000 increase in sales and marketing expenses for the 2013 fiscal year.</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Other income and expense for the year ended June 30, 2013, primarily consisted of a $267,928 of non-cash gain for the change in the fair value (“FV”) of the Company’s warrant liabilities. The primary factor affecting the change in fair value is the decrease in the Black-Scholes value (“BSV”) of the warrants from June 30 2012 to June 30 2013. For the year ended June 30, 2012, the Company had a non-cash gain of $1,813,687 for the same warrant liabilities.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fiscal year ended June 30, 2013 resulted in net income of $854,123 compared to a net loss of $5,211,238 for the fiscal year ended June 30, 2012, an improvement of $6,065,361 between fiscal years. After preferred dividends of $664,452 for each fiscal year, net income (loss) applicable to common shareholders was $189,671 and $(5,875,690) for the fiscal years ended 2013 and 2012, respectively. For the fiscal year ended June 30, 2013, net earnings per common share, basic and diluted were $0.01 and $0.01, respectively, compared to the prior fiscal year net loss per common share (basic and diluted) of $(0.18).</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jc w:val="both"/>
        <w:spacing w:after="0" w:line="291" w:lineRule="auto"/>
        <w:rPr>
          <w:sz w:val="20"/>
          <w:szCs w:val="20"/>
          <w:color w:val="auto"/>
        </w:rPr>
      </w:pPr>
      <w:r>
        <w:rPr>
          <w:rFonts w:ascii="Arial" w:cs="Arial" w:eastAsia="Arial" w:hAnsi="Arial"/>
          <w:sz w:val="16"/>
          <w:szCs w:val="16"/>
          <w:color w:val="auto"/>
        </w:rPr>
        <w:t>Non-GAAP net income was $914,195 for fiscal 2013, compared to a non-GAAP net loss of $3,820,925 for fiscal 2012. Management believes that non-GAAP net income (loss), non-GAAP net income (loss) applicable to common shares and non-GAAP diluted earnings (loss) per common share are important measures of USAT’s business. Management uses the aforementioned non-GAAP measures to monitor and evaluate ongoing operating results and trends and to gain an understanding of our comparative operating performance. We believe that these non-GAAP financial measures serve as useful metrics for our management and investors because they enable a better understanding of the long-term performance of our core business and facilitate comparisons of our operating results over multiple periods, and when taken together with the corresponding GAAP (United States’ Generally Accepted Accounting Principles) financial measures and our reconciliations, enhance investors’ overall understanding of our current and future financial performance.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net income (loss) to Non-GAAP net income (loss) for the years ended June 30, 2013 and 2012 is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Year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854,123</w:t>
            </w:r>
          </w:p>
        </w:tc>
        <w:tc>
          <w:tcPr>
            <w:tcW w:w="180" w:type="dxa"/>
            <w:vAlign w:val="bottom"/>
            <w:tcBorders>
              <w:right w:val="single" w:sz="8" w:color="F0FFFF"/>
            </w:tcBorders>
            <w:shd w:val="clear" w:color="auto" w:fill="F0FFFF"/>
          </w:tcPr>
          <w:p>
            <w:pPr>
              <w:spacing w:after="0"/>
              <w:rPr>
                <w:sz w:val="18"/>
                <w:szCs w:val="18"/>
                <w:color w:val="auto"/>
              </w:rPr>
            </w:pP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(5,211,238)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Non-GAAP adjustments: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Operating expenses</w:t>
            </w:r>
          </w:p>
        </w:tc>
        <w:tc>
          <w:tcPr>
            <w:tcW w:w="9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80"/>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Proxy related costs</w:t>
            </w:r>
          </w:p>
        </w:tc>
        <w:tc>
          <w:tcPr>
            <w:tcW w:w="9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328,000</w:t>
            </w:r>
          </w:p>
        </w:tc>
        <w:tc>
          <w:tcPr>
            <w:tcW w:w="180" w:type="dxa"/>
            <w:vAlign w:val="bottom"/>
            <w:tcBorders>
              <w:right w:val="single" w:sz="8" w:color="F0FFFF"/>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2,229,000</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CEO Separation</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Fair value of warrant adjustment</w:t>
            </w:r>
          </w:p>
        </w:tc>
        <w:tc>
          <w:tcPr>
            <w:tcW w:w="9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(267,928)</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(1,813,687)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shd w:val="clear" w:color="auto" w:fill="F0FFFF"/>
          </w:tcPr>
          <w:p>
            <w:pPr>
              <w:spacing w:after="0"/>
              <w:rPr>
                <w:sz w:val="2"/>
                <w:szCs w:val="2"/>
                <w:color w:val="auto"/>
              </w:rPr>
            </w:pPr>
          </w:p>
        </w:tc>
        <w:tc>
          <w:tcPr>
            <w:tcW w:w="92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F0FFFF"/>
            </w:tcBorders>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Non-GAAP net income (loss)</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914,195</w:t>
            </w:r>
          </w:p>
        </w:tc>
        <w:tc>
          <w:tcPr>
            <w:tcW w:w="1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(3,820,925)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(loss)</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854,123</w:t>
            </w:r>
          </w:p>
        </w:tc>
        <w:tc>
          <w:tcPr>
            <w:tcW w:w="1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(5,211,238)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Non-GAAP net income (loss)</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914,195</w:t>
            </w:r>
          </w:p>
        </w:tc>
        <w:tc>
          <w:tcPr>
            <w:tcW w:w="180" w:type="dxa"/>
            <w:vAlign w:val="bottom"/>
            <w:tcBorders>
              <w:right w:val="single" w:sz="8" w:color="F0FFFF"/>
            </w:tcBorders>
            <w:shd w:val="clear" w:color="auto" w:fill="F0FFFF"/>
          </w:tcPr>
          <w:p>
            <w:pPr>
              <w:spacing w:after="0"/>
              <w:rPr>
                <w:sz w:val="18"/>
                <w:szCs w:val="18"/>
                <w:color w:val="auto"/>
              </w:rPr>
            </w:pP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(3,820,925)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9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(664,452)</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(664,452)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shd w:val="clear" w:color="auto" w:fill="F0FFFF"/>
          </w:tcPr>
          <w:p>
            <w:pPr>
              <w:spacing w:after="0"/>
              <w:rPr>
                <w:sz w:val="2"/>
                <w:szCs w:val="2"/>
                <w:color w:val="auto"/>
              </w:rPr>
            </w:pPr>
          </w:p>
        </w:tc>
        <w:tc>
          <w:tcPr>
            <w:tcW w:w="92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F0FFFF"/>
            </w:tcBorders>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(loss) applicable to common shares</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189,671</w:t>
            </w:r>
          </w:p>
        </w:tc>
        <w:tc>
          <w:tcPr>
            <w:tcW w:w="1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(5,875,690)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Non-GAAP net income (loss) applicable to common shares</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249,743</w:t>
            </w:r>
          </w:p>
        </w:tc>
        <w:tc>
          <w:tcPr>
            <w:tcW w:w="180" w:type="dxa"/>
            <w:vAlign w:val="bottom"/>
            <w:tcBorders>
              <w:right w:val="single" w:sz="8" w:color="F0FFFF"/>
            </w:tcBorders>
            <w:shd w:val="clear" w:color="auto" w:fill="F0FFFF"/>
          </w:tcPr>
          <w:p>
            <w:pPr>
              <w:spacing w:after="0"/>
              <w:rPr>
                <w:sz w:val="21"/>
                <w:szCs w:val="21"/>
                <w:color w:val="auto"/>
              </w:rPr>
            </w:pP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(4,485,377)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F0FFFF"/>
            </w:tcBorders>
          </w:tcPr>
          <w:p>
            <w:pPr>
              <w:spacing w:after="0"/>
              <w:rPr>
                <w:sz w:val="18"/>
                <w:szCs w:val="18"/>
                <w:color w:val="auto"/>
              </w:rPr>
            </w:pPr>
          </w:p>
        </w:tc>
        <w:tc>
          <w:tcPr>
            <w:tcW w:w="92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Net earnings (loss) per common share - basic</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Borders>
              <w:right w:val="single" w:sz="8" w:color="F0FFFF"/>
            </w:tcBorders>
            <w:shd w:val="clear" w:color="auto" w:fill="F0FFFF"/>
          </w:tcPr>
          <w:p>
            <w:pPr>
              <w:spacing w:after="0"/>
              <w:rPr>
                <w:sz w:val="20"/>
                <w:szCs w:val="20"/>
                <w:color w:val="auto"/>
              </w:rPr>
            </w:pP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0" w:type="dxa"/>
            <w:vAlign w:val="bottom"/>
            <w:tcBorders>
              <w:top w:val="single" w:sz="8" w:color="F0FFFF"/>
            </w:tcBorders>
            <w:shd w:val="clear" w:color="auto" w:fill="F0FFFF"/>
          </w:tcPr>
          <w:p>
            <w:pPr>
              <w:spacing w:after="0" w:line="20" w:lineRule="exact"/>
              <w:rPr>
                <w:sz w:val="1"/>
                <w:szCs w:val="1"/>
                <w:color w:val="auto"/>
              </w:rPr>
            </w:pPr>
          </w:p>
        </w:tc>
        <w:tc>
          <w:tcPr>
            <w:tcW w:w="9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Non-GAAP net earnings (loss) per common share - basic</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32,787,673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32,423,987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earnings (loss) per common share - diluted</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Non-GAAP net earnings (loss) per common share - diluted</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Borders>
              <w:right w:val="single" w:sz="8" w:color="F0FFFF"/>
            </w:tcBorders>
            <w:shd w:val="clear" w:color="auto" w:fill="F0FFFF"/>
          </w:tcPr>
          <w:p>
            <w:pPr>
              <w:spacing w:after="0"/>
              <w:rPr>
                <w:sz w:val="21"/>
                <w:szCs w:val="21"/>
                <w:color w:val="auto"/>
              </w:rPr>
            </w:pP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F0FFFF"/>
            </w:tcBorders>
          </w:tcPr>
          <w:p>
            <w:pPr>
              <w:spacing w:after="0"/>
              <w:rPr>
                <w:sz w:val="18"/>
                <w:szCs w:val="18"/>
                <w:color w:val="auto"/>
              </w:rPr>
            </w:pPr>
          </w:p>
        </w:tc>
        <w:tc>
          <w:tcPr>
            <w:tcW w:w="92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Diluted weighted average number of common shares outstanding</w:t>
            </w:r>
          </w:p>
        </w:tc>
        <w:tc>
          <w:tcPr>
            <w:tcW w:w="9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33,613,346</w:t>
            </w:r>
          </w:p>
        </w:tc>
        <w:tc>
          <w:tcPr>
            <w:tcW w:w="180" w:type="dxa"/>
            <w:vAlign w:val="bottom"/>
            <w:tcBorders>
              <w:right w:val="single" w:sz="8" w:color="F0FFFF"/>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32,423,987</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used herein, non-GAAP net income (loss) represents GAAP net income (loss) excluding costs relating to the proxy contest, the costs associated with the separation of the former CEO and any adjustment for fair value of warrant liabilities. As used herein, non-GAAP net earnings (loss) per common share is calculated by dividing non-GAAP net income (loss) applicable to common shares by the weighted average number of shares outstanding, and where diluted shares are required, adds back the preferred dividend since the conversion of preferred shares are accounted for in the diluted share count.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fiscal year ended June 30, 2013, the Company had Adjusted EBITDA of $5,796,406. Reconciliation of net income (loss) to Adjusted EBITDA for the years ended June 30, 2013 and 2012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Year ended June 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2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854,123</w:t>
            </w:r>
          </w:p>
        </w:tc>
        <w:tc>
          <w:tcPr>
            <w:tcW w:w="120" w:type="dxa"/>
            <w:vAlign w:val="bottom"/>
            <w:shd w:val="clear" w:color="auto" w:fill="F0FFFF"/>
          </w:tcPr>
          <w:p>
            <w:pPr>
              <w:spacing w:after="0"/>
              <w:rPr>
                <w:sz w:val="18"/>
                <w:szCs w:val="18"/>
                <w:color w:val="auto"/>
              </w:rPr>
            </w:pPr>
          </w:p>
        </w:tc>
        <w:tc>
          <w:tcPr>
            <w:tcW w:w="3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(5,211,238)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Less interest income</w:t>
            </w:r>
          </w:p>
        </w:tc>
        <w:tc>
          <w:tcPr>
            <w:tcW w:w="2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(57,121)</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(72,059)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Plus interest expense</w:t>
            </w:r>
          </w:p>
        </w:tc>
        <w:tc>
          <w:tcPr>
            <w:tcW w:w="2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157,205</w:t>
            </w: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83,993</w:t>
            </w:r>
          </w:p>
        </w:tc>
        <w:tc>
          <w:tcPr>
            <w:tcW w:w="10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Plus income tax expense</w:t>
            </w:r>
          </w:p>
        </w:tc>
        <w:tc>
          <w:tcPr>
            <w:tcW w:w="2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27,646</w:t>
            </w: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12,599</w:t>
            </w:r>
          </w:p>
        </w:tc>
        <w:tc>
          <w:tcPr>
            <w:tcW w:w="10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Plus depreciation expense</w:t>
            </w:r>
          </w:p>
        </w:tc>
        <w:tc>
          <w:tcPr>
            <w:tcW w:w="2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3,837,174</w:t>
            </w: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2,443,054</w:t>
            </w:r>
          </w:p>
        </w:tc>
        <w:tc>
          <w:tcPr>
            <w:tcW w:w="10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Plus amortization expense</w:t>
            </w:r>
          </w:p>
        </w:tc>
        <w:tc>
          <w:tcPr>
            <w:tcW w:w="2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742,400</w:t>
            </w: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997,900</w:t>
            </w:r>
          </w:p>
        </w:tc>
        <w:tc>
          <w:tcPr>
            <w:tcW w:w="10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w w:val="93"/>
              </w:rPr>
              <w:t>Plus (gain)/loss for change in fair value of warrant liabilities</w:t>
            </w:r>
          </w:p>
        </w:tc>
        <w:tc>
          <w:tcPr>
            <w:tcW w:w="2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(267,928)</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(1,813,687)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Plus stock-based compensation</w:t>
            </w:r>
          </w:p>
        </w:tc>
        <w:tc>
          <w:tcPr>
            <w:tcW w:w="2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502,907</w:t>
            </w: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782,100</w:t>
            </w:r>
          </w:p>
        </w:tc>
        <w:tc>
          <w:tcPr>
            <w:tcW w:w="10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Adjusted EBITDA income (loss)</w:t>
            </w:r>
          </w:p>
        </w:tc>
        <w:tc>
          <w:tcPr>
            <w:tcW w:w="2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5,796,406</w:t>
            </w:r>
          </w:p>
        </w:tc>
        <w:tc>
          <w:tcPr>
            <w:tcW w:w="120" w:type="dxa"/>
            <w:vAlign w:val="bottom"/>
            <w:shd w:val="clear" w:color="auto" w:fill="F0FFFF"/>
          </w:tcPr>
          <w:p>
            <w:pPr>
              <w:spacing w:after="0"/>
              <w:rPr>
                <w:sz w:val="22"/>
                <w:szCs w:val="22"/>
                <w:color w:val="auto"/>
              </w:rPr>
            </w:pPr>
          </w:p>
        </w:tc>
        <w:tc>
          <w:tcPr>
            <w:tcW w:w="3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(2,777,338)</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69"/>
        </w:trPr>
        <w:tc>
          <w:tcPr>
            <w:tcW w:w="1160" w:type="dxa"/>
            <w:vAlign w:val="bottom"/>
            <w:tcBorders>
              <w:bottom w:val="single" w:sz="8" w:color="DCDCDC"/>
            </w:tcBorders>
          </w:tcPr>
          <w:p>
            <w:pPr>
              <w:spacing w:after="0"/>
              <w:rPr>
                <w:sz w:val="24"/>
                <w:szCs w:val="24"/>
                <w:color w:val="auto"/>
              </w:rPr>
            </w:pPr>
          </w:p>
        </w:tc>
        <w:tc>
          <w:tcPr>
            <w:tcW w:w="4400" w:type="dxa"/>
            <w:vAlign w:val="bottom"/>
            <w:tcBorders>
              <w:top w:val="single" w:sz="8" w:color="F0FFFF"/>
              <w:bottom w:val="single" w:sz="8" w:color="DCDCDC"/>
            </w:tcBorders>
          </w:tcPr>
          <w:p>
            <w:pPr>
              <w:spacing w:after="0"/>
              <w:rPr>
                <w:sz w:val="24"/>
                <w:szCs w:val="24"/>
                <w:color w:val="auto"/>
              </w:rPr>
            </w:pPr>
          </w:p>
        </w:tc>
        <w:tc>
          <w:tcPr>
            <w:tcW w:w="2120" w:type="dxa"/>
            <w:vAlign w:val="bottom"/>
            <w:tcBorders>
              <w:top w:val="single" w:sz="8" w:color="F0FFFF"/>
              <w:bottom w:val="single" w:sz="8" w:color="DCDCDC"/>
            </w:tcBorders>
          </w:tcPr>
          <w:p>
            <w:pPr>
              <w:jc w:val="right"/>
              <w:ind w:right="1790"/>
              <w:spacing w:after="0"/>
              <w:rPr>
                <w:sz w:val="20"/>
                <w:szCs w:val="20"/>
                <w:color w:val="auto"/>
              </w:rPr>
            </w:pPr>
            <w:r>
              <w:rPr>
                <w:rFonts w:ascii="Arial" w:cs="Arial" w:eastAsia="Arial" w:hAnsi="Arial"/>
                <w:sz w:val="18"/>
                <w:szCs w:val="18"/>
                <w:color w:val="auto"/>
              </w:rPr>
              <w:t>28</w:t>
            </w:r>
          </w:p>
        </w:tc>
        <w:tc>
          <w:tcPr>
            <w:tcW w:w="240" w:type="dxa"/>
            <w:vAlign w:val="bottom"/>
            <w:tcBorders>
              <w:top w:val="single" w:sz="8" w:color="auto"/>
              <w:bottom w:val="single" w:sz="8" w:color="DCDCDC"/>
            </w:tcBorders>
          </w:tcPr>
          <w:p>
            <w:pPr>
              <w:spacing w:after="0"/>
              <w:rPr>
                <w:sz w:val="24"/>
                <w:szCs w:val="24"/>
                <w:color w:val="auto"/>
              </w:rPr>
            </w:pPr>
          </w:p>
        </w:tc>
        <w:tc>
          <w:tcPr>
            <w:tcW w:w="900" w:type="dxa"/>
            <w:vAlign w:val="bottom"/>
            <w:tcBorders>
              <w:top w:val="single" w:sz="8" w:color="auto"/>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60" w:type="dxa"/>
            <w:vAlign w:val="bottom"/>
            <w:tcBorders>
              <w:top w:val="single" w:sz="8" w:color="F0FFFF"/>
              <w:bottom w:val="single" w:sz="8" w:color="DCDCDC"/>
            </w:tcBorders>
          </w:tcPr>
          <w:p>
            <w:pPr>
              <w:spacing w:after="0"/>
              <w:rPr>
                <w:sz w:val="24"/>
                <w:szCs w:val="24"/>
                <w:color w:val="auto"/>
              </w:rPr>
            </w:pPr>
          </w:p>
        </w:tc>
        <w:tc>
          <w:tcPr>
            <w:tcW w:w="240" w:type="dxa"/>
            <w:vAlign w:val="bottom"/>
            <w:tcBorders>
              <w:top w:val="single" w:sz="8" w:color="auto"/>
              <w:bottom w:val="single" w:sz="8" w:color="DCDCDC"/>
            </w:tcBorders>
          </w:tcPr>
          <w:p>
            <w:pPr>
              <w:spacing w:after="0"/>
              <w:rPr>
                <w:sz w:val="24"/>
                <w:szCs w:val="24"/>
                <w:color w:val="auto"/>
              </w:rPr>
            </w:pPr>
          </w:p>
        </w:tc>
        <w:tc>
          <w:tcPr>
            <w:tcW w:w="940" w:type="dxa"/>
            <w:vAlign w:val="bottom"/>
            <w:tcBorders>
              <w:top w:val="single" w:sz="8" w:color="auto"/>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2" w:right="239" w:bottom="0" w:gutter="0" w:footer="0" w:header="0"/>
        </w:sectPr>
      </w:pPr>
    </w:p>
    <w:bookmarkStart w:id="43" w:name="page44"/>
    <w:bookmarkEnd w:id="43"/>
    <w:p>
      <w:pPr>
        <w:jc w:val="both"/>
        <w:spacing w:after="0" w:line="287" w:lineRule="auto"/>
        <w:rPr>
          <w:sz w:val="20"/>
          <w:szCs w:val="20"/>
          <w:color w:val="auto"/>
        </w:rPr>
      </w:pPr>
      <w:r>
        <w:rPr>
          <w:rFonts w:ascii="Arial" w:cs="Arial" w:eastAsia="Arial" w:hAnsi="Arial"/>
          <w:sz w:val="16"/>
          <w:szCs w:val="16"/>
          <w:color w:val="auto"/>
        </w:rPr>
        <w:t>As used herein, Adjusted EBITDA represents net income (loss) before interest income, interest expense, income taxes, depreciation, amortization, change in fair value of warrant liabilities, stock-based compensation expense, and impairment expense on intangible assets. We have excluded the non-operating item, change in fair value of warrant liabilities, because it represents a non-cash charge that is not related to the Company’s operations. We have excluded the non-cash expenses, stock-based compensation, and impairment expense, as they do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44" w:name="page45"/>
    <w:bookmarkEnd w:id="44"/>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QUARTER ENDED JUNE 30, 2014 COMPARED TO FISCAL QUARTER ENDED JUNE 30, 2013</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Results for the fiscal quarter ended June 30, 2014 continued to demonstrate growth and improvements in the Company’s operations as compared to the fiscal quarter ended June 30, 2013. Highlights of year over year improvements include:</w:t>
      </w:r>
    </w:p>
    <w:p>
      <w:pPr>
        <w:spacing w:after="0" w:line="197" w:lineRule="exact"/>
        <w:rPr>
          <w:sz w:val="20"/>
          <w:szCs w:val="20"/>
          <w:color w:val="auto"/>
        </w:rPr>
      </w:pPr>
    </w:p>
    <w:p>
      <w:pPr>
        <w:ind w:left="920" w:hanging="305"/>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Recurring license and transaction fee revenue up 16% to $9 million; and</w:t>
      </w:r>
    </w:p>
    <w:p>
      <w:pPr>
        <w:spacing w:after="0" w:line="23" w:lineRule="exact"/>
        <w:rPr>
          <w:rFonts w:ascii="Arial" w:cs="Arial" w:eastAsia="Arial" w:hAnsi="Arial"/>
          <w:sz w:val="18"/>
          <w:szCs w:val="18"/>
          <w:color w:val="auto"/>
        </w:rPr>
      </w:pPr>
    </w:p>
    <w:p>
      <w:pPr>
        <w:ind w:left="920" w:hanging="305"/>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Total connections to its ePort Connect service as of June 30, 2014 up 24% as compared to June 30, 2013.</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for the quarter ended June 30, 2014 were $11,207,460, consisting of $9,460,303 of license and transactions fees and $1,747,157 of equipment sales, compared to $9,684,842 for the quarter ended June 30, 2013, consisting of $8,172,243 of license and transaction fees and $1,512,599 of equipment sales. The increase in total revenue of $1,522,618, or 16%, was primarily due to an increase in license and transaction fees of $1,288,060, or 16%, from the prior year quarter, and an increase in equipment sales of $234,558 or 16%, from the same period in the prior year.</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license and transaction fees, which represented 84% of total revenue for the quarter ended June 30, 2014, is primarily attributable to monthly ePort Connect® service fees and transaction processing fees. Highlights for the quarter ended June 30, 2014 include:</w:t>
      </w:r>
    </w:p>
    <w:p>
      <w:pPr>
        <w:spacing w:after="0" w:line="197" w:lineRule="exact"/>
        <w:rPr>
          <w:sz w:val="20"/>
          <w:szCs w:val="20"/>
          <w:color w:val="auto"/>
        </w:rPr>
      </w:pPr>
    </w:p>
    <w:p>
      <w:pPr>
        <w:ind w:left="920" w:hanging="305"/>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Adding 22,000 net connections to our service compared to 18,000 net connections added in the same quarter of Fiscal 2013;</w:t>
      </w:r>
    </w:p>
    <w:p>
      <w:pPr>
        <w:spacing w:after="0" w:line="23" w:lineRule="exact"/>
        <w:rPr>
          <w:rFonts w:ascii="Arial" w:cs="Arial" w:eastAsia="Arial" w:hAnsi="Arial"/>
          <w:sz w:val="18"/>
          <w:szCs w:val="18"/>
          <w:color w:val="auto"/>
        </w:rPr>
      </w:pPr>
    </w:p>
    <w:p>
      <w:pPr>
        <w:ind w:left="920" w:right="20" w:hanging="305"/>
        <w:spacing w:after="0" w:line="250"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Increases in the number of small-ticket, credit/debit transactions and dollars handled in the fourth quarter of 29% and 32%, respectively, compared to the same period a year ago; and</w:t>
      </w:r>
    </w:p>
    <w:p>
      <w:pPr>
        <w:ind w:left="920" w:hanging="305"/>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ePort Connect customer base grew 45% from June 30, 2013.</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license and transaction fees was due to the growth in ePort Connect service fees and transaction dollars handled from the increased number of connections to our ePort Connect service due to increased sales and/or rentals to our customers. As of June 30, 2014, the Company had approximately 266,000 connections to the ePort Connect service compared to approximately 214,000 connections to the ePort Connect service as of June 30, 2013. During the quarter ended June 30, 2014, the Company added approximately 22,000 net connections to our network as compared to approximately 18,000 net connections during the quarter ended June 30, 2013.</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its agreements with customers, in addition to ePort Connect service fees, the Company earns transaction processing fees equal to a percentage of the dollar volume processed by the Company. During the quarter ended June 30, 2014, the Company processed approximately 47 million transactions totaling approximately $83 million compared to approximately 36 million transactions totaling approximately $63 million during the quarter ended June 30, 2013, an increase of approximately 29% and 32% in the number of transactions and the value of transactions processed, respectively.</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New customers added to our ePort® Connect service during the quarter ended June 30, 2014 totaled 650, bringing the total number of customers to approximately 7,300 as of June 30, 2014. The Company added approximately 525 new customers in the quarter ended June 30, 2013. By comparison, the Company had approximately 5,050 customers as of June 30, 2013, representing a 45% increase during the past twelve months. The Company views the total installed base of machines managed by its customers that have yet to transition to cashless payment, as a key strategic opportunity for future growth in connections. We count a customer as a new customer upon the signing of their ePort Connect service agreement. When a reseller sells our ePort, we count a customer as a new customer upon the signing of the applicable services agreement with the customer.</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$234,558 increase in equipment sales was a result of an increase of approximately $326,000 in our ePort® products, offset by a decrease of approximately $59,000 in our Energy Miser products and by a decrease of approximately $32,000, net, in other products. The $326,000 increase in ePort® products is directly attributable to selling more units during the quarter ended June 30, 2014 than during the quarter ended June 30, 2013.</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Cost of sales consisted of cost of services for network and transaction fee related costs of $6,327,432 and $5,139,129 and equipment costs of $1,217,884 and $874,901, for the quarters ended June 30, 2014 and 2013, respectively. The increase in total cost of sales of $1,531,286, or 25% was due to an increase in cost of services of $1,188,303 and an increase in equipment costs of $342,983. The increase in cost of services was predominantly related to increases in the number of connections to our ePort Connect service network and increases in transaction processing volume. The increase in equipment costs is attributable to selling more units during the quarter ended June 30, 2014 compared to the quarter end June 30, 2013.</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Gross profit (“GP”) for the quarter ended June 30, 2014 was $3,662,144 compared to GP of $3,670,812 for the previous corresponding quarter, a decrease of $8,668, of which $99,757 represents increased GP for license and transaction fees, offset by a decrease of $108,425 of equipment sales GP. Overall gross profit margins decreased from 38% to 33% for the quarter ended June 30, 2014 due to a decline in license and transaction fees margins to 33% from 37% in the prior year and a decline in equipment sales margins to 30% from 42% in the prior year. License and transaction fee margins decreased due to the impact of certain new JumpStart connections associated with grace periods under sales incentives as well as deactivations primarily from one large customer during the 2014 fiscal year. For the new connections associated with the grace periods, the Company incurred costs without receiving the associated monthly service fees. The decrease in equipment sales margins was mainly due to certain sales incentives.</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Selling, general and administrative (“SG&amp;A”) expenses of $4,067,804 for the quarter ended June 30, 2014 increased $917,268, or 29%, from the same quarter in the prior fiscal year. Fiscal 2013 SG&amp;A expenses included benefits of approximately $250,000: $150,000 for the reversal of sales tax audit assessment accruals recorded in fiscal 2012 that were finalized at a lower amount in fiscal 2013, and $100,000 for third-party contractual reimbursement for previously expensed product development costs. Outside of these assessment accruals and expenses reversed in our fourth quarter a year ago, SG&amp;A expenses increased approximately $670,000 predominantly attributable to increases of approximately $413,000 in employee and director compensation and benefits expenses; $107,000 in professional services; and numerous, smaller net increases in other expenses totaling $150,000. Approximately $223,000 of the $413,000 increase in employee and director compensation and benefits expenses predominantly related to expanding our base of employees; and, the remaining $190,000 of the compensation increase mostly related to sales commissions and bonuses for connections added in our fourth fiscal quarter of 2014 as well as year-end bonus accruals related to performance-based compensation arrangements.</w:t>
      </w:r>
    </w:p>
    <w:p>
      <w:pPr>
        <w:spacing w:after="0" w:line="20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Other income and expense for the quarter ended June 30, 2014, primarily consisted of $541,502 as our provision for deferred income taxes. Also included is $53,125 of non-cash gain for the change in the fair value of the Company’s warrant liabilities. The primary factor affecting the change in fair value is the</w:t>
      </w:r>
    </w:p>
    <w:p>
      <w:pPr>
        <w:sectPr>
          <w:pgSz w:w="11900" w:h="16935" w:orient="portrait"/>
          <w:cols w:equalWidth="0" w:num="1">
            <w:col w:w="11420"/>
          </w:cols>
          <w:pgMar w:left="240" w:top="1377" w:right="239" w:bottom="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decrease in the Black-Scholes value of the warrants from March 31, 2014 to June 30, 2014, which factored in the increase in the Company’s stock price as well as a decrease in its volatility during that period.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quarter ended June 30, 2014 resulted in a net loss of $38,719 compared to net income of $1,677,168 for the quarter ended June 30, 2013. For the quarter ended June 30, 2014, net loss per common share (basic and diluted), was $0.00 compared to the quarter ended June 30, 2013 net earnings per common share (basic and diluted) of $0.05.</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Non-GAAP net loss was $91,844, compared to non-GAAP net income of $159,784 for the quarters ended June 30, 2014 and 2013, respectively. Management believes that non-GAAP net income (loss) is an important measures of USAT’s business. Management uses non-GAAP measures to monitor and evaluate ongoing operating results and trends and to gain an understanding of our comparative operating performance. We believe that these non-GAAP financial measures serve as useful metrics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Reconciliation of net income (loss) to Non-GAAP net income (loss) for the quarters ended June 30, 2014 and 2013 is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Three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10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(38,719)</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1,677,168</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Non-GAAP adjustments: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Fair value of warrant adjustment</w:t>
            </w: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2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(53,125)</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(1,517,384)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shd w:val="clear" w:color="auto" w:fill="F0FFFF"/>
          </w:tcPr>
          <w:p>
            <w:pPr>
              <w:spacing w:after="0"/>
              <w:rPr>
                <w:sz w:val="2"/>
                <w:szCs w:val="2"/>
                <w:color w:val="auto"/>
              </w:rPr>
            </w:pPr>
          </w:p>
        </w:tc>
        <w:tc>
          <w:tcPr>
            <w:tcW w:w="9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Borders>
              <w:right w:val="single" w:sz="8" w:color="F0FFFF"/>
            </w:tcBorders>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Non-GAAP net income (loss)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(91,844)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159,784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(loss)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(38,719)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1,677,168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Non-GAAP net income (loss)</w:t>
            </w:r>
          </w:p>
        </w:tc>
        <w:tc>
          <w:tcPr>
            <w:tcW w:w="10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(91,844)</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159,784</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9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F0FFFF"/>
              <w:right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(loss) applicable to common shares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(38,719)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1,677,168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Non-GAAP net income (loss) applicable to common shares</w:t>
            </w:r>
          </w:p>
        </w:tc>
        <w:tc>
          <w:tcPr>
            <w:tcW w:w="10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(91,844)</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159,784</w:t>
            </w:r>
          </w:p>
        </w:tc>
        <w:tc>
          <w:tcPr>
            <w:tcW w:w="1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F0FFFF"/>
            </w:tcBorders>
          </w:tcPr>
          <w:p>
            <w:pPr>
              <w:spacing w:after="0"/>
              <w:rPr>
                <w:sz w:val="18"/>
                <w:szCs w:val="18"/>
                <w:color w:val="auto"/>
              </w:rPr>
            </w:pPr>
          </w:p>
        </w:tc>
        <w:tc>
          <w:tcPr>
            <w:tcW w:w="9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Net earnings (loss) per common share - basic</w:t>
            </w:r>
          </w:p>
        </w:tc>
        <w:tc>
          <w:tcPr>
            <w:tcW w:w="10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F0FFFF"/>
            </w:tcBorders>
            <w:shd w:val="clear" w:color="auto" w:fill="F0FFFF"/>
          </w:tcPr>
          <w:p>
            <w:pPr>
              <w:spacing w:after="0"/>
              <w:rPr>
                <w:sz w:val="20"/>
                <w:szCs w:val="20"/>
                <w:color w:val="auto"/>
              </w:rPr>
            </w:pP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0" w:type="dxa"/>
            <w:vAlign w:val="bottom"/>
            <w:tcBorders>
              <w:top w:val="single" w:sz="8" w:color="F0FFFF"/>
            </w:tcBorders>
            <w:shd w:val="clear" w:color="auto" w:fill="F0FFFF"/>
          </w:tcPr>
          <w:p>
            <w:pPr>
              <w:spacing w:after="0" w:line="20" w:lineRule="exact"/>
              <w:rPr>
                <w:sz w:val="1"/>
                <w:szCs w:val="1"/>
                <w:color w:val="auto"/>
              </w:rPr>
            </w:pPr>
          </w:p>
        </w:tc>
        <w:tc>
          <w:tcPr>
            <w:tcW w:w="9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Non-GAAP net earnings (loss) per common share - basic</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 basic</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35,517,099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33,080,641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earnings (loss) per common share - diluted</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shd w:val="clear" w:color="auto" w:fill="F0FFFF"/>
          </w:tcPr>
          <w:p>
            <w:pPr>
              <w:spacing w:after="0"/>
              <w:rPr>
                <w:sz w:val="20"/>
                <w:szCs w:val="20"/>
                <w:color w:val="auto"/>
              </w:rPr>
            </w:pPr>
            <w:r>
              <w:rPr>
                <w:rFonts w:ascii="Arial" w:cs="Arial" w:eastAsia="Arial" w:hAnsi="Arial"/>
                <w:sz w:val="18"/>
                <w:szCs w:val="18"/>
                <w:color w:val="auto"/>
              </w:rPr>
              <w:t>Non-GAAP net earnings (loss) per common share - diluted</w:t>
            </w:r>
          </w:p>
        </w:tc>
        <w:tc>
          <w:tcPr>
            <w:tcW w:w="10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F0FFFF"/>
            </w:tcBorders>
            <w:shd w:val="clear" w:color="auto" w:fill="F0FFFF"/>
          </w:tcPr>
          <w:p>
            <w:pPr>
              <w:spacing w:after="0"/>
              <w:rPr>
                <w:sz w:val="21"/>
                <w:szCs w:val="21"/>
                <w:color w:val="auto"/>
              </w:rPr>
            </w:pP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Diluted weighted average number of common shares outstanding</w:t>
            </w:r>
          </w:p>
        </w:tc>
        <w:tc>
          <w:tcPr>
            <w:tcW w:w="920" w:type="dxa"/>
            <w:vAlign w:val="bottom"/>
            <w:tcBorders>
              <w:top w:val="single" w:sz="8" w:color="F0FF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35,517,099</w:t>
            </w:r>
          </w:p>
        </w:tc>
        <w:tc>
          <w:tcPr>
            <w:tcW w:w="180" w:type="dxa"/>
            <w:vAlign w:val="bottom"/>
            <w:tcBorders>
              <w:top w:val="single" w:sz="8" w:color="F0FF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34,115,444</w:t>
            </w:r>
          </w:p>
        </w:tc>
        <w:tc>
          <w:tcPr>
            <w:tcW w:w="100" w:type="dxa"/>
            <w:vAlign w:val="bottom"/>
            <w:tcBorders>
              <w:top w:val="single" w:sz="8" w:color="F0FFFF"/>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used herein, non-GAAP net income (loss) represents GAAP net income (loss) excluding costs relating to any adjustment for fair value of warrant liabilities and changes in the Company’s valuation allowances for taxes. As used herein, non-GAAP diluted earnings (loss) per common share is calculated by dividing non-GAAP net income (loss) applicable to common shares by the diluted weighted average number of shares outstanding.</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quarter ended June 30, 2014, the Company had an Adjusted EBITDA of $1,266,225. Reconciliation of net income (loss) to Adjusted EBITDA for the quarters ended June 30, 2014 and 2013 is as follows: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Three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17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(38,719)</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1,677,168</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F0FFFF"/>
          </w:tcPr>
          <w:p>
            <w:pPr>
              <w:spacing w:after="0"/>
              <w:rPr>
                <w:sz w:val="20"/>
                <w:szCs w:val="20"/>
                <w:color w:val="auto"/>
              </w:rPr>
            </w:pPr>
            <w:r>
              <w:rPr>
                <w:rFonts w:ascii="Arial" w:cs="Arial" w:eastAsia="Arial" w:hAnsi="Arial"/>
                <w:sz w:val="18"/>
                <w:szCs w:val="18"/>
                <w:color w:val="auto"/>
              </w:rPr>
              <w:t>Less interest income</w:t>
            </w:r>
          </w:p>
        </w:tc>
        <w:tc>
          <w:tcPr>
            <w:tcW w:w="16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2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(8,995)</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F0FFFF"/>
          </w:tcPr>
          <w:p>
            <w:pPr>
              <w:spacing w:after="0"/>
              <w:rPr>
                <w:sz w:val="20"/>
                <w:szCs w:val="20"/>
                <w:color w:val="auto"/>
              </w:rPr>
            </w:pPr>
            <w:r>
              <w:rPr>
                <w:rFonts w:ascii="Arial" w:cs="Arial" w:eastAsia="Arial" w:hAnsi="Arial"/>
                <w:sz w:val="18"/>
                <w:szCs w:val="18"/>
                <w:color w:val="auto"/>
              </w:rPr>
              <w:t>Plus interest expense</w:t>
            </w:r>
          </w:p>
        </w:tc>
        <w:tc>
          <w:tcPr>
            <w:tcW w:w="16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74,529</w:t>
            </w:r>
          </w:p>
        </w:tc>
        <w:tc>
          <w:tcPr>
            <w:tcW w:w="18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47,804</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F0FFFF"/>
          </w:tcPr>
          <w:p>
            <w:pPr>
              <w:spacing w:after="0"/>
              <w:rPr>
                <w:sz w:val="20"/>
                <w:szCs w:val="20"/>
                <w:color w:val="auto"/>
              </w:rPr>
            </w:pPr>
            <w:r>
              <w:rPr>
                <w:rFonts w:ascii="Arial" w:cs="Arial" w:eastAsia="Arial" w:hAnsi="Arial"/>
                <w:sz w:val="18"/>
                <w:szCs w:val="18"/>
                <w:color w:val="auto"/>
              </w:rPr>
              <w:t>Plus income tax expense (benefit)</w:t>
            </w:r>
          </w:p>
        </w:tc>
        <w:tc>
          <w:tcPr>
            <w:tcW w:w="16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2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(541,501)</w:t>
            </w: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6,911</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F0FFFF"/>
          </w:tcPr>
          <w:p>
            <w:pPr>
              <w:spacing w:after="0"/>
              <w:rPr>
                <w:sz w:val="20"/>
                <w:szCs w:val="20"/>
                <w:color w:val="auto"/>
              </w:rPr>
            </w:pPr>
            <w:r>
              <w:rPr>
                <w:rFonts w:ascii="Arial" w:cs="Arial" w:eastAsia="Arial" w:hAnsi="Arial"/>
                <w:sz w:val="18"/>
                <w:szCs w:val="18"/>
                <w:color w:val="auto"/>
              </w:rPr>
              <w:t>Plus depreciation expense</w:t>
            </w:r>
          </w:p>
        </w:tc>
        <w:tc>
          <w:tcPr>
            <w:tcW w:w="16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1,553,875</w:t>
            </w:r>
          </w:p>
        </w:tc>
        <w:tc>
          <w:tcPr>
            <w:tcW w:w="18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1,094,978</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F0FFFF"/>
          </w:tcPr>
          <w:p>
            <w:pPr>
              <w:spacing w:after="0"/>
              <w:rPr>
                <w:sz w:val="20"/>
                <w:szCs w:val="20"/>
                <w:color w:val="auto"/>
              </w:rPr>
            </w:pPr>
            <w:r>
              <w:rPr>
                <w:rFonts w:ascii="Arial" w:cs="Arial" w:eastAsia="Arial" w:hAnsi="Arial"/>
                <w:sz w:val="18"/>
                <w:szCs w:val="18"/>
                <w:color w:val="auto"/>
              </w:rPr>
              <w:t>Plus amortization expense</w:t>
            </w:r>
          </w:p>
        </w:tc>
        <w:tc>
          <w:tcPr>
            <w:tcW w:w="16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185,600</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F0FFFF"/>
          </w:tcPr>
          <w:p>
            <w:pPr>
              <w:spacing w:after="0"/>
              <w:rPr>
                <w:sz w:val="20"/>
                <w:szCs w:val="20"/>
                <w:color w:val="auto"/>
              </w:rPr>
            </w:pPr>
            <w:r>
              <w:rPr>
                <w:rFonts w:ascii="Arial" w:cs="Arial" w:eastAsia="Arial" w:hAnsi="Arial"/>
                <w:sz w:val="18"/>
                <w:szCs w:val="18"/>
                <w:color w:val="auto"/>
              </w:rPr>
              <w:t>Plus change in fair value of warrant liabilities</w:t>
            </w:r>
          </w:p>
        </w:tc>
        <w:tc>
          <w:tcPr>
            <w:tcW w:w="16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2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(53,125)</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(1,517,384)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Plus stock-based compensation</w:t>
            </w:r>
          </w:p>
        </w:tc>
        <w:tc>
          <w:tcPr>
            <w:tcW w:w="16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280,161</w:t>
            </w:r>
          </w:p>
        </w:tc>
        <w:tc>
          <w:tcPr>
            <w:tcW w:w="180" w:type="dxa"/>
            <w:vAlign w:val="bottom"/>
            <w:tcBorders>
              <w:bottom w:val="single" w:sz="8" w:color="F0FFFF"/>
              <w:right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133,674</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00" w:type="dxa"/>
            <w:vAlign w:val="bottom"/>
            <w:shd w:val="clear" w:color="auto" w:fill="F0FFFF"/>
          </w:tcPr>
          <w:p>
            <w:pPr>
              <w:spacing w:after="0"/>
              <w:rPr>
                <w:sz w:val="20"/>
                <w:szCs w:val="20"/>
                <w:color w:val="auto"/>
              </w:rPr>
            </w:pPr>
            <w:r>
              <w:rPr>
                <w:rFonts w:ascii="Arial" w:cs="Arial" w:eastAsia="Arial" w:hAnsi="Arial"/>
                <w:sz w:val="18"/>
                <w:szCs w:val="18"/>
                <w:color w:val="auto"/>
              </w:rPr>
              <w:t>Adjusted EBITDA</w:t>
            </w:r>
          </w:p>
        </w:tc>
        <w:tc>
          <w:tcPr>
            <w:tcW w:w="17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1,266,225</w:t>
            </w:r>
          </w:p>
        </w:tc>
        <w:tc>
          <w:tcPr>
            <w:tcW w:w="180" w:type="dxa"/>
            <w:vAlign w:val="bottom"/>
            <w:tcBorders>
              <w:right w:val="single" w:sz="8" w:color="F0FFFF"/>
            </w:tcBorders>
            <w:shd w:val="clear" w:color="auto" w:fill="F0FFFF"/>
          </w:tcPr>
          <w:p>
            <w:pPr>
              <w:spacing w:after="0"/>
              <w:rPr>
                <w:sz w:val="20"/>
                <w:szCs w:val="20"/>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1,624,539</w:t>
            </w:r>
          </w:p>
        </w:tc>
        <w:tc>
          <w:tcPr>
            <w:tcW w:w="10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F0FFFF"/>
            </w:tcBorders>
            <w:shd w:val="clear" w:color="auto" w:fill="F0FFFF"/>
          </w:tcPr>
          <w:p>
            <w:pPr>
              <w:spacing w:after="0" w:line="20" w:lineRule="exact"/>
              <w:rPr>
                <w:sz w:val="1"/>
                <w:szCs w:val="1"/>
                <w:color w:val="auto"/>
              </w:rPr>
            </w:pPr>
          </w:p>
        </w:tc>
        <w:tc>
          <w:tcPr>
            <w:tcW w:w="16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used herein, Adjusted EBITDA represents net income (loss) before interest income, interest expense, income taxes, depreciation, amortization, change in fair value of warrant liabilities and stock-based compensation expense. We have excluded the non-operating item, change in fair value of warrant liabilities, because it represents a non-cash gain (charge) that is not related to the Company’s operations. We have excluded the non-cash expenses, stock-based compensation as it does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316"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 ended June 30, 2014, net cash provided by operating activities was $7,085,400 as a result of net income of $27,530,652, non-cash net benefit of $21,220,722 and net cash provided by the change in operating assets and liabilities of $775,470. Of the $21,220,722 of non-cash activities, the most significant during fiscal year 2014 was the benefit for income taxes of $27,301,266. In addition to the benefit for income taxes, there was a small benefit related to the decrease in the fair value of warrant liabilities, offset by charges related to depreciation and amortization of assets, and the vesting and issuance of common stock for employee and director compensation. The cash used in the $775,470 change in the Company’s operating assets and liabilities was the result of decreases in inventory and finance receivables and increases in liabilities offset by increases in accounts receivable and prepaid expenses and other assets.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June 30, 2014, the Company used $7,917,452 in investing activities of which $10,883,473 related to the purchase of equipment for the JumpStart Program, including approximately $869,000 for the change in JumpStart equipment on hand in the fiscal year ended June 30, 2014 and $2,995,095 related to the proceeds received under the sale-leaseback transactions. Approximately 60% of gross new connections added during the fiscal year ended June 30, 2014 were from our JumpStart program.</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obtained net cash of $3,923,372 through financing activities, $2,000,000 of which are from the Line of Credit, cash proceeds of $2,361,956 from warrant exercises, and $24,847 from excess tax benefits from share-based compensation, offset by $374,411 related to repayment of debt and $89,020 related to cancellation of common stock by our executive officers to satisfy income tax liability due in connection with common stock awards.</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experienced losses from inception through June 30, 2012, with net income for the year ended June 30, 2013 and net income continuing through the year ended June 30, 2014. Based upon earnings performance that the Company has achieved currently and in the recent past along with its belief that such performance will continue into future years, the Company, during the 2014 fiscal year, has determined that it is more likely than not that a substantial portion of its deferred tax assets will be realized and has reduced $26,713,897 of its valuation allowances recorded in prior periods. Our accumulated deficit through June 30, 2014 is composed of cumulative losses amounting to approximately $170,770,000, preferred dividends converted to common stock of approximately $2,690,000, and charges incurred for the open-market purchases of preferred stock of approximately $150,000.</w:t>
      </w:r>
    </w:p>
    <w:p>
      <w:pPr>
        <w:spacing w:after="0" w:line="20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As a result of the continued growth in connections to our ePort Connect service that has resulted in the strong growth in recurring revenue from license and transaction fees and the improvement in GP dollars, the operating activities of the business are now providing cash to fund operations of the Company.</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for the year ended June 30, 2014 was $6,451,311 compared to $5,796,406 for the prior fiscal year. The Company reports Adjusted EBITDA to reflect the liquidity of operations and a measure of operational cash flow. Adjusted EBITDA excludes significant non-cash charges such as depreciation, amortization of intangibles, fair value warrant liability changes, stock-based compensation from net income and changes to the Company’s valuation allowances for taxes. We believe that, provided there are no unusual or unanticipated material non-operational expenses, achieving positive Adjusted EBITDA is sustainable, and will continue to increase, as our connection base increases.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June 30, 2014, net cash provided by operating activities was $7,085,400. The Company believes it will continue to generate positive cash flow from operations during the 2015 fiscal year, as the Company adds connections to its existing base of connections, provided there are no material unanticipated or unusual non-operational events.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largest use of cash by the Company was for ePorts purchased for use in the Company’s JumpStart Program. The Company continues to anticipate using the JumpStart Program for approximately 60% to 65% of its anticipated gross connections as a result of the potential growth in connections from the kiosk market, where many customers only require our Quick Connect™ Web service and not ePort hardware devices. The Company has efforts under way in sales, marketing, development and partnering efforts that are focused on securing connections from sources other than JumpStart, such as QuickConnect Web service, ePort Mobile and direct sales of its ePort hardware device.</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June 2014, and as described in Note 16 to the consolidated financial statements, Varilease Finance, Inc. (“Varilease”) purchased from the Company certain ePort equipment for an aggregate of $2,995,095. During July 2014, and as described in note 17 to the consolidated financial statements, Varilease purchased from the Company additional ePort equipment for an aggregate of $4,993,879. The Company intends to utilize the proceeds from the sale of the equipment for working capital purposes and may also explore and consider utilizing a portion of these proceeds for other purposes.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17, 2014, the Company and Avidbank increased the aggregate amount of advances available under the line of credit from $5,000,000 to $7,000,000 and extended the maturity date to June 21, 2015.</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four sources of cash available to fund and grow the business as of June 30, 2014: (1) cash and cash equivalents on hand of approximately $9 million; (2) the anticipated cash generated from operations; (3) $5 million from the Varilease Sale Leaseback Agreements obtained in July 2014; and (4) $2 million available under the line of credit with Avidbank, provided we continue to satisfy the various covenants set forth in the loan agreement. Although the line of credit matures on June 21, 2015, we anticipate that we will be able to extend the maturity date of line of credit or be able to procure a new line of credit to replace the existing line of credit. In addition, the Company believes the capital markets, debt and equity, would be available to provide additional sources of cash, if required.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Therefore, the Company believes its existing cash and cash equivalents and available cash resources as of June 30, 2014, would provide sufficient funds through at least July 1, 2015 in order to meet its cash requirements, including payment of its accrued expenses and payables, any cash resources to be utilized for the JumpStart program, other anticipated capital expenditures, and the repayment of long-term debt.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775"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2014, the Company had certain contractual obligations due over a period of time as summarized in the following table:</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gridSpan w:val="7"/>
          </w:tcPr>
          <w:p>
            <w:pPr>
              <w:jc w:val="right"/>
              <w:ind w:right="770"/>
              <w:spacing w:after="0"/>
              <w:rPr>
                <w:sz w:val="20"/>
                <w:szCs w:val="20"/>
                <w:color w:val="auto"/>
              </w:rPr>
            </w:pPr>
            <w:r>
              <w:rPr>
                <w:rFonts w:ascii="Arial" w:cs="Arial" w:eastAsia="Arial" w:hAnsi="Arial"/>
                <w:sz w:val="18"/>
                <w:szCs w:val="18"/>
                <w:b w:val="1"/>
                <w:bCs w:val="1"/>
                <w:color w:val="auto"/>
              </w:rPr>
              <w:t>Payments due by period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Less Than</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More than</w:t>
            </w:r>
          </w:p>
        </w:tc>
        <w:tc>
          <w:tcPr>
            <w:tcW w:w="0" w:type="dxa"/>
            <w:vAlign w:val="bottom"/>
          </w:tcPr>
          <w:p>
            <w:pPr>
              <w:spacing w:after="0"/>
              <w:rPr>
                <w:sz w:val="1"/>
                <w:szCs w:val="1"/>
                <w:color w:val="auto"/>
              </w:rPr>
            </w:pPr>
          </w:p>
        </w:tc>
      </w:tr>
      <w:tr>
        <w:trPr>
          <w:trHeight w:val="234"/>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1 year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1-3 years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3-5 years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5 years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F0FFFF"/>
          </w:tcPr>
          <w:p>
            <w:pPr>
              <w:spacing w:after="0"/>
              <w:rPr>
                <w:sz w:val="20"/>
                <w:szCs w:val="20"/>
                <w:color w:val="auto"/>
              </w:rPr>
            </w:pPr>
            <w:r>
              <w:rPr>
                <w:rFonts w:ascii="Arial" w:cs="Arial" w:eastAsia="Arial" w:hAnsi="Arial"/>
                <w:sz w:val="18"/>
                <w:szCs w:val="18"/>
                <w:color w:val="auto"/>
              </w:rPr>
              <w:t>Long-Term Debt Obligations</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8,452</w:t>
            </w:r>
          </w:p>
        </w:tc>
        <w:tc>
          <w:tcPr>
            <w:tcW w:w="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8,452</w:t>
            </w:r>
          </w:p>
        </w:tc>
        <w:tc>
          <w:tcPr>
            <w:tcW w:w="3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486,271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198,416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264,493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F0FFFF"/>
          </w:tcPr>
          <w:p>
            <w:pPr>
              <w:spacing w:after="0"/>
              <w:rPr>
                <w:sz w:val="20"/>
                <w:szCs w:val="20"/>
                <w:color w:val="auto"/>
              </w:rPr>
            </w:pPr>
            <w:r>
              <w:rPr>
                <w:rFonts w:ascii="Arial" w:cs="Arial" w:eastAsia="Arial" w:hAnsi="Arial"/>
                <w:sz w:val="18"/>
                <w:szCs w:val="18"/>
                <w:color w:val="auto"/>
              </w:rPr>
              <w:t>Operating Lease Obligations, other</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798,315</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435,578</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362,737</w:t>
            </w: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93"/>
              </w:rPr>
              <w:t>Operating Lease Obligations under Sale Leaseback</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2,965,143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988,381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1,976,762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F0FFFF"/>
          </w:tcPr>
          <w:p>
            <w:pPr>
              <w:spacing w:after="0"/>
              <w:rPr>
                <w:sz w:val="20"/>
                <w:szCs w:val="20"/>
                <w:color w:val="auto"/>
              </w:rPr>
            </w:pPr>
            <w:r>
              <w:rPr>
                <w:rFonts w:ascii="Arial" w:cs="Arial" w:eastAsia="Arial" w:hAnsi="Arial"/>
                <w:sz w:val="18"/>
                <w:szCs w:val="18"/>
                <w:color w:val="auto"/>
              </w:rPr>
              <w:t>Purchase Obligations</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rPr>
              <w:t>Other Long-Term Liabilities Reflected on the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Pr>
          <w:p>
            <w:pPr>
              <w:ind w:left="140"/>
              <w:spacing w:after="0"/>
              <w:rPr>
                <w:sz w:val="20"/>
                <w:szCs w:val="20"/>
                <w:color w:val="auto"/>
              </w:rPr>
            </w:pPr>
            <w:r>
              <w:rPr>
                <w:rFonts w:ascii="Arial" w:cs="Arial" w:eastAsia="Arial" w:hAnsi="Arial"/>
                <w:sz w:val="18"/>
                <w:szCs w:val="18"/>
                <w:color w:val="auto"/>
              </w:rPr>
              <w:t>Registrant’s Balance Sheet under GAAP</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shd w:val="clear" w:color="auto" w:fill="F0FFFF"/>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4,258,181</w:t>
            </w:r>
          </w:p>
        </w:tc>
        <w:tc>
          <w:tcPr>
            <w:tcW w:w="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1,630,827</w:t>
            </w:r>
          </w:p>
        </w:tc>
        <w:tc>
          <w:tcPr>
            <w:tcW w:w="3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2,603,992</w:t>
            </w:r>
          </w:p>
        </w:tc>
        <w:tc>
          <w:tcPr>
            <w:tcW w:w="3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23,362</w:t>
            </w:r>
          </w:p>
        </w:tc>
        <w:tc>
          <w:tcPr>
            <w:tcW w:w="3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exposure to market risks for interest rate changes is not significant. Interest rates on its long-term debt are generally fixed and its investments in cash equivalents are not significant. The Company has no exposure to market risks related to Available-for-sale securities. Market risks related to fluctuations of foreign currencies are not significant and the Company has no derivative instruments.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848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6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60" w:type="dxa"/>
            <w:vAlign w:val="bottom"/>
          </w:tcPr>
          <w:p>
            <w:pPr>
              <w:jc w:val="center"/>
              <w:ind w:right="1190"/>
              <w:spacing w:after="0"/>
              <w:rPr>
                <w:sz w:val="20"/>
                <w:szCs w:val="20"/>
                <w:color w:val="auto"/>
              </w:rPr>
            </w:pPr>
            <w:r>
              <w:rPr>
                <w:rFonts w:ascii="Arial" w:cs="Arial" w:eastAsia="Arial" w:hAnsi="Arial"/>
                <w:sz w:val="18"/>
                <w:szCs w:val="18"/>
                <w:b w:val="1"/>
                <w:bCs w:val="1"/>
                <w:color w:val="auto"/>
              </w:rPr>
              <w:t>USA TECHNOLOGIES, INC.</w:t>
            </w:r>
          </w:p>
        </w:tc>
        <w:tc>
          <w:tcPr>
            <w:tcW w:w="6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2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rPr>
              <w:t>INDEX TO CONSOLIDATED FINANCIAL STATEMENTS</w:t>
            </w:r>
          </w:p>
        </w:tc>
        <w:tc>
          <w:tcPr>
            <w:tcW w:w="6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7"/>
            <w:shd w:val="clear" w:color="auto" w:fill="F0FFFF"/>
          </w:tcPr>
          <w:p>
            <w:pPr>
              <w:spacing w:after="0"/>
              <w:rPr>
                <w:sz w:val="20"/>
                <w:szCs w:val="20"/>
                <w:color w:val="auto"/>
              </w:rPr>
            </w:pPr>
            <w:r>
              <w:rPr>
                <w:rFonts w:ascii="Arial" w:cs="Arial" w:eastAsia="Arial" w:hAnsi="Arial"/>
                <w:sz w:val="18"/>
                <w:szCs w:val="18"/>
                <w:color w:val="auto"/>
              </w:rPr>
              <w:t>Financial Statements:</w:t>
            </w:r>
          </w:p>
        </w:tc>
        <w:tc>
          <w:tcPr>
            <w:tcW w:w="660" w:type="dxa"/>
            <w:vAlign w:val="bottom"/>
            <w:shd w:val="clear" w:color="auto" w:fill="F0FF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460" w:type="dxa"/>
            <w:vAlign w:val="bottom"/>
            <w:gridSpan w:val="7"/>
            <w:shd w:val="clear" w:color="auto" w:fill="F0FF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Report of Independent Registered Public Accounting Firm</w:t>
              </w:r>
            </w:hyperlink>
          </w:p>
        </w:tc>
        <w:tc>
          <w:tcPr>
            <w:tcW w:w="660" w:type="dxa"/>
            <w:vAlign w:val="bottom"/>
            <w:shd w:val="clear" w:color="auto" w:fill="F0FFFF"/>
          </w:tcPr>
          <w:p>
            <w:pPr>
              <w:ind w:left="400"/>
              <w:spacing w:after="0" w:line="176" w:lineRule="exact"/>
              <w:rPr>
                <w:sz w:val="20"/>
                <w:szCs w:val="20"/>
                <w:color w:val="auto"/>
              </w:rPr>
            </w:pPr>
            <w:r>
              <w:rPr>
                <w:rFonts w:ascii="Arial" w:cs="Arial" w:eastAsia="Arial" w:hAnsi="Arial"/>
                <w:sz w:val="18"/>
                <w:szCs w:val="18"/>
                <w:color w:val="auto"/>
                <w:w w:val="88"/>
              </w:rPr>
              <w:t>F-1</w:t>
            </w: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Balance Sheets</w:t>
              </w:r>
            </w:hyperlink>
          </w:p>
        </w:tc>
        <w:tc>
          <w:tcPr>
            <w:tcW w:w="4260" w:type="dxa"/>
            <w:vAlign w:val="bottom"/>
            <w:tcBorders>
              <w:top w:val="single" w:sz="8" w:color="F0FFFF"/>
            </w:tcBorders>
          </w:tcPr>
          <w:p>
            <w:pPr>
              <w:spacing w:after="0"/>
              <w:rPr>
                <w:sz w:val="15"/>
                <w:szCs w:val="15"/>
                <w:color w:val="auto"/>
              </w:rPr>
            </w:pPr>
          </w:p>
        </w:tc>
        <w:tc>
          <w:tcPr>
            <w:tcW w:w="660" w:type="dxa"/>
            <w:vAlign w:val="bottom"/>
            <w:tcBorders>
              <w:top w:val="single" w:sz="8" w:color="F0FFFF"/>
            </w:tcBorders>
          </w:tcPr>
          <w:p>
            <w:pPr>
              <w:ind w:left="400"/>
              <w:spacing w:after="0" w:line="176" w:lineRule="exact"/>
              <w:rPr>
                <w:sz w:val="20"/>
                <w:szCs w:val="20"/>
                <w:color w:val="auto"/>
              </w:rPr>
            </w:pPr>
            <w:r>
              <w:rPr>
                <w:rFonts w:ascii="Arial" w:cs="Arial" w:eastAsia="Arial" w:hAnsi="Arial"/>
                <w:sz w:val="18"/>
                <w:szCs w:val="18"/>
                <w:color w:val="auto"/>
                <w:w w:val="88"/>
              </w:rPr>
              <w:t>F-2</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60" w:type="dxa"/>
            <w:vAlign w:val="bottom"/>
            <w:gridSpan w:val="7"/>
            <w:shd w:val="clear" w:color="auto" w:fill="F0FF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Statements of Operations</w:t>
              </w:r>
            </w:hyperlink>
          </w:p>
        </w:tc>
        <w:tc>
          <w:tcPr>
            <w:tcW w:w="660" w:type="dxa"/>
            <w:vAlign w:val="bottom"/>
            <w:shd w:val="clear" w:color="auto" w:fill="F0FFFF"/>
          </w:tcPr>
          <w:p>
            <w:pPr>
              <w:ind w:left="400"/>
              <w:spacing w:after="0" w:line="176" w:lineRule="exact"/>
              <w:rPr>
                <w:sz w:val="20"/>
                <w:szCs w:val="20"/>
                <w:color w:val="auto"/>
              </w:rPr>
            </w:pPr>
            <w:r>
              <w:rPr>
                <w:rFonts w:ascii="Arial" w:cs="Arial" w:eastAsia="Arial" w:hAnsi="Arial"/>
                <w:sz w:val="18"/>
                <w:szCs w:val="18"/>
                <w:color w:val="auto"/>
                <w:w w:val="88"/>
              </w:rPr>
              <w:t>F-3</w:t>
            </w:r>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shd w:val="clear" w:color="auto" w:fill="F0FFFF"/>
          </w:tcPr>
          <w:p>
            <w:pPr>
              <w:spacing w:after="0" w:line="20" w:lineRule="exact"/>
              <w:rPr>
                <w:sz w:val="1"/>
                <w:szCs w:val="1"/>
                <w:color w:val="auto"/>
              </w:rPr>
            </w:pPr>
          </w:p>
        </w:tc>
        <w:tc>
          <w:tcPr>
            <w:tcW w:w="720" w:type="dxa"/>
            <w:vAlign w:val="bottom"/>
            <w:tcBorders>
              <w:top w:val="single" w:sz="8" w:color="0000EE"/>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280" w:type="dxa"/>
            <w:vAlign w:val="bottom"/>
            <w:tcBorders>
              <w:top w:val="single" w:sz="8" w:color="F0FFFF"/>
            </w:tcBorders>
            <w:shd w:val="clear" w:color="auto" w:fill="F0FFFF"/>
          </w:tcPr>
          <w:p>
            <w:pPr>
              <w:spacing w:after="0" w:line="20" w:lineRule="exact"/>
              <w:rPr>
                <w:sz w:val="1"/>
                <w:szCs w:val="1"/>
                <w:color w:val="auto"/>
              </w:rPr>
            </w:pPr>
          </w:p>
        </w:tc>
        <w:tc>
          <w:tcPr>
            <w:tcW w:w="400" w:type="dxa"/>
            <w:vAlign w:val="bottom"/>
            <w:tcBorders>
              <w:top w:val="single" w:sz="8" w:color="F0FFFF"/>
            </w:tcBorders>
            <w:shd w:val="clear" w:color="auto" w:fill="F0FFFF"/>
          </w:tcPr>
          <w:p>
            <w:pPr>
              <w:spacing w:after="0" w:line="20" w:lineRule="exact"/>
              <w:rPr>
                <w:sz w:val="1"/>
                <w:szCs w:val="1"/>
                <w:color w:val="auto"/>
              </w:rPr>
            </w:pPr>
          </w:p>
        </w:tc>
        <w:tc>
          <w:tcPr>
            <w:tcW w:w="660" w:type="dxa"/>
            <w:vAlign w:val="bottom"/>
            <w:tcBorders>
              <w:top w:val="single" w:sz="8" w:color="F0FFFF"/>
            </w:tcBorders>
            <w:shd w:val="clear" w:color="auto" w:fill="F0FFFF"/>
          </w:tcPr>
          <w:p>
            <w:pPr>
              <w:spacing w:after="0" w:line="20" w:lineRule="exact"/>
              <w:rPr>
                <w:sz w:val="1"/>
                <w:szCs w:val="1"/>
                <w:color w:val="auto"/>
              </w:rPr>
            </w:pPr>
          </w:p>
        </w:tc>
        <w:tc>
          <w:tcPr>
            <w:tcW w:w="4260" w:type="dxa"/>
            <w:vAlign w:val="bottom"/>
            <w:tcBorders>
              <w:top w:val="single" w:sz="8" w:color="F0FFFF"/>
            </w:tcBorders>
            <w:shd w:val="clear" w:color="auto" w:fill="F0FFFF"/>
          </w:tcPr>
          <w:p>
            <w:pPr>
              <w:spacing w:after="0" w:line="20" w:lineRule="exact"/>
              <w:rPr>
                <w:sz w:val="1"/>
                <w:szCs w:val="1"/>
                <w:color w:val="auto"/>
              </w:rPr>
            </w:pPr>
          </w:p>
        </w:tc>
        <w:tc>
          <w:tcPr>
            <w:tcW w:w="660" w:type="dxa"/>
            <w:vAlign w:val="bottom"/>
            <w:tcBorders>
              <w:top w:val="single" w:sz="8" w:color="F0FFFF"/>
            </w:tcBorders>
            <w:shd w:val="clear" w:color="auto" w:fill="F0FFFF"/>
          </w:tcPr>
          <w:p>
            <w:pPr>
              <w:spacing w:after="0" w:line="20" w:lineRule="exact"/>
              <w:rPr>
                <w:sz w:val="1"/>
                <w:szCs w:val="1"/>
                <w:color w:val="auto"/>
              </w:rPr>
            </w:pPr>
          </w:p>
        </w:tc>
        <w:tc>
          <w:tcPr>
            <w:tcW w:w="22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60" w:type="dxa"/>
            <w:vAlign w:val="bottom"/>
            <w:gridSpan w:val="7"/>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Consolidated Statements of Shareholders’ Equity</w:t>
              </w:r>
            </w:hyperlink>
          </w:p>
        </w:tc>
        <w:tc>
          <w:tcPr>
            <w:tcW w:w="660" w:type="dxa"/>
            <w:vAlign w:val="bottom"/>
          </w:tcPr>
          <w:p>
            <w:pPr>
              <w:ind w:left="400"/>
              <w:spacing w:after="0" w:line="176" w:lineRule="exact"/>
              <w:rPr>
                <w:sz w:val="20"/>
                <w:szCs w:val="20"/>
                <w:color w:val="auto"/>
              </w:rPr>
            </w:pPr>
            <w:r>
              <w:rPr>
                <w:rFonts w:ascii="Arial" w:cs="Arial" w:eastAsia="Arial" w:hAnsi="Arial"/>
                <w:sz w:val="18"/>
                <w:szCs w:val="18"/>
                <w:color w:val="auto"/>
                <w:w w:val="88"/>
              </w:rPr>
              <w:t>F-4</w:t>
            </w:r>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3"/>
            <w:shd w:val="clear" w:color="auto" w:fill="F0FFFF"/>
          </w:tcPr>
          <w:p>
            <w:pPr>
              <w:spacing w:after="0" w:line="17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Consolidated Statements of Cash Flows</w:t>
              </w:r>
            </w:hyperlink>
          </w:p>
        </w:tc>
        <w:tc>
          <w:tcPr>
            <w:tcW w:w="5600" w:type="dxa"/>
            <w:vAlign w:val="bottom"/>
            <w:tcBorders>
              <w:bottom w:val="single" w:sz="8" w:color="F0FFFF"/>
            </w:tcBorders>
            <w:gridSpan w:val="4"/>
            <w:shd w:val="clear" w:color="auto" w:fill="F0FFFF"/>
          </w:tcPr>
          <w:p>
            <w:pPr>
              <w:spacing w:after="0"/>
              <w:rPr>
                <w:sz w:val="17"/>
                <w:szCs w:val="17"/>
                <w:color w:val="auto"/>
              </w:rPr>
            </w:pPr>
          </w:p>
        </w:tc>
        <w:tc>
          <w:tcPr>
            <w:tcW w:w="660" w:type="dxa"/>
            <w:vAlign w:val="bottom"/>
            <w:tcBorders>
              <w:bottom w:val="single" w:sz="8" w:color="F0FFFF"/>
            </w:tcBorders>
            <w:shd w:val="clear" w:color="auto" w:fill="F0FFFF"/>
          </w:tcPr>
          <w:p>
            <w:pPr>
              <w:ind w:left="400"/>
              <w:spacing w:after="0" w:line="176" w:lineRule="exact"/>
              <w:rPr>
                <w:sz w:val="20"/>
                <w:szCs w:val="20"/>
                <w:color w:val="auto"/>
              </w:rPr>
            </w:pPr>
            <w:r>
              <w:rPr>
                <w:rFonts w:ascii="Arial" w:cs="Arial" w:eastAsia="Arial" w:hAnsi="Arial"/>
                <w:sz w:val="18"/>
                <w:szCs w:val="18"/>
                <w:color w:val="auto"/>
                <w:w w:val="88"/>
              </w:rPr>
              <w:t>F-6</w:t>
            </w: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40" w:type="dxa"/>
            <w:vAlign w:val="bottom"/>
            <w:tcBorders>
              <w:bottom w:val="single" w:sz="8" w:color="0000EE"/>
            </w:tcBorders>
            <w:gridSpan w:val="4"/>
          </w:tcPr>
          <w:p>
            <w:pPr>
              <w:spacing w:after="0" w:line="17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Notes to Consolidated Financial Statements</w:t>
              </w:r>
            </w:hyperlink>
          </w:p>
        </w:tc>
        <w:tc>
          <w:tcPr>
            <w:tcW w:w="5320" w:type="dxa"/>
            <w:vAlign w:val="bottom"/>
            <w:gridSpan w:val="3"/>
          </w:tcPr>
          <w:p>
            <w:pPr>
              <w:spacing w:after="0"/>
              <w:rPr>
                <w:sz w:val="15"/>
                <w:szCs w:val="15"/>
                <w:color w:val="auto"/>
              </w:rPr>
            </w:pPr>
          </w:p>
        </w:tc>
        <w:tc>
          <w:tcPr>
            <w:tcW w:w="660" w:type="dxa"/>
            <w:vAlign w:val="bottom"/>
          </w:tcPr>
          <w:p>
            <w:pPr>
              <w:ind w:left="400"/>
              <w:spacing w:after="0" w:line="176" w:lineRule="exact"/>
              <w:rPr>
                <w:sz w:val="20"/>
                <w:szCs w:val="20"/>
                <w:color w:val="auto"/>
              </w:rPr>
            </w:pPr>
            <w:r>
              <w:rPr>
                <w:rFonts w:ascii="Arial" w:cs="Arial" w:eastAsia="Arial" w:hAnsi="Arial"/>
                <w:sz w:val="18"/>
                <w:szCs w:val="18"/>
                <w:color w:val="auto"/>
                <w:w w:val="88"/>
              </w:rPr>
              <w:t>F-7</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8460" w:type="dxa"/>
            <w:vAlign w:val="bottom"/>
            <w:tcBorders>
              <w:bottom w:val="single" w:sz="8" w:color="DCDCDC"/>
            </w:tcBorders>
            <w:gridSpan w:val="7"/>
          </w:tcPr>
          <w:p>
            <w:pPr>
              <w:jc w:val="center"/>
              <w:ind w:left="2830"/>
              <w:spacing w:after="0"/>
              <w:rPr>
                <w:sz w:val="20"/>
                <w:szCs w:val="20"/>
                <w:color w:val="auto"/>
              </w:rPr>
            </w:pPr>
            <w:r>
              <w:rPr>
                <w:rFonts w:ascii="Arial" w:cs="Arial" w:eastAsia="Arial" w:hAnsi="Arial"/>
                <w:sz w:val="18"/>
                <w:szCs w:val="18"/>
                <w:color w:val="auto"/>
                <w:w w:val="89"/>
              </w:rPr>
              <w:t>34</w:t>
            </w:r>
          </w:p>
        </w:tc>
        <w:tc>
          <w:tcPr>
            <w:tcW w:w="660" w:type="dxa"/>
            <w:vAlign w:val="bottom"/>
            <w:tcBorders>
              <w:bottom w:val="single" w:sz="8" w:color="DCDCDC"/>
            </w:tcBorders>
          </w:tcPr>
          <w:p>
            <w:pPr>
              <w:spacing w:after="0"/>
              <w:rPr>
                <w:sz w:val="24"/>
                <w:szCs w:val="24"/>
                <w:color w:val="auto"/>
              </w:rPr>
            </w:pPr>
          </w:p>
        </w:tc>
        <w:tc>
          <w:tcPr>
            <w:tcW w:w="228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USA Technologies, Inc.</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audited the accompanying consolidated balance sheets of USA Technologies, Inc. and subsidiaries as of June 30, 2014 and 2013, and the related consolidated statements of operations, shareholders’ equity, and cash flows for each of the three years in the period ended June 30, 2014. Our audits also included the financial statement schedule of USA Technologies, Inc. listed in Item 15(a). These financial statements and financial statement schedule are the responsibility of the Company’s management. Our responsibility is to express an opinion on these financial statements based on our audits.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our opinion, the consolidated financial statements referred to above presents fairly, in all material respects, the financial position of USA Technologies, Inc. and subsidiaries as of June 30, 2014 and 2013, and the results of their operations and their cash flows for each of the three years in the period ended June 30, 2014,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McGladrey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2014</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1" w:name="page52"/>
    <w:bookmarkEnd w:id="51"/>
    <w:p>
      <w:pPr>
        <w:ind w:left="48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97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F0FF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9,072,320</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5,981,000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Accounts receivable, less allowance for uncollectible accounts of $63,000 and $18,000, respectively</w:t>
            </w: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2,683,579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2,620,684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ind w:left="220"/>
              <w:spacing w:after="0"/>
              <w:rPr>
                <w:sz w:val="20"/>
                <w:szCs w:val="20"/>
                <w:color w:val="auto"/>
              </w:rPr>
            </w:pPr>
            <w:r>
              <w:rPr>
                <w:rFonts w:ascii="Arial" w:cs="Arial" w:eastAsia="Arial" w:hAnsi="Arial"/>
                <w:sz w:val="18"/>
                <w:szCs w:val="18"/>
                <w:color w:val="auto"/>
              </w:rPr>
              <w:t>Finance receivables</w:t>
            </w: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119,793</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116,444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1,486,777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1,823,615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363,367</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184,336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907,691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14,633,527</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10,726,079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F0FFFF"/>
          </w:tcPr>
          <w:p>
            <w:pPr>
              <w:spacing w:after="0"/>
              <w:rPr>
                <w:sz w:val="20"/>
                <w:szCs w:val="20"/>
                <w:color w:val="auto"/>
              </w:rPr>
            </w:pPr>
            <w:r>
              <w:rPr>
                <w:rFonts w:ascii="Arial" w:cs="Arial" w:eastAsia="Arial" w:hAnsi="Arial"/>
                <w:sz w:val="18"/>
                <w:szCs w:val="18"/>
                <w:color w:val="auto"/>
              </w:rPr>
              <w:t>Finance receivables, less current portion</w:t>
            </w: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352,794</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408,674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190,703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21,138,580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17,240,065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26,353,330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spacing w:after="0"/>
              <w:rPr>
                <w:sz w:val="20"/>
                <w:szCs w:val="20"/>
                <w:color w:val="auto"/>
              </w:rPr>
            </w:pPr>
            <w:r>
              <w:rPr>
                <w:rFonts w:ascii="Arial" w:cs="Arial" w:eastAsia="Arial" w:hAnsi="Arial"/>
                <w:sz w:val="18"/>
                <w:szCs w:val="18"/>
                <w:color w:val="auto"/>
              </w:rPr>
              <w:t>Intangibles, net</w:t>
            </w: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432,100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454,053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7,663,208</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7,663,208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F0FF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70,764,242</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36,576,196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F0FFFF"/>
          </w:tcPr>
          <w:p>
            <w:pPr>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ind w:left="20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7,753,911</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7,301,247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1,915,799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1,468,184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ind w:left="220"/>
              <w:spacing w:after="0"/>
              <w:rPr>
                <w:sz w:val="20"/>
                <w:szCs w:val="20"/>
                <w:color w:val="auto"/>
              </w:rPr>
            </w:pPr>
            <w:r>
              <w:rPr>
                <w:rFonts w:ascii="Arial" w:cs="Arial" w:eastAsia="Arial" w:hAnsi="Arial"/>
                <w:sz w:val="18"/>
                <w:szCs w:val="18"/>
                <w:color w:val="auto"/>
              </w:rPr>
              <w:t>Line of credit</w:t>
            </w: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20"/>
              <w:spacing w:after="0"/>
              <w:rPr>
                <w:sz w:val="20"/>
                <w:szCs w:val="20"/>
                <w:color w:val="auto"/>
              </w:rPr>
            </w:pPr>
            <w:r>
              <w:rPr>
                <w:rFonts w:ascii="Arial" w:cs="Arial" w:eastAsia="Arial" w:hAnsi="Arial"/>
                <w:sz w:val="18"/>
                <w:szCs w:val="18"/>
                <w:color w:val="auto"/>
              </w:rPr>
              <w:t>Current obligations under long-term debt</w:t>
            </w: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172,911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247,152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ind w:left="22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21,021</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20"/>
              <w:spacing w:after="0"/>
              <w:rPr>
                <w:sz w:val="20"/>
                <w:szCs w:val="20"/>
                <w:color w:val="auto"/>
              </w:rPr>
            </w:pPr>
            <w:r>
              <w:rPr>
                <w:rFonts w:ascii="Arial" w:cs="Arial" w:eastAsia="Arial" w:hAnsi="Arial"/>
                <w:sz w:val="18"/>
                <w:szCs w:val="18"/>
                <w:color w:val="auto"/>
              </w:rPr>
              <w:t>Deferred gain from sale-leaseback transactions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380,895</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15,244,537</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12,016,583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F0FFFF"/>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20"/>
              <w:spacing w:after="0"/>
              <w:rPr>
                <w:sz w:val="20"/>
                <w:szCs w:val="20"/>
                <w:color w:val="auto"/>
              </w:rPr>
            </w:pPr>
            <w:r>
              <w:rPr>
                <w:rFonts w:ascii="Arial" w:cs="Arial" w:eastAsia="Arial" w:hAnsi="Arial"/>
                <w:sz w:val="18"/>
                <w:szCs w:val="18"/>
                <w:color w:val="auto"/>
              </w:rPr>
              <w:t>Long-term debt, less current portion</w:t>
            </w: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249,865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122,754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ind w:left="200"/>
              <w:spacing w:after="0"/>
              <w:rPr>
                <w:sz w:val="20"/>
                <w:szCs w:val="20"/>
                <w:color w:val="auto"/>
              </w:rPr>
            </w:pPr>
            <w:r>
              <w:rPr>
                <w:rFonts w:ascii="Arial" w:cs="Arial" w:eastAsia="Arial" w:hAnsi="Arial"/>
                <w:sz w:val="18"/>
                <w:szCs w:val="18"/>
                <w:color w:val="auto"/>
              </w:rPr>
              <w:t>Accrued expenses, less current portion</w:t>
            </w: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186,174</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366,785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20"/>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ind w:left="200"/>
              <w:spacing w:after="0"/>
              <w:rPr>
                <w:sz w:val="20"/>
                <w:szCs w:val="20"/>
                <w:color w:val="auto"/>
              </w:rPr>
            </w:pPr>
            <w:r>
              <w:rPr>
                <w:rFonts w:ascii="Arial" w:cs="Arial" w:eastAsia="Arial" w:hAnsi="Arial"/>
                <w:sz w:val="18"/>
                <w:szCs w:val="18"/>
                <w:color w:val="auto"/>
              </w:rPr>
              <w:t>Warrant liabilities</w:t>
            </w: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585,209</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650,638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20"/>
              <w:spacing w:after="0"/>
              <w:rPr>
                <w:sz w:val="20"/>
                <w:szCs w:val="20"/>
                <w:color w:val="auto"/>
              </w:rPr>
            </w:pPr>
            <w:r>
              <w:rPr>
                <w:rFonts w:ascii="Arial" w:cs="Arial" w:eastAsia="Arial" w:hAnsi="Arial"/>
                <w:sz w:val="18"/>
                <w:szCs w:val="18"/>
                <w:color w:val="auto"/>
              </w:rPr>
              <w:t>Deferred gain from sale-leaseback transactions, less current portion</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761,790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long-term liabilities</w:t>
            </w:r>
          </w:p>
        </w:tc>
        <w:tc>
          <w:tcPr>
            <w:tcW w:w="140" w:type="dxa"/>
            <w:vAlign w:val="bottom"/>
            <w:tcBorders>
              <w:bottom w:val="single" w:sz="8" w:color="auto"/>
            </w:tcBorders>
            <w:shd w:val="clear" w:color="auto" w:fill="F0FFFF"/>
          </w:tcPr>
          <w:p>
            <w:pPr>
              <w:spacing w:after="0"/>
              <w:rPr>
                <w:sz w:val="19"/>
                <w:szCs w:val="19"/>
                <w:color w:val="auto"/>
              </w:rPr>
            </w:pPr>
          </w:p>
        </w:tc>
        <w:tc>
          <w:tcPr>
            <w:tcW w:w="11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1,783,038</w:t>
            </w:r>
          </w:p>
        </w:tc>
        <w:tc>
          <w:tcPr>
            <w:tcW w:w="1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11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1,180,422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17,027,575</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13,197,005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spacing w:after="0"/>
              <w:rPr>
                <w:sz w:val="20"/>
                <w:szCs w:val="20"/>
                <w:color w:val="auto"/>
              </w:rPr>
            </w:pPr>
            <w:r>
              <w:rPr>
                <w:rFonts w:ascii="Arial" w:cs="Arial" w:eastAsia="Arial" w:hAnsi="Arial"/>
                <w:sz w:val="18"/>
                <w:szCs w:val="18"/>
                <w:color w:val="auto"/>
              </w:rPr>
              <w:t>Preferred stock, no par value:</w:t>
            </w: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spacing w:after="0" w:line="201" w:lineRule="exact"/>
              <w:rPr>
                <w:sz w:val="20"/>
                <w:szCs w:val="20"/>
                <w:color w:val="auto"/>
              </w:rPr>
            </w:pPr>
            <w:r>
              <w:rPr>
                <w:rFonts w:ascii="Arial" w:cs="Arial" w:eastAsia="Arial" w:hAnsi="Arial"/>
                <w:sz w:val="18"/>
                <w:szCs w:val="18"/>
                <w:color w:val="auto"/>
                <w:w w:val="97"/>
              </w:rPr>
              <w:t>Authorized shares- 1,800,000 Series A convertible preferred- Authorized shares- 900,000 Issued and outstanding</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shares- 442,968 (liquidation preference of $16,690,456 and $16,026,004, respectively)</w:t>
            </w: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3,138,056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3,138,056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9"/>
              </w:rPr>
              <w:t>Common stock, no par value: Authorized shares- 640,000,000 Issued and outstanding shares- 35,514,685 and</w:t>
            </w:r>
          </w:p>
        </w:tc>
        <w:tc>
          <w:tcPr>
            <w:tcW w:w="14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33,284,232, respectively</w:t>
            </w:r>
          </w:p>
        </w:tc>
        <w:tc>
          <w:tcPr>
            <w:tcW w:w="140" w:type="dxa"/>
            <w:vAlign w:val="bottom"/>
            <w:shd w:val="clear" w:color="auto" w:fill="F0FFFF"/>
          </w:tcPr>
          <w:p>
            <w:pPr>
              <w:spacing w:after="0"/>
              <w:rPr>
                <w:sz w:val="20"/>
                <w:szCs w:val="20"/>
                <w:color w:val="auto"/>
              </w:rPr>
            </w:pP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97"/>
              </w:rPr>
              <w:t>224,210,197</w:t>
            </w:r>
          </w:p>
        </w:tc>
        <w:tc>
          <w:tcPr>
            <w:tcW w:w="1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99"/>
              </w:rPr>
              <w:t>221,383,373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(173,611,586)</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(201,142,238)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53,736,667</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23,379,191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70,764,242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36,576,196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color w:val="auto"/>
                <w:w w:val="88"/>
              </w:rPr>
              <w:t>Year ended June 30,</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F0FF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License and transaction fees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35,638,121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30,044,429</w:t>
            </w:r>
          </w:p>
        </w:tc>
        <w:tc>
          <w:tcPr>
            <w:tcW w:w="8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23,370,754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F0FFFF"/>
            </w:tcBorders>
            <w:shd w:val="clear" w:color="auto" w:fill="F0FFFF"/>
          </w:tcPr>
          <w:p>
            <w:pPr>
              <w:ind w:left="220"/>
              <w:spacing w:after="0"/>
              <w:rPr>
                <w:sz w:val="20"/>
                <w:szCs w:val="20"/>
                <w:color w:val="auto"/>
              </w:rPr>
            </w:pPr>
            <w:r>
              <w:rPr>
                <w:rFonts w:ascii="Arial" w:cs="Arial" w:eastAsia="Arial" w:hAnsi="Arial"/>
                <w:sz w:val="18"/>
                <w:szCs w:val="18"/>
                <w:color w:val="auto"/>
              </w:rPr>
              <w:t>Equipment sales</w:t>
            </w:r>
          </w:p>
        </w:tc>
        <w:tc>
          <w:tcPr>
            <w:tcW w:w="22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6,706,843</w:t>
            </w: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5,895,815</w:t>
            </w:r>
          </w:p>
        </w:tc>
        <w:tc>
          <w:tcPr>
            <w:tcW w:w="80" w:type="dxa"/>
            <w:vAlign w:val="bottom"/>
            <w:tcBorders>
              <w:bottom w:val="single" w:sz="8" w:color="F0FFFF"/>
            </w:tcBorders>
            <w:shd w:val="clear" w:color="auto" w:fill="F0FFFF"/>
          </w:tcPr>
          <w:p>
            <w:pPr>
              <w:spacing w:after="0"/>
              <w:rPr>
                <w:sz w:val="19"/>
                <w:szCs w:val="19"/>
                <w:color w:val="auto"/>
              </w:rPr>
            </w:pPr>
          </w:p>
        </w:tc>
        <w:tc>
          <w:tcPr>
            <w:tcW w:w="4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5,646,489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42,344,964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35,940,244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29,017,243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Cost of services</w:t>
            </w: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23,018,001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18,219,945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15,312,966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F0FFFF"/>
            </w:tcBorders>
            <w:shd w:val="clear" w:color="auto" w:fill="F0FFFF"/>
          </w:tcPr>
          <w:p>
            <w:pPr>
              <w:ind w:left="220"/>
              <w:spacing w:after="0"/>
              <w:rPr>
                <w:sz w:val="20"/>
                <w:szCs w:val="20"/>
                <w:color w:val="auto"/>
              </w:rPr>
            </w:pPr>
            <w:r>
              <w:rPr>
                <w:rFonts w:ascii="Arial" w:cs="Arial" w:eastAsia="Arial" w:hAnsi="Arial"/>
                <w:sz w:val="18"/>
                <w:szCs w:val="18"/>
                <w:color w:val="auto"/>
              </w:rPr>
              <w:t>Cost of equipment</w:t>
            </w:r>
          </w:p>
        </w:tc>
        <w:tc>
          <w:tcPr>
            <w:tcW w:w="22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4,254,127</w:t>
            </w: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3,623,686</w:t>
            </w:r>
          </w:p>
        </w:tc>
        <w:tc>
          <w:tcPr>
            <w:tcW w:w="80" w:type="dxa"/>
            <w:vAlign w:val="bottom"/>
            <w:tcBorders>
              <w:bottom w:val="single" w:sz="8" w:color="F0FFFF"/>
            </w:tcBorders>
            <w:shd w:val="clear" w:color="auto" w:fill="F0FFFF"/>
          </w:tcPr>
          <w:p>
            <w:pPr>
              <w:spacing w:after="0"/>
              <w:rPr>
                <w:sz w:val="19"/>
                <w:szCs w:val="19"/>
                <w:color w:val="auto"/>
              </w:rPr>
            </w:pPr>
          </w:p>
        </w:tc>
        <w:tc>
          <w:tcPr>
            <w:tcW w:w="4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3,743,226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15,072,836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14,096,613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9,961,051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ind w:left="2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14,036,016</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99"/>
              </w:rPr>
              <w:t>12,068,566</w:t>
            </w:r>
          </w:p>
        </w:tc>
        <w:tc>
          <w:tcPr>
            <w:tcW w:w="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15,460,668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600,488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1,314,122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1,500,775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14,636,504</w:t>
            </w: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99"/>
              </w:rPr>
              <w:t>13,382,688</w:t>
            </w:r>
          </w:p>
        </w:tc>
        <w:tc>
          <w:tcPr>
            <w:tcW w:w="80" w:type="dxa"/>
            <w:vAlign w:val="bottom"/>
            <w:tcBorders>
              <w:bottom w:val="single" w:sz="8" w:color="F0FFFF"/>
            </w:tcBorders>
            <w:shd w:val="clear" w:color="auto" w:fill="F0FFFF"/>
          </w:tcPr>
          <w:p>
            <w:pPr>
              <w:spacing w:after="0"/>
              <w:rPr>
                <w:sz w:val="19"/>
                <w:szCs w:val="19"/>
                <w:color w:val="auto"/>
              </w:rPr>
            </w:pPr>
          </w:p>
        </w:tc>
        <w:tc>
          <w:tcPr>
            <w:tcW w:w="4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16,961,443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436,332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713,925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(7,000,392)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ind w:left="2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30,337</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57,121</w:t>
            </w:r>
          </w:p>
        </w:tc>
        <w:tc>
          <w:tcPr>
            <w:tcW w:w="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72,059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(256,844)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(157,205)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(83,993)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F0FFFF"/>
            </w:tcBorders>
            <w:shd w:val="clear" w:color="auto" w:fill="F0FFFF"/>
          </w:tcPr>
          <w:p>
            <w:pPr>
              <w:ind w:left="220"/>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65,429</w:t>
            </w: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267,928</w:t>
            </w:r>
          </w:p>
        </w:tc>
        <w:tc>
          <w:tcPr>
            <w:tcW w:w="80" w:type="dxa"/>
            <w:vAlign w:val="bottom"/>
            <w:tcBorders>
              <w:bottom w:val="single" w:sz="8" w:color="F0FFFF"/>
            </w:tcBorders>
            <w:shd w:val="clear" w:color="auto" w:fill="F0FFFF"/>
          </w:tcPr>
          <w:p>
            <w:pPr>
              <w:spacing w:after="0"/>
              <w:rPr>
                <w:sz w:val="19"/>
                <w:szCs w:val="19"/>
                <w:color w:val="auto"/>
              </w:rPr>
            </w:pPr>
          </w:p>
        </w:tc>
        <w:tc>
          <w:tcPr>
            <w:tcW w:w="4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1,813,687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(161,078)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167,844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1,801,753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(loss) before benefit (provision) for income taxes</w:t>
            </w: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275,254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881,769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(5,198,639)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Benefit (provision) for income taxes</w:t>
            </w:r>
          </w:p>
        </w:tc>
        <w:tc>
          <w:tcPr>
            <w:tcW w:w="22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27,255,398</w:t>
            </w: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(27,646)</w:t>
            </w:r>
          </w:p>
        </w:tc>
        <w:tc>
          <w:tcPr>
            <w:tcW w:w="80" w:type="dxa"/>
            <w:vAlign w:val="bottom"/>
            <w:tcBorders>
              <w:bottom w:val="single" w:sz="8" w:color="F0FFFF"/>
            </w:tcBorders>
            <w:shd w:val="clear" w:color="auto" w:fill="F0FFFF"/>
          </w:tcPr>
          <w:p>
            <w:pPr>
              <w:spacing w:after="0"/>
              <w:rPr>
                <w:sz w:val="19"/>
                <w:szCs w:val="19"/>
                <w:color w:val="auto"/>
              </w:rPr>
            </w:pPr>
          </w:p>
        </w:tc>
        <w:tc>
          <w:tcPr>
            <w:tcW w:w="4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27,530,652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854,123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(5,211,238)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22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(664,452)</w:t>
            </w: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(664,452)</w:t>
            </w:r>
          </w:p>
        </w:tc>
        <w:tc>
          <w:tcPr>
            <w:tcW w:w="80" w:type="dxa"/>
            <w:vAlign w:val="bottom"/>
            <w:tcBorders>
              <w:bottom w:val="single" w:sz="8" w:color="F0FFFF"/>
            </w:tcBorders>
            <w:shd w:val="clear" w:color="auto" w:fill="F0FFFF"/>
          </w:tcPr>
          <w:p>
            <w:pPr>
              <w:spacing w:after="0"/>
              <w:rPr>
                <w:sz w:val="19"/>
                <w:szCs w:val="19"/>
                <w:color w:val="auto"/>
              </w:rPr>
            </w:pPr>
          </w:p>
        </w:tc>
        <w:tc>
          <w:tcPr>
            <w:tcW w:w="4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(664,452)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 (loss) applicable to common shares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26,866,200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189,671</w:t>
            </w:r>
          </w:p>
        </w:tc>
        <w:tc>
          <w:tcPr>
            <w:tcW w:w="8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(5,875,690)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shd w:val="clear" w:color="auto" w:fill="F0FFFF"/>
          </w:tcPr>
          <w:p>
            <w:pPr>
              <w:spacing w:after="0"/>
              <w:rPr>
                <w:sz w:val="20"/>
                <w:szCs w:val="20"/>
                <w:color w:val="auto"/>
              </w:rPr>
            </w:pPr>
            <w:r>
              <w:rPr>
                <w:rFonts w:ascii="Arial" w:cs="Arial" w:eastAsia="Arial" w:hAnsi="Arial"/>
                <w:sz w:val="18"/>
                <w:szCs w:val="18"/>
                <w:color w:val="auto"/>
              </w:rPr>
              <w:t>Net earnings (loss) per common share - basic</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0.78</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F0FFFF"/>
          </w:tcPr>
          <w:p>
            <w:pPr>
              <w:spacing w:after="0"/>
              <w:rPr>
                <w:sz w:val="21"/>
                <w:szCs w:val="21"/>
                <w:color w:val="auto"/>
              </w:rPr>
            </w:pPr>
          </w:p>
        </w:tc>
        <w:tc>
          <w:tcPr>
            <w:tcW w:w="2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F0FF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34,613,497</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99"/>
              </w:rPr>
              <w:t>32,787,673</w:t>
            </w:r>
          </w:p>
        </w:tc>
        <w:tc>
          <w:tcPr>
            <w:tcW w:w="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32,423,987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earnings (loss) per common share - diluted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0.78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F0FFFF"/>
          </w:tcPr>
          <w:p>
            <w:pPr>
              <w:spacing w:after="0"/>
              <w:rPr>
                <w:sz w:val="20"/>
                <w:szCs w:val="20"/>
                <w:color w:val="auto"/>
              </w:rPr>
            </w:pPr>
            <w:r>
              <w:rPr>
                <w:rFonts w:ascii="Arial" w:cs="Arial" w:eastAsia="Arial" w:hAnsi="Arial"/>
                <w:sz w:val="18"/>
                <w:szCs w:val="18"/>
                <w:color w:val="auto"/>
              </w:rPr>
              <w:t>Diluted weighted average number of common shares outstanding</w:t>
            </w: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34,613,497</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99"/>
              </w:rPr>
              <w:t>33,613,346</w:t>
            </w:r>
          </w:p>
        </w:tc>
        <w:tc>
          <w:tcPr>
            <w:tcW w:w="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32,423,987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40" w:type="dxa"/>
            <w:vAlign w:val="bottom"/>
            <w:gridSpan w:val="3"/>
          </w:tcPr>
          <w:p>
            <w:pPr>
              <w:jc w:val="center"/>
              <w:ind w:left="810"/>
              <w:spacing w:after="0"/>
              <w:rPr>
                <w:sz w:val="20"/>
                <w:szCs w:val="20"/>
                <w:color w:val="auto"/>
              </w:rPr>
            </w:pPr>
            <w:r>
              <w:rPr>
                <w:rFonts w:ascii="Arial" w:cs="Arial" w:eastAsia="Arial" w:hAnsi="Arial"/>
                <w:sz w:val="18"/>
                <w:szCs w:val="18"/>
                <w:color w:val="auto"/>
                <w:w w:val="91"/>
              </w:rPr>
              <w:t>Series A</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680" w:type="dxa"/>
            <w:vAlign w:val="bottom"/>
            <w:gridSpan w:val="4"/>
          </w:tcPr>
          <w:p>
            <w:pPr>
              <w:jc w:val="center"/>
              <w:ind w:right="50"/>
              <w:spacing w:after="0"/>
              <w:rPr>
                <w:sz w:val="20"/>
                <w:szCs w:val="20"/>
                <w:color w:val="auto"/>
              </w:rPr>
            </w:pPr>
            <w:r>
              <w:rPr>
                <w:rFonts w:ascii="Arial" w:cs="Arial" w:eastAsia="Arial" w:hAnsi="Arial"/>
                <w:sz w:val="18"/>
                <w:szCs w:val="18"/>
                <w:color w:val="auto"/>
                <w:w w:val="94"/>
              </w:rPr>
              <w:t>Convertible</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680" w:type="dxa"/>
            <w:vAlign w:val="bottom"/>
            <w:tcBorders>
              <w:bottom w:val="single" w:sz="8" w:color="auto"/>
            </w:tcBorders>
            <w:gridSpan w:val="4"/>
          </w:tcPr>
          <w:p>
            <w:pPr>
              <w:jc w:val="center"/>
              <w:ind w:right="30"/>
              <w:spacing w:after="0"/>
              <w:rPr>
                <w:sz w:val="20"/>
                <w:szCs w:val="20"/>
                <w:color w:val="auto"/>
              </w:rPr>
            </w:pPr>
            <w:r>
              <w:rPr>
                <w:rFonts w:ascii="Arial" w:cs="Arial" w:eastAsia="Arial" w:hAnsi="Arial"/>
                <w:sz w:val="18"/>
                <w:szCs w:val="18"/>
                <w:color w:val="auto"/>
                <w:w w:val="89"/>
              </w:rPr>
              <w:t>Preferred Stock</w:t>
            </w:r>
          </w:p>
        </w:tc>
        <w:tc>
          <w:tcPr>
            <w:tcW w:w="100" w:type="dxa"/>
            <w:vAlign w:val="bottom"/>
          </w:tcPr>
          <w:p>
            <w:pPr>
              <w:spacing w:after="0"/>
              <w:rPr>
                <w:sz w:val="20"/>
                <w:szCs w:val="20"/>
                <w:color w:val="auto"/>
              </w:rPr>
            </w:pPr>
          </w:p>
        </w:tc>
        <w:tc>
          <w:tcPr>
            <w:tcW w:w="260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0"/>
                <w:szCs w:val="20"/>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Accumulated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Amount</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Deficit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Balance, June 30, 2011</w:t>
            </w:r>
          </w:p>
        </w:tc>
        <w:tc>
          <w:tcPr>
            <w:tcW w:w="1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442,968</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3,138,056</w:t>
            </w:r>
          </w:p>
        </w:tc>
        <w:tc>
          <w:tcPr>
            <w:tcW w:w="134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32,281,140</w:t>
            </w:r>
          </w:p>
        </w:tc>
        <w:tc>
          <w:tcPr>
            <w:tcW w:w="2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95"/>
              </w:rPr>
              <w:t>219,772,598</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2"/>
              </w:rPr>
              <w:t>(196,785,123)</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26,125,531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Exercise of 4,550 warrants at</w:t>
            </w:r>
          </w:p>
        </w:tc>
        <w:tc>
          <w:tcPr>
            <w:tcW w:w="12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$2.20 resulting in issuance of common</w:t>
            </w:r>
          </w:p>
        </w:tc>
        <w:tc>
          <w:tcPr>
            <w:tcW w:w="1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stock</w:t>
            </w:r>
          </w:p>
        </w:tc>
        <w:tc>
          <w:tcPr>
            <w:tcW w:w="1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4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4,550</w:t>
            </w:r>
          </w:p>
        </w:tc>
        <w:tc>
          <w:tcPr>
            <w:tcW w:w="1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10,010</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10,010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Cashless exercise of 2,767</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4"/>
              </w:rPr>
              <w:t>warrants resulting in issuance of common</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2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stock to employees and directors and</w:t>
            </w:r>
          </w:p>
        </w:tc>
        <w:tc>
          <w:tcPr>
            <w:tcW w:w="1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vesting of shares under the 2010 Stock</w:t>
            </w:r>
          </w:p>
        </w:tc>
        <w:tc>
          <w:tcPr>
            <w:tcW w:w="1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Incentive Plan</w:t>
            </w:r>
          </w:p>
        </w:tc>
        <w:tc>
          <w:tcPr>
            <w:tcW w:w="1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4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120,472</w:t>
            </w:r>
          </w:p>
        </w:tc>
        <w:tc>
          <w:tcPr>
            <w:tcW w:w="1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248,851</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248,851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 to employees and directors and</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vesting of shares under the 2011 Stock</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Incentive Plan</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141,666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335,636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335,636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Vesting of shares under the 2012</w:t>
            </w:r>
          </w:p>
        </w:tc>
        <w:tc>
          <w:tcPr>
            <w:tcW w:w="12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Stock Incentive Plan</w:t>
            </w:r>
          </w:p>
        </w:tc>
        <w:tc>
          <w:tcPr>
            <w:tcW w:w="1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4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197,613</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197,613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Retirement of common stock</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(38,749)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(51,381)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(51,381)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Net loss</w:t>
            </w:r>
          </w:p>
        </w:tc>
        <w:tc>
          <w:tcPr>
            <w:tcW w:w="128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19"/>
                <w:szCs w:val="19"/>
                <w:color w:val="auto"/>
              </w:rPr>
            </w:pPr>
          </w:p>
        </w:tc>
        <w:tc>
          <w:tcPr>
            <w:tcW w:w="12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auto"/>
            </w:tcBorders>
            <w:shd w:val="clear" w:color="auto" w:fill="F0FFFF"/>
          </w:tcPr>
          <w:p>
            <w:pPr>
              <w:spacing w:after="0"/>
              <w:rPr>
                <w:sz w:val="19"/>
                <w:szCs w:val="19"/>
                <w:color w:val="auto"/>
              </w:rPr>
            </w:pPr>
          </w:p>
        </w:tc>
        <w:tc>
          <w:tcPr>
            <w:tcW w:w="108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auto"/>
            </w:tcBorders>
            <w:shd w:val="clear" w:color="auto" w:fill="F0FFFF"/>
          </w:tcPr>
          <w:p>
            <w:pPr>
              <w:spacing w:after="0"/>
              <w:rPr>
                <w:sz w:val="19"/>
                <w:szCs w:val="19"/>
                <w:color w:val="auto"/>
              </w:rPr>
            </w:pP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(5,211,238)</w:t>
            </w:r>
          </w:p>
        </w:tc>
        <w:tc>
          <w:tcPr>
            <w:tcW w:w="12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(5,211,238)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Balance, June 30, 2012</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442,968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3,138,056</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32,510,069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220,513,327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2"/>
              </w:rPr>
              <w:t>(201,996,361)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21,655,022</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Exercise of 382,503 warrants at</w:t>
            </w:r>
          </w:p>
        </w:tc>
        <w:tc>
          <w:tcPr>
            <w:tcW w:w="12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$1.13 resulting in issuance of common</w:t>
            </w:r>
          </w:p>
        </w:tc>
        <w:tc>
          <w:tcPr>
            <w:tcW w:w="1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stock</w:t>
            </w:r>
          </w:p>
        </w:tc>
        <w:tc>
          <w:tcPr>
            <w:tcW w:w="1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4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382,503</w:t>
            </w:r>
          </w:p>
        </w:tc>
        <w:tc>
          <w:tcPr>
            <w:tcW w:w="1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432,229</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432,229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Cashless exercise of 36,186</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4"/>
              </w:rPr>
              <w:t>warrants resulting in issuance of common</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17,094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6"/>
              </w:rPr>
              <w:t>Warrants issued in conjunction with Line of</w:t>
            </w:r>
          </w:p>
        </w:tc>
        <w:tc>
          <w:tcPr>
            <w:tcW w:w="12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Credit Amendment</w:t>
            </w:r>
          </w:p>
        </w:tc>
        <w:tc>
          <w:tcPr>
            <w:tcW w:w="1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4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55,962</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55,962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 to employees and directors and</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vesting of shares under the 2010 Stock</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Incentive Plan</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62,942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68,723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68,723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2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stock to employees and directors and</w:t>
            </w:r>
          </w:p>
        </w:tc>
        <w:tc>
          <w:tcPr>
            <w:tcW w:w="1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vesting of shares under the 2011 Stock</w:t>
            </w:r>
          </w:p>
        </w:tc>
        <w:tc>
          <w:tcPr>
            <w:tcW w:w="1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Incentive Plan</w:t>
            </w:r>
          </w:p>
        </w:tc>
        <w:tc>
          <w:tcPr>
            <w:tcW w:w="1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4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96,665</w:t>
            </w:r>
          </w:p>
        </w:tc>
        <w:tc>
          <w:tcPr>
            <w:tcW w:w="1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157,645</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157,645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 to employees and directors and</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vesting of shares under the 2012 Stock</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Incentive Plan</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279,806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276,539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276,539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Retirement of common stock</w:t>
            </w:r>
          </w:p>
        </w:tc>
        <w:tc>
          <w:tcPr>
            <w:tcW w:w="1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(64,847)</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(121,052)</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(121,052)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Income</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854,123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854,123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Balance, June 30, 2013</w:t>
            </w:r>
          </w:p>
        </w:tc>
        <w:tc>
          <w:tcPr>
            <w:tcW w:w="1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442,968</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3,138,056</w:t>
            </w:r>
          </w:p>
        </w:tc>
        <w:tc>
          <w:tcPr>
            <w:tcW w:w="134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33,284,232</w:t>
            </w:r>
          </w:p>
        </w:tc>
        <w:tc>
          <w:tcPr>
            <w:tcW w:w="2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95"/>
              </w:rPr>
              <w:t>221,383,373</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2"/>
              </w:rPr>
              <w:t>(201,142,238)</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23,379,191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F0FFFF"/>
            </w:tcBorders>
            <w:shd w:val="clear" w:color="auto" w:fill="F0FF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 (Continued)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40" w:type="dxa"/>
            <w:vAlign w:val="bottom"/>
            <w:gridSpan w:val="3"/>
          </w:tcPr>
          <w:p>
            <w:pPr>
              <w:jc w:val="center"/>
              <w:ind w:left="810"/>
              <w:spacing w:after="0"/>
              <w:rPr>
                <w:sz w:val="20"/>
                <w:szCs w:val="20"/>
                <w:color w:val="auto"/>
              </w:rPr>
            </w:pPr>
            <w:r>
              <w:rPr>
                <w:rFonts w:ascii="Arial" w:cs="Arial" w:eastAsia="Arial" w:hAnsi="Arial"/>
                <w:sz w:val="18"/>
                <w:szCs w:val="18"/>
                <w:color w:val="auto"/>
                <w:w w:val="91"/>
              </w:rPr>
              <w:t>Series A</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680" w:type="dxa"/>
            <w:vAlign w:val="bottom"/>
            <w:gridSpan w:val="4"/>
          </w:tcPr>
          <w:p>
            <w:pPr>
              <w:jc w:val="center"/>
              <w:ind w:right="50"/>
              <w:spacing w:after="0"/>
              <w:rPr>
                <w:sz w:val="20"/>
                <w:szCs w:val="20"/>
                <w:color w:val="auto"/>
              </w:rPr>
            </w:pPr>
            <w:r>
              <w:rPr>
                <w:rFonts w:ascii="Arial" w:cs="Arial" w:eastAsia="Arial" w:hAnsi="Arial"/>
                <w:sz w:val="18"/>
                <w:szCs w:val="18"/>
                <w:color w:val="auto"/>
                <w:w w:val="94"/>
              </w:rPr>
              <w:t>Convertible</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680" w:type="dxa"/>
            <w:vAlign w:val="bottom"/>
            <w:tcBorders>
              <w:bottom w:val="single" w:sz="8" w:color="auto"/>
            </w:tcBorders>
            <w:gridSpan w:val="4"/>
          </w:tcPr>
          <w:p>
            <w:pPr>
              <w:jc w:val="center"/>
              <w:ind w:right="30"/>
              <w:spacing w:after="0"/>
              <w:rPr>
                <w:sz w:val="20"/>
                <w:szCs w:val="20"/>
                <w:color w:val="auto"/>
              </w:rPr>
            </w:pPr>
            <w:r>
              <w:rPr>
                <w:rFonts w:ascii="Arial" w:cs="Arial" w:eastAsia="Arial" w:hAnsi="Arial"/>
                <w:sz w:val="18"/>
                <w:szCs w:val="18"/>
                <w:color w:val="auto"/>
                <w:w w:val="89"/>
              </w:rPr>
              <w:t>Preferred Stock</w:t>
            </w:r>
          </w:p>
        </w:tc>
        <w:tc>
          <w:tcPr>
            <w:tcW w:w="100" w:type="dxa"/>
            <w:vAlign w:val="bottom"/>
          </w:tcPr>
          <w:p>
            <w:pPr>
              <w:spacing w:after="0"/>
              <w:rPr>
                <w:sz w:val="20"/>
                <w:szCs w:val="20"/>
                <w:color w:val="auto"/>
              </w:rPr>
            </w:pPr>
          </w:p>
        </w:tc>
        <w:tc>
          <w:tcPr>
            <w:tcW w:w="26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w w:val="99"/>
              </w:rPr>
              <w:t>Accumulated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Amount</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Deficit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Exercise of 2,090,226 warrants at</w:t>
            </w:r>
          </w:p>
        </w:tc>
        <w:tc>
          <w:tcPr>
            <w:tcW w:w="12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$1.13 resulting in issuance of common</w:t>
            </w:r>
          </w:p>
        </w:tc>
        <w:tc>
          <w:tcPr>
            <w:tcW w:w="1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stock</w:t>
            </w:r>
          </w:p>
        </w:tc>
        <w:tc>
          <w:tcPr>
            <w:tcW w:w="1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4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2,090,226</w:t>
            </w:r>
          </w:p>
        </w:tc>
        <w:tc>
          <w:tcPr>
            <w:tcW w:w="136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2,361,956</w:t>
            </w:r>
          </w:p>
        </w:tc>
        <w:tc>
          <w:tcPr>
            <w:tcW w:w="134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2,361,956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 to employees and directors and</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vesting of shares under the 2010 Stock</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Incentive Plan</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6,668</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6,024</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2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stock to employees and directors and</w:t>
            </w:r>
          </w:p>
        </w:tc>
        <w:tc>
          <w:tcPr>
            <w:tcW w:w="1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vesting of shares under the 2011 Stock</w:t>
            </w:r>
          </w:p>
        </w:tc>
        <w:tc>
          <w:tcPr>
            <w:tcW w:w="1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Incentive Plan</w:t>
            </w:r>
          </w:p>
        </w:tc>
        <w:tc>
          <w:tcPr>
            <w:tcW w:w="1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4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51,667</w:t>
            </w:r>
          </w:p>
        </w:tc>
        <w:tc>
          <w:tcPr>
            <w:tcW w:w="136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17,366</w:t>
            </w:r>
          </w:p>
        </w:tc>
        <w:tc>
          <w:tcPr>
            <w:tcW w:w="134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17,366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 to employees and directors and</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vesting of shares under the 2012 Stock</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Incentive Plan</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131,203</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505,651</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505,651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Retirement of common stock</w:t>
            </w:r>
          </w:p>
        </w:tc>
        <w:tc>
          <w:tcPr>
            <w:tcW w:w="1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(49,311)</w:t>
            </w:r>
          </w:p>
        </w:tc>
        <w:tc>
          <w:tcPr>
            <w:tcW w:w="13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(89,020)</w:t>
            </w:r>
          </w:p>
        </w:tc>
        <w:tc>
          <w:tcPr>
            <w:tcW w:w="134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(89,020)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Excess tax benefits from share-based</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compensation</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24,847</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24,847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Net Income</w:t>
            </w:r>
          </w:p>
        </w:tc>
        <w:tc>
          <w:tcPr>
            <w:tcW w:w="128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19"/>
                <w:szCs w:val="19"/>
                <w:color w:val="auto"/>
              </w:rPr>
            </w:pPr>
          </w:p>
        </w:tc>
        <w:tc>
          <w:tcPr>
            <w:tcW w:w="12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shd w:val="clear" w:color="auto" w:fill="F0FFFF"/>
          </w:tcPr>
          <w:p>
            <w:pPr>
              <w:spacing w:after="0"/>
              <w:rPr>
                <w:sz w:val="19"/>
                <w:szCs w:val="19"/>
                <w:color w:val="auto"/>
              </w:rPr>
            </w:pPr>
          </w:p>
        </w:tc>
        <w:tc>
          <w:tcPr>
            <w:tcW w:w="12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19"/>
                <w:szCs w:val="19"/>
                <w:color w:val="auto"/>
              </w:rPr>
            </w:pPr>
          </w:p>
        </w:tc>
        <w:tc>
          <w:tcPr>
            <w:tcW w:w="12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27,530,652</w:t>
            </w:r>
          </w:p>
        </w:tc>
        <w:tc>
          <w:tcPr>
            <w:tcW w:w="12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27,530,652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Balance, June 30, 2014</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442,968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3,138,056</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35,514,685</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  224,210,197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(173,611,586)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53,736,667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22"/>
          <w:szCs w:val="22"/>
          <w:b w:val="1"/>
          <w:bCs w:val="1"/>
          <w:color w:val="auto"/>
        </w:rPr>
        <w:t>USA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ind w:left="1020"/>
              <w:spacing w:after="0"/>
              <w:rPr>
                <w:sz w:val="20"/>
                <w:szCs w:val="20"/>
                <w:color w:val="auto"/>
              </w:rPr>
            </w:pPr>
            <w:r>
              <w:rPr>
                <w:rFonts w:ascii="Arial" w:cs="Arial" w:eastAsia="Arial" w:hAnsi="Arial"/>
                <w:sz w:val="18"/>
                <w:szCs w:val="18"/>
                <w:color w:val="auto"/>
                <w:w w:val="89"/>
              </w:rPr>
              <w:t>Year ended June 30,</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spacing w:after="0"/>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27,530,652</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854,123</w:t>
            </w:r>
          </w:p>
        </w:tc>
        <w:tc>
          <w:tcPr>
            <w:tcW w:w="1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(5,211,238)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spacing w:after="0" w:line="201" w:lineRule="exact"/>
              <w:rPr>
                <w:sz w:val="20"/>
                <w:szCs w:val="20"/>
                <w:color w:val="auto"/>
              </w:rPr>
            </w:pPr>
            <w:r>
              <w:rPr>
                <w:rFonts w:ascii="Arial" w:cs="Arial" w:eastAsia="Arial" w:hAnsi="Arial"/>
                <w:sz w:val="18"/>
                <w:szCs w:val="18"/>
                <w:color w:val="auto"/>
                <w:w w:val="95"/>
              </w:rPr>
              <w:t>Charges incurred in connection with the vesting and issuance of common stock for employee and</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director compensation</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529,041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502,907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spacing w:after="0"/>
              <w:rPr>
                <w:sz w:val="20"/>
                <w:szCs w:val="20"/>
                <w:color w:val="auto"/>
              </w:rPr>
            </w:pPr>
            <w:r>
              <w:rPr>
                <w:rFonts w:ascii="Arial" w:cs="Arial" w:eastAsia="Arial" w:hAnsi="Arial"/>
                <w:sz w:val="18"/>
                <w:szCs w:val="18"/>
                <w:color w:val="auto"/>
              </w:rPr>
              <w:t>(Gain) Loss on disposal of property and equipment</w:t>
            </w: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4,245</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(20,343)</w:t>
            </w:r>
          </w:p>
        </w:tc>
        <w:tc>
          <w:tcPr>
            <w:tcW w:w="12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134,350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Non-cash interest and amortization of debt discount</w:t>
            </w: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53,867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spacing w:after="0"/>
              <w:rPr>
                <w:sz w:val="20"/>
                <w:szCs w:val="20"/>
                <w:color w:val="auto"/>
              </w:rPr>
            </w:pPr>
            <w:r>
              <w:rPr>
                <w:rFonts w:ascii="Arial" w:cs="Arial" w:eastAsia="Arial" w:hAnsi="Arial"/>
                <w:sz w:val="18"/>
                <w:szCs w:val="18"/>
                <w:color w:val="auto"/>
              </w:rPr>
              <w:t>Bad debt expense (recoveries), net</w:t>
            </w: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134,176</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68,615</w:t>
            </w:r>
          </w:p>
        </w:tc>
        <w:tc>
          <w:tcPr>
            <w:tcW w:w="12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(48,270)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5,463,985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3,837,174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2,443,054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21,953</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742,400</w:t>
            </w:r>
          </w:p>
        </w:tc>
        <w:tc>
          <w:tcPr>
            <w:tcW w:w="12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997,900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(65,429)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(267,928)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(1,813,687)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spacing w:after="0"/>
              <w:rPr>
                <w:sz w:val="20"/>
                <w:szCs w:val="20"/>
                <w:color w:val="auto"/>
              </w:rPr>
            </w:pPr>
            <w:r>
              <w:rPr>
                <w:rFonts w:ascii="Arial" w:cs="Arial" w:eastAsia="Arial" w:hAnsi="Arial"/>
                <w:sz w:val="18"/>
                <w:szCs w:val="18"/>
                <w:color w:val="auto"/>
              </w:rPr>
              <w:t>Deferred income taxes, net</w:t>
            </w: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(27,301,266)</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27,646</w:t>
            </w:r>
          </w:p>
        </w:tc>
        <w:tc>
          <w:tcPr>
            <w:tcW w:w="12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12,599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Recognition of deferred gain from sale-leaseback transactions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(157,071)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(247,358)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(758,952)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spacing w:after="0"/>
              <w:rPr>
                <w:sz w:val="20"/>
                <w:szCs w:val="20"/>
                <w:color w:val="auto"/>
              </w:rPr>
            </w:pPr>
            <w:r>
              <w:rPr>
                <w:rFonts w:ascii="Arial" w:cs="Arial" w:eastAsia="Arial" w:hAnsi="Arial"/>
                <w:sz w:val="18"/>
                <w:szCs w:val="18"/>
                <w:color w:val="auto"/>
              </w:rPr>
              <w:t>Finance receivables</w:t>
            </w: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52,531</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17,729</w:t>
            </w:r>
          </w:p>
        </w:tc>
        <w:tc>
          <w:tcPr>
            <w:tcW w:w="12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370,104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716,470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158,584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(190,783)</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503,937</w:t>
            </w:r>
          </w:p>
        </w:tc>
        <w:tc>
          <w:tcPr>
            <w:tcW w:w="12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431,276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412,664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1,164,804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498,082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267,004</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(1,915,091)</w:t>
            </w:r>
          </w:p>
        </w:tc>
        <w:tc>
          <w:tcPr>
            <w:tcW w:w="12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2,513,898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21,021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7,085,400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6,038,952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78,236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(111,121)</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(107,351)</w:t>
            </w:r>
          </w:p>
        </w:tc>
        <w:tc>
          <w:tcPr>
            <w:tcW w:w="12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(478,144)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Purchase of property for rental program</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9"/>
              </w:rPr>
              <w:t>(10,883,473)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(9,092,394)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(5,754,670)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spacing w:after="0"/>
              <w:rPr>
                <w:sz w:val="20"/>
                <w:szCs w:val="20"/>
                <w:color w:val="auto"/>
              </w:rPr>
            </w:pPr>
            <w:r>
              <w:rPr>
                <w:rFonts w:ascii="Arial" w:cs="Arial" w:eastAsia="Arial" w:hAnsi="Arial"/>
                <w:sz w:val="18"/>
                <w:szCs w:val="18"/>
                <w:color w:val="auto"/>
              </w:rPr>
              <w:t>Proceeds from sale of rental equipment under sale-leaseback transactions</w:t>
            </w: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2,995,095</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82,047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18,908</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(7,917,452)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(9,180,837)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(6,232,814)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9"/>
              </w:rPr>
              <w:t>Net proceeds from the issuance (retirement) of common stock and exercise of common stock</w:t>
            </w:r>
          </w:p>
        </w:tc>
        <w:tc>
          <w:tcPr>
            <w:tcW w:w="18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20" w:type="dxa"/>
            <w:vAlign w:val="bottom"/>
            <w:tcBorders>
              <w:right w:val="single" w:sz="8" w:color="F0FFFF"/>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F0FFFF"/>
          </w:tcPr>
          <w:p>
            <w:pPr>
              <w:spacing w:after="0"/>
              <w:rPr>
                <w:sz w:val="20"/>
                <w:szCs w:val="20"/>
                <w:color w:val="auto"/>
              </w:rPr>
            </w:pPr>
            <w:r>
              <w:rPr>
                <w:rFonts w:ascii="Arial" w:cs="Arial" w:eastAsia="Arial" w:hAnsi="Arial"/>
                <w:sz w:val="18"/>
                <w:szCs w:val="18"/>
                <w:color w:val="auto"/>
              </w:rPr>
              <w:t>warrants</w:t>
            </w:r>
          </w:p>
        </w:tc>
        <w:tc>
          <w:tcPr>
            <w:tcW w:w="180" w:type="dxa"/>
            <w:vAlign w:val="bottom"/>
            <w:shd w:val="clear" w:color="auto" w:fill="F0FFFF"/>
          </w:tcPr>
          <w:p>
            <w:pPr>
              <w:spacing w:after="0"/>
              <w:rPr>
                <w:sz w:val="20"/>
                <w:szCs w:val="20"/>
                <w:color w:val="auto"/>
              </w:rPr>
            </w:pPr>
          </w:p>
        </w:tc>
        <w:tc>
          <w:tcPr>
            <w:tcW w:w="11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2,272,936</w:t>
            </w:r>
          </w:p>
        </w:tc>
        <w:tc>
          <w:tcPr>
            <w:tcW w:w="10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311,177</w:t>
            </w:r>
          </w:p>
        </w:tc>
        <w:tc>
          <w:tcPr>
            <w:tcW w:w="120" w:type="dxa"/>
            <w:vAlign w:val="bottom"/>
            <w:tcBorders>
              <w:right w:val="single" w:sz="8" w:color="F0FFFF"/>
            </w:tcBorders>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Excess tax benefits from share-based compensation</w:t>
            </w: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24,847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F0FFFF"/>
          </w:tcPr>
          <w:p>
            <w:pPr>
              <w:spacing w:after="0"/>
              <w:rPr>
                <w:sz w:val="20"/>
                <w:szCs w:val="20"/>
                <w:color w:val="auto"/>
              </w:rPr>
            </w:pPr>
            <w:r>
              <w:rPr>
                <w:rFonts w:ascii="Arial" w:cs="Arial" w:eastAsia="Arial" w:hAnsi="Arial"/>
                <w:sz w:val="18"/>
                <w:szCs w:val="18"/>
                <w:color w:val="auto"/>
              </w:rPr>
              <w:t>Proceeds from line of credit</w:t>
            </w: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2,000,000</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3,000,000</w:t>
            </w:r>
          </w:p>
        </w:tc>
        <w:tc>
          <w:tcPr>
            <w:tcW w:w="12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(374,411)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(614,937)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3,923,372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2,696,240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(410,288)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3,091,320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(445,645)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(6,564,866)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Cash and cash equivalents at beginning of year</w:t>
            </w:r>
          </w:p>
        </w:tc>
        <w:tc>
          <w:tcPr>
            <w:tcW w:w="180" w:type="dxa"/>
            <w:vAlign w:val="bottom"/>
            <w:tcBorders>
              <w:bottom w:val="single" w:sz="8" w:color="auto"/>
            </w:tcBorders>
            <w:shd w:val="clear" w:color="auto" w:fill="F0FFFF"/>
          </w:tcPr>
          <w:p>
            <w:pPr>
              <w:spacing w:after="0"/>
              <w:rPr>
                <w:sz w:val="19"/>
                <w:szCs w:val="19"/>
                <w:color w:val="auto"/>
              </w:rPr>
            </w:pPr>
          </w:p>
        </w:tc>
        <w:tc>
          <w:tcPr>
            <w:tcW w:w="110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5,981,000</w:t>
            </w: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6,426,645</w:t>
            </w:r>
          </w:p>
        </w:tc>
        <w:tc>
          <w:tcPr>
            <w:tcW w:w="120" w:type="dxa"/>
            <w:vAlign w:val="bottom"/>
            <w:tcBorders>
              <w:bottom w:val="single" w:sz="8" w:color="F0FFFF"/>
              <w:right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12,991,511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9,072,320</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5,981,000</w:t>
            </w:r>
          </w:p>
        </w:tc>
        <w:tc>
          <w:tcPr>
            <w:tcW w:w="1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6,426,645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i w:val="1"/>
                <w:iCs w:val="1"/>
                <w:color w:val="auto"/>
              </w:rPr>
              <w:t>Supplemental disclosures of cash flow information</w:t>
            </w: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F0FFFF"/>
          </w:tcPr>
          <w:p>
            <w:pPr>
              <w:spacing w:after="0"/>
              <w:rPr>
                <w:sz w:val="20"/>
                <w:szCs w:val="20"/>
                <w:color w:val="auto"/>
              </w:rPr>
            </w:pPr>
            <w:r>
              <w:rPr>
                <w:rFonts w:ascii="Arial" w:cs="Arial" w:eastAsia="Arial" w:hAnsi="Arial"/>
                <w:sz w:val="18"/>
                <w:szCs w:val="18"/>
                <w:color w:val="auto"/>
              </w:rPr>
              <w:t>Cash paid for interest</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259,820</w:t>
            </w:r>
          </w:p>
        </w:tc>
        <w:tc>
          <w:tcPr>
            <w:tcW w:w="100" w:type="dxa"/>
            <w:vAlign w:val="bottom"/>
            <w:shd w:val="clear" w:color="auto" w:fill="F0FFFF"/>
          </w:tcPr>
          <w:p>
            <w:pPr>
              <w:spacing w:after="0"/>
              <w:rPr>
                <w:sz w:val="20"/>
                <w:szCs w:val="20"/>
                <w:color w:val="auto"/>
              </w:rPr>
            </w:pP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118,934</w:t>
            </w:r>
          </w:p>
        </w:tc>
        <w:tc>
          <w:tcPr>
            <w:tcW w:w="120" w:type="dxa"/>
            <w:vAlign w:val="bottom"/>
            <w:tcBorders>
              <w:right w:val="single" w:sz="8" w:color="F0FFFF"/>
            </w:tcBorders>
            <w:shd w:val="clear" w:color="auto" w:fill="F0FFFF"/>
          </w:tcPr>
          <w:p>
            <w:pPr>
              <w:spacing w:after="0"/>
              <w:rPr>
                <w:sz w:val="20"/>
                <w:szCs w:val="20"/>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38,891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Depreciation expense allocated to cost of sales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4,880,529</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3,265,452</w:t>
            </w:r>
          </w:p>
        </w:tc>
        <w:tc>
          <w:tcPr>
            <w:tcW w:w="1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1,940,179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F0FFFF"/>
          </w:tcPr>
          <w:p>
            <w:pPr>
              <w:spacing w:after="0"/>
              <w:rPr>
                <w:sz w:val="20"/>
                <w:szCs w:val="20"/>
                <w:color w:val="auto"/>
              </w:rPr>
            </w:pPr>
            <w:r>
              <w:rPr>
                <w:rFonts w:ascii="Arial" w:cs="Arial" w:eastAsia="Arial" w:hAnsi="Arial"/>
                <w:sz w:val="18"/>
                <w:szCs w:val="18"/>
                <w:color w:val="auto"/>
              </w:rPr>
              <w:t>Reclass of rental program property to inventory, net</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33,266</w:t>
            </w:r>
          </w:p>
        </w:tc>
        <w:tc>
          <w:tcPr>
            <w:tcW w:w="100" w:type="dxa"/>
            <w:vAlign w:val="bottom"/>
            <w:shd w:val="clear" w:color="auto" w:fill="F0FFFF"/>
          </w:tcPr>
          <w:p>
            <w:pPr>
              <w:spacing w:after="0"/>
              <w:rPr>
                <w:sz w:val="20"/>
                <w:szCs w:val="20"/>
                <w:color w:val="auto"/>
              </w:rPr>
            </w:pP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28,337</w:t>
            </w:r>
          </w:p>
        </w:tc>
        <w:tc>
          <w:tcPr>
            <w:tcW w:w="120" w:type="dxa"/>
            <w:vAlign w:val="bottom"/>
            <w:tcBorders>
              <w:right w:val="single" w:sz="8" w:color="F0FFFF"/>
            </w:tcBorders>
            <w:shd w:val="clear" w:color="auto" w:fill="F0FFFF"/>
          </w:tcPr>
          <w:p>
            <w:pPr>
              <w:spacing w:after="0"/>
              <w:rPr>
                <w:sz w:val="20"/>
                <w:szCs w:val="20"/>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Prepaid items financed with debt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101,850</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133,588</w:t>
            </w:r>
          </w:p>
        </w:tc>
        <w:tc>
          <w:tcPr>
            <w:tcW w:w="1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95,263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F0FFFF"/>
          </w:tcPr>
          <w:p>
            <w:pPr>
              <w:spacing w:after="0"/>
              <w:rPr>
                <w:sz w:val="20"/>
                <w:szCs w:val="20"/>
                <w:color w:val="auto"/>
              </w:rPr>
            </w:pPr>
            <w:r>
              <w:rPr>
                <w:rFonts w:ascii="Arial" w:cs="Arial" w:eastAsia="Arial" w:hAnsi="Arial"/>
                <w:sz w:val="18"/>
                <w:szCs w:val="18"/>
                <w:color w:val="auto"/>
              </w:rPr>
              <w:t>Prepaid interest from issuance of warrants for debt costs</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0"/>
                <w:szCs w:val="20"/>
                <w:color w:val="auto"/>
              </w:rPr>
            </w:pP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55,962</w:t>
            </w:r>
          </w:p>
        </w:tc>
        <w:tc>
          <w:tcPr>
            <w:tcW w:w="120" w:type="dxa"/>
            <w:vAlign w:val="bottom"/>
            <w:tcBorders>
              <w:right w:val="single" w:sz="8" w:color="F0FFFF"/>
            </w:tcBorders>
            <w:shd w:val="clear" w:color="auto" w:fill="F0FFFF"/>
          </w:tcPr>
          <w:p>
            <w:pPr>
              <w:spacing w:after="0"/>
              <w:rPr>
                <w:sz w:val="20"/>
                <w:szCs w:val="20"/>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Equipment and software acquired under capital lease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325,431</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124,917</w:t>
            </w:r>
          </w:p>
        </w:tc>
        <w:tc>
          <w:tcPr>
            <w:tcW w:w="1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495,955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F0FFFF"/>
          </w:tcPr>
          <w:p>
            <w:pPr>
              <w:spacing w:after="0"/>
              <w:rPr>
                <w:sz w:val="20"/>
                <w:szCs w:val="20"/>
                <w:color w:val="auto"/>
              </w:rPr>
            </w:pPr>
            <w:r>
              <w:rPr>
                <w:rFonts w:ascii="Arial" w:cs="Arial" w:eastAsia="Arial" w:hAnsi="Arial"/>
                <w:sz w:val="18"/>
                <w:szCs w:val="18"/>
                <w:color w:val="auto"/>
              </w:rPr>
              <w:t>Equipment and software financed with long-term debt</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0"/>
                <w:szCs w:val="20"/>
                <w:color w:val="auto"/>
              </w:rPr>
            </w:pP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F0FFFF"/>
            </w:tcBorders>
            <w:shd w:val="clear" w:color="auto" w:fill="F0FFFF"/>
          </w:tcPr>
          <w:p>
            <w:pPr>
              <w:spacing w:after="0"/>
              <w:rPr>
                <w:sz w:val="20"/>
                <w:szCs w:val="20"/>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252,968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Disposal of property and equipment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709,638</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98,928</w:t>
            </w:r>
          </w:p>
        </w:tc>
        <w:tc>
          <w:tcPr>
            <w:tcW w:w="1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652,093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F0FFFF"/>
          </w:tcPr>
          <w:p>
            <w:pPr>
              <w:spacing w:after="0"/>
              <w:rPr>
                <w:sz w:val="20"/>
                <w:szCs w:val="20"/>
                <w:color w:val="auto"/>
              </w:rPr>
            </w:pPr>
            <w:r>
              <w:rPr>
                <w:rFonts w:ascii="Arial" w:cs="Arial" w:eastAsia="Arial" w:hAnsi="Arial"/>
                <w:sz w:val="18"/>
                <w:szCs w:val="18"/>
                <w:color w:val="auto"/>
              </w:rPr>
              <w:t>Disposal of property and equipment under sale-leaseback transactions</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1,918,920</w:t>
            </w:r>
          </w:p>
        </w:tc>
        <w:tc>
          <w:tcPr>
            <w:tcW w:w="100" w:type="dxa"/>
            <w:vAlign w:val="bottom"/>
            <w:shd w:val="clear" w:color="auto" w:fill="F0FFFF"/>
          </w:tcPr>
          <w:p>
            <w:pPr>
              <w:spacing w:after="0"/>
              <w:rPr>
                <w:sz w:val="20"/>
                <w:szCs w:val="20"/>
                <w:color w:val="auto"/>
              </w:rPr>
            </w:pP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F0FFFF"/>
            </w:tcBorders>
            <w:shd w:val="clear" w:color="auto" w:fill="F0FFFF"/>
          </w:tcPr>
          <w:p>
            <w:pPr>
              <w:spacing w:after="0"/>
              <w:rPr>
                <w:sz w:val="20"/>
                <w:szCs w:val="20"/>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478"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USA Technologies, Inc. (the “Company”, “We”, “USAT”, or “Our”) was incorporated in the Commonwealth of Pennsylvania in January 1992. We are a provider of technology-enabled solutions and value-added services that facilitate electronic payment transactions primarily within the unattended Point of Sale (“POS”) market. We are a leading provider in the small ticket, beverage and food vending industry and are expanding our solutions and services to other unattended market segments, such as amusement, commercial laundry, kiosk, taxi and others. Since our founding, we have designed and marketed systems and solutions that facilitate electronic payment options, as well as telemetry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had net income of $27,530,652 for the year ended June 30, 2014. Included in net income is a benefit for income taxes of $27,255,398 for the year ended June 30, 2014. The Company had net income of $854,123 for the year ended June 30, 2013 and had incurred losses from its inception through June 30, 2012. Net income includes adjustments for changes to the fair value of our warrant liabilities, which are subject to secondary market conditions, and are not reasonably predictable. The Company’s ability to meet its future obligations is dependent upon the success of its products and services in the marketplace and the available capital resources. Until the Company’s products and services can generate sufficient annual revenues, the Company will be required to use its cash and cash equivalents on hand, and its line of credit (see Note 7), and may raise capital to meet its cash flow requirements including the issuance of Common Stock or debt financing.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wholly-owned subsidiaries, Stitch Networks Corporation (“Stitch”) and USAT Capital Corp LLC (“USAT Capital”). All significant intercompany accounts and transactions have been eliminated in consolidation.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equivalents represent all highly liquid investments with original maturities of three months or less. Cash equivalents are comprised of money market funds. The Company maintains its cash in bank deposit accounts, which may exceed federally insured limits at times.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2014 and 2013, none of the cash and cash equivalents of the Company was payable to our customers. Included in accounts receivable are amounts for transactions processed with our card processers for which cash has not been received by the Company and included in accounts payable are amounts for transactions processed with our card processers and due to our customers, which are recorded net of fees due to the Company. Generally, contractual terms require us to remit amounts owed to our customers on a weekly basis.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Accounts receivable are reported at their outstanding unpaid principal balances reduced by an allowance for doubtful accounts. The Company estimates doubtful accounts for accounts receivable and finance receivables based on historical bad debts, factors related to specific customers’ ability to pay and current economic trends. The Company writes off accounts receivable against the allowance when management determines the balance is uncollectible and the Company ceases collection efforts. Management believes that the allowance accrued is adequate to provide for its estimated credit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offers extended payment terms to certain customers for equipment sales under its Quick Start Program. In accordance with the Financial Accounting Standards Board Accounting Standards Codification® (“ASC”) Topic 840, “Leases”, agreements under the Quick Start Program qualify for sales-type lease accounting. Accordingly, the future minimum lease payments are classified as finance receivables in the Company’s consolidated balance sheets. Notes receivable or Quick Start leases are generally for a sixty month term. Finance receivables are carried at their contractual amount and charged off against the allowance for credit losses when management determines that recovery is unlikely and the Company ceases collection efforts. The Company recognizes a portion of the note or lease payments as interest income in the accompanying consolidated financial statements based on the effective interest rate method.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Inventory consists of finished goods and packaging materials. The Company’s inventory is stated at the lower of cost (average cost basis) or market.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Property and equipment are recorded at cost. Property and equipment are depreciated on the straight-line basis over the estimated useful lives of the related assets. Leasehold improvements are amortized on the straight-line basis over the lesser of the estimated useful life of the asset or the respective lease term.</w:t>
      </w:r>
    </w:p>
    <w:p>
      <w:pPr>
        <w:sectPr>
          <w:pgSz w:w="11900" w:h="16838" w:orient="portrait"/>
          <w:cols w:equalWidth="0" w:num="1">
            <w:col w:w="11420"/>
          </w:cols>
          <w:pgMar w:left="240" w:top="675" w:right="239" w:bottom="79"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8" w:name="page59"/>
    <w:bookmarkEnd w:id="58"/>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In September 2011, the FASB issued ASU No. 2011-08 Intangibles – Goodwill and Other: Testing Goodwill for Impairment, which amended guidance to allow the Company to first assess qualitative factors to determine if it is necessary to perform the two-step quantitative impairment test. If after this assessment the Company determines that it is not more likely than not that the fair value of a reporting unit is less than its carrying amount, then the two-step impairment test is unnecessary. If after this assessment the Company determines that it is more likely than not that the fair value of a reporting unit is less than its carrying amount, than the Company will perform the first step of the two-step impairment test. The first step screens for potential impairment, while the second step measures the amount of impairment. The Company uses a quantitative method, including a discounted cash flow analysis to complete the first step in this process. We also give consideration to our market capitalization. Testing for impairment is to be done at least annually and at other times if events or circumstances arise that indicate that impairment may have occurred. The Company has selected April 1 as its annual test date. The Company has concluded there has been no impairment of goodwill as a result of its testing on April 1, 2014, April 1, 2013, and April 1, 2012.</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trademarks with an indefinite economic life are not being amortized. The trademarks, not subject to amortization, are related to the miser asset group and consist of the following trademarks: 1) VendingMiser, 2) CoolerMiser, 3) PlugMiser and 4) SnackMiser. The Company tests indefinite-lived intangible assets for impairment using a two-step process. The first step screens for potential impairment, while the second step measures the amount of impairment. The Company uses a relief from royalty analysis to complete the first step in this process. Testing for impairment is to be done at least annually and at other times if events or circumstances arise that indicate that impairment may have occurred. The Company has selected April 1 as its annual test date for its indefinite-lived intangible assets. The Company has concluded there has been no impairment during the fiscal years ended June 30, 2014, 2013 and 2012.</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Patents and trademarks, with an estimated economic life, are carried at cost less accumulated amortization, which is calculated on a straight-line basis over their estimated economic life. The Company reviews intangibles, subject to amortization, for impairment whenever events or changes in circumstances indicate that the carrying amount may not be recoverable. An asset is considered to be impaired when the sum of the undiscounted future net cash flows resulting from the use of the asset and its eventual disposition is less than its carrying amount. The amount of the impairment loss, if any, is measured as the difference between the net book value of the asset and its estimated fair value. As of June 30, 2014 and June 30, 2013, the Company has concluded there has been no impairment of its patents or trademarks that is subject to amortization.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 LIVED ASSETS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accordance with ASC 360, “Impairment or Disposal of Long-Lived Assets”, the Company reviews its definite lived long-lived assets whenever events or changes in circumstances indicate that the carrying amount of such assets may not be recoverable. If the carrying amount of an asset or group of assets exceeds its net realizable value, the asset will be written down to its fair value. In the period when the plan of sale criteria of ASC 360 are met, definite lived long-lived assets are reported as held for sale, depreciation and amortization cease, and the assets are reported at the lower of carrying value or fair value less costs to sell. The Company has concluded that the carrying amount of definite lived long-lived assets is recoverable as of June 30, 2014 and June 30, 2013.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Accounting Standards Board (“FASB”) issued Accounting Standards Update (“ASU”) 2010-06, “Fair Value Measurements and Disclosures (“Topic 820”): Improving Disclosures about Fair Value Measurements.” ASU 2010-06 amends certain disclosure requirements of Subtopic 820-10. This ASU provides additional disclosures for transfers in and out of Levels 1 and 2 and for activity in Level 3. This ASU also clarifies certain other existing disclosure requirements including level of desegregation and disclosures around inputs and valuation techniques.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assets and liabilities are measured using inputs from the three levels of the fair value hierarchy. The three levels are as follows: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2-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Inputs are unobservable and reflect the Company’s assumptions that market participants would use in pricing the asset or liability. The Company develops these inputs based on the best information available.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principally cash equivalents, accounts receivable, finance receivables, prepaid expenses and other assets, accounts payable and accrued expenses, are carried at cost which approximates fair value due to the short-term maturity of these instruments. The fair value of the Company’s obligations under its long-term debt and credit agreements approximates their carrying value as such instruments are at market rates currently available to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Financial instruments that subject the Company to a concentration of credit risk consist principally of cash and cash equivalents and accounts and finance receivables. The Company maintains cash and cash equivalents with various financial institutions. Approximately 22% and 41% of the Company’s trade</w:t>
      </w:r>
    </w:p>
    <w:p>
      <w:pPr>
        <w:sectPr>
          <w:pgSz w:w="11900" w:h="16989" w:orient="portrait"/>
          <w:cols w:equalWidth="0" w:num="1">
            <w:col w:w="11420"/>
          </w:cols>
          <w:pgMar w:left="240" w:top="918" w:right="239" w:bottom="0" w:gutter="0" w:footer="0" w:header="0"/>
        </w:sectPr>
      </w:pPr>
    </w:p>
    <w:bookmarkStart w:id="59" w:name="page60"/>
    <w:bookmarkEnd w:id="59"/>
    <w:p>
      <w:pPr>
        <w:jc w:val="both"/>
        <w:spacing w:after="0" w:line="257" w:lineRule="auto"/>
        <w:rPr>
          <w:sz w:val="20"/>
          <w:szCs w:val="20"/>
          <w:color w:val="auto"/>
        </w:rPr>
      </w:pPr>
      <w:r>
        <w:rPr>
          <w:rFonts w:ascii="Arial" w:cs="Arial" w:eastAsia="Arial" w:hAnsi="Arial"/>
          <w:sz w:val="18"/>
          <w:szCs w:val="18"/>
          <w:color w:val="auto"/>
        </w:rPr>
        <w:t>accounts and finance receivables at June 30, 2014 and 2013, respectively, were concentrated with one customer. Approximately 26%, 37%, and 43% of the Company’s license and transaction processing revenues for the years ended June 30, 2014, 2013, and 2012, respectively, were concentrated with one and two customer(s), respectively: 26%, 26%, and 25%, respectively for each year, with one; and 11%, and 18%, for the years ended June 30, 2013, and 2012, respectively, with another. There was no concentration of equipment sales revenue for the years ended June 30, 2014, 2013, and 2012. The Company’s customers are principally located in the United States.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from the sale of equipment is recognized on the terms of freight-on-board shipping point. Activation fee revenue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RENTAL</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offers its customers a rental program for its ePort devices, the JumpStart Program (“JumpStart”). The JumpStart terms are typically 36 months and are cancellable with sixty days written notice. In accordance with ASC 840, “Leases”, the Company classifies the rental agreements as operating leases. For the years ended June 30, 2014, 2013, and 2012, there was approximately $1,032,000, $806,000, and $607,000, respectively, of activation fee revenue related to JumpStart equipment included in equipment sales in the Consolidated Statements of Operations. There was also approximately $13,337,000, $10,193,000, and $6,074,000 of service fee revenue related to JumpStart equipment included in license and transaction fees in the Consolidated Statements of Operations for the years ended June 30, 2014, 2013, and 2012, respectively. Cost for the JumpStart revenues, which consists of depreciation expense on the JumpStart equipment, approximated $4,804,900, $3,171,000, and $1,740,000 for the years ended June 30, 2014, 2013, and 2012, respectively, and was included in cost of services in the Consolidated Statements of Operations. At June 30, 2014 and 2013, approximately, $19,824,000 and $15,685,000, respectively, of ePort equipment utilized by the JumpStart Program was included in property and equipment, net on the Consolidated Balance Sheet (see Note 4).</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generally warrants its products for one to three years. Warranty costs are estimated and recorded at the time of sale based on historical warranty experience, if available. These costs are reviewed and adjusted, if necessary, periodically throughout the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Shipping and handling fees billed to our customers in connection with sales are recorded as revenue. The costs incurred for shipping and handling of our product are recorded as cost of sales.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are expensed as incurred. Research and development expenses, which are included in selling, general and administrative expenses in the Consolidated Statements of Operations, were approximately $1,018,000, $901,000, and $1,038,000, for the years ended June 30, 2014, 2013, and 2012, respectively. Our research and development initiatives focus on adding features and functionality to our system solutions through the development and utilization of our processing and reporting network and new technology.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EQUITY AWARDS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ASC 718 the cost of employee services received in exchange for an award of equity instruments is based on the grant-date fair value of the award and allocated over the vesting period of the award.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detailed in Note 12, the Company recorded stock compensation expense of $450,078, $483,740, and $584,487 related to common stock grants and vesting of shares previously granted to employees and directors during the years ended June 30, 2014, 2013, and 2012, respectively. These expenses exclude the Performance Share Plans for the 2014 and 2013 fiscal years (“2014 Plan” and the “2013 Plan”) and the Long-Term Equity Incentive Program (“LTIP” or the “LTIP Program”) covering the Company’s executive officers.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follows the provisions of FASB ASC 740, Accounting for Uncertainty in Income Taxes, which provides detailed guidance for the financial statement recognition, measurement and disclosure of uncertain tax positions recognized in the financial statements. Tax positions must meet a “more-likely-than-not” recognition threshold at the effective date to be recognized upon the adoption of ASC 740 and in subsequent periods.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Income taxes are computed using the asset and liability method of accounting. Under the asset and liability method, a deferred tax asset or liability is recognized for estimated future tax effects attributable to temporary differences and carryforwards. The measurement of deferred income tax assets is adjusted by a valuation allowance, if necessary, to recognize future tax benefits only to the extent, based on available evidence it is more likely than not such benefits will be realized. The Company recognizes interest and penalties, if any, related to uncertain tax positions in selling, general and administrative expenses. No interest or penalties related to uncertain tax positions were accrued or incurred during the years ended June 30, 2014, 2013, and 2012.</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files income tax returns in the United States federal jurisdiction and various state jurisdictions. The tax years ended June 30, 2011 through June 30, 2014 remain open to examination by taxing jurisdictions to which the Company are subject. As of June 30, 2014, the Company did not have any income tax examinations in process.</w:t>
      </w:r>
    </w:p>
    <w:p>
      <w:pPr>
        <w:sectPr>
          <w:pgSz w:w="11900" w:h="16838" w:orient="portrait"/>
          <w:cols w:equalWidth="0" w:num="1">
            <w:col w:w="11420"/>
          </w:cols>
          <w:pgMar w:left="240" w:top="918" w:right="239" w:bottom="0" w:gutter="0" w:footer="0" w:header="0"/>
        </w:sectPr>
      </w:pPr>
    </w:p>
    <w:bookmarkStart w:id="61" w:name="page62"/>
    <w:bookmarkEnd w:id="61"/>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COMMON SHARE</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Basic earnings (loss) per share are calculated by dividing income (loss) applicable to common shares by the weighted average common shares outstanding for the period. Diluted earnings per share is calculated by dividing income (loss) applicable to common shares by the weighted average common shares outstanding for the year plus the effect of potential common shares unless such effect is anti-dilutive. For the fiscal year ended June 30, 2014 no exercise of stock purchase warrants (4,309,000); or the conversion of preferred stock (85,936) or cumulative preferred dividends (12,261) was assumed during the fiscal year ended June 30, 2014 because the result would be anti-dilutive. For the fiscal year ended June 30, 2013 exercise of 825,673 stock purchase warrants was assumed to calculate the weighted average common shares outstanding for the year. Exercise of stock purchase warrants (5,212,955) or the conversion of preferred stock (85,847) or cumulative preferred dividends (11,596) was not assumed during the fiscal year ended June 30, 2013 because the result would be anti-dilutive. For the fiscal year ended June 30, 2012 no exercise of stock options (45,333); or stock purchase warrants (8,045,619); or the conversion of preferred stock (4,430) or cumulative preferred dividends (10,932) was assumed during the fiscal year ended June 30, 2012 because the result would be anti-dilutive.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PRONOUCEMENTS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evaluating whether the effects of the following recent accounting pronouncements or any other recently issued, but not yet effective accounting standards will have a material effect on the Company’s consolidated financial position, results of operations, or cash flows.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2013, the Financial Accounting Standards Board issued ASU 2013-11 Income Taxes (Topic 740): Presentation of an unrecognized tax benefit when a net operating loss carryforward, a similar tax loss, or a tax credit carryforward exists. This will be effective for the Company beginning with the fiscal year ending June 30, 2015.</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May 2014, the Financial Accounting Standards Board issued ASU 2014-09 Revenue from Contracts with Customers (Topic 606). This will be effective for the Company beginning with the fiscal year ending June 30,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2014, the Financial Accounting Standards Board issued ASU 2014-12 Compensation – Stock Compensation (Topic 718): Accounting for share-based payments when the terms of the award provide that a performance target could be achieved after the requisite service period. This will be effective for the Company beginning with the fiscal year ending June 30,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3. FINANCE RECEIVABLES</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920" w:type="dxa"/>
            <w:vAlign w:val="bottom"/>
            <w:gridSpan w:val="2"/>
          </w:tcPr>
          <w:p>
            <w:pPr>
              <w:spacing w:after="0"/>
              <w:rPr>
                <w:sz w:val="20"/>
                <w:szCs w:val="20"/>
                <w:color w:val="auto"/>
              </w:rPr>
            </w:pPr>
            <w:r>
              <w:rPr>
                <w:rFonts w:ascii="Arial" w:cs="Arial" w:eastAsia="Arial" w:hAnsi="Arial"/>
                <w:sz w:val="18"/>
                <w:szCs w:val="18"/>
                <w:color w:val="auto"/>
              </w:rPr>
              <w:t>Finance Receivables consist of the following:</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w w:val="98"/>
              </w:rPr>
              <w:t>June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color w:val="auto"/>
                <w:w w:val="98"/>
              </w:rPr>
              <w:t>June 30,</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3620" w:type="dxa"/>
            <w:vAlign w:val="bottom"/>
            <w:shd w:val="clear" w:color="auto" w:fill="F0FFFF"/>
          </w:tcPr>
          <w:p>
            <w:pPr>
              <w:spacing w:after="0"/>
              <w:rPr>
                <w:sz w:val="20"/>
                <w:szCs w:val="20"/>
                <w:color w:val="auto"/>
              </w:rPr>
            </w:pPr>
            <w:r>
              <w:rPr>
                <w:rFonts w:ascii="Arial" w:cs="Arial" w:eastAsia="Arial" w:hAnsi="Arial"/>
                <w:sz w:val="18"/>
                <w:szCs w:val="18"/>
                <w:color w:val="auto"/>
              </w:rPr>
              <w:t>Total finance receivables</w:t>
            </w:r>
          </w:p>
        </w:tc>
        <w:tc>
          <w:tcPr>
            <w:tcW w:w="7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472,587</w:t>
            </w:r>
          </w:p>
        </w:tc>
        <w:tc>
          <w:tcPr>
            <w:tcW w:w="2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525,118</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Less current portion</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119,793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116,444</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3620" w:type="dxa"/>
            <w:vAlign w:val="bottom"/>
            <w:shd w:val="clear" w:color="auto" w:fill="F0FFFF"/>
          </w:tcPr>
          <w:p>
            <w:pPr>
              <w:spacing w:after="0"/>
              <w:rPr>
                <w:sz w:val="20"/>
                <w:szCs w:val="20"/>
                <w:color w:val="auto"/>
              </w:rPr>
            </w:pPr>
            <w:r>
              <w:rPr>
                <w:rFonts w:ascii="Arial" w:cs="Arial" w:eastAsia="Arial" w:hAnsi="Arial"/>
                <w:sz w:val="18"/>
                <w:szCs w:val="18"/>
                <w:color w:val="auto"/>
              </w:rPr>
              <w:t>Non-current portion of finance receivables</w:t>
            </w:r>
          </w:p>
        </w:tc>
        <w:tc>
          <w:tcPr>
            <w:tcW w:w="7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352,794</w:t>
            </w:r>
          </w:p>
        </w:tc>
        <w:tc>
          <w:tcPr>
            <w:tcW w:w="2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408,674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620" w:type="dxa"/>
            <w:vAlign w:val="bottom"/>
            <w:tcBorders>
              <w:top w:val="single" w:sz="8" w:color="F0FFFF"/>
            </w:tcBorders>
            <w:shd w:val="clear" w:color="auto" w:fill="F0FFFF"/>
          </w:tcPr>
          <w:p>
            <w:pPr>
              <w:spacing w:after="0" w:line="20" w:lineRule="exact"/>
              <w:rPr>
                <w:sz w:val="1"/>
                <w:szCs w:val="1"/>
                <w:color w:val="auto"/>
              </w:rPr>
            </w:pPr>
          </w:p>
        </w:tc>
        <w:tc>
          <w:tcPr>
            <w:tcW w:w="56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2014 and 2013, there was no allowance for credit losses of finance receivables. As the Company collects monthly payments of the receivables from the customers’ transaction funds the risk of loss was determined to be remote.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5560" w:type="dxa"/>
            <w:vAlign w:val="bottom"/>
          </w:tcPr>
          <w:p>
            <w:pPr>
              <w:jc w:val="center"/>
              <w:ind w:left="1070"/>
              <w:spacing w:after="0"/>
              <w:rPr>
                <w:sz w:val="20"/>
                <w:szCs w:val="20"/>
                <w:color w:val="auto"/>
              </w:rPr>
            </w:pPr>
            <w:r>
              <w:rPr>
                <w:rFonts w:ascii="Arial" w:cs="Arial" w:eastAsia="Arial" w:hAnsi="Arial"/>
                <w:sz w:val="18"/>
                <w:szCs w:val="18"/>
                <w:color w:val="auto"/>
                <w:w w:val="93"/>
              </w:rPr>
              <w:t>Credit Quality Indicators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5560" w:type="dxa"/>
            <w:vAlign w:val="bottom"/>
          </w:tcPr>
          <w:p>
            <w:pPr>
              <w:jc w:val="center"/>
              <w:ind w:left="1070"/>
              <w:spacing w:after="0"/>
              <w:rPr>
                <w:sz w:val="20"/>
                <w:szCs w:val="20"/>
                <w:color w:val="auto"/>
              </w:rPr>
            </w:pPr>
            <w:r>
              <w:rPr>
                <w:rFonts w:ascii="Arial" w:cs="Arial" w:eastAsia="Arial" w:hAnsi="Arial"/>
                <w:sz w:val="18"/>
                <w:szCs w:val="18"/>
                <w:color w:val="auto"/>
                <w:w w:val="89"/>
              </w:rPr>
              <w:t>As of June 30, 2014</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60" w:type="dxa"/>
            <w:vAlign w:val="bottom"/>
            <w:gridSpan w:val="2"/>
          </w:tcPr>
          <w:p>
            <w:pPr>
              <w:ind w:left="2300"/>
              <w:spacing w:after="0"/>
              <w:rPr>
                <w:sz w:val="20"/>
                <w:szCs w:val="20"/>
                <w:color w:val="auto"/>
              </w:rPr>
            </w:pPr>
            <w:r>
              <w:rPr>
                <w:rFonts w:ascii="Arial" w:cs="Arial" w:eastAsia="Arial" w:hAnsi="Arial"/>
                <w:sz w:val="18"/>
                <w:szCs w:val="18"/>
                <w:color w:val="auto"/>
              </w:rPr>
              <w:t>Credit risk profile based on payment activity:</w:t>
            </w:r>
          </w:p>
        </w:tc>
        <w:tc>
          <w:tcPr>
            <w:tcW w:w="200" w:type="dxa"/>
            <w:vAlign w:val="bottom"/>
          </w:tcPr>
          <w:p>
            <w:pPr>
              <w:spacing w:after="0"/>
              <w:rPr>
                <w:sz w:val="24"/>
                <w:szCs w:val="24"/>
                <w:color w:val="auto"/>
              </w:rPr>
            </w:pPr>
          </w:p>
        </w:tc>
        <w:tc>
          <w:tcPr>
            <w:tcW w:w="1080" w:type="dxa"/>
            <w:vAlign w:val="bottom"/>
            <w:vMerge w:val="restart"/>
          </w:tcPr>
          <w:p>
            <w:pPr>
              <w:jc w:val="right"/>
              <w:ind w:right="370"/>
              <w:spacing w:after="0"/>
              <w:rPr>
                <w:sz w:val="20"/>
                <w:szCs w:val="20"/>
                <w:color w:val="auto"/>
              </w:rPr>
            </w:pPr>
            <w:r>
              <w:rPr>
                <w:rFonts w:ascii="Arial" w:cs="Arial" w:eastAsia="Arial" w:hAnsi="Arial"/>
                <w:sz w:val="18"/>
                <w:szCs w:val="18"/>
                <w:color w:val="auto"/>
              </w:rPr>
              <w:t>Leases</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560" w:type="dxa"/>
            <w:vAlign w:val="bottom"/>
            <w:shd w:val="clear" w:color="auto" w:fill="F0FFFF"/>
          </w:tcPr>
          <w:p>
            <w:pPr>
              <w:spacing w:after="0"/>
              <w:rPr>
                <w:sz w:val="20"/>
                <w:szCs w:val="20"/>
                <w:color w:val="auto"/>
              </w:rPr>
            </w:pPr>
            <w:r>
              <w:rPr>
                <w:rFonts w:ascii="Arial" w:cs="Arial" w:eastAsia="Arial" w:hAnsi="Arial"/>
                <w:sz w:val="18"/>
                <w:szCs w:val="18"/>
                <w:color w:val="auto"/>
              </w:rPr>
              <w:t>Performing</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472,587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Nonperforming</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2"/>
                <w:szCs w:val="22"/>
                <w:color w:val="auto"/>
              </w:rPr>
            </w:pPr>
          </w:p>
        </w:tc>
        <w:tc>
          <w:tcPr>
            <w:tcW w:w="55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472,587</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69"/>
        </w:trPr>
        <w:tc>
          <w:tcPr>
            <w:tcW w:w="2300" w:type="dxa"/>
            <w:vAlign w:val="bottom"/>
            <w:tcBorders>
              <w:bottom w:val="single" w:sz="8" w:color="DCDCDC"/>
            </w:tcBorders>
          </w:tcPr>
          <w:p>
            <w:pPr>
              <w:spacing w:after="0"/>
              <w:rPr>
                <w:sz w:val="24"/>
                <w:szCs w:val="24"/>
                <w:color w:val="auto"/>
              </w:rPr>
            </w:pPr>
          </w:p>
        </w:tc>
        <w:tc>
          <w:tcPr>
            <w:tcW w:w="5560" w:type="dxa"/>
            <w:vAlign w:val="bottom"/>
            <w:tcBorders>
              <w:bottom w:val="single" w:sz="8" w:color="DCDCDC"/>
            </w:tcBorders>
          </w:tcPr>
          <w:p>
            <w:pPr>
              <w:ind w:left="3240"/>
              <w:spacing w:after="0"/>
              <w:rPr>
                <w:sz w:val="20"/>
                <w:szCs w:val="20"/>
                <w:color w:val="auto"/>
              </w:rPr>
            </w:pPr>
            <w:r>
              <w:rPr>
                <w:rFonts w:ascii="Arial" w:cs="Arial" w:eastAsia="Arial" w:hAnsi="Arial"/>
                <w:sz w:val="18"/>
                <w:szCs w:val="18"/>
                <w:color w:val="auto"/>
              </w:rPr>
              <w:t>F-10</w:t>
            </w:r>
          </w:p>
        </w:tc>
        <w:tc>
          <w:tcPr>
            <w:tcW w:w="20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228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63" w:name="page64"/>
    <w:bookmarkEnd w:id="63"/>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gridSpan w:val="4"/>
          </w:tcPr>
          <w:p>
            <w:pPr>
              <w:spacing w:after="0"/>
              <w:rPr>
                <w:sz w:val="20"/>
                <w:szCs w:val="20"/>
                <w:color w:val="auto"/>
              </w:rPr>
            </w:pPr>
            <w:r>
              <w:rPr>
                <w:rFonts w:ascii="Arial" w:cs="Arial" w:eastAsia="Arial" w:hAnsi="Arial"/>
                <w:sz w:val="18"/>
                <w:szCs w:val="18"/>
                <w:b w:val="1"/>
                <w:bCs w:val="1"/>
                <w:color w:val="auto"/>
              </w:rPr>
              <w:t>3. FINANCE RECEIVABLES (CONTINUED)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gridSpan w:val="11"/>
          </w:tcPr>
          <w:p>
            <w:pPr>
              <w:jc w:val="center"/>
              <w:ind w:right="420"/>
              <w:spacing w:after="0"/>
              <w:rPr>
                <w:sz w:val="20"/>
                <w:szCs w:val="20"/>
                <w:color w:val="auto"/>
              </w:rPr>
            </w:pPr>
            <w:r>
              <w:rPr>
                <w:rFonts w:ascii="Arial" w:cs="Arial" w:eastAsia="Arial" w:hAnsi="Arial"/>
                <w:sz w:val="18"/>
                <w:szCs w:val="18"/>
                <w:color w:val="auto"/>
                <w:w w:val="90"/>
              </w:rPr>
              <w:t>Age Analysis of Past Due Finance Receivables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4"/>
          </w:tcPr>
          <w:p>
            <w:pPr>
              <w:jc w:val="center"/>
              <w:ind w:left="670"/>
              <w:spacing w:after="0"/>
              <w:rPr>
                <w:sz w:val="20"/>
                <w:szCs w:val="20"/>
                <w:color w:val="auto"/>
              </w:rPr>
            </w:pPr>
            <w:r>
              <w:rPr>
                <w:rFonts w:ascii="Arial" w:cs="Arial" w:eastAsia="Arial" w:hAnsi="Arial"/>
                <w:sz w:val="18"/>
                <w:szCs w:val="18"/>
                <w:color w:val="auto"/>
                <w:w w:val="89"/>
              </w:rPr>
              <w:t>As of June 30, 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00" w:type="dxa"/>
            <w:vAlign w:val="bottom"/>
          </w:tcPr>
          <w:p>
            <w:pPr>
              <w:jc w:val="center"/>
              <w:ind w:left="36"/>
              <w:spacing w:after="0"/>
              <w:rPr>
                <w:sz w:val="20"/>
                <w:szCs w:val="20"/>
                <w:color w:val="auto"/>
              </w:rPr>
            </w:pPr>
            <w:r>
              <w:rPr>
                <w:rFonts w:ascii="Arial" w:cs="Arial" w:eastAsia="Arial" w:hAnsi="Arial"/>
                <w:sz w:val="18"/>
                <w:szCs w:val="18"/>
                <w:color w:val="auto"/>
                <w:w w:val="89"/>
              </w:rPr>
              <w:t>31 – 60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89"/>
              </w:rPr>
              <w:t>61 – 90</w:t>
            </w:r>
          </w:p>
        </w:tc>
        <w:tc>
          <w:tcPr>
            <w:tcW w:w="100" w:type="dxa"/>
            <w:vAlign w:val="bottom"/>
          </w:tcPr>
          <w:p>
            <w:pPr>
              <w:spacing w:after="0"/>
              <w:rPr>
                <w:sz w:val="24"/>
                <w:szCs w:val="24"/>
                <w:color w:val="auto"/>
              </w:rPr>
            </w:pPr>
          </w:p>
        </w:tc>
        <w:tc>
          <w:tcPr>
            <w:tcW w:w="1120" w:type="dxa"/>
            <w:vAlign w:val="bottom"/>
            <w:gridSpan w:val="2"/>
          </w:tcPr>
          <w:p>
            <w:pPr>
              <w:jc w:val="center"/>
              <w:ind w:right="10"/>
              <w:spacing w:after="0"/>
              <w:rPr>
                <w:sz w:val="20"/>
                <w:szCs w:val="20"/>
                <w:color w:val="auto"/>
              </w:rPr>
            </w:pPr>
            <w:r>
              <w:rPr>
                <w:rFonts w:ascii="Arial" w:cs="Arial" w:eastAsia="Arial" w:hAnsi="Arial"/>
                <w:sz w:val="18"/>
                <w:szCs w:val="18"/>
                <w:color w:val="auto"/>
                <w:w w:val="89"/>
              </w:rPr>
              <w:t>Greater than</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gridSpan w:val="2"/>
          </w:tcPr>
          <w:p>
            <w:pPr>
              <w:jc w:val="center"/>
              <w:ind w:right="30"/>
              <w:spacing w:after="0"/>
              <w:rPr>
                <w:sz w:val="20"/>
                <w:szCs w:val="20"/>
                <w:color w:val="auto"/>
              </w:rPr>
            </w:pPr>
            <w:r>
              <w:rPr>
                <w:rFonts w:ascii="Arial" w:cs="Arial" w:eastAsia="Arial" w:hAnsi="Arial"/>
                <w:sz w:val="18"/>
                <w:szCs w:val="18"/>
                <w:color w:val="auto"/>
                <w:w w:val="79"/>
              </w:rPr>
              <w:t>Total</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Days Past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70"/>
              <w:spacing w:after="0"/>
              <w:rPr>
                <w:sz w:val="20"/>
                <w:szCs w:val="20"/>
                <w:color w:val="auto"/>
              </w:rPr>
            </w:pPr>
            <w:r>
              <w:rPr>
                <w:rFonts w:ascii="Arial" w:cs="Arial" w:eastAsia="Arial" w:hAnsi="Arial"/>
                <w:sz w:val="18"/>
                <w:szCs w:val="18"/>
                <w:color w:val="auto"/>
                <w:w w:val="87"/>
              </w:rPr>
              <w:t>Days Past</w:t>
            </w:r>
          </w:p>
        </w:tc>
        <w:tc>
          <w:tcPr>
            <w:tcW w:w="100" w:type="dxa"/>
            <w:vAlign w:val="bottom"/>
          </w:tcPr>
          <w:p>
            <w:pPr>
              <w:spacing w:after="0"/>
              <w:rPr>
                <w:sz w:val="18"/>
                <w:szCs w:val="18"/>
                <w:color w:val="auto"/>
              </w:rPr>
            </w:pPr>
          </w:p>
        </w:tc>
        <w:tc>
          <w:tcPr>
            <w:tcW w:w="1120" w:type="dxa"/>
            <w:vAlign w:val="bottom"/>
            <w:gridSpan w:val="2"/>
          </w:tcPr>
          <w:p>
            <w:pPr>
              <w:jc w:val="center"/>
              <w:ind w:right="50"/>
              <w:spacing w:after="0"/>
              <w:rPr>
                <w:sz w:val="20"/>
                <w:szCs w:val="20"/>
                <w:color w:val="auto"/>
              </w:rPr>
            </w:pPr>
            <w:r>
              <w:rPr>
                <w:rFonts w:ascii="Arial" w:cs="Arial" w:eastAsia="Arial" w:hAnsi="Arial"/>
                <w:sz w:val="18"/>
                <w:szCs w:val="18"/>
                <w:color w:val="auto"/>
                <w:w w:val="87"/>
              </w:rPr>
              <w:t>90 Days Past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8"/>
                <w:szCs w:val="18"/>
                <w:color w:val="auto"/>
                <w:w w:val="86"/>
              </w:rPr>
              <w:t>Total Past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3"/>
          </w:tcPr>
          <w:p>
            <w:pPr>
              <w:jc w:val="center"/>
              <w:ind w:left="157"/>
              <w:spacing w:after="0"/>
              <w:rPr>
                <w:sz w:val="20"/>
                <w:szCs w:val="20"/>
                <w:color w:val="auto"/>
              </w:rPr>
            </w:pPr>
            <w:r>
              <w:rPr>
                <w:rFonts w:ascii="Arial" w:cs="Arial" w:eastAsia="Arial" w:hAnsi="Arial"/>
                <w:sz w:val="18"/>
                <w:szCs w:val="18"/>
                <w:color w:val="auto"/>
                <w:w w:val="87"/>
              </w:rPr>
              <w:t>Finance</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00" w:type="dxa"/>
            <w:vAlign w:val="bottom"/>
          </w:tcPr>
          <w:p>
            <w:pPr>
              <w:jc w:val="center"/>
              <w:ind w:left="36"/>
              <w:spacing w:after="0"/>
              <w:rPr>
                <w:sz w:val="20"/>
                <w:szCs w:val="20"/>
                <w:color w:val="auto"/>
              </w:rPr>
            </w:pPr>
            <w:r>
              <w:rPr>
                <w:rFonts w:ascii="Arial" w:cs="Arial" w:eastAsia="Arial" w:hAnsi="Arial"/>
                <w:sz w:val="18"/>
                <w:szCs w:val="18"/>
                <w:color w:val="auto"/>
                <w:w w:val="90"/>
              </w:rPr>
              <w:t>Due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90"/>
              </w:rPr>
              <w:t>Due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center"/>
              <w:ind w:right="230"/>
              <w:spacing w:after="0"/>
              <w:rPr>
                <w:sz w:val="20"/>
                <w:szCs w:val="20"/>
                <w:color w:val="auto"/>
              </w:rPr>
            </w:pPr>
            <w:r>
              <w:rPr>
                <w:rFonts w:ascii="Arial" w:cs="Arial" w:eastAsia="Arial" w:hAnsi="Arial"/>
                <w:sz w:val="18"/>
                <w:szCs w:val="18"/>
                <w:color w:val="auto"/>
                <w:w w:val="90"/>
              </w:rPr>
              <w:t>Due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Due</w:t>
            </w:r>
          </w:p>
        </w:tc>
        <w:tc>
          <w:tcPr>
            <w:tcW w:w="240" w:type="dxa"/>
            <w:vAlign w:val="bottom"/>
          </w:tcPr>
          <w:p>
            <w:pPr>
              <w:spacing w:after="0"/>
              <w:rPr>
                <w:sz w:val="20"/>
                <w:szCs w:val="20"/>
                <w:color w:val="auto"/>
              </w:rPr>
            </w:pPr>
          </w:p>
        </w:tc>
        <w:tc>
          <w:tcPr>
            <w:tcW w:w="1060" w:type="dxa"/>
            <w:vAlign w:val="bottom"/>
            <w:gridSpan w:val="3"/>
          </w:tcPr>
          <w:p>
            <w:pPr>
              <w:jc w:val="right"/>
              <w:ind w:right="410"/>
              <w:spacing w:after="0"/>
              <w:rPr>
                <w:sz w:val="20"/>
                <w:szCs w:val="20"/>
                <w:color w:val="auto"/>
              </w:rPr>
            </w:pPr>
            <w:r>
              <w:rPr>
                <w:rFonts w:ascii="Arial" w:cs="Arial" w:eastAsia="Arial" w:hAnsi="Arial"/>
                <w:sz w:val="18"/>
                <w:szCs w:val="18"/>
                <w:color w:val="auto"/>
                <w:w w:val="89"/>
              </w:rPr>
              <w:t>Current</w:t>
            </w:r>
          </w:p>
        </w:tc>
        <w:tc>
          <w:tcPr>
            <w:tcW w:w="1780" w:type="dxa"/>
            <w:vAlign w:val="bottom"/>
            <w:gridSpan w:val="5"/>
          </w:tcPr>
          <w:p>
            <w:pPr>
              <w:jc w:val="center"/>
              <w:ind w:right="700"/>
              <w:spacing w:after="0"/>
              <w:rPr>
                <w:sz w:val="20"/>
                <w:szCs w:val="20"/>
                <w:color w:val="auto"/>
              </w:rPr>
            </w:pPr>
            <w:r>
              <w:rPr>
                <w:rFonts w:ascii="Arial" w:cs="Arial" w:eastAsia="Arial" w:hAnsi="Arial"/>
                <w:sz w:val="18"/>
                <w:szCs w:val="18"/>
                <w:color w:val="auto"/>
                <w:w w:val="89"/>
              </w:rPr>
              <w:t>Receivables</w:t>
            </w: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580" w:type="dxa"/>
            <w:vAlign w:val="bottom"/>
            <w:vMerge w:val="restart"/>
          </w:tcPr>
          <w:p>
            <w:pPr>
              <w:spacing w:after="0"/>
              <w:rPr>
                <w:sz w:val="18"/>
                <w:szCs w:val="18"/>
                <w:color w:val="auto"/>
              </w:rPr>
            </w:pPr>
          </w:p>
        </w:tc>
        <w:tc>
          <w:tcPr>
            <w:tcW w:w="16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68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8"/>
                <w:szCs w:val="18"/>
                <w:color w:val="auto"/>
              </w:rPr>
              <w:t>Leases</w:t>
            </w:r>
          </w:p>
        </w:tc>
        <w:tc>
          <w:tcPr>
            <w:tcW w:w="900" w:type="dxa"/>
            <w:vAlign w:val="bottom"/>
            <w:shd w:val="clear" w:color="auto" w:fill="F0FFFF"/>
          </w:tcPr>
          <w:p>
            <w:pPr>
              <w:jc w:val="right"/>
              <w:ind w:right="736"/>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909</w:t>
            </w:r>
          </w:p>
        </w:tc>
        <w:tc>
          <w:tcPr>
            <w:tcW w:w="32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378</w:t>
            </w:r>
          </w:p>
        </w:tc>
        <w:tc>
          <w:tcPr>
            <w:tcW w:w="2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1,287</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F0FFFF"/>
            </w:tcBorders>
            <w:gridSpan w:val="3"/>
            <w:shd w:val="clear" w:color="auto" w:fill="F0FFFF"/>
          </w:tcPr>
          <w:p>
            <w:pPr>
              <w:jc w:val="right"/>
              <w:ind w:right="150"/>
              <w:spacing w:after="0"/>
              <w:rPr>
                <w:sz w:val="20"/>
                <w:szCs w:val="20"/>
                <w:color w:val="auto"/>
              </w:rPr>
            </w:pPr>
            <w:r>
              <w:rPr>
                <w:rFonts w:ascii="Arial" w:cs="Arial" w:eastAsia="Arial" w:hAnsi="Arial"/>
                <w:sz w:val="18"/>
                <w:szCs w:val="18"/>
                <w:color w:val="auto"/>
              </w:rPr>
              <w:t>471,300</w:t>
            </w:r>
          </w:p>
        </w:tc>
        <w:tc>
          <w:tcPr>
            <w:tcW w:w="400" w:type="dxa"/>
            <w:vAlign w:val="bottom"/>
            <w:tcBorders>
              <w:right w:val="single" w:sz="8" w:color="F0FFFF"/>
            </w:tcBorders>
            <w:shd w:val="clear" w:color="auto" w:fill="F0FFFF"/>
          </w:tcPr>
          <w:p>
            <w:pPr>
              <w:jc w:val="right"/>
              <w:ind w:right="237"/>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F0FFFF"/>
          </w:tcPr>
          <w:p>
            <w:pPr>
              <w:ind w:left="100"/>
              <w:spacing w:after="0"/>
              <w:rPr>
                <w:sz w:val="20"/>
                <w:szCs w:val="20"/>
                <w:color w:val="auto"/>
              </w:rPr>
            </w:pPr>
            <w:r>
              <w:rPr>
                <w:rFonts w:ascii="Arial" w:cs="Arial" w:eastAsia="Arial" w:hAnsi="Arial"/>
                <w:sz w:val="18"/>
                <w:szCs w:val="18"/>
                <w:color w:val="auto"/>
              </w:rPr>
              <w:t>472,587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580" w:type="dxa"/>
            <w:vAlign w:val="bottom"/>
            <w:vMerge w:val="restart"/>
          </w:tcPr>
          <w:p>
            <w:pPr>
              <w:spacing w:after="0"/>
              <w:rPr>
                <w:sz w:val="2"/>
                <w:szCs w:val="2"/>
                <w:color w:val="auto"/>
              </w:rPr>
            </w:pPr>
          </w:p>
        </w:tc>
        <w:tc>
          <w:tcPr>
            <w:tcW w:w="1680" w:type="dxa"/>
            <w:vAlign w:val="bottom"/>
            <w:tcBorders>
              <w:right w:val="single" w:sz="8" w:color="F0FFFF"/>
            </w:tcBorders>
            <w:shd w:val="clear" w:color="auto" w:fill="F0FF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tcBorders>
              <w:right w:val="single" w:sz="8" w:color="F0FFFF"/>
            </w:tcBorders>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ind w:right="736"/>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909</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150"/>
              <w:spacing w:after="0"/>
              <w:rPr>
                <w:sz w:val="20"/>
                <w:szCs w:val="20"/>
                <w:color w:val="auto"/>
              </w:rPr>
            </w:pPr>
            <w:r>
              <w:rPr>
                <w:rFonts w:ascii="Arial" w:cs="Arial" w:eastAsia="Arial" w:hAnsi="Arial"/>
                <w:sz w:val="18"/>
                <w:szCs w:val="18"/>
                <w:color w:val="auto"/>
              </w:rPr>
              <w:t>471,300</w:t>
            </w:r>
          </w:p>
        </w:tc>
        <w:tc>
          <w:tcPr>
            <w:tcW w:w="400" w:type="dxa"/>
            <w:vAlign w:val="bottom"/>
          </w:tcPr>
          <w:p>
            <w:pPr>
              <w:jc w:val="right"/>
              <w:ind w:right="237"/>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472,587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gridSpan w:val="11"/>
          </w:tcPr>
          <w:p>
            <w:pPr>
              <w:jc w:val="center"/>
              <w:ind w:right="420"/>
              <w:spacing w:after="0"/>
              <w:rPr>
                <w:sz w:val="20"/>
                <w:szCs w:val="20"/>
                <w:color w:val="auto"/>
              </w:rPr>
            </w:pPr>
            <w:r>
              <w:rPr>
                <w:rFonts w:ascii="Arial" w:cs="Arial" w:eastAsia="Arial" w:hAnsi="Arial"/>
                <w:sz w:val="18"/>
                <w:szCs w:val="18"/>
                <w:color w:val="auto"/>
                <w:w w:val="90"/>
              </w:rPr>
              <w:t>Age Analysis of Past Due Finance Receivables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4"/>
          </w:tcPr>
          <w:p>
            <w:pPr>
              <w:jc w:val="center"/>
              <w:ind w:left="670"/>
              <w:spacing w:after="0"/>
              <w:rPr>
                <w:sz w:val="20"/>
                <w:szCs w:val="20"/>
                <w:color w:val="auto"/>
              </w:rPr>
            </w:pPr>
            <w:r>
              <w:rPr>
                <w:rFonts w:ascii="Arial" w:cs="Arial" w:eastAsia="Arial" w:hAnsi="Arial"/>
                <w:sz w:val="18"/>
                <w:szCs w:val="18"/>
                <w:color w:val="auto"/>
                <w:w w:val="89"/>
              </w:rPr>
              <w:t>As of June 30, 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00" w:type="dxa"/>
            <w:vAlign w:val="bottom"/>
          </w:tcPr>
          <w:p>
            <w:pPr>
              <w:jc w:val="center"/>
              <w:ind w:left="36"/>
              <w:spacing w:after="0"/>
              <w:rPr>
                <w:sz w:val="20"/>
                <w:szCs w:val="20"/>
                <w:color w:val="auto"/>
              </w:rPr>
            </w:pPr>
            <w:r>
              <w:rPr>
                <w:rFonts w:ascii="Arial" w:cs="Arial" w:eastAsia="Arial" w:hAnsi="Arial"/>
                <w:sz w:val="18"/>
                <w:szCs w:val="18"/>
                <w:color w:val="auto"/>
                <w:w w:val="89"/>
              </w:rPr>
              <w:t>31 – 60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89"/>
              </w:rPr>
              <w:t>61 – 90</w:t>
            </w:r>
          </w:p>
        </w:tc>
        <w:tc>
          <w:tcPr>
            <w:tcW w:w="100" w:type="dxa"/>
            <w:vAlign w:val="bottom"/>
          </w:tcPr>
          <w:p>
            <w:pPr>
              <w:spacing w:after="0"/>
              <w:rPr>
                <w:sz w:val="24"/>
                <w:szCs w:val="24"/>
                <w:color w:val="auto"/>
              </w:rPr>
            </w:pPr>
          </w:p>
        </w:tc>
        <w:tc>
          <w:tcPr>
            <w:tcW w:w="1120" w:type="dxa"/>
            <w:vAlign w:val="bottom"/>
            <w:gridSpan w:val="2"/>
          </w:tcPr>
          <w:p>
            <w:pPr>
              <w:jc w:val="center"/>
              <w:ind w:right="10"/>
              <w:spacing w:after="0"/>
              <w:rPr>
                <w:sz w:val="20"/>
                <w:szCs w:val="20"/>
                <w:color w:val="auto"/>
              </w:rPr>
            </w:pPr>
            <w:r>
              <w:rPr>
                <w:rFonts w:ascii="Arial" w:cs="Arial" w:eastAsia="Arial" w:hAnsi="Arial"/>
                <w:sz w:val="18"/>
                <w:szCs w:val="18"/>
                <w:color w:val="auto"/>
                <w:w w:val="89"/>
              </w:rPr>
              <w:t>Greater than</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gridSpan w:val="2"/>
          </w:tcPr>
          <w:p>
            <w:pPr>
              <w:jc w:val="center"/>
              <w:ind w:right="30"/>
              <w:spacing w:after="0"/>
              <w:rPr>
                <w:sz w:val="20"/>
                <w:szCs w:val="20"/>
                <w:color w:val="auto"/>
              </w:rPr>
            </w:pPr>
            <w:r>
              <w:rPr>
                <w:rFonts w:ascii="Arial" w:cs="Arial" w:eastAsia="Arial" w:hAnsi="Arial"/>
                <w:sz w:val="18"/>
                <w:szCs w:val="18"/>
                <w:color w:val="auto"/>
                <w:w w:val="79"/>
              </w:rPr>
              <w:t>Total</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Days Past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70"/>
              <w:spacing w:after="0"/>
              <w:rPr>
                <w:sz w:val="20"/>
                <w:szCs w:val="20"/>
                <w:color w:val="auto"/>
              </w:rPr>
            </w:pPr>
            <w:r>
              <w:rPr>
                <w:rFonts w:ascii="Arial" w:cs="Arial" w:eastAsia="Arial" w:hAnsi="Arial"/>
                <w:sz w:val="18"/>
                <w:szCs w:val="18"/>
                <w:color w:val="auto"/>
                <w:w w:val="87"/>
              </w:rPr>
              <w:t>Days Past</w:t>
            </w:r>
          </w:p>
        </w:tc>
        <w:tc>
          <w:tcPr>
            <w:tcW w:w="100" w:type="dxa"/>
            <w:vAlign w:val="bottom"/>
          </w:tcPr>
          <w:p>
            <w:pPr>
              <w:spacing w:after="0"/>
              <w:rPr>
                <w:sz w:val="18"/>
                <w:szCs w:val="18"/>
                <w:color w:val="auto"/>
              </w:rPr>
            </w:pPr>
          </w:p>
        </w:tc>
        <w:tc>
          <w:tcPr>
            <w:tcW w:w="1120" w:type="dxa"/>
            <w:vAlign w:val="bottom"/>
            <w:gridSpan w:val="2"/>
          </w:tcPr>
          <w:p>
            <w:pPr>
              <w:jc w:val="center"/>
              <w:ind w:right="50"/>
              <w:spacing w:after="0"/>
              <w:rPr>
                <w:sz w:val="20"/>
                <w:szCs w:val="20"/>
                <w:color w:val="auto"/>
              </w:rPr>
            </w:pPr>
            <w:r>
              <w:rPr>
                <w:rFonts w:ascii="Arial" w:cs="Arial" w:eastAsia="Arial" w:hAnsi="Arial"/>
                <w:sz w:val="18"/>
                <w:szCs w:val="18"/>
                <w:color w:val="auto"/>
                <w:w w:val="87"/>
              </w:rPr>
              <w:t>90 Days Past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8"/>
                <w:szCs w:val="18"/>
                <w:color w:val="auto"/>
                <w:w w:val="86"/>
              </w:rPr>
              <w:t>Total Past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3"/>
          </w:tcPr>
          <w:p>
            <w:pPr>
              <w:jc w:val="center"/>
              <w:ind w:left="157"/>
              <w:spacing w:after="0"/>
              <w:rPr>
                <w:sz w:val="20"/>
                <w:szCs w:val="20"/>
                <w:color w:val="auto"/>
              </w:rPr>
            </w:pPr>
            <w:r>
              <w:rPr>
                <w:rFonts w:ascii="Arial" w:cs="Arial" w:eastAsia="Arial" w:hAnsi="Arial"/>
                <w:sz w:val="18"/>
                <w:szCs w:val="18"/>
                <w:color w:val="auto"/>
                <w:w w:val="87"/>
              </w:rPr>
              <w:t>Finance</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00" w:type="dxa"/>
            <w:vAlign w:val="bottom"/>
          </w:tcPr>
          <w:p>
            <w:pPr>
              <w:jc w:val="center"/>
              <w:ind w:left="36"/>
              <w:spacing w:after="0"/>
              <w:rPr>
                <w:sz w:val="20"/>
                <w:szCs w:val="20"/>
                <w:color w:val="auto"/>
              </w:rPr>
            </w:pPr>
            <w:r>
              <w:rPr>
                <w:rFonts w:ascii="Arial" w:cs="Arial" w:eastAsia="Arial" w:hAnsi="Arial"/>
                <w:sz w:val="18"/>
                <w:szCs w:val="18"/>
                <w:color w:val="auto"/>
                <w:w w:val="90"/>
              </w:rPr>
              <w:t>Due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90"/>
              </w:rPr>
              <w:t>Due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center"/>
              <w:ind w:right="230"/>
              <w:spacing w:after="0"/>
              <w:rPr>
                <w:sz w:val="20"/>
                <w:szCs w:val="20"/>
                <w:color w:val="auto"/>
              </w:rPr>
            </w:pPr>
            <w:r>
              <w:rPr>
                <w:rFonts w:ascii="Arial" w:cs="Arial" w:eastAsia="Arial" w:hAnsi="Arial"/>
                <w:sz w:val="18"/>
                <w:szCs w:val="18"/>
                <w:color w:val="auto"/>
                <w:w w:val="90"/>
              </w:rPr>
              <w:t>Due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Due</w:t>
            </w:r>
          </w:p>
        </w:tc>
        <w:tc>
          <w:tcPr>
            <w:tcW w:w="240" w:type="dxa"/>
            <w:vAlign w:val="bottom"/>
          </w:tcPr>
          <w:p>
            <w:pPr>
              <w:spacing w:after="0"/>
              <w:rPr>
                <w:sz w:val="20"/>
                <w:szCs w:val="20"/>
                <w:color w:val="auto"/>
              </w:rPr>
            </w:pPr>
          </w:p>
        </w:tc>
        <w:tc>
          <w:tcPr>
            <w:tcW w:w="1060" w:type="dxa"/>
            <w:vAlign w:val="bottom"/>
            <w:gridSpan w:val="3"/>
          </w:tcPr>
          <w:p>
            <w:pPr>
              <w:jc w:val="right"/>
              <w:ind w:right="410"/>
              <w:spacing w:after="0"/>
              <w:rPr>
                <w:sz w:val="20"/>
                <w:szCs w:val="20"/>
                <w:color w:val="auto"/>
              </w:rPr>
            </w:pPr>
            <w:r>
              <w:rPr>
                <w:rFonts w:ascii="Arial" w:cs="Arial" w:eastAsia="Arial" w:hAnsi="Arial"/>
                <w:sz w:val="18"/>
                <w:szCs w:val="18"/>
                <w:color w:val="auto"/>
                <w:w w:val="89"/>
              </w:rPr>
              <w:t>Current</w:t>
            </w:r>
          </w:p>
        </w:tc>
        <w:tc>
          <w:tcPr>
            <w:tcW w:w="1780" w:type="dxa"/>
            <w:vAlign w:val="bottom"/>
            <w:gridSpan w:val="5"/>
          </w:tcPr>
          <w:p>
            <w:pPr>
              <w:jc w:val="center"/>
              <w:ind w:right="700"/>
              <w:spacing w:after="0"/>
              <w:rPr>
                <w:sz w:val="20"/>
                <w:szCs w:val="20"/>
                <w:color w:val="auto"/>
              </w:rPr>
            </w:pPr>
            <w:r>
              <w:rPr>
                <w:rFonts w:ascii="Arial" w:cs="Arial" w:eastAsia="Arial" w:hAnsi="Arial"/>
                <w:sz w:val="18"/>
                <w:szCs w:val="18"/>
                <w:color w:val="auto"/>
                <w:w w:val="89"/>
              </w:rPr>
              <w:t>Receivables</w:t>
            </w: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580" w:type="dxa"/>
            <w:vAlign w:val="bottom"/>
            <w:vMerge w:val="restart"/>
          </w:tcPr>
          <w:p>
            <w:pPr>
              <w:spacing w:after="0"/>
              <w:rPr>
                <w:sz w:val="18"/>
                <w:szCs w:val="18"/>
                <w:color w:val="auto"/>
              </w:rPr>
            </w:pPr>
          </w:p>
        </w:tc>
        <w:tc>
          <w:tcPr>
            <w:tcW w:w="16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68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8"/>
                <w:szCs w:val="18"/>
                <w:color w:val="auto"/>
              </w:rPr>
              <w:t>Leases</w:t>
            </w:r>
          </w:p>
        </w:tc>
        <w:tc>
          <w:tcPr>
            <w:tcW w:w="900" w:type="dxa"/>
            <w:vAlign w:val="bottom"/>
            <w:shd w:val="clear" w:color="auto" w:fill="F0FFFF"/>
          </w:tcPr>
          <w:p>
            <w:pPr>
              <w:jc w:val="right"/>
              <w:ind w:right="736"/>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814</w:t>
            </w:r>
          </w:p>
        </w:tc>
        <w:tc>
          <w:tcPr>
            <w:tcW w:w="32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F0FFFF"/>
            </w:tcBorders>
            <w:gridSpan w:val="3"/>
            <w:shd w:val="clear" w:color="auto" w:fill="F0FFFF"/>
          </w:tcPr>
          <w:p>
            <w:pPr>
              <w:jc w:val="right"/>
              <w:ind w:right="150"/>
              <w:spacing w:after="0"/>
              <w:rPr>
                <w:sz w:val="20"/>
                <w:szCs w:val="20"/>
                <w:color w:val="auto"/>
              </w:rPr>
            </w:pPr>
            <w:r>
              <w:rPr>
                <w:rFonts w:ascii="Arial" w:cs="Arial" w:eastAsia="Arial" w:hAnsi="Arial"/>
                <w:sz w:val="18"/>
                <w:szCs w:val="18"/>
                <w:color w:val="auto"/>
              </w:rPr>
              <w:t>524,304</w:t>
            </w:r>
          </w:p>
        </w:tc>
        <w:tc>
          <w:tcPr>
            <w:tcW w:w="400" w:type="dxa"/>
            <w:vAlign w:val="bottom"/>
            <w:tcBorders>
              <w:right w:val="single" w:sz="8" w:color="F0FFFF"/>
            </w:tcBorders>
            <w:shd w:val="clear" w:color="auto" w:fill="F0FFFF"/>
          </w:tcPr>
          <w:p>
            <w:pPr>
              <w:jc w:val="right"/>
              <w:ind w:right="237"/>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F0FFFF"/>
          </w:tcPr>
          <w:p>
            <w:pPr>
              <w:ind w:left="120"/>
              <w:spacing w:after="0"/>
              <w:rPr>
                <w:sz w:val="20"/>
                <w:szCs w:val="20"/>
                <w:color w:val="auto"/>
              </w:rPr>
            </w:pPr>
            <w:r>
              <w:rPr>
                <w:rFonts w:ascii="Arial" w:cs="Arial" w:eastAsia="Arial" w:hAnsi="Arial"/>
                <w:sz w:val="18"/>
                <w:szCs w:val="18"/>
                <w:color w:val="auto"/>
              </w:rPr>
              <w:t>525,118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580" w:type="dxa"/>
            <w:vAlign w:val="bottom"/>
            <w:vMerge w:val="restart"/>
          </w:tcPr>
          <w:p>
            <w:pPr>
              <w:spacing w:after="0"/>
              <w:rPr>
                <w:sz w:val="2"/>
                <w:szCs w:val="2"/>
                <w:color w:val="auto"/>
              </w:rPr>
            </w:pPr>
          </w:p>
        </w:tc>
        <w:tc>
          <w:tcPr>
            <w:tcW w:w="1680" w:type="dxa"/>
            <w:vAlign w:val="bottom"/>
            <w:tcBorders>
              <w:right w:val="single" w:sz="8" w:color="F0FFFF"/>
            </w:tcBorders>
            <w:shd w:val="clear" w:color="auto" w:fill="F0FF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tcBorders>
              <w:right w:val="single" w:sz="8" w:color="F0FFFF"/>
            </w:tcBorders>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ind w:right="736"/>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814</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150"/>
              <w:spacing w:after="0"/>
              <w:rPr>
                <w:sz w:val="20"/>
                <w:szCs w:val="20"/>
                <w:color w:val="auto"/>
              </w:rPr>
            </w:pPr>
            <w:r>
              <w:rPr>
                <w:rFonts w:ascii="Arial" w:cs="Arial" w:eastAsia="Arial" w:hAnsi="Arial"/>
                <w:sz w:val="18"/>
                <w:szCs w:val="18"/>
                <w:color w:val="auto"/>
              </w:rPr>
              <w:t>524,304</w:t>
            </w:r>
          </w:p>
        </w:tc>
        <w:tc>
          <w:tcPr>
            <w:tcW w:w="400" w:type="dxa"/>
            <w:vAlign w:val="bottom"/>
          </w:tcPr>
          <w:p>
            <w:pPr>
              <w:jc w:val="right"/>
              <w:ind w:right="237"/>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ind w:left="120"/>
              <w:spacing w:after="0"/>
              <w:rPr>
                <w:sz w:val="20"/>
                <w:szCs w:val="20"/>
                <w:color w:val="auto"/>
              </w:rPr>
            </w:pPr>
            <w:r>
              <w:rPr>
                <w:rFonts w:ascii="Arial" w:cs="Arial" w:eastAsia="Arial" w:hAnsi="Arial"/>
                <w:sz w:val="18"/>
                <w:szCs w:val="18"/>
                <w:color w:val="auto"/>
              </w:rPr>
              <w:t>525,118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PROPERTY AND EQUIPMENT</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840" w:type="dxa"/>
            <w:vAlign w:val="bottom"/>
            <w:gridSpan w:val="3"/>
            <w:vMerge w:val="continue"/>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60" w:type="dxa"/>
            <w:vAlign w:val="bottom"/>
            <w:gridSpan w:val="7"/>
          </w:tcPr>
          <w:p>
            <w:pPr>
              <w:jc w:val="right"/>
              <w:ind w:right="20"/>
              <w:spacing w:after="0"/>
              <w:rPr>
                <w:sz w:val="20"/>
                <w:szCs w:val="20"/>
                <w:color w:val="auto"/>
              </w:rPr>
            </w:pPr>
            <w:r>
              <w:rPr>
                <w:rFonts w:ascii="Arial" w:cs="Arial" w:eastAsia="Arial" w:hAnsi="Arial"/>
                <w:sz w:val="18"/>
                <w:szCs w:val="18"/>
                <w:color w:val="auto"/>
                <w:w w:val="91"/>
              </w:rPr>
              <w:t>Property and equipment, at cost, consist of the following:</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Useful</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June 30,</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5"/>
              </w:rPr>
              <w:t>Lives</w:t>
            </w:r>
          </w:p>
        </w:tc>
        <w:tc>
          <w:tcPr>
            <w:tcW w:w="2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2014</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w w:val="99"/>
              </w:rPr>
              <w:t>2013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80" w:type="dxa"/>
            <w:vAlign w:val="bottom"/>
            <w:gridSpan w:val="4"/>
            <w:shd w:val="clear" w:color="auto" w:fill="F0FFFF"/>
          </w:tcPr>
          <w:p>
            <w:pPr>
              <w:spacing w:after="0"/>
              <w:rPr>
                <w:sz w:val="20"/>
                <w:szCs w:val="20"/>
                <w:color w:val="auto"/>
              </w:rPr>
            </w:pPr>
            <w:r>
              <w:rPr>
                <w:rFonts w:ascii="Arial" w:cs="Arial" w:eastAsia="Arial" w:hAnsi="Arial"/>
                <w:sz w:val="18"/>
                <w:szCs w:val="18"/>
                <w:color w:val="auto"/>
                <w:w w:val="91"/>
              </w:rPr>
              <w:t>Computer equipment and purchased software</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center"/>
              <w:ind w:left="130"/>
              <w:spacing w:after="0"/>
              <w:rPr>
                <w:sz w:val="20"/>
                <w:szCs w:val="20"/>
                <w:color w:val="auto"/>
              </w:rPr>
            </w:pPr>
            <w:r>
              <w:rPr>
                <w:rFonts w:ascii="Arial" w:cs="Arial" w:eastAsia="Arial" w:hAnsi="Arial"/>
                <w:sz w:val="18"/>
                <w:szCs w:val="18"/>
                <w:color w:val="auto"/>
                <w:w w:val="87"/>
              </w:rPr>
              <w:t>3-7 years</w:t>
            </w:r>
          </w:p>
        </w:tc>
        <w:tc>
          <w:tcPr>
            <w:tcW w:w="240" w:type="dxa"/>
            <w:vAlign w:val="bottom"/>
            <w:shd w:val="clear" w:color="auto" w:fill="F0FFFF"/>
          </w:tcPr>
          <w:p>
            <w:pPr>
              <w:spacing w:after="0"/>
              <w:rPr>
                <w:sz w:val="18"/>
                <w:szCs w:val="18"/>
                <w:color w:val="auto"/>
              </w:rPr>
            </w:pPr>
          </w:p>
        </w:tc>
        <w:tc>
          <w:tcPr>
            <w:tcW w:w="4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F0FFFF"/>
            </w:tcBorders>
            <w:gridSpan w:val="2"/>
            <w:shd w:val="clear" w:color="auto" w:fill="F0FFFF"/>
          </w:tcPr>
          <w:p>
            <w:pPr>
              <w:jc w:val="right"/>
              <w:ind w:right="17"/>
              <w:spacing w:after="0"/>
              <w:rPr>
                <w:sz w:val="20"/>
                <w:szCs w:val="20"/>
                <w:color w:val="auto"/>
              </w:rPr>
            </w:pPr>
            <w:r>
              <w:rPr>
                <w:rFonts w:ascii="Arial" w:cs="Arial" w:eastAsia="Arial" w:hAnsi="Arial"/>
                <w:sz w:val="18"/>
                <w:szCs w:val="18"/>
                <w:color w:val="auto"/>
              </w:rPr>
              <w:t>4,581,001</w:t>
            </w:r>
          </w:p>
        </w:tc>
        <w:tc>
          <w:tcPr>
            <w:tcW w:w="440" w:type="dxa"/>
            <w:vAlign w:val="bottom"/>
            <w:gridSpan w:val="2"/>
            <w:shd w:val="clear" w:color="auto" w:fill="F0FFFF"/>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w w:val="99"/>
              </w:rPr>
              <w:t>4,688,104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80" w:type="dxa"/>
            <w:vAlign w:val="bottom"/>
            <w:gridSpan w:val="6"/>
          </w:tcPr>
          <w:p>
            <w:pPr>
              <w:jc w:val="right"/>
              <w:ind w:right="40"/>
              <w:spacing w:after="0"/>
              <w:rPr>
                <w:sz w:val="20"/>
                <w:szCs w:val="20"/>
                <w:color w:val="auto"/>
              </w:rPr>
            </w:pPr>
            <w:r>
              <w:rPr>
                <w:rFonts w:ascii="Arial" w:cs="Arial" w:eastAsia="Arial" w:hAnsi="Arial"/>
                <w:sz w:val="18"/>
                <w:szCs w:val="18"/>
                <w:color w:val="auto"/>
                <w:w w:val="89"/>
              </w:rPr>
              <w:t>Property and equipment used for Rental Program</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5 years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7"/>
              <w:spacing w:after="0"/>
              <w:rPr>
                <w:sz w:val="20"/>
                <w:szCs w:val="20"/>
                <w:color w:val="auto"/>
              </w:rPr>
            </w:pPr>
            <w:r>
              <w:rPr>
                <w:rFonts w:ascii="Arial" w:cs="Arial" w:eastAsia="Arial" w:hAnsi="Arial"/>
                <w:sz w:val="18"/>
                <w:szCs w:val="18"/>
                <w:color w:val="auto"/>
              </w:rPr>
              <w:t>30,348,918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21,574,225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260" w:type="dxa"/>
            <w:vAlign w:val="bottom"/>
            <w:tcBorders>
              <w:right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Furniture and equipment</w:t>
            </w: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center"/>
              <w:ind w:left="130"/>
              <w:spacing w:after="0"/>
              <w:rPr>
                <w:sz w:val="20"/>
                <w:szCs w:val="20"/>
                <w:color w:val="auto"/>
              </w:rPr>
            </w:pPr>
            <w:r>
              <w:rPr>
                <w:rFonts w:ascii="Arial" w:cs="Arial" w:eastAsia="Arial" w:hAnsi="Arial"/>
                <w:sz w:val="18"/>
                <w:szCs w:val="18"/>
                <w:color w:val="auto"/>
                <w:w w:val="87"/>
              </w:rPr>
              <w:t>3-7 years</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17"/>
              <w:spacing w:after="0"/>
              <w:rPr>
                <w:sz w:val="20"/>
                <w:szCs w:val="20"/>
                <w:color w:val="auto"/>
              </w:rPr>
            </w:pPr>
            <w:r>
              <w:rPr>
                <w:rFonts w:ascii="Arial" w:cs="Arial" w:eastAsia="Arial" w:hAnsi="Arial"/>
                <w:sz w:val="18"/>
                <w:szCs w:val="18"/>
                <w:color w:val="auto"/>
              </w:rPr>
              <w:t>681,717</w:t>
            </w: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693,554</w:t>
            </w: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2260" w:type="dxa"/>
            <w:vAlign w:val="bottom"/>
            <w:gridSpan w:val="2"/>
          </w:tcPr>
          <w:p>
            <w:pPr>
              <w:spacing w:after="0" w:line="201" w:lineRule="exact"/>
              <w:rPr>
                <w:sz w:val="20"/>
                <w:szCs w:val="20"/>
                <w:color w:val="auto"/>
              </w:rPr>
            </w:pPr>
            <w:r>
              <w:rPr>
                <w:rFonts w:ascii="Arial" w:cs="Arial" w:eastAsia="Arial" w:hAnsi="Arial"/>
                <w:sz w:val="18"/>
                <w:szCs w:val="18"/>
                <w:color w:val="auto"/>
              </w:rPr>
              <w:t>Leasehold improvements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center"/>
              <w:ind w:left="130"/>
              <w:spacing w:after="0" w:line="201" w:lineRule="exact"/>
              <w:rPr>
                <w:sz w:val="20"/>
                <w:szCs w:val="20"/>
                <w:color w:val="auto"/>
              </w:rPr>
            </w:pPr>
            <w:r>
              <w:rPr>
                <w:rFonts w:ascii="Arial" w:cs="Arial" w:eastAsia="Arial" w:hAnsi="Arial"/>
                <w:sz w:val="18"/>
                <w:szCs w:val="18"/>
                <w:color w:val="auto"/>
                <w:w w:val="89"/>
              </w:rPr>
              <w:t>Lesser of</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jc w:val="center"/>
              <w:spacing w:after="0"/>
              <w:rPr>
                <w:sz w:val="20"/>
                <w:szCs w:val="20"/>
                <w:color w:val="auto"/>
              </w:rPr>
            </w:pPr>
            <w:r>
              <w:rPr>
                <w:rFonts w:ascii="Arial" w:cs="Arial" w:eastAsia="Arial" w:hAnsi="Arial"/>
                <w:sz w:val="18"/>
                <w:szCs w:val="18"/>
                <w:color w:val="auto"/>
                <w:w w:val="91"/>
              </w:rPr>
              <w:t>life or lease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term</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8"/>
                <w:szCs w:val="18"/>
                <w:color w:val="auto"/>
              </w:rPr>
              <w:t>575,343</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539,629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680" w:type="dxa"/>
            <w:vAlign w:val="bottom"/>
            <w:tcBorders>
              <w:right w:val="single" w:sz="8" w:color="F0FFFF"/>
            </w:tcBorders>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17"/>
              <w:spacing w:after="0"/>
              <w:rPr>
                <w:sz w:val="20"/>
                <w:szCs w:val="20"/>
                <w:color w:val="auto"/>
              </w:rPr>
            </w:pPr>
            <w:r>
              <w:rPr>
                <w:rFonts w:ascii="Arial" w:cs="Arial" w:eastAsia="Arial" w:hAnsi="Arial"/>
                <w:sz w:val="18"/>
                <w:szCs w:val="18"/>
                <w:color w:val="auto"/>
              </w:rPr>
              <w:t>36,186,979</w:t>
            </w: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w w:val="88"/>
              </w:rPr>
              <w:t>27,495,512</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w w:val="89"/>
              </w:rPr>
              <w:t>Less accumulated depreciation</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(15,048,399)</w:t>
            </w:r>
          </w:p>
        </w:tc>
        <w:tc>
          <w:tcPr>
            <w:tcW w:w="120" w:type="dxa"/>
            <w:vAlign w:val="bottom"/>
          </w:tcPr>
          <w:p>
            <w:pPr>
              <w:spacing w:after="0"/>
              <w:rPr>
                <w:sz w:val="19"/>
                <w:szCs w:val="19"/>
                <w:color w:val="auto"/>
              </w:rPr>
            </w:pPr>
          </w:p>
        </w:tc>
        <w:tc>
          <w:tcPr>
            <w:tcW w:w="12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(10,255,447)</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80" w:type="dxa"/>
            <w:vAlign w:val="bottom"/>
            <w:shd w:val="clear" w:color="auto" w:fill="F0FFFF"/>
          </w:tcPr>
          <w:p>
            <w:pPr>
              <w:spacing w:after="0"/>
              <w:rPr>
                <w:sz w:val="20"/>
                <w:szCs w:val="20"/>
                <w:color w:val="auto"/>
              </w:rPr>
            </w:pPr>
          </w:p>
        </w:tc>
        <w:tc>
          <w:tcPr>
            <w:tcW w:w="1680" w:type="dxa"/>
            <w:vAlign w:val="bottom"/>
            <w:tcBorders>
              <w:right w:val="single" w:sz="8" w:color="F0FFFF"/>
            </w:tcBorders>
            <w:shd w:val="clear" w:color="auto" w:fill="F0FFFF"/>
          </w:tcPr>
          <w:p>
            <w:pPr>
              <w:spacing w:after="0"/>
              <w:rPr>
                <w:sz w:val="20"/>
                <w:szCs w:val="20"/>
                <w:color w:val="auto"/>
              </w:rPr>
            </w:pPr>
          </w:p>
        </w:tc>
        <w:tc>
          <w:tcPr>
            <w:tcW w:w="90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9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8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4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F0FFFF"/>
            </w:tcBorders>
            <w:gridSpan w:val="2"/>
            <w:shd w:val="clear" w:color="auto" w:fill="F0FFFF"/>
          </w:tcPr>
          <w:p>
            <w:pPr>
              <w:jc w:val="right"/>
              <w:ind w:right="17"/>
              <w:spacing w:after="0"/>
              <w:rPr>
                <w:sz w:val="20"/>
                <w:szCs w:val="20"/>
                <w:color w:val="auto"/>
              </w:rPr>
            </w:pPr>
            <w:r>
              <w:rPr>
                <w:rFonts w:ascii="Arial" w:cs="Arial" w:eastAsia="Arial" w:hAnsi="Arial"/>
                <w:sz w:val="18"/>
                <w:szCs w:val="18"/>
                <w:color w:val="auto"/>
              </w:rPr>
              <w:t>21,138,580</w:t>
            </w:r>
          </w:p>
        </w:tc>
        <w:tc>
          <w:tcPr>
            <w:tcW w:w="440" w:type="dxa"/>
            <w:vAlign w:val="bottom"/>
            <w:gridSpan w:val="2"/>
            <w:shd w:val="clear" w:color="auto" w:fill="F0FFFF"/>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w w:val="88"/>
              </w:rPr>
              <w:t>17,240,065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Borders>
              <w:top w:val="single" w:sz="8" w:color="F0FFFF"/>
            </w:tcBorders>
            <w:shd w:val="clear" w:color="auto" w:fill="F0FFFF"/>
          </w:tcPr>
          <w:p>
            <w:pPr>
              <w:spacing w:after="0" w:line="20" w:lineRule="exact"/>
              <w:rPr>
                <w:sz w:val="1"/>
                <w:szCs w:val="1"/>
                <w:color w:val="auto"/>
              </w:rPr>
            </w:pPr>
          </w:p>
        </w:tc>
        <w:tc>
          <w:tcPr>
            <w:tcW w:w="168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9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0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9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8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Assets under capital lease totaled approximately $2,031,000 and $1,965,000 as of June 30, 2014 and 2013, respectively. Capital lease amortization of approximately $305,000, $265,000, and $189,000, is included in depreciation expense for the years ended June 30, 2014, 2013, and 2012, respectively.</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ePort equipment utilized by the JumpStart Program is identified as Property and equipment used for Rental Program in the above table. Accumulated depreciation attributable to the Property and equipment used for Rental Program is approximately $10,525,000 and $5,889,000 as of June 30, 2014 and 2013, respectively and is included in accumulated depreciation for the respective years in the above table.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Amortization expense relating to all acquired intangible assets was approximately $22,000, $742,000, and $998,000 during each of the years ended June 30, 2014, 2013, and 2012, respectively. The intangible asset balance and related accumulated amortization consisted of the following:</w:t>
      </w:r>
    </w:p>
    <w:p>
      <w:pPr>
        <w:spacing w:after="0" w:line="147"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5"/>
              </w:rPr>
              <w:t>June 30, 2014</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ind w:right="170"/>
              <w:spacing w:after="0" w:line="201" w:lineRule="exact"/>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w w:val="96"/>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93"/>
              </w:rPr>
              <w:t>Net Carrying</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Amortization</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F0FFFF"/>
          </w:tcPr>
          <w:p>
            <w:pPr>
              <w:spacing w:after="0"/>
              <w:rPr>
                <w:sz w:val="20"/>
                <w:szCs w:val="20"/>
                <w:color w:val="auto"/>
              </w:rPr>
            </w:pPr>
            <w:r>
              <w:rPr>
                <w:rFonts w:ascii="Arial" w:cs="Arial" w:eastAsia="Arial" w:hAnsi="Arial"/>
                <w:sz w:val="18"/>
                <w:szCs w:val="18"/>
                <w:color w:val="auto"/>
              </w:rPr>
              <w:t>Intangible assets:</w:t>
            </w:r>
          </w:p>
        </w:tc>
        <w:tc>
          <w:tcPr>
            <w:tcW w:w="18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F0FFFF"/>
          </w:tcPr>
          <w:p>
            <w:pPr>
              <w:spacing w:after="0"/>
              <w:rPr>
                <w:sz w:val="20"/>
                <w:szCs w:val="20"/>
                <w:color w:val="auto"/>
              </w:rPr>
            </w:pPr>
            <w:r>
              <w:rPr>
                <w:rFonts w:ascii="Arial" w:cs="Arial" w:eastAsia="Arial" w:hAnsi="Arial"/>
                <w:sz w:val="18"/>
                <w:szCs w:val="18"/>
                <w:color w:val="auto"/>
              </w:rPr>
              <w:t>Trademarks</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1,482,100</w:t>
            </w:r>
          </w:p>
        </w:tc>
        <w:tc>
          <w:tcPr>
            <w:tcW w:w="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(1,050,000)</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432,100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Patents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9,294,000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(9,294,000)</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40" w:type="dxa"/>
            <w:vAlign w:val="bottom"/>
            <w:shd w:val="clear" w:color="auto" w:fill="F0FF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10,776,100</w:t>
            </w:r>
          </w:p>
        </w:tc>
        <w:tc>
          <w:tcPr>
            <w:tcW w:w="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(10,344,000)</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432,100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840" w:type="dxa"/>
            <w:vAlign w:val="bottom"/>
            <w:tcBorders>
              <w:top w:val="single" w:sz="8" w:color="F0FF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F0FF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85"/>
              </w:rPr>
              <w:t>June 30, 2013</w:t>
            </w:r>
          </w:p>
        </w:tc>
        <w:tc>
          <w:tcPr>
            <w:tcW w:w="80" w:type="dxa"/>
            <w:vAlign w:val="bottom"/>
            <w:tcBorders>
              <w:top w:val="single" w:sz="8" w:color="F0FF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ind w:right="170"/>
              <w:spacing w:after="0" w:line="201" w:lineRule="exact"/>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w w:val="96"/>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93"/>
              </w:rPr>
              <w:t>Net Carrying</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Amortization</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F0FFFF"/>
          </w:tcPr>
          <w:p>
            <w:pPr>
              <w:spacing w:after="0"/>
              <w:rPr>
                <w:sz w:val="20"/>
                <w:szCs w:val="20"/>
                <w:color w:val="auto"/>
              </w:rPr>
            </w:pPr>
            <w:r>
              <w:rPr>
                <w:rFonts w:ascii="Arial" w:cs="Arial" w:eastAsia="Arial" w:hAnsi="Arial"/>
                <w:sz w:val="18"/>
                <w:szCs w:val="18"/>
                <w:color w:val="auto"/>
              </w:rPr>
              <w:t>Intangible assets:</w:t>
            </w:r>
          </w:p>
        </w:tc>
        <w:tc>
          <w:tcPr>
            <w:tcW w:w="18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shd w:val="clear" w:color="auto" w:fill="F0FFFF"/>
          </w:tcPr>
          <w:p>
            <w:pPr>
              <w:spacing w:after="0"/>
              <w:rPr>
                <w:sz w:val="10"/>
                <w:szCs w:val="10"/>
                <w:color w:val="auto"/>
              </w:rPr>
            </w:pPr>
          </w:p>
        </w:tc>
        <w:tc>
          <w:tcPr>
            <w:tcW w:w="180" w:type="dxa"/>
            <w:vAlign w:val="bottom"/>
            <w:shd w:val="clear" w:color="auto" w:fill="F0FFFF"/>
          </w:tcPr>
          <w:p>
            <w:pPr>
              <w:spacing w:after="0"/>
              <w:rPr>
                <w:sz w:val="10"/>
                <w:szCs w:val="10"/>
                <w:color w:val="auto"/>
              </w:rPr>
            </w:pPr>
          </w:p>
        </w:tc>
        <w:tc>
          <w:tcPr>
            <w:tcW w:w="112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28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160" w:type="dxa"/>
            <w:vAlign w:val="bottom"/>
            <w:shd w:val="clear" w:color="auto" w:fill="F0FF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18" w:right="239" w:bottom="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340" w:type="dxa"/>
            <w:vAlign w:val="bottom"/>
            <w:shd w:val="clear" w:color="auto" w:fill="F0FFFF"/>
          </w:tcPr>
          <w:p>
            <w:pPr>
              <w:spacing w:after="0"/>
              <w:rPr>
                <w:sz w:val="20"/>
                <w:szCs w:val="20"/>
                <w:color w:val="auto"/>
              </w:rPr>
            </w:pPr>
            <w:r>
              <w:rPr>
                <w:rFonts w:ascii="Arial" w:cs="Arial" w:eastAsia="Arial" w:hAnsi="Arial"/>
                <w:sz w:val="18"/>
                <w:szCs w:val="18"/>
                <w:color w:val="auto"/>
              </w:rPr>
              <w:t>Trademarks</w:t>
            </w:r>
          </w:p>
        </w:tc>
        <w:tc>
          <w:tcPr>
            <w:tcW w:w="18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1,482,100</w:t>
            </w:r>
          </w:p>
        </w:tc>
        <w:tc>
          <w:tcPr>
            <w:tcW w:w="3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(1,050,000)</w:t>
            </w:r>
          </w:p>
        </w:tc>
        <w:tc>
          <w:tcPr>
            <w:tcW w:w="4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432,100</w:t>
            </w:r>
          </w:p>
        </w:tc>
        <w:tc>
          <w:tcPr>
            <w:tcW w:w="1720" w:type="dxa"/>
            <w:vAlign w:val="bottom"/>
          </w:tcPr>
          <w:p>
            <w:pPr>
              <w:spacing w:after="0"/>
              <w:rPr>
                <w:sz w:val="18"/>
                <w:szCs w:val="18"/>
                <w:color w:val="auto"/>
              </w:rPr>
            </w:pPr>
          </w:p>
        </w:tc>
      </w:tr>
      <w:tr>
        <w:trPr>
          <w:trHeight w:val="223"/>
        </w:trPr>
        <w:tc>
          <w:tcPr>
            <w:tcW w:w="172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Patents</w:t>
            </w:r>
          </w:p>
        </w:tc>
        <w:tc>
          <w:tcPr>
            <w:tcW w:w="15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9,294,000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(9,272,047)</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21,953</w:t>
            </w:r>
          </w:p>
        </w:tc>
        <w:tc>
          <w:tcPr>
            <w:tcW w:w="1720" w:type="dxa"/>
            <w:vAlign w:val="bottom"/>
          </w:tcPr>
          <w:p>
            <w:pPr>
              <w:spacing w:after="0"/>
              <w:rPr>
                <w:sz w:val="19"/>
                <w:szCs w:val="19"/>
                <w:color w:val="auto"/>
              </w:rPr>
            </w:pPr>
          </w:p>
        </w:tc>
      </w:tr>
      <w:tr>
        <w:trPr>
          <w:trHeight w:val="237"/>
        </w:trPr>
        <w:tc>
          <w:tcPr>
            <w:tcW w:w="1720" w:type="dxa"/>
            <w:vAlign w:val="bottom"/>
          </w:tcPr>
          <w:p>
            <w:pPr>
              <w:spacing w:after="0"/>
              <w:rPr>
                <w:sz w:val="20"/>
                <w:szCs w:val="20"/>
                <w:color w:val="auto"/>
              </w:rPr>
            </w:pPr>
          </w:p>
        </w:tc>
        <w:tc>
          <w:tcPr>
            <w:tcW w:w="2340" w:type="dxa"/>
            <w:vAlign w:val="bottom"/>
            <w:shd w:val="clear" w:color="auto" w:fill="F0FFFF"/>
          </w:tcPr>
          <w:p>
            <w:pPr>
              <w:spacing w:after="0"/>
              <w:rPr>
                <w:sz w:val="20"/>
                <w:szCs w:val="20"/>
                <w:color w:val="auto"/>
              </w:rPr>
            </w:pPr>
            <w:r>
              <w:rPr>
                <w:rFonts w:ascii="Arial" w:cs="Arial" w:eastAsia="Arial" w:hAnsi="Arial"/>
                <w:sz w:val="18"/>
                <w:szCs w:val="18"/>
                <w:color w:val="auto"/>
              </w:rPr>
              <w:t>Total</w:t>
            </w:r>
          </w:p>
        </w:tc>
        <w:tc>
          <w:tcPr>
            <w:tcW w:w="18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93"/>
              </w:rPr>
              <w:t>10,776,100</w:t>
            </w:r>
          </w:p>
        </w:tc>
        <w:tc>
          <w:tcPr>
            <w:tcW w:w="3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(10,322,047)</w:t>
            </w:r>
          </w:p>
        </w:tc>
        <w:tc>
          <w:tcPr>
            <w:tcW w:w="4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454,053</w:t>
            </w:r>
          </w:p>
        </w:tc>
        <w:tc>
          <w:tcPr>
            <w:tcW w:w="1720" w:type="dxa"/>
            <w:vAlign w:val="bottom"/>
          </w:tcPr>
          <w:p>
            <w:pPr>
              <w:spacing w:after="0"/>
              <w:rPr>
                <w:sz w:val="20"/>
                <w:szCs w:val="20"/>
                <w:color w:val="auto"/>
              </w:rPr>
            </w:pPr>
          </w:p>
        </w:tc>
      </w:tr>
      <w:tr>
        <w:trPr>
          <w:trHeight w:val="20"/>
        </w:trPr>
        <w:tc>
          <w:tcPr>
            <w:tcW w:w="1720" w:type="dxa"/>
            <w:vAlign w:val="bottom"/>
          </w:tcPr>
          <w:p>
            <w:pPr>
              <w:spacing w:after="0" w:line="20" w:lineRule="exact"/>
              <w:rPr>
                <w:sz w:val="1"/>
                <w:szCs w:val="1"/>
                <w:color w:val="auto"/>
              </w:rPr>
            </w:pPr>
          </w:p>
        </w:tc>
        <w:tc>
          <w:tcPr>
            <w:tcW w:w="2340" w:type="dxa"/>
            <w:vAlign w:val="bottom"/>
            <w:tcBorders>
              <w:top w:val="single" w:sz="8" w:color="F0FFFF"/>
            </w:tcBorders>
            <w:shd w:val="clear" w:color="auto" w:fill="F0FFFF"/>
          </w:tcPr>
          <w:p>
            <w:pPr>
              <w:spacing w:after="0" w:line="20" w:lineRule="exact"/>
              <w:rPr>
                <w:sz w:val="1"/>
                <w:szCs w:val="1"/>
                <w:color w:val="auto"/>
              </w:rPr>
            </w:pPr>
          </w:p>
        </w:tc>
        <w:tc>
          <w:tcPr>
            <w:tcW w:w="1520" w:type="dxa"/>
            <w:vAlign w:val="bottom"/>
            <w:tcBorders>
              <w:top w:val="single" w:sz="8" w:color="F0FFFF"/>
            </w:tcBorders>
            <w:shd w:val="clear" w:color="auto" w:fill="F0FF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669"/>
        </w:trPr>
        <w:tc>
          <w:tcPr>
            <w:tcW w:w="1720" w:type="dxa"/>
            <w:vAlign w:val="bottom"/>
            <w:tcBorders>
              <w:bottom w:val="single" w:sz="8" w:color="DCDCDC"/>
            </w:tcBorders>
          </w:tcPr>
          <w:p>
            <w:pPr>
              <w:spacing w:after="0"/>
              <w:rPr>
                <w:sz w:val="24"/>
                <w:szCs w:val="24"/>
                <w:color w:val="auto"/>
              </w:rPr>
            </w:pPr>
          </w:p>
        </w:tc>
        <w:tc>
          <w:tcPr>
            <w:tcW w:w="2340" w:type="dxa"/>
            <w:vAlign w:val="bottom"/>
            <w:tcBorders>
              <w:bottom w:val="single" w:sz="8" w:color="DCDCDC"/>
            </w:tcBorders>
          </w:tcPr>
          <w:p>
            <w:pPr>
              <w:spacing w:after="0"/>
              <w:rPr>
                <w:sz w:val="24"/>
                <w:szCs w:val="24"/>
                <w:color w:val="auto"/>
              </w:rPr>
            </w:pPr>
          </w:p>
        </w:tc>
        <w:tc>
          <w:tcPr>
            <w:tcW w:w="1860" w:type="dxa"/>
            <w:vAlign w:val="bottom"/>
            <w:tcBorders>
              <w:bottom w:val="single" w:sz="8" w:color="DCDCDC"/>
            </w:tcBorders>
            <w:gridSpan w:val="2"/>
          </w:tcPr>
          <w:p>
            <w:pPr>
              <w:jc w:val="right"/>
              <w:ind w:right="40"/>
              <w:spacing w:after="0"/>
              <w:rPr>
                <w:sz w:val="20"/>
                <w:szCs w:val="20"/>
                <w:color w:val="auto"/>
              </w:rPr>
            </w:pPr>
            <w:r>
              <w:rPr>
                <w:rFonts w:ascii="Arial" w:cs="Arial" w:eastAsia="Arial" w:hAnsi="Arial"/>
                <w:sz w:val="18"/>
                <w:szCs w:val="18"/>
                <w:color w:val="auto"/>
              </w:rPr>
              <w:t>F-11</w:t>
            </w:r>
          </w:p>
        </w:tc>
        <w:tc>
          <w:tcPr>
            <w:tcW w:w="9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7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Company’s test for impairment of its indefinite-lived trademarks includes the following trademarks: 1) VendingMiser, 2) CoolerMiser, 3) PlugMiser and</w:t>
      </w:r>
    </w:p>
    <w:p>
      <w:pPr>
        <w:spacing w:after="0" w:line="46" w:lineRule="exact"/>
        <w:rPr>
          <w:sz w:val="20"/>
          <w:szCs w:val="20"/>
          <w:color w:val="auto"/>
        </w:rPr>
      </w:pPr>
    </w:p>
    <w:p>
      <w:pPr>
        <w:jc w:val="both"/>
        <w:ind w:right="20" w:firstLine="8"/>
        <w:spacing w:after="0" w:line="255" w:lineRule="auto"/>
        <w:tabs>
          <w:tab w:leader="none" w:pos="2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SnackMiser. As a result of its testing in fiscal years ended June 30, 2014, 2013 and 2012, the Company determined that no impairment had occurred. At June 30, 2014, the definitive-lived intangible assets have been fully amortized. At June 30, 2014 and 2013, $432,100 of trademarks has an indefinite life and is included in the intangible assets tables above.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6. ACCRUED EXPENSES</w:t>
            </w: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34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w w:val="95"/>
              </w:rPr>
              <w:t>June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w w:val="98"/>
              </w:rPr>
              <w:t>June 30,</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180" w:type="dxa"/>
            <w:vAlign w:val="bottom"/>
            <w:shd w:val="clear" w:color="auto" w:fill="F0FFFF"/>
          </w:tcPr>
          <w:p>
            <w:pPr>
              <w:spacing w:after="0"/>
              <w:rPr>
                <w:sz w:val="20"/>
                <w:szCs w:val="20"/>
                <w:color w:val="auto"/>
              </w:rPr>
            </w:pPr>
            <w:r>
              <w:rPr>
                <w:rFonts w:ascii="Arial" w:cs="Arial" w:eastAsia="Arial" w:hAnsi="Arial"/>
                <w:sz w:val="18"/>
                <w:szCs w:val="18"/>
                <w:color w:val="auto"/>
              </w:rPr>
              <w:t>Accrued compensation and related sales commissions</w:t>
            </w:r>
          </w:p>
        </w:tc>
        <w:tc>
          <w:tcPr>
            <w:tcW w:w="15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545,110</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583,710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214,615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165,444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80" w:type="dxa"/>
            <w:vAlign w:val="bottom"/>
            <w:shd w:val="clear" w:color="auto" w:fill="F0FFFF"/>
          </w:tcPr>
          <w:p>
            <w:pPr>
              <w:spacing w:after="0"/>
              <w:rPr>
                <w:sz w:val="20"/>
                <w:szCs w:val="20"/>
                <w:color w:val="auto"/>
              </w:rPr>
            </w:pPr>
            <w:r>
              <w:rPr>
                <w:rFonts w:ascii="Arial" w:cs="Arial" w:eastAsia="Arial" w:hAnsi="Arial"/>
                <w:sz w:val="18"/>
                <w:szCs w:val="18"/>
                <w:color w:val="auto"/>
              </w:rPr>
              <w:t>Accrued taxes and filing fees</w:t>
            </w:r>
          </w:p>
        </w:tc>
        <w:tc>
          <w:tcPr>
            <w:tcW w:w="13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640,958</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253,527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Advanced customer billings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370,040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346,868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80" w:type="dxa"/>
            <w:vAlign w:val="bottom"/>
            <w:shd w:val="clear" w:color="auto" w:fill="F0FFFF"/>
          </w:tcPr>
          <w:p>
            <w:pPr>
              <w:spacing w:after="0"/>
              <w:rPr>
                <w:sz w:val="20"/>
                <w:szCs w:val="20"/>
                <w:color w:val="auto"/>
              </w:rPr>
            </w:pPr>
            <w:r>
              <w:rPr>
                <w:rFonts w:ascii="Arial" w:cs="Arial" w:eastAsia="Arial" w:hAnsi="Arial"/>
                <w:sz w:val="18"/>
                <w:szCs w:val="18"/>
                <w:color w:val="auto"/>
              </w:rPr>
              <w:t>Accrued rent</w:t>
            </w:r>
          </w:p>
        </w:tc>
        <w:tc>
          <w:tcPr>
            <w:tcW w:w="13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155,712</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226,582</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Accrued other</w:t>
            </w:r>
          </w:p>
        </w:tc>
        <w:tc>
          <w:tcPr>
            <w:tcW w:w="1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175,538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258,838</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5180" w:type="dxa"/>
            <w:vAlign w:val="bottom"/>
            <w:shd w:val="clear" w:color="auto" w:fill="F0FFFF"/>
          </w:tcPr>
          <w:p>
            <w:pPr>
              <w:spacing w:after="0"/>
              <w:rPr>
                <w:sz w:val="20"/>
                <w:szCs w:val="20"/>
                <w:color w:val="auto"/>
              </w:rPr>
            </w:pPr>
          </w:p>
        </w:tc>
        <w:tc>
          <w:tcPr>
            <w:tcW w:w="15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2,101,973</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1,834,969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80" w:type="dxa"/>
            <w:vAlign w:val="bottom"/>
            <w:tcBorders>
              <w:top w:val="single" w:sz="8" w:color="F0FFFF"/>
            </w:tcBorders>
            <w:shd w:val="clear" w:color="auto" w:fill="F0FFFF"/>
          </w:tcPr>
          <w:p>
            <w:pPr>
              <w:spacing w:after="0" w:line="20" w:lineRule="exact"/>
              <w:rPr>
                <w:sz w:val="1"/>
                <w:szCs w:val="1"/>
                <w:color w:val="auto"/>
              </w:rPr>
            </w:pPr>
          </w:p>
        </w:tc>
        <w:tc>
          <w:tcPr>
            <w:tcW w:w="134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LINE OF CREDIT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10, 2012, the Company entered into a Loan and Security Agreement and other ancillary documents (the “Loan Documents”) with Avidbank Corporate Finance, a division of Avidbank (the “Bank”), providing for a secured asset-based revolving line of credit in an amount of up to $3 million (the “Line of Credit”). The Company intends to use advances under the Line of Credit towards the financing of growth initiatives like its JumpStart Program and other working capital needs.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Loan Documents provide that the aggregate amount of advances under the Line of Credit shall not exceed the lesser of (i) $3.0 million, or (ii) 75% of eligible accounts receivable as defined in the Loan Documents plus 80% of the prior two months transaction processing revenues and networking service fees as defined in the Loan Documents, provided that the amounts advanced on account of such processing revenues and service fees shall not exceed $2,000,000 without the Bank’s prior consent, after the First Amendment entered into on January 2, 2013.</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condition of the Bank entering into the First Amendment, the Company issued to the Bank warrants to purchase up to 45,000 shares of common stock of the Company. The warrants are exercisable at any time prior to December 31, 2017 at an exercise price of $2.10 per share. Upon the issuance of the 45,000 shares of common stock, the fair value of the warrants is $55,962 using a Black Scholes model, which was recorded as prepaid interest and included in other assets on the Consolidated Balance Sheet, and is being amortized as non-cash interest expense over the remaining term of the Line of Credit as amended in January 2013. Non-cash interest of $53,867 has been recognized for the year ended June 30, 2013.</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outstanding balance of the amounts advanced under the Line of Credit will bear interest at 2% above the prime rate as published in </w:t>
      </w:r>
      <w:r>
        <w:rPr>
          <w:rFonts w:ascii="Arial" w:cs="Arial" w:eastAsia="Arial" w:hAnsi="Arial"/>
          <w:sz w:val="18"/>
          <w:szCs w:val="18"/>
          <w:u w:val="single" w:color="auto"/>
          <w:color w:val="auto"/>
        </w:rPr>
        <w:t>The Wall Street</w:t>
      </w:r>
      <w:r>
        <w:rPr>
          <w:rFonts w:ascii="Arial" w:cs="Arial" w:eastAsia="Arial" w:hAnsi="Arial"/>
          <w:sz w:val="18"/>
          <w:szCs w:val="18"/>
          <w:color w:val="auto"/>
        </w:rPr>
        <w:t xml:space="preserve"> </w:t>
      </w:r>
      <w:r>
        <w:rPr>
          <w:rFonts w:ascii="Arial" w:cs="Arial" w:eastAsia="Arial" w:hAnsi="Arial"/>
          <w:sz w:val="18"/>
          <w:szCs w:val="18"/>
          <w:u w:val="single" w:color="auto"/>
          <w:color w:val="auto"/>
        </w:rPr>
        <w:t>Journal</w:t>
      </w:r>
      <w:r>
        <w:rPr>
          <w:rFonts w:ascii="Arial" w:cs="Arial" w:eastAsia="Arial" w:hAnsi="Arial"/>
          <w:sz w:val="18"/>
          <w:szCs w:val="18"/>
          <w:color w:val="auto"/>
        </w:rPr>
        <w:t xml:space="preserve"> or 5% whichever is higher. Interest is payable by the Company to the Bank on a monthly basis, provided, that the minimum interest payable by the Company to the Bank with respect to each six month period shall be $20,000.</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Line of Credit and the Company’s obligations under the Loan Documents are secured by substantially all of the Company’s assets, including its intellectual property. The term of the Line of Credit is one year. At the time of maturity all outstanding advances under the Line of Credit as well as any unpaid interest is due and payable. Prior to maturity of the Line of Credit, the Company may prepay amounts due under the Line of Credit without penalty, and subject to the terms of the Loan Documents, may re-borrow any such amounts.</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April 2, 2013, the Company and the Bank, entered into a Second Amendment (the “Second Amendment”) to the Loan and Security Agreement. The Second Amendment provided a change to the definition of Adjusted EBITDA for covenant calculations for the fiscal quarters ended through March 31, 2014.</w:t>
      </w:r>
    </w:p>
    <w:p>
      <w:pPr>
        <w:spacing w:after="0" w:line="15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15, 2013, the Company and the Bank, entered into a Third Amendment (the “Third Amendment”) to the Loan and Security Agreement. The Third Amendment provides that, among other things, the aggregate amount available under the Line of Credit will be increased from $3.0 million to $5.0 million, and the maturity date of the Line of Credit will be extended for another twelve months, or until June 21, 2014.The Third Amendment provides that the aggregate amount of advances now available to the Company under the Line of Credit cannot exceed the lesser of (i) $5.0 million, or (ii) 80% of the prior three months transaction processing revenues and networking service fees as defined in the Loan Agreement.</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29, 2013, the Company and the Bank entered into a Fourth Amendment (“Fourth Amendment”) to the Loan and Security Agreement to change the RML from the monthly “net cash provided by (used in) operating activities” including Jumpstart investments to the average monthly amount (based on the prior three months) of the Company’s “net cash provided by (used in) operating activities” including JumpStart investments, as set forth in the Company’s monthly cash flow statements prepared in accordance with GAAP.</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September 26, 2013, the Company and the Bank entered into a Fifth Amendment (“Fifth Amendment”) to the Loan and Security Agreement to change the definition of Adjusted EBITDA for covenant calculations for the four fiscal quarters ending through June 30, 2014.</w:t>
      </w:r>
    </w:p>
    <w:p>
      <w:pPr>
        <w:sectPr>
          <w:pgSz w:w="11900" w:h="16838" w:orient="portrait"/>
          <w:cols w:equalWidth="0" w:num="1">
            <w:col w:w="11420"/>
          </w:cols>
          <w:pgMar w:left="240" w:top="918" w:right="239" w:bottom="126" w:gutter="0" w:footer="0" w:header="0"/>
        </w:sectPr>
      </w:pPr>
    </w:p>
    <w:bookmarkStart w:id="66" w:name="page67"/>
    <w:bookmarkEnd w:id="66"/>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LINE OF CREDIT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15, 2014, the Company and the Bank entered into a Sixth Amendment (“Sixth Amendment”) to the Loan and Security Agreement in which the Bank consents to the sale and disposition of the rental equipment in connection with the Sale Leaseback transactions entered into by the Company in June 2014 (see Note 16 and Note 17).</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June 17, 2014, the Company and the Bank entered into a Seventh Amendment (“Seventh Amendment”) to the Loan and Security Agreement. The Seventh Amendment increased the aggregate amount of advances available under the line of credit to $7,000,000 and extended the maturity date to June 21, 2015. In addition, it provided a change to the definition of Adjusted EBITDA for exclusion of lease expense pursuant to the Sale Leaseback transactions (Note 16).</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2014, the Company and the Bank entered into an Eighth Amendment (“Eighth Amendment”) to the Loan and Security Agreement to change the minimum Adjusted EBITDA covenant for the quarter ended June 30, 2014.</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Loan Documents contain customary affirmative and negative covenants, including achieving a minimum Adjusted EBITDA and Minimum Liquidity, as defined in the Loan Documents and amendments. The Loan Documents also contain customary events of default, including, among other things, payment defaults, breaches of covenants, and bankruptcy and insolvency events, subject to grace periods in certain instances. Upon an event of default, the Bank may declare all of the outstanding obligations of the Company under the Line of Credit and Loan Documents to be immediately due and payable, and exercise any other rights provided for under the Loan Documents. During the year ended June 30, 2014, the Company obtained waivers from the Bank for failure to satisfy two Minimum Liquidity covenants and one Adjusted EBITDA covenant. During the year ended June 30, 2013 the Company obtained waivers from the Bank for failure to satisfy two covenants – Minimum Liquidity and Adjusted EBITDA.</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balance due on the Line of Credit was $5,000,000 and $3,000,000 at June 30, 2014 and 2013, respectively. At June 30, 2014, $2,000,000 was available under the Line of Credit.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8. LONG-TERM DEBT</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22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8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color w:val="auto"/>
                <w:w w:val="98"/>
              </w:rPr>
              <w:t>June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2880" w:type="dxa"/>
            <w:vAlign w:val="bottom"/>
            <w:vMerge w:val="restart"/>
          </w:tcPr>
          <w:p>
            <w:pPr>
              <w:spacing w:after="0"/>
              <w:rPr>
                <w:sz w:val="18"/>
                <w:szCs w:val="18"/>
                <w:color w:val="auto"/>
              </w:rPr>
            </w:pPr>
          </w:p>
        </w:tc>
        <w:tc>
          <w:tcPr>
            <w:tcW w:w="2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vMerge w:val="continue"/>
          </w:tcPr>
          <w:p>
            <w:pPr>
              <w:spacing w:after="0"/>
              <w:rPr>
                <w:sz w:val="18"/>
                <w:szCs w:val="18"/>
                <w:color w:val="auto"/>
              </w:rPr>
            </w:pPr>
          </w:p>
        </w:tc>
        <w:tc>
          <w:tcPr>
            <w:tcW w:w="2340" w:type="dxa"/>
            <w:vAlign w:val="bottom"/>
            <w:shd w:val="clear" w:color="auto" w:fill="F0FFFF"/>
          </w:tcPr>
          <w:p>
            <w:pPr>
              <w:spacing w:after="0"/>
              <w:rPr>
                <w:sz w:val="20"/>
                <w:szCs w:val="20"/>
                <w:color w:val="auto"/>
              </w:rPr>
            </w:pPr>
            <w:r>
              <w:rPr>
                <w:rFonts w:ascii="Arial" w:cs="Arial" w:eastAsia="Arial" w:hAnsi="Arial"/>
                <w:sz w:val="18"/>
                <w:szCs w:val="18"/>
                <w:color w:val="auto"/>
              </w:rPr>
              <w:t>Capital lease obligations</w:t>
            </w:r>
          </w:p>
        </w:tc>
        <w:tc>
          <w:tcPr>
            <w:tcW w:w="7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414,525</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345,925</w:t>
            </w: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Loan agreements</w:t>
            </w:r>
          </w:p>
        </w:tc>
        <w:tc>
          <w:tcPr>
            <w:tcW w:w="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8,251</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23,981</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34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422,776</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369,906</w:t>
            </w: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Less current portion</w:t>
            </w:r>
          </w:p>
        </w:tc>
        <w:tc>
          <w:tcPr>
            <w:tcW w:w="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172,911</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247,152</w:t>
            </w: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2340" w:type="dxa"/>
            <w:vAlign w:val="bottom"/>
            <w:shd w:val="clear" w:color="auto" w:fill="F0FFFF"/>
          </w:tcPr>
          <w:p>
            <w:pPr>
              <w:spacing w:after="0"/>
              <w:rPr>
                <w:sz w:val="20"/>
                <w:szCs w:val="20"/>
                <w:color w:val="auto"/>
              </w:rPr>
            </w:pPr>
          </w:p>
        </w:tc>
        <w:tc>
          <w:tcPr>
            <w:tcW w:w="7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249,865</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122,754</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340" w:type="dxa"/>
            <w:vAlign w:val="bottom"/>
            <w:tcBorders>
              <w:top w:val="single" w:sz="8" w:color="F0FFFF"/>
            </w:tcBorders>
            <w:shd w:val="clear" w:color="auto" w:fill="F0FFFF"/>
          </w:tcPr>
          <w:p>
            <w:pPr>
              <w:spacing w:after="0" w:line="20" w:lineRule="exact"/>
              <w:rPr>
                <w:sz w:val="1"/>
                <w:szCs w:val="1"/>
                <w:color w:val="auto"/>
              </w:rPr>
            </w:pPr>
          </w:p>
        </w:tc>
        <w:tc>
          <w:tcPr>
            <w:tcW w:w="58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The maturities of long-term debt as of June 30, 2014 are as follows:</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vMerge w:val="continue"/>
          </w:tcPr>
          <w:p>
            <w:pPr>
              <w:spacing w:after="0"/>
              <w:rPr>
                <w:sz w:val="18"/>
                <w:szCs w:val="18"/>
                <w:color w:val="auto"/>
              </w:rPr>
            </w:pPr>
          </w:p>
        </w:tc>
        <w:tc>
          <w:tcPr>
            <w:tcW w:w="1980" w:type="dxa"/>
            <w:vAlign w:val="bottom"/>
            <w:shd w:val="clear" w:color="auto" w:fill="F0FFFF"/>
          </w:tcPr>
          <w:p>
            <w:pPr>
              <w:spacing w:after="0"/>
              <w:rPr>
                <w:sz w:val="20"/>
                <w:szCs w:val="20"/>
                <w:color w:val="auto"/>
              </w:rPr>
            </w:pPr>
            <w:r>
              <w:rPr>
                <w:rFonts w:ascii="Arial" w:cs="Arial" w:eastAsia="Arial" w:hAnsi="Arial"/>
                <w:sz w:val="18"/>
                <w:szCs w:val="18"/>
                <w:color w:val="auto"/>
              </w:rPr>
              <w:t>2015</w:t>
            </w:r>
          </w:p>
        </w:tc>
        <w:tc>
          <w:tcPr>
            <w:tcW w:w="420" w:type="dxa"/>
            <w:vAlign w:val="bottom"/>
            <w:shd w:val="clear" w:color="auto" w:fill="F0FFFF"/>
          </w:tcPr>
          <w:p>
            <w:pPr>
              <w:jc w:val="right"/>
              <w:ind w:right="2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172,911</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91,003</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980" w:type="dxa"/>
            <w:vAlign w:val="bottom"/>
            <w:shd w:val="clear" w:color="auto" w:fill="F0FFFF"/>
          </w:tcPr>
          <w:p>
            <w:pPr>
              <w:spacing w:after="0"/>
              <w:rPr>
                <w:sz w:val="20"/>
                <w:szCs w:val="20"/>
                <w:color w:val="auto"/>
              </w:rPr>
            </w:pPr>
            <w:r>
              <w:rPr>
                <w:rFonts w:ascii="Arial" w:cs="Arial" w:eastAsia="Arial" w:hAnsi="Arial"/>
                <w:sz w:val="18"/>
                <w:szCs w:val="18"/>
                <w:color w:val="auto"/>
              </w:rPr>
              <w:t>2017</w:t>
            </w:r>
          </w:p>
        </w:tc>
        <w:tc>
          <w:tcPr>
            <w:tcW w:w="42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80,251</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56,282</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19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22,329</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422,776</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July 2009, the Company entered into a capital lease for office equipment totaling $24,836, due in 46 monthly installments of $677. This was satisfied in June 2013.</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August 2011, the Company entered into a capital lease for network equipment totaling approximately $496,000, due in 36 monthly payments of $14,145 through August 2014.</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April 2012, the Company entered into a capital lease for network equipment totaling approximately $62,000, due in 36 monthly payments of $1,785 through February 2015.</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January 2013, the Company entered into a capital lease for network equipment totaling approximately $45,000, due in 37 monthly payments of $1,501 through December 2015.</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March 2013, the Company entered into a capital lease for equipment to support customer service totaling approximately $15,000, due in 36 monthly payments of $464 through January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27"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March 2013, the Company entered into a capital lease for network equipment totaling approximately $24,000, due in three annual installments of $8,686 through April 2015.</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April 2013, the Company entered into a capital lease for equipment totaling approximately $32,000, due in twelve quarterly installments of $2,915 through December 2015.</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June 2013, the Company entered into a capital lease for office equipment totaling approximately $16,000, due in 48 monthly installments of $456 through June 2017.</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July 2013, the Company entered into a capital lease for office equipment totaling approximately $22,000 due in 24 monthly installments of $1,033 through July 2015.</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2014, the Company entered into a capital lease for network equipment totaling approximately $196,000 due in 48 monthly installments of $4,972 through January 2018.</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2014, the Company entered into a capital lease for leasehold improvements and office furniture totaling approximately $103,000 due in sixty monthly installments of $2,149 through May 2019.</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2014, the Company entered into a capital lease for office equipment totaling approximately $4,000 due in 36 monthly installments of $135 through April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March 2010, the Company financed the purchase of computer equipment totaling $195,000 due in 36 monthly installments at an interest rate of 4.95%. This loan was satisfied in March 2013.</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July 2011, the Company financed a portion of the premiums for various insurance policies totaling $90,372 due in nine equal monthly payments at an interest rate of 5.57%. During July 2012, the Company financed a portion of the premiums for various insurance policies totaling $128,062, due in ten monthly payments of $13,103 through May 2013 at an interest rate of 5.02%. During August 2013, the Company financed a portion of the premiums for various insurance policies totaling $101,850, due in nine monthly payments of $11,567 through April 2014 at an interest rate of 5.27%.</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November 2011, the Company financed network equipment totaling approximately $46,000, due in twelve equal quarterly installment payments of $4,226 through October 2014 at an interest rate of 6.47%.</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June 2012, the Company financed software licenses totaling approximately $212,000, due in four equal quarterly installment payments at an interest rate of 11.09%.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accordance with the fair value hierarchy described in Note 2, the following table shows the fair value of the Company’s financial instruments that are required to be measured at fair value as of June 30, 2014 and 2013:</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June 30, 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Level 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F0FFFF"/>
          </w:tcPr>
          <w:p>
            <w:pPr>
              <w:spacing w:after="0"/>
              <w:rPr>
                <w:sz w:val="20"/>
                <w:szCs w:val="20"/>
                <w:color w:val="auto"/>
              </w:rPr>
            </w:pPr>
            <w:r>
              <w:rPr>
                <w:rFonts w:ascii="Arial" w:cs="Arial" w:eastAsia="Arial" w:hAnsi="Arial"/>
                <w:sz w:val="18"/>
                <w:szCs w:val="18"/>
                <w:color w:val="auto"/>
              </w:rPr>
              <w:t>Cash equivalents</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spacing w:after="0" w:line="201" w:lineRule="exact"/>
              <w:rPr>
                <w:sz w:val="20"/>
                <w:szCs w:val="20"/>
                <w:color w:val="auto"/>
              </w:rPr>
            </w:pPr>
            <w:r>
              <w:rPr>
                <w:rFonts w:ascii="Arial" w:cs="Arial" w:eastAsia="Arial" w:hAnsi="Arial"/>
                <w:sz w:val="18"/>
                <w:szCs w:val="18"/>
                <w:color w:val="auto"/>
                <w:w w:val="94"/>
              </w:rPr>
              <w:t>Common stock warrant liability, warrants exercisable at $2.6058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from September 18, 2011 through September 18, 2016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585,209</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585,209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June 30, 2013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Level 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F0FFFF"/>
          </w:tcPr>
          <w:p>
            <w:pPr>
              <w:spacing w:after="0"/>
              <w:rPr>
                <w:sz w:val="20"/>
                <w:szCs w:val="20"/>
                <w:color w:val="auto"/>
              </w:rPr>
            </w:pPr>
            <w:r>
              <w:rPr>
                <w:rFonts w:ascii="Arial" w:cs="Arial" w:eastAsia="Arial" w:hAnsi="Arial"/>
                <w:sz w:val="18"/>
                <w:szCs w:val="18"/>
                <w:color w:val="auto"/>
              </w:rPr>
              <w:t>Cash equivalents</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192,620</w:t>
            </w:r>
          </w:p>
        </w:tc>
        <w:tc>
          <w:tcPr>
            <w:tcW w:w="1160" w:type="dxa"/>
            <w:vAlign w:val="bottom"/>
            <w:gridSpan w:val="2"/>
            <w:shd w:val="clear" w:color="auto" w:fill="F0FFFF"/>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192,620</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spacing w:after="0" w:line="201" w:lineRule="exact"/>
              <w:rPr>
                <w:sz w:val="20"/>
                <w:szCs w:val="20"/>
                <w:color w:val="auto"/>
              </w:rPr>
            </w:pPr>
            <w:r>
              <w:rPr>
                <w:rFonts w:ascii="Arial" w:cs="Arial" w:eastAsia="Arial" w:hAnsi="Arial"/>
                <w:sz w:val="18"/>
                <w:szCs w:val="18"/>
                <w:color w:val="auto"/>
                <w:w w:val="94"/>
              </w:rPr>
              <w:t>Common stock warrant liability, warrants exercisable at $2.6058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from September 18, 2011 through September 18, 2016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650,638</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650,638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June 30, 2014 and 2013, the fair values of the Company’s Level 1 financial instruments were $0 and $192,620, respectively. These financial instruments consist of cash equivalents, including money market accounts. As of June 30, 2014 and 2013, the Company held no Level 2 financial instruments.</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2014 and 2013, the fair values of the Company’s Level 3 financial instruments totaled $585,209 and $650,638, respectively. The Level 3 financial instrument consists of common stock warrants issued by the Company in March 2011, which include features requiring liability treatment of the warrants. The fair value of warrants issued in March 2011 (see Note 13) to purchase 3.9 million shares of the Company’s common stock is based on valuations performed by an independent third party valuation firm. The fair value was determined using proprietary valuation models using the quality of the underlying securities of the warrants, restrictions on the warrants and security underlying the warrants, time restrictions and precedent sale transactions completed in the secondary market or in other private transactions. There were no transfers of assets or liabilities between level 1, level 2, or level 3 during the years ended June 30, 2014 and 2013.</w:t>
      </w:r>
    </w:p>
    <w:p>
      <w:pPr>
        <w:sectPr>
          <w:pgSz w:w="11900" w:h="16838" w:orient="portrait"/>
          <w:cols w:equalWidth="0" w:num="1">
            <w:col w:w="11420"/>
          </w:cols>
          <w:pgMar w:left="240" w:top="918" w:right="239" w:bottom="0" w:gutter="0" w:footer="0" w:header="0"/>
        </w:sectPr>
      </w:pPr>
    </w:p>
    <w:bookmarkStart w:id="69" w:name="page70"/>
    <w:bookmarkEnd w:id="69"/>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INSTRUMENTS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fair value of the Company’s Level 3 financial instruments for the years ended:</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F0FFFF"/>
          </w:tcPr>
          <w:p>
            <w:pPr>
              <w:spacing w:after="0"/>
              <w:rPr>
                <w:sz w:val="20"/>
                <w:szCs w:val="20"/>
                <w:color w:val="auto"/>
              </w:rPr>
            </w:pPr>
            <w:r>
              <w:rPr>
                <w:rFonts w:ascii="Arial" w:cs="Arial" w:eastAsia="Arial" w:hAnsi="Arial"/>
                <w:sz w:val="18"/>
                <w:szCs w:val="18"/>
                <w:color w:val="auto"/>
              </w:rPr>
              <w:t>Beginning balance</w:t>
            </w:r>
          </w:p>
        </w:tc>
        <w:tc>
          <w:tcPr>
            <w:tcW w:w="14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(650,638)</w:t>
            </w:r>
          </w:p>
        </w:tc>
        <w:tc>
          <w:tcPr>
            <w:tcW w:w="320" w:type="dxa"/>
            <w:vAlign w:val="bottom"/>
            <w:shd w:val="clear" w:color="auto" w:fill="F0FFFF"/>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(918,566)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Gain due to change in fair value of warrant liabilities, net</w:t>
            </w:r>
          </w:p>
        </w:tc>
        <w:tc>
          <w:tcPr>
            <w:tcW w:w="1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65,429</w:t>
            </w: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shd w:val="clear" w:color="auto" w:fill="F0FFFF"/>
          </w:tcPr>
          <w:p>
            <w:pPr>
              <w:spacing w:after="0"/>
              <w:rPr>
                <w:sz w:val="20"/>
                <w:szCs w:val="20"/>
                <w:color w:val="auto"/>
              </w:rPr>
            </w:pPr>
            <w:r>
              <w:rPr>
                <w:rFonts w:ascii="Arial" w:cs="Arial" w:eastAsia="Arial" w:hAnsi="Arial"/>
                <w:sz w:val="18"/>
                <w:szCs w:val="18"/>
                <w:color w:val="auto"/>
              </w:rPr>
              <w:t>Ending balance</w:t>
            </w:r>
          </w:p>
        </w:tc>
        <w:tc>
          <w:tcPr>
            <w:tcW w:w="14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(585,209)</w:t>
            </w:r>
          </w:p>
        </w:tc>
        <w:tc>
          <w:tcPr>
            <w:tcW w:w="320" w:type="dxa"/>
            <w:vAlign w:val="bottom"/>
            <w:shd w:val="clear" w:color="auto" w:fill="F0FFFF"/>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(650,638)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F0FFFF"/>
            </w:tcBorders>
            <w:shd w:val="clear" w:color="auto" w:fill="F0FFFF"/>
          </w:tcPr>
          <w:p>
            <w:pPr>
              <w:spacing w:after="0" w:line="20" w:lineRule="exact"/>
              <w:rPr>
                <w:sz w:val="1"/>
                <w:szCs w:val="1"/>
                <w:color w:val="auto"/>
              </w:rPr>
            </w:pPr>
          </w:p>
        </w:tc>
        <w:tc>
          <w:tcPr>
            <w:tcW w:w="120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significant deferred tax assets, a substantial amount of which result from operating loss carryforwards. The Company routinely evaluates its ability to realize the benefits of these assets to determine whether it is more like than not that such benefit will be realized. In periods prior to the year ended June 30, 2014, the Company’s evaluation of its ability to realize the benefit from its deferred tax assets resulted in a full valuation allowance against such assets. Based upon earnings performance that the Company has achieved currently and in the recent past along with the belief that such performance will continue into future years, the Company has determined that it is more likely than not that a substantial portion of its deferred tax assets will be realized and has reduced its valuation allowances recorded in prior years by $27,255,398, which includes $40,245 of deferred tax liabilities recorded as of June 30, 2013 (as described hereinafter) reversing in the current year .</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recent periods’ performance, the evaluation of the amount of deferred tax assets expected to be realized involves forecasting the amount of taxable income that will be generated in future years. The Company has forecasted future results using estimates that management believes to be conservative. The number of connections added in a service year are a key metric, which in the Company’s recurring revenue service model become an important ingredient in driving future growth and earnings. The forecasts the Company used assumed that significantly fewer net connections would be added to its service year than what it has historically achieved during each of its previous five fiscal years. With respect to its forecasts, the Company also took into account several industry analysts who have projected that demand for technology and services similar to the Company’s will continue to grow in the markets the Company serves. Using these forecasts, the Company estimated that it was more likely than not that approximately $64 million of its operating loss carryforwards would be utilized to offset corresponding future taxable income.</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in future periods the Company demonstrates its ability to grow future taxable income in excess of the forecasts described above, it will re-evaluate the need to keep some, or all, of the remaining valuation allowances of $22,833,685 on its deferred tax assets.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reduction of the $27,255,398 in valuation allowances is reflected as an income tax benefit in the provision for income taxes for the year ended June 30, 2014 and is net of amounts that otherwise would have been recorded for current federal income taxes of $21,021, deferred federal income taxes of $52,533, deferred state income taxes of $21,343 and $24,847 credited to common stock related to excess tax benefits from stock-based compensation.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provision for income taxes for the years ended June 30, 2013 and 2012 were $27,646 and $12,599, respectively, comprised of deferred federal income taxes of $20,842 and $9,498, respectively, and deferred state income taxes of $6,804 and $3,101, respectively. These deferred income taxes were recorded for the future potential income tax effects for basis differences between financial reporting and income tax purposes for indefinite life intangible assets and goodwill that are being amortized for income tax purposes but not for financial reporting. Because there was a full valuation allowance reflected against deferred tax assets as of June 30, 2013 and June 30, 2012, the potential future income tax effects associated with such indefinite life assets were not subject to offset deferred tax assets with finite lives.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June 30, 2014, an income tax provision of $93,586 at the federal statutory rate of 34% is indicated based upon the income before provision for income taxes. In recording the benefit from income taxes, the reduction in valuation allowances of $27,255,398 had the effect of negating the effects for state income taxes net of federal benefit of $17,989 and permanent differences of $8,168.</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June 30, 2013 an income tax provision of $299,801 at the federal statutory rate of 34% is indicated based upon the income before provision for income taxes. In recording the provision for income taxes the indicated provision was reduced for the effects of decreases in the valuation allowances of $205,266 for federal income taxes associated with deferred tax assets, decreased for the effects of permanent differences of $71,379 and increased by state income taxes net of federal benefit of $4,490.</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June 30, 2012 an income tax benefit of $1,767,537 at the federal statutory rate of 34% is indicated based upon the income before provision for income taxes. In recording the provision for income taxes the indicated benefit was reduced for the effects of increases in the valuation allowances of $2,372,354 for federal income taxes associated with deferred tax assets, increased for the effects of permanent differences of $594,264 and reduced by state income taxes net of federal benefit of $2,046.</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June 30, 2014 the Company had operating loss carryforwards of $165,566,973 to offset future taxable income expiring through approximately 2034. The timing and extent to which the Company can utilize operating loss carryforwards in any year may be limited by provisions of the Internal Revenue Code regarding changes in ownership of corporations (i.e. IRS Code Section 382). The changes in ownership limitations under IRS Code Section 382 have had the effect of limiting the maximum amount of operating loss carryforwards as of June 30, 2014 available for use to offset future years’ taxable income to $127,362,276. Those operating loss carryforwards start to expire June 30, 2022.</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deferred tax assets arose primarily from net operating loss carryforwards, as well as the use of different accounting methods for financial statement and income tax reporting purposes as follows:</w:t>
      </w:r>
    </w:p>
    <w:p>
      <w:pPr>
        <w:spacing w:after="0" w:line="11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June 30,</w:t>
            </w:r>
          </w:p>
        </w:tc>
        <w:tc>
          <w:tcPr>
            <w:tcW w:w="104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2013</w:t>
            </w:r>
          </w:p>
        </w:tc>
      </w:tr>
      <w:tr>
        <w:trPr>
          <w:trHeight w:val="216"/>
        </w:trPr>
        <w:tc>
          <w:tcPr>
            <w:tcW w:w="20" w:type="dxa"/>
            <w:vAlign w:val="bottom"/>
          </w:tcPr>
          <w:p>
            <w:pPr>
              <w:spacing w:after="0"/>
              <w:rPr>
                <w:sz w:val="18"/>
                <w:szCs w:val="18"/>
                <w:color w:val="auto"/>
              </w:rPr>
            </w:pPr>
          </w:p>
        </w:tc>
        <w:tc>
          <w:tcPr>
            <w:tcW w:w="6420" w:type="dxa"/>
            <w:vAlign w:val="bottom"/>
            <w:shd w:val="clear" w:color="auto" w:fill="F0FFFF"/>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47,776,042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49,534,732</w:t>
            </w:r>
          </w:p>
        </w:tc>
      </w:tr>
      <w:tr>
        <w:trPr>
          <w:trHeight w:val="216"/>
        </w:trPr>
        <w:tc>
          <w:tcPr>
            <w:tcW w:w="20" w:type="dxa"/>
            <w:vAlign w:val="bottom"/>
          </w:tcPr>
          <w:p>
            <w:pPr>
              <w:spacing w:after="0"/>
              <w:rPr>
                <w:sz w:val="18"/>
                <w:szCs w:val="18"/>
                <w:color w:val="auto"/>
              </w:rPr>
            </w:pPr>
          </w:p>
        </w:tc>
        <w:tc>
          <w:tcPr>
            <w:tcW w:w="6420" w:type="dxa"/>
            <w:vAlign w:val="bottom"/>
            <w:shd w:val="clear" w:color="auto" w:fill="F0FFFF"/>
          </w:tcPr>
          <w:p>
            <w:pPr>
              <w:spacing w:after="0"/>
              <w:rPr>
                <w:sz w:val="20"/>
                <w:szCs w:val="20"/>
                <w:color w:val="auto"/>
              </w:rPr>
            </w:pPr>
            <w:r>
              <w:rPr>
                <w:rFonts w:ascii="Arial" w:cs="Arial" w:eastAsia="Arial" w:hAnsi="Arial"/>
                <w:sz w:val="18"/>
                <w:szCs w:val="18"/>
                <w:color w:val="auto"/>
              </w:rPr>
              <w:t>Deferred research and development costs</w:t>
            </w: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710,640</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135,189</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Intangibles</w:t>
            </w:r>
          </w:p>
        </w:tc>
        <w:tc>
          <w:tcPr>
            <w:tcW w:w="2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907,274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1,132,471</w:t>
            </w:r>
          </w:p>
        </w:tc>
      </w:tr>
      <w:tr>
        <w:trPr>
          <w:trHeight w:val="216"/>
        </w:trPr>
        <w:tc>
          <w:tcPr>
            <w:tcW w:w="20" w:type="dxa"/>
            <w:vAlign w:val="bottom"/>
          </w:tcPr>
          <w:p>
            <w:pPr>
              <w:spacing w:after="0"/>
              <w:rPr>
                <w:sz w:val="18"/>
                <w:szCs w:val="18"/>
                <w:color w:val="auto"/>
              </w:rPr>
            </w:pPr>
          </w:p>
        </w:tc>
        <w:tc>
          <w:tcPr>
            <w:tcW w:w="6420" w:type="dxa"/>
            <w:vAlign w:val="bottom"/>
            <w:shd w:val="clear" w:color="auto" w:fill="F0FFFF"/>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250,426</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230,452</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Deferred gain on assets under sale-leaseback transaction</w:t>
            </w:r>
          </w:p>
        </w:tc>
        <w:tc>
          <w:tcPr>
            <w:tcW w:w="2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460,902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4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F0FFFF"/>
          </w:tcPr>
          <w:p>
            <w:pPr>
              <w:spacing w:after="0"/>
              <w:rPr>
                <w:sz w:val="19"/>
                <w:szCs w:val="19"/>
                <w:color w:val="auto"/>
              </w:rPr>
            </w:pPr>
          </w:p>
        </w:tc>
        <w:tc>
          <w:tcPr>
            <w:tcW w:w="108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740,040</w:t>
            </w:r>
          </w:p>
        </w:tc>
        <w:tc>
          <w:tcPr>
            <w:tcW w:w="100" w:type="dxa"/>
            <w:vAlign w:val="bottom"/>
            <w:tcBorders>
              <w:bottom w:val="single" w:sz="8" w:color="F0FFFF"/>
            </w:tcBorders>
            <w:shd w:val="clear" w:color="auto" w:fill="F0FFFF"/>
          </w:tcPr>
          <w:p>
            <w:pPr>
              <w:spacing w:after="0"/>
              <w:rPr>
                <w:sz w:val="19"/>
                <w:szCs w:val="19"/>
                <w:color w:val="auto"/>
              </w:rPr>
            </w:pPr>
          </w:p>
        </w:tc>
        <w:tc>
          <w:tcPr>
            <w:tcW w:w="28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671,947</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50,845,324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51,704,791</w:t>
            </w:r>
          </w:p>
        </w:tc>
      </w:tr>
      <w:tr>
        <w:trPr>
          <w:trHeight w:val="216"/>
        </w:trPr>
        <w:tc>
          <w:tcPr>
            <w:tcW w:w="20" w:type="dxa"/>
            <w:vAlign w:val="bottom"/>
          </w:tcPr>
          <w:p>
            <w:pPr>
              <w:spacing w:after="0"/>
              <w:rPr>
                <w:sz w:val="18"/>
                <w:szCs w:val="18"/>
                <w:color w:val="auto"/>
              </w:rPr>
            </w:pPr>
          </w:p>
        </w:tc>
        <w:tc>
          <w:tcPr>
            <w:tcW w:w="6420" w:type="dxa"/>
            <w:vAlign w:val="bottom"/>
            <w:shd w:val="clear" w:color="auto" w:fill="F0FFFF"/>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Intangibles and goodwill</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(67,459)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(40,245)</w:t>
            </w:r>
          </w:p>
        </w:tc>
      </w:tr>
      <w:tr>
        <w:trPr>
          <w:trHeight w:val="223"/>
        </w:trPr>
        <w:tc>
          <w:tcPr>
            <w:tcW w:w="20" w:type="dxa"/>
            <w:vAlign w:val="bottom"/>
          </w:tcPr>
          <w:p>
            <w:pPr>
              <w:spacing w:after="0"/>
              <w:rPr>
                <w:sz w:val="19"/>
                <w:szCs w:val="19"/>
                <w:color w:val="auto"/>
              </w:rPr>
            </w:pPr>
          </w:p>
        </w:tc>
        <w:tc>
          <w:tcPr>
            <w:tcW w:w="64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Fixed Assets</w:t>
            </w:r>
          </w:p>
        </w:tc>
        <w:tc>
          <w:tcPr>
            <w:tcW w:w="200" w:type="dxa"/>
            <w:vAlign w:val="bottom"/>
            <w:tcBorders>
              <w:bottom w:val="single" w:sz="8" w:color="auto"/>
            </w:tcBorders>
            <w:shd w:val="clear" w:color="auto" w:fill="F0FFFF"/>
          </w:tcPr>
          <w:p>
            <w:pPr>
              <w:spacing w:after="0"/>
              <w:rPr>
                <w:sz w:val="19"/>
                <w:szCs w:val="19"/>
                <w:color w:val="auto"/>
              </w:rPr>
            </w:pPr>
          </w:p>
        </w:tc>
        <w:tc>
          <w:tcPr>
            <w:tcW w:w="10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(683,159)</w:t>
            </w:r>
          </w:p>
        </w:tc>
        <w:tc>
          <w:tcPr>
            <w:tcW w:w="100" w:type="dxa"/>
            <w:vAlign w:val="bottom"/>
            <w:tcBorders>
              <w:bottom w:val="single" w:sz="8" w:color="F0FFFF"/>
            </w:tcBorders>
            <w:shd w:val="clear" w:color="auto" w:fill="F0FFFF"/>
          </w:tcPr>
          <w:p>
            <w:pPr>
              <w:spacing w:after="0"/>
              <w:rPr>
                <w:sz w:val="19"/>
                <w:szCs w:val="19"/>
                <w:color w:val="auto"/>
              </w:rPr>
            </w:pPr>
          </w:p>
        </w:tc>
        <w:tc>
          <w:tcPr>
            <w:tcW w:w="28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(585,889)</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50,094,706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51,078,657</w:t>
            </w:r>
          </w:p>
        </w:tc>
      </w:tr>
      <w:tr>
        <w:trPr>
          <w:trHeight w:val="223"/>
        </w:trPr>
        <w:tc>
          <w:tcPr>
            <w:tcW w:w="20" w:type="dxa"/>
            <w:vAlign w:val="bottom"/>
          </w:tcPr>
          <w:p>
            <w:pPr>
              <w:spacing w:after="0"/>
              <w:rPr>
                <w:sz w:val="19"/>
                <w:szCs w:val="19"/>
                <w:color w:val="auto"/>
              </w:rPr>
            </w:pPr>
          </w:p>
        </w:tc>
        <w:tc>
          <w:tcPr>
            <w:tcW w:w="64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Valuation allowance</w:t>
            </w:r>
          </w:p>
        </w:tc>
        <w:tc>
          <w:tcPr>
            <w:tcW w:w="200" w:type="dxa"/>
            <w:vAlign w:val="bottom"/>
            <w:tcBorders>
              <w:bottom w:val="single" w:sz="8" w:color="auto"/>
            </w:tcBorders>
            <w:shd w:val="clear" w:color="auto" w:fill="F0FFFF"/>
          </w:tcPr>
          <w:p>
            <w:pPr>
              <w:spacing w:after="0"/>
              <w:rPr>
                <w:sz w:val="19"/>
                <w:szCs w:val="19"/>
                <w:color w:val="auto"/>
              </w:rPr>
            </w:pPr>
          </w:p>
        </w:tc>
        <w:tc>
          <w:tcPr>
            <w:tcW w:w="10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(22,833,685)</w:t>
            </w:r>
          </w:p>
        </w:tc>
        <w:tc>
          <w:tcPr>
            <w:tcW w:w="100" w:type="dxa"/>
            <w:vAlign w:val="bottom"/>
            <w:tcBorders>
              <w:bottom w:val="single" w:sz="8" w:color="F0FFFF"/>
            </w:tcBorders>
            <w:shd w:val="clear" w:color="auto" w:fill="F0FFFF"/>
          </w:tcPr>
          <w:p>
            <w:pPr>
              <w:spacing w:after="0"/>
              <w:rPr>
                <w:sz w:val="19"/>
                <w:szCs w:val="19"/>
                <w:color w:val="auto"/>
              </w:rPr>
            </w:pPr>
          </w:p>
        </w:tc>
        <w:tc>
          <w:tcPr>
            <w:tcW w:w="28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5"/>
              </w:rPr>
              <w:t>(51,118,902)</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Deferred tax assets (liabilties), net of allowance</w:t>
            </w:r>
          </w:p>
        </w:tc>
        <w:tc>
          <w:tcPr>
            <w:tcW w:w="2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27,261,021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(40,245)</w:t>
            </w:r>
          </w:p>
        </w:tc>
      </w:tr>
      <w:tr>
        <w:trPr>
          <w:trHeight w:val="223"/>
        </w:trPr>
        <w:tc>
          <w:tcPr>
            <w:tcW w:w="20" w:type="dxa"/>
            <w:vAlign w:val="bottom"/>
          </w:tcPr>
          <w:p>
            <w:pPr>
              <w:spacing w:after="0"/>
              <w:rPr>
                <w:sz w:val="19"/>
                <w:szCs w:val="19"/>
                <w:color w:val="auto"/>
              </w:rPr>
            </w:pPr>
          </w:p>
        </w:tc>
        <w:tc>
          <w:tcPr>
            <w:tcW w:w="64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auto"/>
            </w:tcBorders>
            <w:shd w:val="clear" w:color="auto" w:fill="F0FFFF"/>
          </w:tcPr>
          <w:p>
            <w:pPr>
              <w:spacing w:after="0"/>
              <w:rPr>
                <w:sz w:val="19"/>
                <w:szCs w:val="19"/>
                <w:color w:val="auto"/>
              </w:rPr>
            </w:pPr>
          </w:p>
        </w:tc>
        <w:tc>
          <w:tcPr>
            <w:tcW w:w="108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907,691</w:t>
            </w:r>
          </w:p>
        </w:tc>
        <w:tc>
          <w:tcPr>
            <w:tcW w:w="100" w:type="dxa"/>
            <w:vAlign w:val="bottom"/>
            <w:tcBorders>
              <w:bottom w:val="single" w:sz="8" w:color="F0FFFF"/>
            </w:tcBorders>
            <w:shd w:val="clear" w:color="auto" w:fill="F0FFFF"/>
          </w:tcPr>
          <w:p>
            <w:pPr>
              <w:spacing w:after="0"/>
              <w:rPr>
                <w:sz w:val="19"/>
                <w:szCs w:val="19"/>
                <w:color w:val="auto"/>
              </w:rPr>
            </w:pPr>
          </w:p>
        </w:tc>
        <w:tc>
          <w:tcPr>
            <w:tcW w:w="28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Deferred tax assets (liabilties), non-current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26,353,330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(40,245)</w:t>
            </w:r>
          </w:p>
        </w:tc>
      </w:tr>
      <w:tr>
        <w:trPr>
          <w:trHeight w:val="21"/>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PREFERRED STOCK</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authorized Preferred Stock may be issued from time to time in one or more series, each series with such rights, preferences or restrictions as determined by the Board of Directors. As of June 30, 2014 each share of Series A Preferred Stock is convertible into 0.194 of a share of Common Stock and each share of Series A Preferred Stock is entitled to 0.194 of a vote on all matters on which the holders of Common Stock are entitled to vote. Series A Preferred Stock provides for an annual cumulative dividend of $1.50 per share, payable when, as and if declared by the Board of Directors, to the shareholders of record in equal parts on February 1 and August 1 of each year. Any and all accumulated and unpaid cash dividends on the Series A Preferred Stock must be declared and paid prior to the declaration and payment of any dividends on the Common Stock.</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Cumulative unpaid dividends at June 30, 2014 and 2013 amounted to $12,260,776 and $11,596,324, respectively. Cumulative unpaid dividends are convertible into common shares at $1,000 per common share at the option of the shareholder. During the years ended June 30, 2014, 2013 and 2012 no shares of Preferred Stock nor cumulative preferred dividends converted into shares of common stock. The Series A Preferred Stock may be called for redemption at the option of the Board of Directors for a price of $11.00 per share plus payment of all accrued and unpaid dividends. No such redemption has occurred as of June 30, 2014. In the event of any liquidation as defined in the Company’s Articles of Incorporation, the holders of shares of Series A Preferred Stock issued shall be entitled to receive $10.00 for each outstanding share plus all cumulative unpaid dividends. If funds are insufficient for this distribution, the assets available will be distributed ratably among the preferred shareholders.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COMMON STOCK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Board of Directors has authorized various compensation plans. Activity for these plans during the years ended June 30, 2014, 2013, and 2012 are as follows: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15, 2010, the Company’s shareholders approved the 2010 Stock Incentive Plan to allow up to 300,000 shares of Common Stock to be available for issuance to future or current employees, directors and consultants of the Company. During the years ended June 30, 2014, 2013 and 2012, the Company issued 6,668, 62,942 and 120,472 shares under the plan totaling $6,024, $68,723 and $248,851, respectively based on the grant date fair value of the shares. As of June 30, 2014, no more shares under this plan are available for future issuance.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13, 2011, the Company’s shareholders approved the 2011 Stock Incentive Plan to allow up to 300,000 shares of Common Stock to be available for issuance to future or current employees, directors and consultants of the Company. During the years ended June 30, 2014, 2013 and 2012, the Company issued 51,667, 96,665 and 141,666 shares under the plan totaling $17,366, $157,645 and $335,636, respectively based on the grant date fair value of the shares. As of June 30, 2014, 10,002 shares under the plan have been granted, but have not been issued as they are subject to various vesting provisions, and no more shares are available for future issuance.</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28, 2012, the Company’s shareholders approved the 2012 Stock Incentive Plan to allow up to 500,000 shares of Common Stock to be available for issuance to future or current employees, directors and consultants of the Company. During the years ended June 30, 2014 and 2013, the Company issued 131,203 and 279,806 shares under the plan totaling $505,651 and $276,539, respectively based on the grant date fair value of the shares. During the year ended June 30, 2012, the Company did not issue any shares under the plan and recorded $197,613 related to the vesting of shares to be issued under this plan. As of June 30, 2014, 33,809 shares under the plan have been granted, but have not been issued as they are subject to various vesting provisions, and 31,484 shares are available for future issuance.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46" w:gutter="0" w:footer="0" w:header="0"/>
        </w:sectPr>
      </w:pPr>
    </w:p>
    <w:bookmarkStart w:id="72" w:name="page73"/>
    <w:bookmarkEnd w:id="72"/>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COMMON STOCK (CONTINUED)</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June 21, 2013, the Company’s shareholders approved the 2013 Stock Incentive Plan to allow up to 500,000 shares of Common Stock to be available for issuance to future or current employees, directors and consultants of the Company. During the years ended June 30, 2014 and 2013, the Company did not grant or issue any shares under the plan. As of June 30, 2014, 500,000 shares are available for future issuance.</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September 27, 2011 the Company and Mr. Jensen, the Company’s former Chief Executive Officer, entered into an amended and restated employment agreement (the “Jensen Employment Agreement”) and on October 14, 2011 a Separation Agreement and Release (the “Separation Agreement”).</w:t>
      </w:r>
    </w:p>
    <w:p>
      <w:pPr>
        <w:spacing w:after="0" w:line="15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Jensen Employment Agreement provided for the issuance of an aggregate of 150,000 shares of common stock to Mr. Jensen under its stock incentive plans which were to vest as follows: 50,000 on the date the agreement was signed (September 27, 2011) by Mr. Jensen and the Company; 50,000 on the first anniversary of the date of signing (September 27, 2012); and 50,000 on the second anniversary of the date of signing (September 27, 2013).</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Separation Agreement, Mr. Jensen resigned as Chairman, Chief Executive Officer and as a Director of the Company, effective October 14, 2011. Under the Separation Agreement, the Company issued to Mr. Jensen 41,667 shares of its common stock which were awarded in connection with the signing of an amendment to his employment agreement in April 2011, which would not have otherwise vested until April 2012; and 50,000 shares of the Company’s common stock which were awarded to Mr. Jensen in connection with the signing Jensen Employment Agreement and which would not have otherwise vested until September 2012.</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Separation Agreement, 41,667 shares of common stock that would have vested in April 2013 in connection with the signing of an amendment to Mr. Jensen’s employment agreement in April 2011 and 50,000 shares of common stock that would have vested in September 2013 in connection with the signing of his amended and restated employment agreement in September 2011 were forfeited.</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27, 2011, the Company and Mr. Herbert entered into a second amendment to his employment agreement. The Company issued an aggregate of 100,000 shares of common stock to Mr. Herbert under its stock incentive plans which vest as follows: 33,333 on the date the agreement was signed by Mr. Herbert and the Company (September 27, 2011); 33,333 on the first anniversary of the date of signing (September 27, 2012); and 33,334 on the second anniversary of the date of signing (September 27, 2013).</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September 2012, the Board of Directors accepted the recommendation of the Compensation Committee and granted 71,429 shares of Common Stock with a grant date fair value of $100,000 to Mr. Herbert under the 2012 Stock Incentive Plan (the “2012 Plan”) to vest over a period of up to three years based on performance of the Company’s Common Stock. During the years ended June 30, 2014 and 2013, the Company issued 0 and 47,620 shares of Common Stock and recorded $0 and $66,668 of expense, respectively for this grant. As of June 30, 2014, 23,809 shares of Common Stock remain unvested for this grant.</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September 27, 2011, the Company and Mr. DeMedio entered into a fifth amendment to his employment agreement pursuant to which Mr. DeMedio was granted an aggregate of 25,000 shares of common stock which vest as follows: 8,333 on the date of signing the amendment (September 27, 2011); 8,333 on the first anniversary of such signing date (September 27, 2012); and 8,334 on the second anniversary of such signing date (September 27, 2013).</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15, 2011, at the recommendation of the Compensation Committee, the board of directors adopted the Fiscal Year 2012 Performance Share Plan (the “2012 Performance Plan”) covering the Company’s executive officers. Under the 2012 Performance Plan, each executive officer will be awarded common stock in the event the Company achieves target goals during the fiscal year ending June 30, 2012 relating to the total number of connections, total revenues, operating expenses, and operating earnings. Operating earnings is defined as earnings before interest and taxes (after bonus accruals and stock awards) and before non-operating gains or losses. The number of eligible shares to be awarded to the executives is based upon the following weightings: 30% by the total number of connections; 30% by total revenues; 10% by operating expenses; and 30% by operating earnings. No awards would be made under the 2012 Performance Plan if either (i) none of the minimum, threshold performance target goals have been achieved, or (ii) if operating earnings for the 2012 fiscal year are not equal or better than those during the 2011 fiscal year.</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Notwithstanding the above description of the 2012 Performance Plan, the executives would receive shares from the Company pursuant to the 2012 Performance Plan only if and to the extent that shares would be available to be issued to the executives under the existing 2011 stock incentive plan or another stock plan that has been approved by the shareholders of the Company in accordance with NASDAQ Listing Rule 5635(c).If there would not be a sufficient number of shares available to be issued to the executives, the Company would pay to the executives an amount of cash equal to the value of those shares not available to be issued to the executives. In such event, the executives would be required to utilize the cash payment, net of any withholding, payroll or other taxes attributable to the cash payment, to purchase shares of common stock of the Company on the open market.</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September 15, 2011 and through June 27, 2012, there were not sufficient shares available under the existing 2011 stock incentive plan or another stock plan that had been approved by the shareholders of the Company; consequently, the Company may have been required to deliver to the executives an amount of cash equal to the value of shares earned but not available to be issued to the executives. Therefore, in accordance with ASC Topic 718, “Stock Compensation”, this award was accounted for as a liability of the Company through June 27, 2012. On June 28, 2012, the Company’s shareholders approved the 2012 Stock Incentive Plan, which includes sufficient shares for the 2012 Performance Plan. Accordingly, for the fiscal year ended June 30, 2012 the Company recorded stock compensation expense of $197,613 for the vesting of 136,285 shares of Common Stock – 96,201 shares to Mr. Herbert and 40,084 shares to Mr. DeMedio. Final settlement of the award occurred in September 2012.</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Separation Agreement entered into by the Company and Mr. Jensen, Mr. Jensen is not entitled to earn shares under the 2012 Performance Plan, and therefore no award was estimated for Mr. Jensen for the fiscal 2012 year.</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5, 2012, at the recommendation of the Compensation Committee, the board of directors adopted the Fiscal Year 2013 Performance Share Plan (the “2013 Performance Plan”) covering the Company’s executive officers. Under the 2013 Performance Plan, each executive officer would be awarded common stock in the event the Company achieves certain performance goals during the fiscal year ended June 30, 2013. The metrics under the 2013 Performance Plan as well as the relative weightings of these metrics are identical to those originally set forth in the 2012 Performance Plan. No awards would</w:t>
      </w:r>
    </w:p>
    <w:p>
      <w:pPr>
        <w:sectPr>
          <w:pgSz w:w="11900" w:h="16850" w:orient="portrait"/>
          <w:cols w:equalWidth="0" w:num="1">
            <w:col w:w="11420"/>
          </w:cols>
          <w:pgMar w:left="240" w:top="918" w:right="239" w:bottom="0" w:gutter="0" w:footer="0" w:header="0"/>
        </w:sectPr>
      </w:pPr>
    </w:p>
    <w:bookmarkStart w:id="73" w:name="page74"/>
    <w:bookmarkEnd w:id="73"/>
    <w:p>
      <w:pPr>
        <w:jc w:val="both"/>
        <w:spacing w:after="0" w:line="277" w:lineRule="auto"/>
        <w:rPr>
          <w:sz w:val="20"/>
          <w:szCs w:val="20"/>
          <w:color w:val="auto"/>
        </w:rPr>
      </w:pPr>
      <w:r>
        <w:rPr>
          <w:rFonts w:ascii="Arial" w:cs="Arial" w:eastAsia="Arial" w:hAnsi="Arial"/>
          <w:sz w:val="18"/>
          <w:szCs w:val="18"/>
          <w:color w:val="auto"/>
        </w:rPr>
        <w:t>be made under the 2013 Performance Plan if either (i) none of the minimum, threshold performance target goals has been achieved, or (ii) if operating earnings for the 2013 fiscal year are not equal or better than those during the 2012 fiscal year.</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all of the target goals are achieved under the 2013 Performance Plan, the executive officers would be awarded shares having the following value: Mr. Herbert – $275,000; and Mr. DeMedio – $100,000. If all of the minimum, threshold performance target goals are achieved, the executive officers would be awarded shares having the following value: Mr. Herbert – $75,000; and Mr. DeMedio – $25,000. If all of the maximum, distinguished performance target goals are achieved, the executive officers would be awarded shares having the following value: Mr. Herbert – $550,000; and Mr. DeMedio – $200,000. If the actual results for the fiscal year are less than the target goals (but greater than the minimum, threshold performance target goals), each executive would be awarded a lesser pro rata number of shares from the target goal, if actual results are between target and maximum, then a pro rata number of shares between target and maximum is earned, and if actual results are above maximum (distinguished) than pro rata shares above maximum is earned.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COMMON STOCK (CONTINUED)</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September 5, 2012 and through June 20, 2013, there were not sufficient shares for the maximum awards available under the existing 2012 stock incentive plan or another stock plan that had been approved by the shareholders of the Company; consequently, the Company may have been required to deliver to the executives an amount of cash equal to the value of shares earned but not available to be issued to the executives. Therefore, in accordance with ASC Topic 718, “Stock Compensation”, this award was accounted for as a liability of the Company through June 20, 2013. On June 21, 2013, the Company’s shareholders approved the 2013 Stock Incentive Plan, which includes sufficient shares for the 2013 Performance Plan. Accordingly, for the fiscal year ended June 30, 2013, the Company recorded stock compensation expense of $19,167 for the vesting of 11,016 shares of Common Stock – 8,142 shares to Mr. Herbert and 2,874 shares to Mr. DeMedio. Final settlement of the award occurred in September 2013.</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7, 2013, at the recommendation of the Compensation Committee, the Board of Directors approved a stock bonus to the Company’s Chief Financial Officer (“CFO”). The CFO was awarded 21,000 vested shares of common stock of the Company as a bonus in recognition of his performance during the 2013 fiscal year. For the year ended June 30, 2014, $38,220 was recorded as expense on account of the stock bonus under the 2012 Stock Incentive Plan.</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November 7, 2013, at the recommendation of the Compensation Committee, the Board of Directors approved the Fiscal Year 2014 Long-Term Stock Incentive Plan (the “2014 LTI Stock Plan”). The 2014 LTI Stock Plan provides that each executive officer would be awarded shares of common stock in the event that certain metrics relating to the Company’s 2014 fiscal year would result in specified ranges of year-over-year percentage growth. At the time of the establishment of the 2014 LTI Stock Plan, the Compensation Committee believed that the attainment of the target goals under the plan would represent a significant achievement for management, and were designed to stretch the Company’s and management’s performance during the fiscal year.</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none of the minimum threshold year-over-year percentage target goals are achieved, the executive officers would not be awarded any shares. If all of the year-over-year percentage target goals are achieved, the executive officers would be awarded shares having the following value: Chief Executive Officer (“CEO”) – $341,277 (100% of base salary); and CFO – $175,698 (75% of base salary). If all of the maximum distinguished year-over-year percentage target goals are achieved, the executive officers would be awarded shares having the following value: CEO – $682,554 (200% of base salary); and CFO – $351,396 (150% of base salary). Assuming the minimum threshold year-over-year percentage target goal would be achieved for a particular metric, the number of shares to be awarded for that metric would be determined on a pro rata basis, provided that the award would not exceed the maximum distinguished award for that metric. The shares awarded under the 2014 LTI Stock Plan would vest over a three year period following issuance as follows: one-third on the first anniversary; one-third on the second anniversary; and one-third on the third anniversary. For the fiscal year ended June 30, 2014, the Company recorded stock compensation expense of $71,963 for the vesting of 55,810 shares of Common Stock – 36,649 shares to Mr. Herbert and 19,161 shares to Mr. DeMedio on account of the 2014 LTI Stock Plan under the 2012 Stock Incentive Plan.</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years ended June 30, 2014, 2013 and 2012, and as permitted under their employment agreements, executive officers cancelled an aggregate of 49,311, 64,847, and 38,749 shares of Common Stock, respectively, in order to satisfy an aggregate of $89,020, $121,052, and $51,381, respectively, of payroll tax withholding obligations related to shares of Common Stock which vested during the 2013 through 2014 fiscal years.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June 2011, the Board of Directors accepted the recommendation of the Compensation Committee that each non-employee Director serving as of June 30, 2011 receive a stock award of 10,000 shares of Common Stock under the 2010 Stock Incentive Plan valued at $2.22 per share. A total of 50,000 shares of Common Stock were awarded, and the shares vest as follows: 16,665 on June 30, 2011; 16,665 on June 30, 2012; and 16,670 on June 30, 2013. In February 2012, a non-employee member of the Board of Directors forfeited and returned to the Company 6,667 and 3,333 shares of Common Stock, respectively, awarded under this grant in June 2011. As of June 30, 2012, 29,998 shares, net, have vested and been issued. In addition, due to the February 2012 forfeiture and return and changes in the composition of the Board of Directors as approved by shareholders at the Company’s annual meeting of shareholders on June 28, 2012, as of June 30, 2012, 10,002 shares of Common Stock remain reserved for future issuance and 10,000 shares will not vest under this June 2011 grant. As of June 30, 2013, 39,999 shares vested under this award and no shares remain unvested.</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March 2012, the Board of Directors accepted the recommendation of the Compensation Committee that each of the three non-employee Directors appointed to the Board in January 2012 receive a stock award of 10,000 shares of Common Stock under the 2010 Stock Incentive Plan valued at $0.94 per share. A total of 30,000 shares of Common Stock were awarded, and the shares vest as follows: 9,999 on April 1, 2012; 9,999 on April 1, 2013; and, 10,002 on April 1, 2014. Due to changes in the composition of the Board of Directors as approved by shareholders at the Company’s annual meeting of shareholders on June 28, 2012 and the resignation of a member of the Board of Directors in February 2014, as of June 30, 2014 19,999 shares vested under this award, 10,001 shares will not vest, and no shares remain unvested.</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2012, the Board of Directors accepted the recommendation of the Compensation Committee that each of the three non-employee Directors who joined the Board after March 31, 2012 receive a stock award of 10,000 shares of Common Stock. Under the 2011 Stock Incentive Plan (the “2011 Plan”) 30,000 shares of Common Stock were awarded with a grant date fair value of $1.45 per share, and vest as follows: 9,999 on August 10, 2012; 9,999 on August 10, 2013; and, 10,002 on August 10, 2014. As of June 30, 2014, 19,998 shares vested and 10,002 shares of Common Stock remain reserved for future issuance under this July 2012 grant.</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years ended June 30, 2014, 2013, and 2012 certain Directors elected to receive compensation for service on the Company’s Board of Directors in Common Stock of the Company. For the years ended June 30, 2014, 2013, and 2012 the Company issued 75,632, 88,594, and 2,299 shares of Common Stock and recorded $140,000, $157,500, and $3,333 of expense, respectively, for this director compensation. The Company also issued to the lead independent director 37,287, 23,248, and 19,175 shares of common stock attributable to his service as lead independent director during the years ended June 30, 2014, 2013, and 2012, respectively.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w w:val="96"/>
              </w:rPr>
              <w:t>As of June 30, 2014, the Company had reserved shares of Common Stock for future issuance for the following:</w:t>
            </w:r>
          </w:p>
        </w:tc>
        <w:tc>
          <w:tcPr>
            <w:tcW w:w="140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7140" w:type="dxa"/>
            <w:vAlign w:val="bottom"/>
            <w:shd w:val="clear" w:color="auto" w:fill="F0FFFF"/>
          </w:tcPr>
          <w:p>
            <w:pPr>
              <w:spacing w:after="0"/>
              <w:rPr>
                <w:sz w:val="20"/>
                <w:szCs w:val="20"/>
                <w:color w:val="auto"/>
              </w:rPr>
            </w:pPr>
            <w:r>
              <w:rPr>
                <w:rFonts w:ascii="Arial" w:cs="Arial" w:eastAsia="Arial" w:hAnsi="Arial"/>
                <w:sz w:val="18"/>
                <w:szCs w:val="18"/>
                <w:color w:val="auto"/>
              </w:rPr>
              <w:t>Exercise of Common Stock Warrants</w:t>
            </w:r>
          </w:p>
        </w:tc>
        <w:tc>
          <w:tcPr>
            <w:tcW w:w="14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4,309,000</w:t>
            </w:r>
          </w:p>
        </w:tc>
      </w:tr>
      <w:tr>
        <w:trPr>
          <w:trHeight w:val="216"/>
        </w:trPr>
        <w:tc>
          <w:tcPr>
            <w:tcW w:w="14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Conversions of Preferred Stock and cumulative Preferred Stock dividends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98,197</w:t>
            </w:r>
          </w:p>
        </w:tc>
      </w:tr>
      <w:tr>
        <w:trPr>
          <w:trHeight w:val="151"/>
        </w:trPr>
        <w:tc>
          <w:tcPr>
            <w:tcW w:w="1440" w:type="dxa"/>
            <w:vAlign w:val="bottom"/>
          </w:tcPr>
          <w:p>
            <w:pPr>
              <w:spacing w:after="0"/>
              <w:rPr>
                <w:sz w:val="13"/>
                <w:szCs w:val="13"/>
                <w:color w:val="auto"/>
              </w:rPr>
            </w:pPr>
          </w:p>
        </w:tc>
        <w:tc>
          <w:tcPr>
            <w:tcW w:w="7140" w:type="dxa"/>
            <w:vAlign w:val="bottom"/>
            <w:shd w:val="clear" w:color="auto" w:fill="F0FFFF"/>
          </w:tcPr>
          <w:p>
            <w:pPr>
              <w:spacing w:after="0"/>
              <w:rPr>
                <w:sz w:val="13"/>
                <w:szCs w:val="13"/>
                <w:color w:val="auto"/>
              </w:rPr>
            </w:pPr>
          </w:p>
        </w:tc>
        <w:tc>
          <w:tcPr>
            <w:tcW w:w="1400" w:type="dxa"/>
            <w:vAlign w:val="bottom"/>
            <w:shd w:val="clear" w:color="auto" w:fill="F0FFFF"/>
          </w:tcPr>
          <w:p>
            <w:pPr>
              <w:spacing w:after="0"/>
              <w:rPr>
                <w:sz w:val="13"/>
                <w:szCs w:val="13"/>
                <w:color w:val="auto"/>
              </w:rPr>
            </w:pPr>
          </w:p>
        </w:tc>
      </w:tr>
    </w:tbl>
    <w:p>
      <w:pPr>
        <w:sectPr>
          <w:pgSz w:w="11900" w:h="16900" w:orient="portrait"/>
          <w:cols w:equalWidth="0" w:num="1">
            <w:col w:w="11420"/>
          </w:cols>
          <w:pgMar w:left="240" w:top="918" w:right="239" w:bottom="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1500" w:type="dxa"/>
            <w:vAlign w:val="bottom"/>
            <w:shd w:val="clear" w:color="auto" w:fill="F0FFFF"/>
          </w:tcPr>
          <w:p>
            <w:pPr>
              <w:spacing w:after="0"/>
              <w:rPr>
                <w:sz w:val="20"/>
                <w:szCs w:val="20"/>
                <w:color w:val="auto"/>
              </w:rPr>
            </w:pPr>
            <w:r>
              <w:rPr>
                <w:rFonts w:ascii="Arial" w:cs="Arial" w:eastAsia="Arial" w:hAnsi="Arial"/>
                <w:sz w:val="18"/>
                <w:szCs w:val="18"/>
                <w:color w:val="auto"/>
                <w:w w:val="88"/>
              </w:rPr>
              <w:t>Issuance under 2012</w:t>
            </w:r>
          </w:p>
        </w:tc>
        <w:tc>
          <w:tcPr>
            <w:tcW w:w="5800" w:type="dxa"/>
            <w:vAlign w:val="bottom"/>
            <w:shd w:val="clear" w:color="auto" w:fill="F0FFFF"/>
          </w:tcPr>
          <w:p>
            <w:pPr>
              <w:ind w:left="20"/>
              <w:spacing w:after="0"/>
              <w:rPr>
                <w:sz w:val="20"/>
                <w:szCs w:val="20"/>
                <w:color w:val="auto"/>
              </w:rPr>
            </w:pPr>
            <w:r>
              <w:rPr>
                <w:rFonts w:ascii="Arial" w:cs="Arial" w:eastAsia="Arial" w:hAnsi="Arial"/>
                <w:sz w:val="18"/>
                <w:szCs w:val="18"/>
                <w:color w:val="auto"/>
              </w:rPr>
              <w:t>Stock Incentive Plan</w:t>
            </w:r>
          </w:p>
        </w:tc>
        <w:tc>
          <w:tcPr>
            <w:tcW w:w="124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31,484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w w:val="88"/>
              </w:rPr>
              <w:t>Issuance under 2013</w:t>
            </w:r>
          </w:p>
        </w:tc>
        <w:tc>
          <w:tcPr>
            <w:tcW w:w="5800" w:type="dxa"/>
            <w:vAlign w:val="bottom"/>
          </w:tcPr>
          <w:p>
            <w:pPr>
              <w:ind w:left="20"/>
              <w:spacing w:after="0"/>
              <w:rPr>
                <w:sz w:val="20"/>
                <w:szCs w:val="20"/>
                <w:color w:val="auto"/>
              </w:rPr>
            </w:pPr>
            <w:r>
              <w:rPr>
                <w:rFonts w:ascii="Arial" w:cs="Arial" w:eastAsia="Arial" w:hAnsi="Arial"/>
                <w:sz w:val="18"/>
                <w:szCs w:val="18"/>
                <w:color w:val="auto"/>
              </w:rPr>
              <w:t>Stock Incentive Plan</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500,000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500" w:type="dxa"/>
            <w:vAlign w:val="bottom"/>
            <w:shd w:val="clear" w:color="auto" w:fill="F0FFFF"/>
          </w:tcPr>
          <w:p>
            <w:pPr>
              <w:spacing w:after="0"/>
              <w:rPr>
                <w:sz w:val="20"/>
                <w:szCs w:val="20"/>
                <w:color w:val="auto"/>
              </w:rPr>
            </w:pPr>
            <w:r>
              <w:rPr>
                <w:rFonts w:ascii="Arial" w:cs="Arial" w:eastAsia="Arial" w:hAnsi="Arial"/>
                <w:sz w:val="18"/>
                <w:szCs w:val="18"/>
                <w:color w:val="auto"/>
                <w:w w:val="88"/>
              </w:rPr>
              <w:t>Issuance under 2014</w:t>
            </w:r>
          </w:p>
        </w:tc>
        <w:tc>
          <w:tcPr>
            <w:tcW w:w="5800" w:type="dxa"/>
            <w:vAlign w:val="bottom"/>
            <w:shd w:val="clear" w:color="auto" w:fill="F0FFFF"/>
          </w:tcPr>
          <w:p>
            <w:pPr>
              <w:ind w:left="20"/>
              <w:spacing w:after="0"/>
              <w:rPr>
                <w:sz w:val="20"/>
                <w:szCs w:val="20"/>
                <w:color w:val="auto"/>
              </w:rPr>
            </w:pPr>
            <w:r>
              <w:rPr>
                <w:rFonts w:ascii="Arial" w:cs="Arial" w:eastAsia="Arial" w:hAnsi="Arial"/>
                <w:sz w:val="18"/>
                <w:szCs w:val="18"/>
                <w:color w:val="auto"/>
              </w:rPr>
              <w:t>Stock Option Incentive Plan</w:t>
            </w:r>
          </w:p>
        </w:tc>
        <w:tc>
          <w:tcPr>
            <w:tcW w:w="124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750,000</w:t>
            </w: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Issuance to former Chief Executive Officer upon the occurrence of a USA Transaction</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140,000</w:t>
            </w:r>
          </w:p>
        </w:tc>
        <w:tc>
          <w:tcPr>
            <w:tcW w:w="1440" w:type="dxa"/>
            <w:vAlign w:val="bottom"/>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730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Total shares reserved for future issuance</w:t>
            </w:r>
          </w:p>
        </w:tc>
        <w:tc>
          <w:tcPr>
            <w:tcW w:w="124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5,828,681</w:t>
            </w:r>
          </w:p>
        </w:tc>
        <w:tc>
          <w:tcPr>
            <w:tcW w:w="1440" w:type="dxa"/>
            <w:vAlign w:val="bottom"/>
          </w:tcPr>
          <w:p>
            <w:pPr>
              <w:spacing w:after="0"/>
              <w:rPr>
                <w:sz w:val="19"/>
                <w:szCs w:val="19"/>
                <w:color w:val="auto"/>
              </w:rPr>
            </w:pPr>
          </w:p>
        </w:tc>
      </w:tr>
      <w:tr>
        <w:trPr>
          <w:trHeight w:val="675"/>
        </w:trPr>
        <w:tc>
          <w:tcPr>
            <w:tcW w:w="1440" w:type="dxa"/>
            <w:vAlign w:val="bottom"/>
            <w:tcBorders>
              <w:bottom w:val="single" w:sz="8" w:color="DCDCDC"/>
            </w:tcBorders>
          </w:tcPr>
          <w:p>
            <w:pPr>
              <w:spacing w:after="0"/>
              <w:rPr>
                <w:sz w:val="24"/>
                <w:szCs w:val="24"/>
                <w:color w:val="auto"/>
              </w:rPr>
            </w:pPr>
          </w:p>
        </w:tc>
        <w:tc>
          <w:tcPr>
            <w:tcW w:w="1500" w:type="dxa"/>
            <w:vAlign w:val="bottom"/>
            <w:tcBorders>
              <w:bottom w:val="single" w:sz="8" w:color="DCDCDC"/>
            </w:tcBorders>
          </w:tcPr>
          <w:p>
            <w:pPr>
              <w:spacing w:after="0"/>
              <w:rPr>
                <w:sz w:val="24"/>
                <w:szCs w:val="24"/>
                <w:color w:val="auto"/>
              </w:rPr>
            </w:pPr>
          </w:p>
        </w:tc>
        <w:tc>
          <w:tcPr>
            <w:tcW w:w="5800" w:type="dxa"/>
            <w:vAlign w:val="bottom"/>
            <w:tcBorders>
              <w:bottom w:val="single" w:sz="8" w:color="DCDCDC"/>
            </w:tcBorders>
          </w:tcPr>
          <w:p>
            <w:pPr>
              <w:ind w:left="2600"/>
              <w:spacing w:after="0"/>
              <w:rPr>
                <w:sz w:val="20"/>
                <w:szCs w:val="20"/>
                <w:color w:val="auto"/>
              </w:rPr>
            </w:pPr>
            <w:r>
              <w:rPr>
                <w:rFonts w:ascii="Arial" w:cs="Arial" w:eastAsia="Arial" w:hAnsi="Arial"/>
                <w:sz w:val="18"/>
                <w:szCs w:val="18"/>
                <w:color w:val="auto"/>
              </w:rPr>
              <w:t>F-18</w:t>
            </w:r>
          </w:p>
        </w:tc>
        <w:tc>
          <w:tcPr>
            <w:tcW w:w="1240" w:type="dxa"/>
            <w:vAlign w:val="bottom"/>
            <w:tcBorders>
              <w:bottom w:val="single" w:sz="8" w:color="DCDCDC"/>
            </w:tcBorders>
          </w:tcPr>
          <w:p>
            <w:pPr>
              <w:spacing w:after="0"/>
              <w:rPr>
                <w:sz w:val="24"/>
                <w:szCs w:val="24"/>
                <w:color w:val="auto"/>
              </w:rPr>
            </w:pPr>
          </w:p>
        </w:tc>
        <w:tc>
          <w:tcPr>
            <w:tcW w:w="14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COMMON STOCK (CONTINUED)</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summary of the status of the Company’s nonvested common shares as of June 30, 2014, 2013, and 2012, and changes during the years then ended is presented below:</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30"/>
              <w:spacing w:after="0"/>
              <w:rPr>
                <w:sz w:val="20"/>
                <w:szCs w:val="20"/>
                <w:color w:val="auto"/>
              </w:rPr>
            </w:pPr>
            <w:r>
              <w:rPr>
                <w:rFonts w:ascii="Arial" w:cs="Arial" w:eastAsia="Arial" w:hAnsi="Arial"/>
                <w:sz w:val="18"/>
                <w:szCs w:val="18"/>
                <w:color w:val="auto"/>
                <w:w w:val="89"/>
              </w:rPr>
              <w:t>Weighted-Average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30"/>
              <w:spacing w:after="0"/>
              <w:rPr>
                <w:sz w:val="20"/>
                <w:szCs w:val="20"/>
                <w:color w:val="auto"/>
              </w:rPr>
            </w:pPr>
            <w:r>
              <w:rPr>
                <w:rFonts w:ascii="Arial" w:cs="Arial" w:eastAsia="Arial" w:hAnsi="Arial"/>
                <w:sz w:val="18"/>
                <w:szCs w:val="18"/>
                <w:color w:val="auto"/>
                <w:w w:val="92"/>
              </w:rPr>
              <w:t>Grant-Date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0" w:type="dxa"/>
            <w:vAlign w:val="bottom"/>
            <w:gridSpan w:val="2"/>
            <w:shd w:val="clear" w:color="auto" w:fill="F0FFFF"/>
          </w:tcPr>
          <w:p>
            <w:pPr>
              <w:spacing w:after="0" w:line="176" w:lineRule="exact"/>
              <w:rPr>
                <w:sz w:val="20"/>
                <w:szCs w:val="20"/>
                <w:color w:val="auto"/>
              </w:rPr>
            </w:pPr>
            <w:r>
              <w:rPr>
                <w:rFonts w:ascii="Arial" w:cs="Arial" w:eastAsia="Arial" w:hAnsi="Arial"/>
                <w:sz w:val="18"/>
                <w:szCs w:val="18"/>
                <w:color w:val="auto"/>
              </w:rPr>
              <w:t>Nonvested Shares</w:t>
            </w:r>
          </w:p>
        </w:tc>
        <w:tc>
          <w:tcPr>
            <w:tcW w:w="116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56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280" w:type="dxa"/>
            <w:vAlign w:val="bottom"/>
            <w:tcBorders>
              <w:top w:val="single" w:sz="8" w:color="auto"/>
            </w:tcBorders>
            <w:shd w:val="clear" w:color="auto" w:fill="F0FFFF"/>
          </w:tcPr>
          <w:p>
            <w:pPr>
              <w:spacing w:after="0" w:line="20" w:lineRule="exact"/>
              <w:rPr>
                <w:sz w:val="1"/>
                <w:szCs w:val="1"/>
                <w:color w:val="auto"/>
              </w:rPr>
            </w:pPr>
          </w:p>
        </w:tc>
        <w:tc>
          <w:tcPr>
            <w:tcW w:w="4920" w:type="dxa"/>
            <w:vAlign w:val="bottom"/>
            <w:tcBorders>
              <w:top w:val="single" w:sz="8" w:color="F0FFFF"/>
            </w:tcBorders>
            <w:shd w:val="clear" w:color="auto" w:fill="F0FFFF"/>
          </w:tcPr>
          <w:p>
            <w:pPr>
              <w:spacing w:after="0" w:line="20" w:lineRule="exact"/>
              <w:rPr>
                <w:sz w:val="1"/>
                <w:szCs w:val="1"/>
                <w:color w:val="auto"/>
              </w:rPr>
            </w:pPr>
          </w:p>
        </w:tc>
        <w:tc>
          <w:tcPr>
            <w:tcW w:w="116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56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Nonvested at June 30, 2011</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187,335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Granted</w:t>
            </w:r>
          </w:p>
        </w:tc>
        <w:tc>
          <w:tcPr>
            <w:tcW w:w="11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473,285</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5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160" w:type="dxa"/>
            <w:vAlign w:val="bottom"/>
          </w:tcPr>
          <w:p>
            <w:pPr>
              <w:jc w:val="right"/>
              <w:spacing w:after="0"/>
              <w:rPr>
                <w:sz w:val="20"/>
                <w:szCs w:val="20"/>
                <w:color w:val="auto"/>
              </w:rPr>
            </w:pPr>
            <w:r>
              <w:rPr>
                <w:rFonts w:ascii="Arial" w:cs="Arial" w:eastAsia="Arial" w:hAnsi="Arial"/>
                <w:sz w:val="18"/>
                <w:szCs w:val="18"/>
                <w:color w:val="auto"/>
              </w:rPr>
              <w:t>(380,282)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Forfeited due to Separation Agreement</w:t>
            </w:r>
          </w:p>
        </w:tc>
        <w:tc>
          <w:tcPr>
            <w:tcW w:w="11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(91,667)</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5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50"/>
        </w:trPr>
        <w:tc>
          <w:tcPr>
            <w:tcW w:w="6220" w:type="dxa"/>
            <w:vAlign w:val="bottom"/>
            <w:gridSpan w:val="3"/>
          </w:tcPr>
          <w:p>
            <w:pPr>
              <w:spacing w:after="0"/>
              <w:rPr>
                <w:sz w:val="20"/>
                <w:szCs w:val="20"/>
                <w:color w:val="auto"/>
              </w:rPr>
            </w:pPr>
            <w:r>
              <w:rPr>
                <w:rFonts w:ascii="Arial" w:cs="Arial" w:eastAsia="Arial" w:hAnsi="Arial"/>
                <w:sz w:val="18"/>
                <w:szCs w:val="18"/>
                <w:color w:val="auto"/>
              </w:rPr>
              <w:t>Forfeited, Director changes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Nonvested at June 30, 2012</w:t>
            </w:r>
          </w:p>
        </w:tc>
        <w:tc>
          <w:tcPr>
            <w:tcW w:w="11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172,003</w:t>
            </w:r>
          </w:p>
        </w:tc>
        <w:tc>
          <w:tcPr>
            <w:tcW w:w="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156,429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Vested</w:t>
            </w:r>
          </w:p>
        </w:tc>
        <w:tc>
          <w:tcPr>
            <w:tcW w:w="11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(204,587)</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5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50"/>
        </w:trPr>
        <w:tc>
          <w:tcPr>
            <w:tcW w:w="6220" w:type="dxa"/>
            <w:vAlign w:val="bottom"/>
            <w:gridSpan w:val="3"/>
          </w:tcPr>
          <w:p>
            <w:pPr>
              <w:spacing w:after="0"/>
              <w:rPr>
                <w:sz w:val="20"/>
                <w:szCs w:val="20"/>
                <w:color w:val="auto"/>
              </w:rPr>
            </w:pPr>
            <w:r>
              <w:rPr>
                <w:rFonts w:ascii="Arial" w:cs="Arial" w:eastAsia="Arial" w:hAnsi="Arial"/>
                <w:sz w:val="18"/>
                <w:szCs w:val="18"/>
                <w:color w:val="auto"/>
              </w:rPr>
              <w:t>Forfeited, Employee shares not earned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Nonvested at June 30, 2013</w:t>
            </w:r>
          </w:p>
        </w:tc>
        <w:tc>
          <w:tcPr>
            <w:tcW w:w="11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97,146</w:t>
            </w:r>
          </w:p>
        </w:tc>
        <w:tc>
          <w:tcPr>
            <w:tcW w:w="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Vested</w:t>
            </w:r>
          </w:p>
        </w:tc>
        <w:tc>
          <w:tcPr>
            <w:tcW w:w="11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(55,001)</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5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Forfeited, Director changes</w:t>
            </w:r>
          </w:p>
        </w:tc>
        <w:tc>
          <w:tcPr>
            <w:tcW w:w="1160" w:type="dxa"/>
            <w:vAlign w:val="bottom"/>
          </w:tcPr>
          <w:p>
            <w:pPr>
              <w:jc w:val="right"/>
              <w:spacing w:after="0"/>
              <w:rPr>
                <w:sz w:val="20"/>
                <w:szCs w:val="20"/>
                <w:color w:val="auto"/>
              </w:rPr>
            </w:pPr>
            <w:r>
              <w:rPr>
                <w:rFonts w:ascii="Arial" w:cs="Arial" w:eastAsia="Arial" w:hAnsi="Arial"/>
                <w:sz w:val="18"/>
                <w:szCs w:val="18"/>
                <w:color w:val="auto"/>
              </w:rPr>
              <w:t>(3,334)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0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Forfeited, Employee shares not earned</w:t>
            </w:r>
          </w:p>
        </w:tc>
        <w:tc>
          <w:tcPr>
            <w:tcW w:w="1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560" w:type="dxa"/>
            <w:vAlign w:val="bottom"/>
            <w:tcBorders>
              <w:bottom w:val="single" w:sz="8" w:color="F0FFFF"/>
            </w:tcBorders>
            <w:shd w:val="clear" w:color="auto" w:fill="F0FFFF"/>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Nonvested at June 30, 2014</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43,811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43,811 nonvested shares of Common Stock as of June 30, 2014 were granted under the 2011 and 2012 stock incentive plans and relate to employment agreements, other employee grants, and non-employee Board of Director grants. A discussion of assumptions used in calculating the number of shares and weighted-average grant date fair value is included above in Note 12.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COMMON STOCK WARRANTS AND OPTIONS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WARRANTS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Common Stock warrants outstanding as of June 30, 2014 were exercisable. The following table shows exercise prices and expiration dates for warrants outstanding as of June 30, 2014:</w:t>
      </w:r>
    </w:p>
    <w:p>
      <w:pPr>
        <w:spacing w:after="0" w:line="170"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center"/>
              <w:ind w:right="1080"/>
              <w:spacing w:after="0"/>
              <w:rPr>
                <w:sz w:val="20"/>
                <w:szCs w:val="20"/>
                <w:color w:val="auto"/>
              </w:rPr>
            </w:pPr>
            <w:r>
              <w:rPr>
                <w:rFonts w:ascii="Arial" w:cs="Arial" w:eastAsia="Arial" w:hAnsi="Arial"/>
                <w:sz w:val="18"/>
                <w:szCs w:val="18"/>
                <w:color w:val="auto"/>
                <w:w w:val="89"/>
              </w:rPr>
              <w:t>Exercise</w:t>
            </w:r>
          </w:p>
        </w:tc>
        <w:tc>
          <w:tcPr>
            <w:tcW w:w="1400" w:type="dxa"/>
            <w:vAlign w:val="bottom"/>
          </w:tcPr>
          <w:p>
            <w:pPr>
              <w:spacing w:after="0"/>
              <w:rPr>
                <w:sz w:val="18"/>
                <w:szCs w:val="18"/>
                <w:color w:val="auto"/>
              </w:rPr>
            </w:pPr>
          </w:p>
        </w:tc>
      </w:tr>
      <w:tr>
        <w:trPr>
          <w:trHeight w:val="216"/>
        </w:trPr>
        <w:tc>
          <w:tcPr>
            <w:tcW w:w="2460" w:type="dxa"/>
            <w:vAlign w:val="bottom"/>
            <w:gridSpan w:val="2"/>
          </w:tcPr>
          <w:p>
            <w:pPr>
              <w:jc w:val="right"/>
              <w:ind w:right="144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18"/>
                <w:szCs w:val="18"/>
                <w:color w:val="auto"/>
              </w:rPr>
            </w:pPr>
          </w:p>
        </w:tc>
        <w:tc>
          <w:tcPr>
            <w:tcW w:w="1860" w:type="dxa"/>
            <w:vAlign w:val="bottom"/>
            <w:gridSpan w:val="2"/>
          </w:tcPr>
          <w:p>
            <w:pPr>
              <w:jc w:val="center"/>
              <w:ind w:right="1080"/>
              <w:spacing w:after="0"/>
              <w:rPr>
                <w:sz w:val="20"/>
                <w:szCs w:val="20"/>
                <w:color w:val="auto"/>
              </w:rPr>
            </w:pPr>
            <w:r>
              <w:rPr>
                <w:rFonts w:ascii="Arial" w:cs="Arial" w:eastAsia="Arial" w:hAnsi="Arial"/>
                <w:sz w:val="18"/>
                <w:szCs w:val="18"/>
                <w:color w:val="auto"/>
                <w:w w:val="92"/>
              </w:rPr>
              <w:t>Price</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Expiration</w:t>
            </w:r>
          </w:p>
        </w:tc>
      </w:tr>
      <w:tr>
        <w:trPr>
          <w:trHeight w:val="237"/>
        </w:trPr>
        <w:tc>
          <w:tcPr>
            <w:tcW w:w="2460" w:type="dxa"/>
            <w:vAlign w:val="bottom"/>
            <w:gridSpan w:val="2"/>
          </w:tcPr>
          <w:p>
            <w:pPr>
              <w:jc w:val="right"/>
              <w:ind w:right="1320"/>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20"/>
                <w:szCs w:val="20"/>
                <w:color w:val="auto"/>
              </w:rPr>
            </w:pPr>
          </w:p>
        </w:tc>
        <w:tc>
          <w:tcPr>
            <w:tcW w:w="1860" w:type="dxa"/>
            <w:vAlign w:val="bottom"/>
            <w:gridSpan w:val="2"/>
          </w:tcPr>
          <w:p>
            <w:pPr>
              <w:jc w:val="center"/>
              <w:ind w:right="1080"/>
              <w:spacing w:after="0"/>
              <w:rPr>
                <w:sz w:val="20"/>
                <w:szCs w:val="20"/>
                <w:color w:val="auto"/>
              </w:rPr>
            </w:pPr>
            <w:r>
              <w:rPr>
                <w:rFonts w:ascii="Arial" w:cs="Arial" w:eastAsia="Arial" w:hAnsi="Arial"/>
                <w:sz w:val="18"/>
                <w:szCs w:val="18"/>
                <w:color w:val="auto"/>
                <w:w w:val="86"/>
              </w:rPr>
              <w:t>Per Share</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02"/>
        </w:trPr>
        <w:tc>
          <w:tcPr>
            <w:tcW w:w="1380" w:type="dxa"/>
            <w:vAlign w:val="bottom"/>
            <w:tcBorders>
              <w:top w:val="single" w:sz="8" w:color="auto"/>
            </w:tcBorders>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22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400" w:type="dxa"/>
            <w:vAlign w:val="bottom"/>
            <w:tcBorders>
              <w:top w:val="single" w:sz="8" w:color="auto"/>
            </w:tcBorders>
            <w:shd w:val="clear" w:color="auto" w:fill="F0FFFF"/>
          </w:tcPr>
          <w:p>
            <w:pPr>
              <w:jc w:val="center"/>
              <w:spacing w:after="0" w:line="201" w:lineRule="exact"/>
              <w:rPr>
                <w:sz w:val="20"/>
                <w:szCs w:val="20"/>
                <w:color w:val="auto"/>
              </w:rPr>
            </w:pPr>
            <w:r>
              <w:rPr>
                <w:rFonts w:ascii="Arial" w:cs="Arial" w:eastAsia="Arial" w:hAnsi="Arial"/>
                <w:sz w:val="18"/>
                <w:szCs w:val="18"/>
                <w:color w:val="auto"/>
                <w:w w:val="88"/>
              </w:rPr>
              <w:t>September 18,</w:t>
            </w:r>
          </w:p>
        </w:tc>
      </w:tr>
      <w:tr>
        <w:trPr>
          <w:trHeight w:val="230"/>
        </w:trPr>
        <w:tc>
          <w:tcPr>
            <w:tcW w:w="2460" w:type="dxa"/>
            <w:vAlign w:val="bottom"/>
            <w:gridSpan w:val="2"/>
            <w:shd w:val="clear" w:color="auto" w:fill="F0FFFF"/>
          </w:tcPr>
          <w:p>
            <w:pPr>
              <w:jc w:val="right"/>
              <w:ind w:right="1080"/>
              <w:spacing w:after="0"/>
              <w:rPr>
                <w:sz w:val="20"/>
                <w:szCs w:val="20"/>
                <w:color w:val="auto"/>
              </w:rPr>
            </w:pPr>
            <w:r>
              <w:rPr>
                <w:rFonts w:ascii="Arial" w:cs="Arial" w:eastAsia="Arial" w:hAnsi="Arial"/>
                <w:sz w:val="18"/>
                <w:szCs w:val="18"/>
                <w:color w:val="auto"/>
              </w:rPr>
              <w:t>4,264,000</w:t>
            </w:r>
          </w:p>
        </w:tc>
        <w:tc>
          <w:tcPr>
            <w:tcW w:w="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F0FFFF"/>
          </w:tcPr>
          <w:p>
            <w:pPr>
              <w:jc w:val="right"/>
              <w:ind w:right="880"/>
              <w:spacing w:after="0"/>
              <w:rPr>
                <w:sz w:val="20"/>
                <w:szCs w:val="20"/>
                <w:color w:val="auto"/>
              </w:rPr>
            </w:pPr>
            <w:r>
              <w:rPr>
                <w:rFonts w:ascii="Arial" w:cs="Arial" w:eastAsia="Arial" w:hAnsi="Arial"/>
                <w:sz w:val="18"/>
                <w:szCs w:val="18"/>
                <w:color w:val="auto"/>
              </w:rPr>
              <w:t>2.6058</w:t>
            </w:r>
          </w:p>
        </w:tc>
        <w:tc>
          <w:tcPr>
            <w:tcW w:w="140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89"/>
              </w:rPr>
              <w:t>2016</w:t>
            </w:r>
          </w:p>
        </w:tc>
      </w:tr>
      <w:tr>
        <w:trPr>
          <w:trHeight w:val="202"/>
        </w:trPr>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88"/>
              </w:rPr>
              <w:t>December 31,</w:t>
            </w:r>
          </w:p>
        </w:tc>
      </w:tr>
      <w:tr>
        <w:trPr>
          <w:trHeight w:val="230"/>
        </w:trPr>
        <w:tc>
          <w:tcPr>
            <w:tcW w:w="2460" w:type="dxa"/>
            <w:vAlign w:val="bottom"/>
            <w:gridSpan w:val="2"/>
          </w:tcPr>
          <w:p>
            <w:pPr>
              <w:jc w:val="right"/>
              <w:ind w:right="1080"/>
              <w:spacing w:after="0"/>
              <w:rPr>
                <w:sz w:val="20"/>
                <w:szCs w:val="20"/>
                <w:color w:val="auto"/>
              </w:rPr>
            </w:pPr>
            <w:r>
              <w:rPr>
                <w:rFonts w:ascii="Arial" w:cs="Arial" w:eastAsia="Arial" w:hAnsi="Arial"/>
                <w:sz w:val="18"/>
                <w:szCs w:val="18"/>
                <w:color w:val="auto"/>
              </w:rPr>
              <w:t>45,000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880"/>
              <w:spacing w:after="0"/>
              <w:rPr>
                <w:sz w:val="20"/>
                <w:szCs w:val="20"/>
                <w:color w:val="auto"/>
              </w:rPr>
            </w:pPr>
            <w:r>
              <w:rPr>
                <w:rFonts w:ascii="Arial" w:cs="Arial" w:eastAsia="Arial" w:hAnsi="Arial"/>
                <w:sz w:val="18"/>
                <w:szCs w:val="18"/>
                <w:color w:val="auto"/>
              </w:rPr>
              <w:t>2.10</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2017</w:t>
            </w:r>
          </w:p>
        </w:tc>
      </w:tr>
      <w:tr>
        <w:trPr>
          <w:trHeight w:val="27"/>
        </w:trPr>
        <w:tc>
          <w:tcPr>
            <w:tcW w:w="13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2460" w:type="dxa"/>
            <w:vAlign w:val="bottom"/>
            <w:gridSpan w:val="2"/>
            <w:shd w:val="clear" w:color="auto" w:fill="F0FFFF"/>
          </w:tcPr>
          <w:p>
            <w:pPr>
              <w:jc w:val="right"/>
              <w:ind w:right="1080"/>
              <w:spacing w:after="0"/>
              <w:rPr>
                <w:sz w:val="20"/>
                <w:szCs w:val="20"/>
                <w:color w:val="auto"/>
              </w:rPr>
            </w:pPr>
            <w:r>
              <w:rPr>
                <w:rFonts w:ascii="Arial" w:cs="Arial" w:eastAsia="Arial" w:hAnsi="Arial"/>
                <w:sz w:val="18"/>
                <w:szCs w:val="18"/>
                <w:color w:val="auto"/>
              </w:rPr>
              <w:t>4,309,000</w:t>
            </w:r>
          </w:p>
        </w:tc>
        <w:tc>
          <w:tcPr>
            <w:tcW w:w="220" w:type="dxa"/>
            <w:vAlign w:val="bottom"/>
            <w:shd w:val="clear" w:color="auto" w:fill="F0FFFF"/>
          </w:tcPr>
          <w:p>
            <w:pPr>
              <w:spacing w:after="0"/>
              <w:rPr>
                <w:sz w:val="20"/>
                <w:szCs w:val="20"/>
                <w:color w:val="auto"/>
              </w:rPr>
            </w:pPr>
          </w:p>
        </w:tc>
        <w:tc>
          <w:tcPr>
            <w:tcW w:w="980" w:type="dxa"/>
            <w:vAlign w:val="bottom"/>
            <w:shd w:val="clear" w:color="auto" w:fill="F0FFFF"/>
          </w:tcPr>
          <w:p>
            <w:pPr>
              <w:spacing w:after="0"/>
              <w:rPr>
                <w:sz w:val="20"/>
                <w:szCs w:val="20"/>
                <w:color w:val="auto"/>
              </w:rPr>
            </w:pPr>
          </w:p>
        </w:tc>
        <w:tc>
          <w:tcPr>
            <w:tcW w:w="880" w:type="dxa"/>
            <w:vAlign w:val="bottom"/>
            <w:shd w:val="clear" w:color="auto" w:fill="F0FFFF"/>
          </w:tcPr>
          <w:p>
            <w:pPr>
              <w:spacing w:after="0"/>
              <w:rPr>
                <w:sz w:val="20"/>
                <w:szCs w:val="20"/>
                <w:color w:val="auto"/>
              </w:rPr>
            </w:pPr>
          </w:p>
        </w:tc>
        <w:tc>
          <w:tcPr>
            <w:tcW w:w="1400" w:type="dxa"/>
            <w:vAlign w:val="bottom"/>
            <w:shd w:val="clear" w:color="auto" w:fill="F0FFFF"/>
          </w:tcPr>
          <w:p>
            <w:pPr>
              <w:spacing w:after="0"/>
              <w:rPr>
                <w:sz w:val="20"/>
                <w:szCs w:val="20"/>
                <w:color w:val="auto"/>
              </w:rPr>
            </w:pPr>
          </w:p>
        </w:tc>
      </w:tr>
      <w:tr>
        <w:trPr>
          <w:trHeight w:val="20"/>
        </w:trPr>
        <w:tc>
          <w:tcPr>
            <w:tcW w:w="13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980" w:type="dxa"/>
            <w:vAlign w:val="bottom"/>
            <w:tcBorders>
              <w:top w:val="single" w:sz="8" w:color="F0FFFF"/>
            </w:tcBorders>
            <w:shd w:val="clear" w:color="auto" w:fill="F0FFFF"/>
          </w:tcPr>
          <w:p>
            <w:pPr>
              <w:spacing w:after="0" w:line="20" w:lineRule="exact"/>
              <w:rPr>
                <w:sz w:val="1"/>
                <w:szCs w:val="1"/>
                <w:color w:val="auto"/>
              </w:rPr>
            </w:pPr>
          </w:p>
        </w:tc>
        <w:tc>
          <w:tcPr>
            <w:tcW w:w="880" w:type="dxa"/>
            <w:vAlign w:val="bottom"/>
            <w:tcBorders>
              <w:top w:val="single" w:sz="8" w:color="F0FFFF"/>
            </w:tcBorders>
            <w:shd w:val="clear" w:color="auto" w:fill="F0FFFF"/>
          </w:tcPr>
          <w:p>
            <w:pPr>
              <w:spacing w:after="0" w:line="20" w:lineRule="exact"/>
              <w:rPr>
                <w:sz w:val="1"/>
                <w:szCs w:val="1"/>
                <w:color w:val="auto"/>
              </w:rPr>
            </w:pPr>
          </w:p>
        </w:tc>
        <w:tc>
          <w:tcPr>
            <w:tcW w:w="1400" w:type="dxa"/>
            <w:vAlign w:val="bottom"/>
            <w:tcBorders>
              <w:top w:val="single" w:sz="8" w:color="F0FFFF"/>
            </w:tcBorders>
            <w:shd w:val="clear" w:color="auto" w:fill="F0FF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Stock Warrant activity for the years ended June 30, 2014, 2013, and 2012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Warrants</w:t>
            </w:r>
          </w:p>
        </w:tc>
        <w:tc>
          <w:tcPr>
            <w:tcW w:w="1720" w:type="dxa"/>
            <w:vAlign w:val="bottom"/>
          </w:tcPr>
          <w:p>
            <w:pPr>
              <w:spacing w:after="0"/>
              <w:rPr>
                <w:sz w:val="20"/>
                <w:szCs w:val="20"/>
                <w:color w:val="auto"/>
              </w:rPr>
            </w:pPr>
          </w:p>
        </w:tc>
      </w:tr>
      <w:tr>
        <w:trPr>
          <w:trHeight w:val="216"/>
        </w:trPr>
        <w:tc>
          <w:tcPr>
            <w:tcW w:w="1720" w:type="dxa"/>
            <w:vAlign w:val="bottom"/>
          </w:tcPr>
          <w:p>
            <w:pPr>
              <w:spacing w:after="0"/>
              <w:rPr>
                <w:sz w:val="18"/>
                <w:szCs w:val="18"/>
                <w:color w:val="auto"/>
              </w:rPr>
            </w:pPr>
          </w:p>
        </w:tc>
        <w:tc>
          <w:tcPr>
            <w:tcW w:w="2960" w:type="dxa"/>
            <w:vAlign w:val="bottom"/>
            <w:shd w:val="clear" w:color="auto" w:fill="F0FFFF"/>
          </w:tcPr>
          <w:p>
            <w:pPr>
              <w:spacing w:after="0"/>
              <w:rPr>
                <w:sz w:val="20"/>
                <w:szCs w:val="20"/>
                <w:color w:val="auto"/>
              </w:rPr>
            </w:pPr>
            <w:r>
              <w:rPr>
                <w:rFonts w:ascii="Arial" w:cs="Arial" w:eastAsia="Arial" w:hAnsi="Arial"/>
                <w:sz w:val="18"/>
                <w:szCs w:val="18"/>
                <w:color w:val="auto"/>
              </w:rPr>
              <w:t>Outstanding at June 30, 2011</w:t>
            </w:r>
          </w:p>
        </w:tc>
        <w:tc>
          <w:tcPr>
            <w:tcW w:w="502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15,567,199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Issued</w:t>
            </w:r>
          </w:p>
        </w:tc>
        <w:tc>
          <w:tcPr>
            <w:tcW w:w="50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960" w:type="dxa"/>
            <w:vAlign w:val="bottom"/>
            <w:shd w:val="clear" w:color="auto" w:fill="F0FFFF"/>
          </w:tcPr>
          <w:p>
            <w:pPr>
              <w:spacing w:after="0"/>
              <w:rPr>
                <w:sz w:val="20"/>
                <w:szCs w:val="20"/>
                <w:color w:val="auto"/>
              </w:rPr>
            </w:pPr>
            <w:r>
              <w:rPr>
                <w:rFonts w:ascii="Arial" w:cs="Arial" w:eastAsia="Arial" w:hAnsi="Arial"/>
                <w:sz w:val="18"/>
                <w:szCs w:val="18"/>
                <w:color w:val="auto"/>
              </w:rPr>
              <w:t>Exercised</w:t>
            </w:r>
          </w:p>
        </w:tc>
        <w:tc>
          <w:tcPr>
            <w:tcW w:w="50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(7,317)</w:t>
            </w:r>
          </w:p>
        </w:tc>
        <w:tc>
          <w:tcPr>
            <w:tcW w:w="1720" w:type="dxa"/>
            <w:vAlign w:val="bottom"/>
          </w:tcPr>
          <w:p>
            <w:pPr>
              <w:spacing w:after="0"/>
              <w:rPr>
                <w:sz w:val="18"/>
                <w:szCs w:val="18"/>
                <w:color w:val="auto"/>
              </w:rPr>
            </w:pPr>
          </w:p>
        </w:tc>
      </w:tr>
      <w:tr>
        <w:trPr>
          <w:trHeight w:val="250"/>
        </w:trPr>
        <w:tc>
          <w:tcPr>
            <w:tcW w:w="4680" w:type="dxa"/>
            <w:vAlign w:val="bottom"/>
            <w:gridSpan w:val="2"/>
          </w:tcPr>
          <w:p>
            <w:pPr>
              <w:ind w:left="1720"/>
              <w:spacing w:after="0"/>
              <w:rPr>
                <w:sz w:val="20"/>
                <w:szCs w:val="20"/>
                <w:color w:val="auto"/>
              </w:rPr>
            </w:pPr>
            <w:r>
              <w:rPr>
                <w:rFonts w:ascii="Arial" w:cs="Arial" w:eastAsia="Arial" w:hAnsi="Arial"/>
                <w:sz w:val="18"/>
                <w:szCs w:val="18"/>
                <w:color w:val="auto"/>
              </w:rPr>
              <w:t>Expired</w:t>
            </w:r>
          </w:p>
        </w:tc>
        <w:tc>
          <w:tcPr>
            <w:tcW w:w="370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(7,514,263)</w:t>
            </w:r>
          </w:p>
        </w:tc>
        <w:tc>
          <w:tcPr>
            <w:tcW w:w="1720" w:type="dxa"/>
            <w:vAlign w:val="bottom"/>
          </w:tcPr>
          <w:p>
            <w:pPr>
              <w:spacing w:after="0"/>
              <w:rPr>
                <w:sz w:val="21"/>
                <w:szCs w:val="21"/>
                <w:color w:val="auto"/>
              </w:rPr>
            </w:pPr>
          </w:p>
        </w:tc>
      </w:tr>
      <w:tr>
        <w:trPr>
          <w:trHeight w:val="216"/>
        </w:trPr>
        <w:tc>
          <w:tcPr>
            <w:tcW w:w="1720" w:type="dxa"/>
            <w:vAlign w:val="bottom"/>
          </w:tcPr>
          <w:p>
            <w:pPr>
              <w:spacing w:after="0"/>
              <w:rPr>
                <w:sz w:val="18"/>
                <w:szCs w:val="18"/>
                <w:color w:val="auto"/>
              </w:rPr>
            </w:pPr>
          </w:p>
        </w:tc>
        <w:tc>
          <w:tcPr>
            <w:tcW w:w="2960" w:type="dxa"/>
            <w:vAlign w:val="bottom"/>
            <w:shd w:val="clear" w:color="auto" w:fill="F0FFFF"/>
          </w:tcPr>
          <w:p>
            <w:pPr>
              <w:spacing w:after="0"/>
              <w:rPr>
                <w:sz w:val="20"/>
                <w:szCs w:val="20"/>
                <w:color w:val="auto"/>
              </w:rPr>
            </w:pPr>
            <w:r>
              <w:rPr>
                <w:rFonts w:ascii="Arial" w:cs="Arial" w:eastAsia="Arial" w:hAnsi="Arial"/>
                <w:sz w:val="18"/>
                <w:szCs w:val="18"/>
                <w:color w:val="auto"/>
              </w:rPr>
              <w:t>Outstanding at June 30, 2012</w:t>
            </w:r>
          </w:p>
        </w:tc>
        <w:tc>
          <w:tcPr>
            <w:tcW w:w="502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8,045,619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Issued</w:t>
            </w:r>
          </w:p>
        </w:tc>
        <w:tc>
          <w:tcPr>
            <w:tcW w:w="5020" w:type="dxa"/>
            <w:vAlign w:val="bottom"/>
            <w:gridSpan w:val="2"/>
          </w:tcPr>
          <w:p>
            <w:pPr>
              <w:jc w:val="right"/>
              <w:ind w:right="10"/>
              <w:spacing w:after="0"/>
              <w:rPr>
                <w:sz w:val="20"/>
                <w:szCs w:val="20"/>
                <w:color w:val="auto"/>
              </w:rPr>
            </w:pPr>
            <w:r>
              <w:rPr>
                <w:rFonts w:ascii="Arial" w:cs="Arial" w:eastAsia="Arial" w:hAnsi="Arial"/>
                <w:sz w:val="18"/>
                <w:szCs w:val="18"/>
                <w:color w:val="auto"/>
              </w:rPr>
              <w:t>45,000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960" w:type="dxa"/>
            <w:vAlign w:val="bottom"/>
            <w:shd w:val="clear" w:color="auto" w:fill="F0FFFF"/>
          </w:tcPr>
          <w:p>
            <w:pPr>
              <w:spacing w:after="0"/>
              <w:rPr>
                <w:sz w:val="20"/>
                <w:szCs w:val="20"/>
                <w:color w:val="auto"/>
              </w:rPr>
            </w:pPr>
            <w:r>
              <w:rPr>
                <w:rFonts w:ascii="Arial" w:cs="Arial" w:eastAsia="Arial" w:hAnsi="Arial"/>
                <w:sz w:val="18"/>
                <w:szCs w:val="18"/>
                <w:color w:val="auto"/>
              </w:rPr>
              <w:t>Exercised</w:t>
            </w:r>
          </w:p>
        </w:tc>
        <w:tc>
          <w:tcPr>
            <w:tcW w:w="50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(399,597)</w:t>
            </w:r>
          </w:p>
        </w:tc>
        <w:tc>
          <w:tcPr>
            <w:tcW w:w="1720" w:type="dxa"/>
            <w:vAlign w:val="bottom"/>
          </w:tcPr>
          <w:p>
            <w:pPr>
              <w:spacing w:after="0"/>
              <w:rPr>
                <w:sz w:val="18"/>
                <w:szCs w:val="18"/>
                <w:color w:val="auto"/>
              </w:rPr>
            </w:pPr>
          </w:p>
        </w:tc>
      </w:tr>
      <w:tr>
        <w:trPr>
          <w:trHeight w:val="250"/>
        </w:trPr>
        <w:tc>
          <w:tcPr>
            <w:tcW w:w="4680" w:type="dxa"/>
            <w:vAlign w:val="bottom"/>
            <w:gridSpan w:val="2"/>
          </w:tcPr>
          <w:p>
            <w:pPr>
              <w:ind w:left="1720"/>
              <w:spacing w:after="0"/>
              <w:rPr>
                <w:sz w:val="20"/>
                <w:szCs w:val="20"/>
                <w:color w:val="auto"/>
              </w:rPr>
            </w:pPr>
            <w:r>
              <w:rPr>
                <w:rFonts w:ascii="Arial" w:cs="Arial" w:eastAsia="Arial" w:hAnsi="Arial"/>
                <w:sz w:val="18"/>
                <w:szCs w:val="18"/>
                <w:color w:val="auto"/>
              </w:rPr>
              <w:t>Expired</w:t>
            </w:r>
          </w:p>
        </w:tc>
        <w:tc>
          <w:tcPr>
            <w:tcW w:w="370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(329,314)</w:t>
            </w:r>
          </w:p>
        </w:tc>
        <w:tc>
          <w:tcPr>
            <w:tcW w:w="1720" w:type="dxa"/>
            <w:vAlign w:val="bottom"/>
          </w:tcPr>
          <w:p>
            <w:pPr>
              <w:spacing w:after="0"/>
              <w:rPr>
                <w:sz w:val="21"/>
                <w:szCs w:val="21"/>
                <w:color w:val="auto"/>
              </w:rPr>
            </w:pPr>
          </w:p>
        </w:tc>
      </w:tr>
      <w:tr>
        <w:trPr>
          <w:trHeight w:val="216"/>
        </w:trPr>
        <w:tc>
          <w:tcPr>
            <w:tcW w:w="1720" w:type="dxa"/>
            <w:vAlign w:val="bottom"/>
          </w:tcPr>
          <w:p>
            <w:pPr>
              <w:spacing w:after="0"/>
              <w:rPr>
                <w:sz w:val="18"/>
                <w:szCs w:val="18"/>
                <w:color w:val="auto"/>
              </w:rPr>
            </w:pPr>
          </w:p>
        </w:tc>
        <w:tc>
          <w:tcPr>
            <w:tcW w:w="2960" w:type="dxa"/>
            <w:vAlign w:val="bottom"/>
            <w:shd w:val="clear" w:color="auto" w:fill="F0FFFF"/>
          </w:tcPr>
          <w:p>
            <w:pPr>
              <w:spacing w:after="0"/>
              <w:rPr>
                <w:sz w:val="20"/>
                <w:szCs w:val="20"/>
                <w:color w:val="auto"/>
              </w:rPr>
            </w:pPr>
            <w:r>
              <w:rPr>
                <w:rFonts w:ascii="Arial" w:cs="Arial" w:eastAsia="Arial" w:hAnsi="Arial"/>
                <w:sz w:val="18"/>
                <w:szCs w:val="18"/>
                <w:color w:val="auto"/>
              </w:rPr>
              <w:t>Outstanding at June 30, 2013</w:t>
            </w:r>
          </w:p>
        </w:tc>
        <w:tc>
          <w:tcPr>
            <w:tcW w:w="502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7,361,708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Issued</w:t>
            </w:r>
          </w:p>
        </w:tc>
        <w:tc>
          <w:tcPr>
            <w:tcW w:w="50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960" w:type="dxa"/>
            <w:vAlign w:val="bottom"/>
            <w:shd w:val="clear" w:color="auto" w:fill="F0FFFF"/>
          </w:tcPr>
          <w:p>
            <w:pPr>
              <w:spacing w:after="0"/>
              <w:rPr>
                <w:sz w:val="20"/>
                <w:szCs w:val="20"/>
                <w:color w:val="auto"/>
              </w:rPr>
            </w:pPr>
            <w:r>
              <w:rPr>
                <w:rFonts w:ascii="Arial" w:cs="Arial" w:eastAsia="Arial" w:hAnsi="Arial"/>
                <w:sz w:val="18"/>
                <w:szCs w:val="18"/>
                <w:color w:val="auto"/>
              </w:rPr>
              <w:t>Exercised</w:t>
            </w:r>
          </w:p>
        </w:tc>
        <w:tc>
          <w:tcPr>
            <w:tcW w:w="50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(2,090,226)</w:t>
            </w:r>
          </w:p>
        </w:tc>
        <w:tc>
          <w:tcPr>
            <w:tcW w:w="1720" w:type="dxa"/>
            <w:vAlign w:val="bottom"/>
          </w:tcPr>
          <w:p>
            <w:pPr>
              <w:spacing w:after="0"/>
              <w:rPr>
                <w:sz w:val="18"/>
                <w:szCs w:val="18"/>
                <w:color w:val="auto"/>
              </w:rPr>
            </w:pPr>
          </w:p>
        </w:tc>
      </w:tr>
      <w:tr>
        <w:trPr>
          <w:trHeight w:val="250"/>
        </w:trPr>
        <w:tc>
          <w:tcPr>
            <w:tcW w:w="4680" w:type="dxa"/>
            <w:vAlign w:val="bottom"/>
            <w:gridSpan w:val="2"/>
          </w:tcPr>
          <w:p>
            <w:pPr>
              <w:ind w:left="1720"/>
              <w:spacing w:after="0"/>
              <w:rPr>
                <w:sz w:val="20"/>
                <w:szCs w:val="20"/>
                <w:color w:val="auto"/>
              </w:rPr>
            </w:pPr>
            <w:r>
              <w:rPr>
                <w:rFonts w:ascii="Arial" w:cs="Arial" w:eastAsia="Arial" w:hAnsi="Arial"/>
                <w:sz w:val="18"/>
                <w:szCs w:val="18"/>
                <w:color w:val="auto"/>
              </w:rPr>
              <w:t>Expired</w:t>
            </w:r>
          </w:p>
        </w:tc>
        <w:tc>
          <w:tcPr>
            <w:tcW w:w="370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(962,482)</w:t>
            </w:r>
          </w:p>
        </w:tc>
        <w:tc>
          <w:tcPr>
            <w:tcW w:w="1720" w:type="dxa"/>
            <w:vAlign w:val="bottom"/>
          </w:tcPr>
          <w:p>
            <w:pPr>
              <w:spacing w:after="0"/>
              <w:rPr>
                <w:sz w:val="21"/>
                <w:szCs w:val="21"/>
                <w:color w:val="auto"/>
              </w:rPr>
            </w:pPr>
          </w:p>
        </w:tc>
      </w:tr>
      <w:tr>
        <w:trPr>
          <w:trHeight w:val="257"/>
        </w:trPr>
        <w:tc>
          <w:tcPr>
            <w:tcW w:w="1720" w:type="dxa"/>
            <w:vAlign w:val="bottom"/>
          </w:tcPr>
          <w:p>
            <w:pPr>
              <w:spacing w:after="0"/>
              <w:rPr>
                <w:sz w:val="22"/>
                <w:szCs w:val="22"/>
                <w:color w:val="auto"/>
              </w:rPr>
            </w:pPr>
          </w:p>
        </w:tc>
        <w:tc>
          <w:tcPr>
            <w:tcW w:w="29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Outstanding at June 30, 2014</w:t>
            </w:r>
          </w:p>
        </w:tc>
        <w:tc>
          <w:tcPr>
            <w:tcW w:w="3700" w:type="dxa"/>
            <w:vAlign w:val="bottom"/>
            <w:tcBorders>
              <w:bottom w:val="single" w:sz="8" w:color="F0FFFF"/>
            </w:tcBorders>
            <w:shd w:val="clear" w:color="auto" w:fill="F0FFFF"/>
          </w:tcPr>
          <w:p>
            <w:pPr>
              <w:spacing w:after="0"/>
              <w:rPr>
                <w:sz w:val="22"/>
                <w:szCs w:val="22"/>
                <w:color w:val="auto"/>
              </w:rPr>
            </w:pPr>
          </w:p>
        </w:tc>
        <w:tc>
          <w:tcPr>
            <w:tcW w:w="13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4,309,000</w:t>
            </w:r>
          </w:p>
        </w:tc>
        <w:tc>
          <w:tcPr>
            <w:tcW w:w="1720" w:type="dxa"/>
            <w:vAlign w:val="bottom"/>
          </w:tcPr>
          <w:p>
            <w:pPr>
              <w:spacing w:after="0"/>
              <w:rPr>
                <w:sz w:val="22"/>
                <w:szCs w:val="22"/>
                <w:color w:val="auto"/>
              </w:rPr>
            </w:pPr>
          </w:p>
        </w:tc>
      </w:tr>
      <w:tr>
        <w:trPr>
          <w:trHeight w:val="642"/>
        </w:trPr>
        <w:tc>
          <w:tcPr>
            <w:tcW w:w="1720" w:type="dxa"/>
            <w:vAlign w:val="bottom"/>
            <w:tcBorders>
              <w:bottom w:val="single" w:sz="8" w:color="DCDCDC"/>
            </w:tcBorders>
          </w:tcPr>
          <w:p>
            <w:pPr>
              <w:spacing w:after="0"/>
              <w:rPr>
                <w:sz w:val="24"/>
                <w:szCs w:val="24"/>
                <w:color w:val="auto"/>
              </w:rPr>
            </w:pPr>
          </w:p>
        </w:tc>
        <w:tc>
          <w:tcPr>
            <w:tcW w:w="2960" w:type="dxa"/>
            <w:vAlign w:val="bottom"/>
            <w:tcBorders>
              <w:bottom w:val="single" w:sz="8" w:color="DCDCDC"/>
            </w:tcBorders>
          </w:tcPr>
          <w:p>
            <w:pPr>
              <w:spacing w:after="0"/>
              <w:rPr>
                <w:sz w:val="24"/>
                <w:szCs w:val="24"/>
                <w:color w:val="auto"/>
              </w:rPr>
            </w:pPr>
          </w:p>
        </w:tc>
        <w:tc>
          <w:tcPr>
            <w:tcW w:w="5020" w:type="dxa"/>
            <w:vAlign w:val="bottom"/>
            <w:tcBorders>
              <w:bottom w:val="single" w:sz="8" w:color="DCDCDC"/>
            </w:tcBorders>
            <w:gridSpan w:val="2"/>
          </w:tcPr>
          <w:p>
            <w:pPr>
              <w:jc w:val="right"/>
              <w:ind w:right="3730"/>
              <w:spacing w:after="0"/>
              <w:rPr>
                <w:sz w:val="20"/>
                <w:szCs w:val="20"/>
                <w:color w:val="auto"/>
              </w:rPr>
            </w:pPr>
            <w:r>
              <w:rPr>
                <w:rFonts w:ascii="Arial" w:cs="Arial" w:eastAsia="Arial" w:hAnsi="Arial"/>
                <w:sz w:val="18"/>
                <w:szCs w:val="18"/>
                <w:color w:val="auto"/>
              </w:rPr>
              <w:t>F-19</w:t>
            </w:r>
          </w:p>
        </w:tc>
        <w:tc>
          <w:tcPr>
            <w:tcW w:w="17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91" w:right="239" w:bottom="144"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COMMON STOCK WARRANTS AND OPTIONS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conjunction with an October 17, 2007 Securities Purchase Agreement, the Company issued warrants to purchase up to 17,532 shares of the Company’s Common Stock at $7.70 per share at any time through October 17, 2012 to the broker dealer who acted as the exclusive placement agent in the transaction. The warrants under this agreement expired unexercised.</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a Securities Purchase Agreement with S.A.C. Capital Associates, LLC (“SAC”) entered into by the Company on March 14, 2007, the Company issued warrants to purchase 833,333 shares of Common Stock, exercisable at $6.40 per share. As a result of the adjustment provisions contained in the warrant, as of June 30, 2009, the original warrants to purchase 833,333 shares of Common Stock at $6.40 per share had changed to warrants to purchase 903,955 shares of Common Stock at $5.90 per share. The warrants were exercisable at any time through September 14, 2013 and expired unexercised.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7, 2009, in conjunction with a rights offering (the “2009 Rights Offering”), the Company issued warrants to purchase 7,285,792 shares of Common Stock, exercisable at $2.20 per share at any time prior to December 31, 2011. The warrants commenced trading on August 7, 2009, on The NASDAQ Global Market under the symbol USATW. During the years ended June 30, 2012 and 2011, 4,550 and 376,355 USATW warrants were exercised at $2.20 per share resulting in the issuance of 4,550 and 376,355 shares of Common Stock, generating cash proceeds of $10,010 and $827,981, respectively. 6,904,887 of these warrants expired unexercised on December 31, 2011. Additionally, the Company issued each of the two dealer managers warrants to purchase 145,716 shares of Common Stock that were exercisable at $2.20 per share at any time prior to August 6, 2012. The dealer manager warrants expired unexercised in August 2012.</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12, 2010, in conjunction with a public offering (the “2010 Public Offering”), the Company issued warrants to purchase 2,753,454 shares of Common Stock, exercisable at $1.13 per share at any time prior to December 31, 2013. The warrants commenced trading on May 24, 2010 on The NASDAQ Global Market under the symbol USATZ. During the years ended June 30, 2014, 2013 and 2012, 2,090,226, 369,287 and 0 USATZ warrants were exercised at $1.13 per share for cash proceeds of $2,361,956, $417,294 and $0, respectively. 58,527 shares of Common Stock, exercisable at $1.13 per share expired unexercised on December 31, 2013.</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7, 2010, in conjunction with a rights offering (the “2010 Rights Offering”), the Company issued USATZ warrants to purchase 261,953 shares of Common Stock, exercisable at $1.13 per share at any time prior to December 31, 2013. During the year ended June 30, 2011 all of these warrants were exercised at $1.13 per share for cash proceeds of $296,007.</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the Company issued to Source Capital Group (“Source”), placement agent of the 2010 Public Offering and the 2010 Rights Offering, warrants to purchase 165,207 and 15,717 shares of Common Stock, exercisable at $1.13 per share at any time prior to May 12, and July 7, 2013, respectively. During the years ended June 30, 2013, 2012 and 2011 Source elected cashless exercises of 36,186, 2,767 and 127,497 warrants resulting in the issuance of 17,094, 990 and 83,472 shares of Common Stock, respectively. During the year ended June 30, 2013, 13,216 shares of Common Stock were issued for warrants exercised at $1.13 per share for cash proceeds of $14,934. Warrants for the issuance of up to 1,258 shares of Common Stock expired unexercised in May 2013.</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17, 2011, in conjunction with a private placement offering (the “2011 Private Placement Offering”), the Company issued warrants to purchase up to 3,900,000 shares of Common Stock, exercisable at $2.6058 per share. Additionally, the Company issued the placement agent of the 2011 Private Placement Offering warrants to purchase 364,000 shares of common stock at $2.6058 per share. The 4,264,000 warrants are exercisable from September 18, 2011 through September 18, 2016. As of June 30, 2014, no warrants have been exercised under this offering.</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3,900,000 warrants issued under the 2011 Private Placement Offering to the buyers contain a provision that if a Fundamental Transaction occurs, notably a change in control, the warrant holder may require the Company to pay the Black-Scholes calculated value of the then unexercised warrant to the warrant holder in cash. The fair value of the warrants was estimated, and the Company recorded a warrant liability in its Consolidated Balance Sheet of $585,209 and $650,638 at June 30, 2014 and 2013, respectively (see Note 9).</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conjunction with the Loan and Security agreement (Note 7) and as a condition of the Bank entering into the First Amendment, the Company issued to the Bank warrants to purchase up to 45,000 shares of common stock of the Company. The warrants are exercisable at any time prior to December 31, 2017 at an exercise price of $2.10 per share. Upon the issuance of the 45,000 shares of common stock, the fair value of the warrants is $55,962 using a Black Scholes model, which was recorded as prepaid interest and included in other assets on the Consolidated Balance Sheet, and is being amortized as non-cash interest expense over the remaining term of the Line of Credit as amended in January 2013. Non-cash interest of $2,095 and $53,867 has been recognized for the years ended June 30, 2014 and 2013. As of June 30, 2014 none of these warrants has been exercised.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estimates the grant date fair value of the stock options it grants using a Black-Scholes valuation model. The Company’s assumption for expected volatility is based on its historical volatility data related to market trading of its own common stock. The Company bases its assumptions for expected life of the new stock option grants on the life of the option granted, and if relevant, its analysis of the historical exercise patterns of its stock options.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weighted-average fair value of options granted during the fiscal year ended June 30, 2014 was $1.49. There were no options granted during the fiscal years ended June 30, 2013 and 2012. The fair value of options granted during the fiscal year ended June 30, 2014 was estimated at the grant date using the following weighted average assumptions:</w:t>
      </w:r>
    </w:p>
    <w:p>
      <w:pPr>
        <w:spacing w:after="0" w:line="127"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color w:val="auto"/>
                <w:w w:val="85"/>
              </w:rPr>
              <w:t>Year ended</w:t>
            </w:r>
          </w:p>
        </w:tc>
      </w:tr>
      <w:tr>
        <w:trPr>
          <w:trHeight w:val="250"/>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7"/>
              </w:rPr>
              <w:t>June 30, 2014</w:t>
            </w:r>
          </w:p>
        </w:tc>
      </w:tr>
      <w:tr>
        <w:trPr>
          <w:trHeight w:val="216"/>
        </w:trPr>
        <w:tc>
          <w:tcPr>
            <w:tcW w:w="20" w:type="dxa"/>
            <w:vAlign w:val="bottom"/>
          </w:tcPr>
          <w:p>
            <w:pPr>
              <w:spacing w:after="0"/>
              <w:rPr>
                <w:sz w:val="18"/>
                <w:szCs w:val="18"/>
                <w:color w:val="auto"/>
              </w:rPr>
            </w:pPr>
          </w:p>
        </w:tc>
        <w:tc>
          <w:tcPr>
            <w:tcW w:w="3180" w:type="dxa"/>
            <w:vAlign w:val="bottom"/>
            <w:shd w:val="clear" w:color="auto" w:fill="F0FFFF"/>
          </w:tcPr>
          <w:p>
            <w:pPr>
              <w:spacing w:after="0"/>
              <w:rPr>
                <w:sz w:val="20"/>
                <w:szCs w:val="20"/>
                <w:color w:val="auto"/>
              </w:rPr>
            </w:pPr>
            <w:r>
              <w:rPr>
                <w:rFonts w:ascii="Arial" w:cs="Arial" w:eastAsia="Arial" w:hAnsi="Arial"/>
                <w:sz w:val="18"/>
                <w:szCs w:val="18"/>
                <w:color w:val="auto"/>
              </w:rPr>
              <w:t>Expected volatility</w:t>
            </w:r>
          </w:p>
        </w:tc>
        <w:tc>
          <w:tcPr>
            <w:tcW w:w="13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420"/>
          </w:cols>
          <w:pgMar w:left="240" w:top="918" w:right="239" w:bottom="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gridSpan w:val="2"/>
          </w:tcPr>
          <w:p>
            <w:pPr>
              <w:ind w:left="3440"/>
              <w:spacing w:after="0"/>
              <w:rPr>
                <w:sz w:val="20"/>
                <w:szCs w:val="20"/>
                <w:color w:val="auto"/>
              </w:rPr>
            </w:pPr>
            <w:r>
              <w:rPr>
                <w:rFonts w:ascii="Arial" w:cs="Arial" w:eastAsia="Arial" w:hAnsi="Arial"/>
                <w:sz w:val="18"/>
                <w:szCs w:val="18"/>
                <w:color w:val="auto"/>
              </w:rPr>
              <w:t>Expected life</w:t>
            </w:r>
          </w:p>
        </w:tc>
        <w:tc>
          <w:tcPr>
            <w:tcW w:w="2740" w:type="dxa"/>
            <w:vAlign w:val="bottom"/>
          </w:tcPr>
          <w:p>
            <w:pPr>
              <w:jc w:val="right"/>
              <w:ind w:right="150"/>
              <w:spacing w:after="0"/>
              <w:rPr>
                <w:sz w:val="20"/>
                <w:szCs w:val="20"/>
                <w:color w:val="auto"/>
              </w:rPr>
            </w:pPr>
            <w:r>
              <w:rPr>
                <w:rFonts w:ascii="Arial" w:cs="Arial" w:eastAsia="Arial" w:hAnsi="Arial"/>
                <w:sz w:val="18"/>
                <w:szCs w:val="18"/>
                <w:color w:val="auto"/>
              </w:rPr>
              <w:t>7 years</w:t>
            </w:r>
          </w:p>
        </w:tc>
        <w:tc>
          <w:tcPr>
            <w:tcW w:w="3420" w:type="dxa"/>
            <w:vAlign w:val="bottom"/>
          </w:tcPr>
          <w:p>
            <w:pPr>
              <w:spacing w:after="0"/>
              <w:rPr>
                <w:sz w:val="20"/>
                <w:szCs w:val="20"/>
                <w:color w:val="auto"/>
              </w:rPr>
            </w:pPr>
          </w:p>
        </w:tc>
      </w:tr>
      <w:tr>
        <w:trPr>
          <w:trHeight w:val="216"/>
        </w:trPr>
        <w:tc>
          <w:tcPr>
            <w:tcW w:w="3440" w:type="dxa"/>
            <w:vAlign w:val="bottom"/>
          </w:tcPr>
          <w:p>
            <w:pPr>
              <w:spacing w:after="0"/>
              <w:rPr>
                <w:sz w:val="18"/>
                <w:szCs w:val="18"/>
                <w:color w:val="auto"/>
              </w:rPr>
            </w:pPr>
          </w:p>
        </w:tc>
        <w:tc>
          <w:tcPr>
            <w:tcW w:w="1820" w:type="dxa"/>
            <w:vAlign w:val="bottom"/>
            <w:shd w:val="clear" w:color="auto" w:fill="F0FFFF"/>
          </w:tcPr>
          <w:p>
            <w:pPr>
              <w:spacing w:after="0"/>
              <w:rPr>
                <w:sz w:val="20"/>
                <w:szCs w:val="20"/>
                <w:color w:val="auto"/>
              </w:rPr>
            </w:pPr>
            <w:r>
              <w:rPr>
                <w:rFonts w:ascii="Arial" w:cs="Arial" w:eastAsia="Arial" w:hAnsi="Arial"/>
                <w:sz w:val="18"/>
                <w:szCs w:val="18"/>
                <w:color w:val="auto"/>
              </w:rPr>
              <w:t>Expected dividends</w:t>
            </w:r>
          </w:p>
        </w:tc>
        <w:tc>
          <w:tcPr>
            <w:tcW w:w="2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0.00%</w:t>
            </w:r>
          </w:p>
        </w:tc>
        <w:tc>
          <w:tcPr>
            <w:tcW w:w="342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740" w:type="dxa"/>
            <w:vAlign w:val="bottom"/>
          </w:tcPr>
          <w:p>
            <w:pPr>
              <w:jc w:val="right"/>
              <w:spacing w:after="0"/>
              <w:rPr>
                <w:sz w:val="20"/>
                <w:szCs w:val="20"/>
                <w:color w:val="auto"/>
              </w:rPr>
            </w:pPr>
            <w:r>
              <w:rPr>
                <w:rFonts w:ascii="Arial" w:cs="Arial" w:eastAsia="Arial" w:hAnsi="Arial"/>
                <w:sz w:val="18"/>
                <w:szCs w:val="18"/>
                <w:color w:val="auto"/>
              </w:rPr>
              <w:t>2.22%</w:t>
            </w:r>
          </w:p>
        </w:tc>
        <w:tc>
          <w:tcPr>
            <w:tcW w:w="3420" w:type="dxa"/>
            <w:vAlign w:val="bottom"/>
          </w:tcPr>
          <w:p>
            <w:pPr>
              <w:spacing w:after="0"/>
              <w:rPr>
                <w:sz w:val="20"/>
                <w:szCs w:val="20"/>
                <w:color w:val="auto"/>
              </w:rPr>
            </w:pPr>
          </w:p>
        </w:tc>
      </w:tr>
      <w:tr>
        <w:trPr>
          <w:trHeight w:val="661"/>
        </w:trPr>
        <w:tc>
          <w:tcPr>
            <w:tcW w:w="3440" w:type="dxa"/>
            <w:vAlign w:val="bottom"/>
            <w:tcBorders>
              <w:bottom w:val="single" w:sz="8" w:color="DCDCDC"/>
            </w:tcBorders>
          </w:tcPr>
          <w:p>
            <w:pPr>
              <w:spacing w:after="0"/>
              <w:rPr>
                <w:sz w:val="24"/>
                <w:szCs w:val="24"/>
                <w:color w:val="auto"/>
              </w:rPr>
            </w:pPr>
          </w:p>
        </w:tc>
        <w:tc>
          <w:tcPr>
            <w:tcW w:w="1820" w:type="dxa"/>
            <w:vAlign w:val="bottom"/>
            <w:tcBorders>
              <w:bottom w:val="single" w:sz="8" w:color="DCDCDC"/>
            </w:tcBorders>
          </w:tcPr>
          <w:p>
            <w:pPr>
              <w:spacing w:after="0"/>
              <w:rPr>
                <w:sz w:val="24"/>
                <w:szCs w:val="24"/>
                <w:color w:val="auto"/>
              </w:rPr>
            </w:pPr>
          </w:p>
        </w:tc>
        <w:tc>
          <w:tcPr>
            <w:tcW w:w="2740" w:type="dxa"/>
            <w:vAlign w:val="bottom"/>
            <w:tcBorders>
              <w:bottom w:val="single" w:sz="8" w:color="DCDCDC"/>
            </w:tcBorders>
          </w:tcPr>
          <w:p>
            <w:pPr>
              <w:jc w:val="right"/>
              <w:ind w:right="2030"/>
              <w:spacing w:after="0"/>
              <w:rPr>
                <w:sz w:val="20"/>
                <w:szCs w:val="20"/>
                <w:color w:val="auto"/>
              </w:rPr>
            </w:pPr>
            <w:r>
              <w:rPr>
                <w:rFonts w:ascii="Arial" w:cs="Arial" w:eastAsia="Arial" w:hAnsi="Arial"/>
                <w:sz w:val="18"/>
                <w:szCs w:val="18"/>
                <w:color w:val="auto"/>
              </w:rPr>
              <w:t>F-20</w:t>
            </w:r>
          </w:p>
        </w:tc>
        <w:tc>
          <w:tcPr>
            <w:tcW w:w="34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COMMON STOCK WARRANTS AND OPTIONS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Common Stock Option activity during the years ended June 30, 2014, 2013, and 2012 was as follows: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210"/>
              <w:spacing w:after="0"/>
              <w:rPr>
                <w:sz w:val="20"/>
                <w:szCs w:val="20"/>
                <w:color w:val="auto"/>
              </w:rPr>
            </w:pPr>
            <w:r>
              <w:rPr>
                <w:rFonts w:ascii="Arial" w:cs="Arial" w:eastAsia="Arial" w:hAnsi="Arial"/>
                <w:sz w:val="18"/>
                <w:szCs w:val="18"/>
                <w:color w:val="auto"/>
                <w:w w:val="89"/>
              </w:rPr>
              <w:t>Exercise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Options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87"/>
              </w:rPr>
              <w:t>Price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8"/>
              </w:rPr>
              <w:t>Outstanding</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3"/>
              </w:rPr>
              <w:t>Per Share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Outstanding and exercisable at June 30, 2011</w:t>
            </w:r>
          </w:p>
        </w:tc>
        <w:tc>
          <w:tcPr>
            <w:tcW w:w="1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90,666</w:t>
            </w:r>
          </w:p>
        </w:tc>
        <w:tc>
          <w:tcPr>
            <w:tcW w:w="2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7.50-8</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Expired</w:t>
            </w: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(45,333)</w:t>
            </w:r>
          </w:p>
        </w:tc>
        <w:tc>
          <w:tcPr>
            <w:tcW w:w="2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7.50-8</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shd w:val="clear" w:color="auto" w:fill="F0FF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Outstanding and exercisable at June 30, 2012</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45,333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7.50-8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Granted</w:t>
            </w:r>
          </w:p>
        </w:tc>
        <w:tc>
          <w:tcPr>
            <w:tcW w:w="1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Expired</w:t>
            </w:r>
          </w:p>
        </w:tc>
        <w:tc>
          <w:tcPr>
            <w:tcW w:w="1220" w:type="dxa"/>
            <w:vAlign w:val="bottom"/>
          </w:tcPr>
          <w:p>
            <w:pPr>
              <w:jc w:val="right"/>
              <w:spacing w:after="0"/>
              <w:rPr>
                <w:sz w:val="20"/>
                <w:szCs w:val="20"/>
                <w:color w:val="auto"/>
              </w:rPr>
            </w:pPr>
            <w:r>
              <w:rPr>
                <w:rFonts w:ascii="Arial" w:cs="Arial" w:eastAsia="Arial" w:hAnsi="Arial"/>
                <w:sz w:val="18"/>
                <w:szCs w:val="18"/>
                <w:color w:val="auto"/>
              </w:rPr>
              <w:t>(45,333)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7.50-8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Outstanding and exercisable at June 30, 2013</w:t>
            </w:r>
          </w:p>
        </w:tc>
        <w:tc>
          <w:tcPr>
            <w:tcW w:w="1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60" w:type="dxa"/>
            <w:vAlign w:val="bottom"/>
            <w:tcBorders>
              <w:top w:val="single" w:sz="8" w:color="F0FFFF"/>
            </w:tcBorders>
            <w:shd w:val="clear" w:color="auto" w:fill="F0FF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120,000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Exercised/vested</w:t>
            </w:r>
          </w:p>
        </w:tc>
        <w:tc>
          <w:tcPr>
            <w:tcW w:w="1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Expired</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Outstanding at June 30, 2014</w:t>
            </w:r>
          </w:p>
        </w:tc>
        <w:tc>
          <w:tcPr>
            <w:tcW w:w="1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120,000</w:t>
            </w:r>
          </w:p>
        </w:tc>
        <w:tc>
          <w:tcPr>
            <w:tcW w:w="2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2.05</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shd w:val="clear" w:color="auto" w:fill="F0FF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18, 2014, the shareholders of the Company approved the 2014 Stock Option Incentive Plan (the “2014 Option Plan”). Under this plan, 750,000 of stock options may be granted to officers, directors or employees of the Company. For the year ended June 30, 2014, the Board of Directors of the Company approved 20,000 options to each of the six non-employee directors. The options vest as follows: one-third one year after the grant date (June 19, 2015), one-third on June 19, 2016 and one-third on June 19, 2017.</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exercisable options, exercise prices, the weighted average remaining contractual life and the aggregate intrinsic value for options outstanding as of June 30, 2014:</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237"/>
        </w:trPr>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8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Weighted Average</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0"/>
              </w:rPr>
              <w:t>Remaining</w:t>
            </w:r>
          </w:p>
        </w:tc>
        <w:tc>
          <w:tcPr>
            <w:tcW w:w="34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2"/>
              </w:rPr>
              <w:t>Remaining</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40" w:type="dxa"/>
            <w:vAlign w:val="bottom"/>
            <w:gridSpan w:val="3"/>
            <w:vMerge w:val="restart"/>
          </w:tcPr>
          <w:p>
            <w:pPr>
              <w:jc w:val="right"/>
              <w:ind w:right="950"/>
              <w:spacing w:after="0"/>
              <w:rPr>
                <w:sz w:val="20"/>
                <w:szCs w:val="20"/>
                <w:color w:val="auto"/>
              </w:rPr>
            </w:pPr>
            <w:r>
              <w:rPr>
                <w:rFonts w:ascii="Arial" w:cs="Arial" w:eastAsia="Arial" w:hAnsi="Arial"/>
                <w:sz w:val="18"/>
                <w:szCs w:val="18"/>
                <w:color w:val="auto"/>
              </w:rPr>
              <w:t>Intrinsic Value-</w:t>
            </w:r>
          </w:p>
        </w:tc>
        <w:tc>
          <w:tcPr>
            <w:tcW w:w="0" w:type="dxa"/>
            <w:vAlign w:val="bottom"/>
          </w:tcPr>
          <w:p>
            <w:pPr>
              <w:spacing w:after="0"/>
              <w:rPr>
                <w:sz w:val="1"/>
                <w:szCs w:val="1"/>
                <w:color w:val="auto"/>
              </w:rPr>
            </w:pPr>
          </w:p>
        </w:tc>
      </w:tr>
      <w:tr>
        <w:trPr>
          <w:trHeight w:val="215"/>
        </w:trPr>
        <w:tc>
          <w:tcPr>
            <w:tcW w:w="1120" w:type="dxa"/>
            <w:vAlign w:val="bottom"/>
          </w:tcPr>
          <w:p>
            <w:pPr>
              <w:jc w:val="right"/>
              <w:ind w:right="250"/>
              <w:spacing w:after="0" w:line="190" w:lineRule="exact"/>
              <w:rPr>
                <w:sz w:val="20"/>
                <w:szCs w:val="20"/>
                <w:color w:val="auto"/>
              </w:rPr>
            </w:pPr>
            <w:r>
              <w:rPr>
                <w:rFonts w:ascii="Arial" w:cs="Arial" w:eastAsia="Arial" w:hAnsi="Arial"/>
                <w:sz w:val="18"/>
                <w:szCs w:val="18"/>
                <w:color w:val="auto"/>
              </w:rPr>
              <w:t>Options</w:t>
            </w:r>
          </w:p>
        </w:tc>
        <w:tc>
          <w:tcPr>
            <w:tcW w:w="320" w:type="dxa"/>
            <w:vAlign w:val="bottom"/>
          </w:tcPr>
          <w:p>
            <w:pPr>
              <w:spacing w:after="0"/>
              <w:rPr>
                <w:sz w:val="18"/>
                <w:szCs w:val="18"/>
                <w:color w:val="auto"/>
              </w:rPr>
            </w:pPr>
          </w:p>
        </w:tc>
        <w:tc>
          <w:tcPr>
            <w:tcW w:w="1000" w:type="dxa"/>
            <w:vAlign w:val="bottom"/>
          </w:tcPr>
          <w:p>
            <w:pPr>
              <w:jc w:val="center"/>
              <w:spacing w:after="0" w:line="190" w:lineRule="exact"/>
              <w:rPr>
                <w:sz w:val="20"/>
                <w:szCs w:val="20"/>
                <w:color w:val="auto"/>
              </w:rPr>
            </w:pPr>
            <w:r>
              <w:rPr>
                <w:rFonts w:ascii="Arial" w:cs="Arial" w:eastAsia="Arial" w:hAnsi="Arial"/>
                <w:sz w:val="18"/>
                <w:szCs w:val="18"/>
                <w:color w:val="auto"/>
                <w:w w:val="90"/>
              </w:rPr>
              <w:t>Options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3"/>
          </w:tcPr>
          <w:p>
            <w:pPr>
              <w:spacing w:after="0" w:line="190" w:lineRule="exact"/>
              <w:rPr>
                <w:sz w:val="20"/>
                <w:szCs w:val="20"/>
                <w:color w:val="auto"/>
              </w:rPr>
            </w:pPr>
            <w:r>
              <w:rPr>
                <w:rFonts w:ascii="Arial" w:cs="Arial" w:eastAsia="Arial" w:hAnsi="Arial"/>
                <w:sz w:val="18"/>
                <w:szCs w:val="18"/>
                <w:color w:val="auto"/>
              </w:rPr>
              <w:t>Exercise Price Per</w:t>
            </w:r>
          </w:p>
        </w:tc>
        <w:tc>
          <w:tcPr>
            <w:tcW w:w="1220" w:type="dxa"/>
            <w:vAlign w:val="bottom"/>
          </w:tcPr>
          <w:p>
            <w:pPr>
              <w:jc w:val="center"/>
              <w:ind w:right="30"/>
              <w:spacing w:after="0" w:line="190" w:lineRule="exact"/>
              <w:rPr>
                <w:sz w:val="20"/>
                <w:szCs w:val="20"/>
                <w:color w:val="auto"/>
              </w:rPr>
            </w:pPr>
            <w:r>
              <w:rPr>
                <w:rFonts w:ascii="Arial" w:cs="Arial" w:eastAsia="Arial" w:hAnsi="Arial"/>
                <w:sz w:val="18"/>
                <w:szCs w:val="18"/>
                <w:color w:val="auto"/>
              </w:rPr>
              <w:t>Life</w:t>
            </w:r>
          </w:p>
        </w:tc>
        <w:tc>
          <w:tcPr>
            <w:tcW w:w="340" w:type="dxa"/>
            <w:vAlign w:val="bottom"/>
          </w:tcPr>
          <w:p>
            <w:pPr>
              <w:spacing w:after="0"/>
              <w:rPr>
                <w:sz w:val="18"/>
                <w:szCs w:val="18"/>
                <w:color w:val="auto"/>
              </w:rPr>
            </w:pPr>
          </w:p>
        </w:tc>
        <w:tc>
          <w:tcPr>
            <w:tcW w:w="1120" w:type="dxa"/>
            <w:vAlign w:val="bottom"/>
          </w:tcPr>
          <w:p>
            <w:pPr>
              <w:jc w:val="center"/>
              <w:spacing w:after="0" w:line="190" w:lineRule="exact"/>
              <w:rPr>
                <w:sz w:val="20"/>
                <w:szCs w:val="20"/>
                <w:color w:val="auto"/>
              </w:rPr>
            </w:pPr>
            <w:r>
              <w:rPr>
                <w:rFonts w:ascii="Arial" w:cs="Arial" w:eastAsia="Arial" w:hAnsi="Arial"/>
                <w:sz w:val="18"/>
                <w:szCs w:val="18"/>
                <w:color w:val="auto"/>
              </w:rPr>
              <w:t>Life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4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Outstanding</w:t>
            </w:r>
          </w:p>
        </w:tc>
        <w:tc>
          <w:tcPr>
            <w:tcW w:w="32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Exercisable</w:t>
            </w:r>
          </w:p>
        </w:tc>
        <w:tc>
          <w:tcPr>
            <w:tcW w:w="2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Share</w:t>
            </w:r>
          </w:p>
        </w:tc>
        <w:tc>
          <w:tcPr>
            <w:tcW w:w="340" w:type="dxa"/>
            <w:vAlign w:val="bottom"/>
          </w:tcPr>
          <w:p>
            <w:pPr>
              <w:spacing w:after="0"/>
              <w:rPr>
                <w:sz w:val="19"/>
                <w:szCs w:val="19"/>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Outstanding</w:t>
            </w:r>
          </w:p>
        </w:tc>
        <w:tc>
          <w:tcPr>
            <w:tcW w:w="34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Exercisable</w:t>
            </w:r>
          </w:p>
        </w:tc>
        <w:tc>
          <w:tcPr>
            <w:tcW w:w="1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8"/>
              </w:rPr>
              <w:t>Outstanding</w:t>
            </w:r>
          </w:p>
        </w:tc>
        <w:tc>
          <w:tcPr>
            <w:tcW w:w="340" w:type="dxa"/>
            <w:vAlign w:val="bottom"/>
          </w:tcPr>
          <w:p>
            <w:pPr>
              <w:spacing w:after="0"/>
              <w:rPr>
                <w:sz w:val="19"/>
                <w:szCs w:val="19"/>
                <w:color w:val="auto"/>
              </w:rPr>
            </w:pPr>
          </w:p>
        </w:tc>
        <w:tc>
          <w:tcPr>
            <w:tcW w:w="1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Exercisable</w:t>
            </w:r>
          </w:p>
        </w:tc>
        <w:tc>
          <w:tcPr>
            <w:tcW w:w="0" w:type="dxa"/>
            <w:vAlign w:val="bottom"/>
          </w:tcPr>
          <w:p>
            <w:pPr>
              <w:spacing w:after="0"/>
              <w:rPr>
                <w:sz w:val="1"/>
                <w:szCs w:val="1"/>
                <w:color w:val="auto"/>
              </w:rPr>
            </w:pPr>
          </w:p>
        </w:tc>
      </w:tr>
      <w:tr>
        <w:trPr>
          <w:trHeight w:val="223"/>
        </w:trPr>
        <w:tc>
          <w:tcPr>
            <w:tcW w:w="112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120,000</w:t>
            </w:r>
          </w:p>
        </w:tc>
        <w:tc>
          <w:tcPr>
            <w:tcW w:w="320" w:type="dxa"/>
            <w:vAlign w:val="bottom"/>
            <w:tcBorders>
              <w:bottom w:val="single" w:sz="8" w:color="F0FFFF"/>
            </w:tcBorders>
            <w:shd w:val="clear" w:color="auto" w:fill="F0FFFF"/>
          </w:tcPr>
          <w:p>
            <w:pPr>
              <w:spacing w:after="0"/>
              <w:rPr>
                <w:sz w:val="19"/>
                <w:szCs w:val="19"/>
                <w:color w:val="auto"/>
              </w:rPr>
            </w:pPr>
          </w:p>
        </w:tc>
        <w:tc>
          <w:tcPr>
            <w:tcW w:w="1000" w:type="dxa"/>
            <w:vAlign w:val="bottom"/>
            <w:tcBorders>
              <w:bottom w:val="single" w:sz="8" w:color="auto"/>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F0FFFF"/>
            </w:tcBorders>
            <w:gridSpan w:val="2"/>
            <w:shd w:val="clear" w:color="auto" w:fill="F0FFFF"/>
          </w:tcPr>
          <w:p>
            <w:pPr>
              <w:ind w:left="3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2.05</w:t>
            </w:r>
          </w:p>
        </w:tc>
        <w:tc>
          <w:tcPr>
            <w:tcW w:w="340" w:type="dxa"/>
            <w:vAlign w:val="bottom"/>
            <w:tcBorders>
              <w:bottom w:val="single" w:sz="8" w:color="F0FFFF"/>
            </w:tcBorders>
            <w:shd w:val="clear" w:color="auto" w:fill="F0FFFF"/>
          </w:tcPr>
          <w:p>
            <w:pPr>
              <w:spacing w:after="0"/>
              <w:rPr>
                <w:sz w:val="19"/>
                <w:szCs w:val="19"/>
                <w:color w:val="auto"/>
              </w:rPr>
            </w:pPr>
          </w:p>
        </w:tc>
        <w:tc>
          <w:tcPr>
            <w:tcW w:w="12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6.97</w:t>
            </w:r>
          </w:p>
        </w:tc>
        <w:tc>
          <w:tcPr>
            <w:tcW w:w="340" w:type="dxa"/>
            <w:vAlign w:val="bottom"/>
            <w:tcBorders>
              <w:bottom w:val="single" w:sz="8" w:color="F0FFFF"/>
            </w:tcBorders>
            <w:shd w:val="clear" w:color="auto" w:fill="F0FFFF"/>
          </w:tcPr>
          <w:p>
            <w:pPr>
              <w:spacing w:after="0"/>
              <w:rPr>
                <w:sz w:val="19"/>
                <w:szCs w:val="19"/>
                <w:color w:val="auto"/>
              </w:rPr>
            </w:pP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F0FFFF"/>
          </w:tcPr>
          <w:p>
            <w:pPr>
              <w:spacing w:after="0"/>
              <w:rPr>
                <w:sz w:val="19"/>
                <w:szCs w:val="19"/>
                <w:color w:val="auto"/>
              </w:rPr>
            </w:pPr>
          </w:p>
        </w:tc>
        <w:tc>
          <w:tcPr>
            <w:tcW w:w="340" w:type="dxa"/>
            <w:vAlign w:val="bottom"/>
            <w:tcBorders>
              <w:bottom w:val="single" w:sz="8" w:color="F0FFFF"/>
            </w:tcBorders>
            <w:shd w:val="clear" w:color="auto" w:fill="F0FFFF"/>
          </w:tcPr>
          <w:p>
            <w:pPr>
              <w:spacing w:after="0"/>
              <w:rPr>
                <w:sz w:val="19"/>
                <w:szCs w:val="19"/>
                <w:color w:val="auto"/>
              </w:rPr>
            </w:pPr>
          </w:p>
        </w:tc>
        <w:tc>
          <w:tcPr>
            <w:tcW w:w="122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F0FFFF"/>
            </w:tcBorders>
            <w:shd w:val="clear" w:color="auto" w:fill="F0FFFF"/>
          </w:tcPr>
          <w:p>
            <w:pPr>
              <w:spacing w:after="0"/>
              <w:rPr>
                <w:sz w:val="19"/>
                <w:szCs w:val="19"/>
                <w:color w:val="auto"/>
              </w:rPr>
            </w:pPr>
          </w:p>
        </w:tc>
        <w:tc>
          <w:tcPr>
            <w:tcW w:w="1380" w:type="dxa"/>
            <w:vAlign w:val="bottom"/>
            <w:tcBorders>
              <w:bottom w:val="single" w:sz="8" w:color="auto"/>
            </w:tcBorders>
            <w:shd w:val="clear" w:color="auto" w:fill="F0FFFF"/>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20" w:type="dxa"/>
            <w:vAlign w:val="bottom"/>
          </w:tcPr>
          <w:p>
            <w:pPr>
              <w:jc w:val="right"/>
              <w:ind w:right="30"/>
              <w:spacing w:after="0"/>
              <w:rPr>
                <w:sz w:val="20"/>
                <w:szCs w:val="20"/>
                <w:color w:val="auto"/>
              </w:rPr>
            </w:pPr>
            <w:r>
              <w:rPr>
                <w:rFonts w:ascii="Arial" w:cs="Arial" w:eastAsia="Arial" w:hAnsi="Arial"/>
                <w:sz w:val="18"/>
                <w:szCs w:val="18"/>
                <w:color w:val="auto"/>
              </w:rPr>
              <w:t>120,000</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RETIREMENT PLAN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401(k) Plan (the “Retirement Plan”) allows employees who have completed six months of service to make voluntary contributions up to a maximum of 100% of their annual compensation, as defined in the Retirement Plan. The Company may, in its discretion, make a matching contribution, a profit sharing contribution, a qualified non-elective contribution, and/or a safe harbor 401(k) contribution to the Retirement Plan. The Company must make an annual election, at the beginning of the plan year, as to whether it will make a safe harbor contribution to the plan. In fiscal years 2014, 2013 and 2012, the Company elected and made a safe harbor matching contributions of 100% of the participant’s first 3% and 50% of the next 2% of compensation deferred into the Retirement Plan. The Company’s safe harbor contributions for the years ended June 30, 2014, 2013 and 2012 approximated $168,000, $176,000 and $140,000,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related party transactions during the years ended June 30, 2014 and 2013. During the year ended June 30, 2012, the Company incurred approximately $744,000 in connection with legal services provided by the law firm of a member of the Company’s Board of Directors. As of July 2012 this person was no longer a Director.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26, 2014, the Company and Varilease Finance, Inc. (“Varilease”), entered into six Sale Leaseback Agreements (the “Sale Leaseback Agreements” or a “Sale Leaseback Agreement”) pursuant to which Varilease purchased ePort equipment owned by the Company and used by the Company in its JumpStart program. If all of the ePort equipment described in the Sale Leaseback Agreements is purchased by Varilease, the aggregate purchase price to be received by the Company would be approximately $8,000,000.</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Concurrently with entering into the Sale Leaseback Agreements, the Company and Varilease entered into six Schedules (the “Schedules” or a “Schedule”) each corresponding to a Sale Leaseback Agreement. The Company and Varilease also entered into a Master Lease Agreement (the “Master Lease Agreement”) which is incorporated by reference into each Schedule. Each Schedule (including the Master Lease Agreement) sets forth the terms and conditions pursuant to which Varilease would lease to the Company the ePort equipment to be purchased by Varilease from the Company pursuant to the corresponding Sale Leaseback Agreement. Each Schedule provides for a 36-month base lease term and specifies the base monthly rental for the equipment described in the Schedule. During the lease term, all of the costs, expenses and liabilities associated with the equipment are to be borne by the Company, and the Company is entitled to the unlimited use of the equipment.</w:t>
      </w:r>
    </w:p>
    <w:p>
      <w:pPr>
        <w:spacing w:after="0" w:line="2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the completion of the base lease term provided in each Schedule, the Company will have, among other things, the option to either purchase the equipment described in the Schedule for a price to be agreed upon by the Company and Varilease, or extend the lease term of the Schedule for an additional twelve months at the base monthly rental, at the conclusion of which all of the right, title and interest of Varilease in the ePort equipment would pass to the Company.</w:t>
      </w:r>
    </w:p>
    <w:p>
      <w:pPr>
        <w:spacing w:after="0" w:line="17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Master Lease Agreement includes customary events of default, including non-payment by the Company of the monthly rental or other charges due under any Schedule. The Master Lease Agreement provides that in the event of the declaration by Varilease of a default, the Company would pay to Varilease, among other things, any unpaid amount due on or before the declaration of default plus liquidated damages equal to the Stipulated Loss Value of the equipment. The Stipulated Loss Value of the equipment is an amount equal to 110% of the Company’s original cost for such equipment less 1.25% of such cost for each month elapsed during the lease term through the declaration of default.</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27, 2014, Varilease completed the purchase from the Company of the ePort equipment described in two of the Sale Leaseback Agreements for an aggregate of $2,995,095, and pursuant to the corresponding Schedules, the Company is obligated to pay to Varilease a base monthly rental of $82,365 for this equipment during the 36-month lease term. The Company is accounting for the Sale Leaseback as an operating lease. The remaining Sale Leaseback Agreements as described above were completed subsequent to June 30, 2014 (see Note 17).</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the completion of the sale under the first two agreements in June 2014, the Company computed a gain on the sale of its ePort equipment in the amount of $1,152,207 as follows:</w:t>
      </w:r>
    </w:p>
    <w:p>
      <w:pPr>
        <w:spacing w:after="0" w:line="171"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shd w:val="clear" w:color="auto" w:fill="F0FFFF"/>
          </w:tcPr>
          <w:p>
            <w:pPr>
              <w:spacing w:after="0"/>
              <w:rPr>
                <w:sz w:val="20"/>
                <w:szCs w:val="20"/>
                <w:color w:val="auto"/>
              </w:rPr>
            </w:pPr>
            <w:r>
              <w:rPr>
                <w:rFonts w:ascii="Arial" w:cs="Arial" w:eastAsia="Arial" w:hAnsi="Arial"/>
                <w:sz w:val="18"/>
                <w:szCs w:val="18"/>
                <w:color w:val="auto"/>
              </w:rPr>
              <w:t>Rental equipment sold, cost</w:t>
            </w:r>
          </w:p>
        </w:tc>
        <w:tc>
          <w:tcPr>
            <w:tcW w:w="48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1,918,920</w:t>
            </w:r>
          </w:p>
        </w:tc>
      </w:tr>
      <w:tr>
        <w:trPr>
          <w:trHeight w:val="202"/>
        </w:trPr>
        <w:tc>
          <w:tcPr>
            <w:tcW w:w="20" w:type="dxa"/>
            <w:vAlign w:val="bottom"/>
          </w:tcPr>
          <w:p>
            <w:pPr>
              <w:spacing w:after="0"/>
              <w:rPr>
                <w:sz w:val="17"/>
                <w:szCs w:val="17"/>
                <w:color w:val="auto"/>
              </w:rPr>
            </w:pPr>
          </w:p>
        </w:tc>
        <w:tc>
          <w:tcPr>
            <w:tcW w:w="4080" w:type="dxa"/>
            <w:vAlign w:val="bottom"/>
          </w:tcPr>
          <w:p>
            <w:pPr>
              <w:spacing w:after="0" w:line="201" w:lineRule="exact"/>
              <w:rPr>
                <w:sz w:val="20"/>
                <w:szCs w:val="20"/>
                <w:color w:val="auto"/>
              </w:rPr>
            </w:pPr>
            <w:r>
              <w:rPr>
                <w:rFonts w:ascii="Arial" w:cs="Arial" w:eastAsia="Arial" w:hAnsi="Arial"/>
                <w:sz w:val="18"/>
                <w:szCs w:val="18"/>
                <w:color w:val="auto"/>
                <w:w w:val="92"/>
              </w:rPr>
              <w:t>Rental equipment sold, accumulated depreciation upon</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7"/>
        </w:trPr>
        <w:tc>
          <w:tcPr>
            <w:tcW w:w="4100" w:type="dxa"/>
            <w:vAlign w:val="bottom"/>
            <w:gridSpan w:val="2"/>
          </w:tcPr>
          <w:p>
            <w:pPr>
              <w:spacing w:after="0"/>
              <w:rPr>
                <w:sz w:val="20"/>
                <w:szCs w:val="20"/>
                <w:color w:val="auto"/>
              </w:rPr>
            </w:pPr>
            <w:r>
              <w:rPr>
                <w:rFonts w:ascii="Arial" w:cs="Arial" w:eastAsia="Arial" w:hAnsi="Arial"/>
                <w:sz w:val="18"/>
                <w:szCs w:val="18"/>
                <w:color w:val="auto"/>
              </w:rPr>
              <w:t>sale</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(76,032)</w:t>
            </w:r>
          </w:p>
        </w:tc>
      </w:tr>
      <w:tr>
        <w:trPr>
          <w:trHeight w:val="216"/>
        </w:trPr>
        <w:tc>
          <w:tcPr>
            <w:tcW w:w="20" w:type="dxa"/>
            <w:vAlign w:val="bottom"/>
          </w:tcPr>
          <w:p>
            <w:pPr>
              <w:spacing w:after="0"/>
              <w:rPr>
                <w:sz w:val="18"/>
                <w:szCs w:val="18"/>
                <w:color w:val="auto"/>
              </w:rPr>
            </w:pPr>
          </w:p>
        </w:tc>
        <w:tc>
          <w:tcPr>
            <w:tcW w:w="4080" w:type="dxa"/>
            <w:vAlign w:val="bottom"/>
            <w:shd w:val="clear" w:color="auto" w:fill="F0FFFF"/>
          </w:tcPr>
          <w:p>
            <w:pPr>
              <w:spacing w:after="0"/>
              <w:rPr>
                <w:sz w:val="20"/>
                <w:szCs w:val="20"/>
                <w:color w:val="auto"/>
              </w:rPr>
            </w:pPr>
            <w:r>
              <w:rPr>
                <w:rFonts w:ascii="Arial" w:cs="Arial" w:eastAsia="Arial" w:hAnsi="Arial"/>
                <w:sz w:val="18"/>
                <w:szCs w:val="18"/>
                <w:color w:val="auto"/>
              </w:rPr>
              <w:t>Rental equipment sold, net book value</w:t>
            </w: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1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1,842,888</w:t>
            </w: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Proceeds from Sale</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2,995,095</w:t>
            </w:r>
          </w:p>
        </w:tc>
      </w:tr>
      <w:tr>
        <w:trPr>
          <w:trHeight w:val="237"/>
        </w:trPr>
        <w:tc>
          <w:tcPr>
            <w:tcW w:w="20" w:type="dxa"/>
            <w:vAlign w:val="bottom"/>
          </w:tcPr>
          <w:p>
            <w:pPr>
              <w:spacing w:after="0"/>
              <w:rPr>
                <w:sz w:val="20"/>
                <w:szCs w:val="20"/>
                <w:color w:val="auto"/>
              </w:rPr>
            </w:pPr>
          </w:p>
        </w:tc>
        <w:tc>
          <w:tcPr>
            <w:tcW w:w="4080" w:type="dxa"/>
            <w:vAlign w:val="bottom"/>
            <w:shd w:val="clear" w:color="auto" w:fill="F0FFFF"/>
          </w:tcPr>
          <w:p>
            <w:pPr>
              <w:spacing w:after="0"/>
              <w:rPr>
                <w:sz w:val="20"/>
                <w:szCs w:val="20"/>
                <w:color w:val="auto"/>
              </w:rPr>
            </w:pPr>
            <w:r>
              <w:rPr>
                <w:rFonts w:ascii="Arial" w:cs="Arial" w:eastAsia="Arial" w:hAnsi="Arial"/>
                <w:sz w:val="18"/>
                <w:szCs w:val="18"/>
                <w:color w:val="auto"/>
              </w:rPr>
              <w:t>Gain on sale of rental equipment</w:t>
            </w:r>
          </w:p>
        </w:tc>
        <w:tc>
          <w:tcPr>
            <w:tcW w:w="48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1,152,207</w:t>
            </w: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accordance with the FASB topic ASC 840-40, “Sale Leaseback Transactions”, any gain shall be deferred and shall be amortized in proportion to the related gross rental charged to expense over the lease term. The computed gain on the sale will be recognized ratably over the 36 month term and charged as a reduction to the Company’s JumpStart rent expense included in costs of services in the Company’s consolidated statement of operations. For the year ended June 30, 2014 the Company recognized $9,522 of the gain and the deferred gain amounted to $1,142,685 as of June 30, 2014. The Company intends to utilize the proceeds from the sale of the equipment for working capital purposes.</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lease commitments include leases for its operations from various facilities. The Company leases 17,249 square feet of space located in Malvern, Pennsylvania for its principal executive office and used for general administrative functions, sales activities, product development, and customer support. In November 2010, the Company entered into an amended lease of its principal executive office in Malvern, Pennsylvania, which extended the lease term from December 31, 2010 to April 2016. The amendment includes rental payments of approximately $29,000 to $32,000 as well as a four month period of no rent payments and leasehold improvements of approximately $195,000. The straight-lined rent expense for this office is approximately $25,000 per month for the duration of the lease.</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space in Malvern, Pennsylvania for its product warehousing and shipping support. In October 2011, the Company amended the lease of its operations site in Malvern, Pennsylvania, to extend the lease term from December 31, 2011 to December 31, 2012. The amendment includes monthly rental payments of approximately $15,100 to $16,200. Beginning in January 2012 the straight-lined rent expense for this office is approximately $15,600 per month for the duration of the amended lease period. In November 2012, the Company amended and extended this lease to January 31, 2013 with monthly rent of $16,721 for January 2013.</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2012, the Company entered into a lease for a new operations site in Malvern, Pennsylvania to replace its existing site and lease. The lease term for the 11,250 square feet of space is January 1, 2013 through February 29, 2016. The lease includes monthly rental payments from $4,406 to $4,678 as well as a two month period of no rent payments. Beginning in January 2013 the straight-lined rent expense for this operations site is approximately $4,300 per month for the duration of the lease period.</w:t>
      </w:r>
    </w:p>
    <w:p>
      <w:pPr>
        <w:sectPr>
          <w:pgSz w:w="11900" w:h="16838" w:orient="portrait"/>
          <w:cols w:equalWidth="0" w:num="1">
            <w:col w:w="11420"/>
          </w:cols>
          <w:pgMar w:left="240" w:top="918" w:right="239" w:bottom="210" w:gutter="0" w:footer="0" w:header="0"/>
        </w:sectPr>
      </w:pPr>
    </w:p>
    <w:bookmarkStart w:id="81" w:name="page82"/>
    <w:bookmarkEnd w:id="81"/>
    <w:p>
      <w:pPr>
        <w:spacing w:after="0" w:line="277" w:lineRule="auto"/>
        <w:rPr>
          <w:sz w:val="20"/>
          <w:szCs w:val="20"/>
          <w:color w:val="auto"/>
        </w:rPr>
      </w:pPr>
      <w:r>
        <w:rPr>
          <w:rFonts w:ascii="Arial" w:cs="Arial" w:eastAsia="Arial" w:hAnsi="Arial"/>
          <w:sz w:val="18"/>
          <w:szCs w:val="18"/>
          <w:color w:val="auto"/>
        </w:rPr>
        <w:t>Rent expense under operating leases was approximately $372,000, $432,000, and $502,000 during the years ended June 30, 2014, 2013, and 2012, respectively.</w:t>
      </w: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125" w:right="107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subsequent to June 30, 2014 under non-cancellable operating leases and capital leases are as follows: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88"/>
              </w:rPr>
              <w:t>Other</w:t>
            </w:r>
          </w:p>
        </w:tc>
        <w:tc>
          <w:tcPr>
            <w:tcW w:w="22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color w:val="auto"/>
                <w:w w:val="91"/>
              </w:rPr>
              <w:t>Operating Leases</w:t>
            </w:r>
          </w:p>
        </w:tc>
        <w:tc>
          <w:tcPr>
            <w:tcW w:w="22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91"/>
              </w:rPr>
              <w:t>Operating</w:t>
            </w:r>
          </w:p>
        </w:tc>
        <w:tc>
          <w:tcPr>
            <w:tcW w:w="22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91"/>
              </w:rPr>
              <w:t>Operating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Capital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2"/>
              </w:rPr>
              <w:t>from Sale Leaseback</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2"/>
              </w:rPr>
              <w:t>Leases</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6"/>
              </w:rPr>
              <w:t>Leases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Leases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F0FFFF"/>
          </w:tcPr>
          <w:p>
            <w:pPr>
              <w:spacing w:after="0"/>
              <w:rPr>
                <w:sz w:val="20"/>
                <w:szCs w:val="20"/>
                <w:color w:val="auto"/>
              </w:rPr>
            </w:pPr>
            <w:r>
              <w:rPr>
                <w:rFonts w:ascii="Arial" w:cs="Arial" w:eastAsia="Arial" w:hAnsi="Arial"/>
                <w:sz w:val="18"/>
                <w:szCs w:val="18"/>
                <w:color w:val="auto"/>
              </w:rPr>
              <w:t>2015</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988,381</w:t>
            </w:r>
          </w:p>
        </w:tc>
        <w:tc>
          <w:tcPr>
            <w:tcW w:w="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435,578</w:t>
            </w:r>
          </w:p>
        </w:tc>
        <w:tc>
          <w:tcPr>
            <w:tcW w:w="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1,423,959</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198,416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988,381</w:t>
            </w:r>
          </w:p>
        </w:tc>
        <w:tc>
          <w:tcPr>
            <w:tcW w:w="2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361,927</w:t>
            </w:r>
          </w:p>
        </w:tc>
        <w:tc>
          <w:tcPr>
            <w:tcW w:w="2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1,350,308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111,647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F0FFFF"/>
          </w:tcPr>
          <w:p>
            <w:pPr>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6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988,381</w:t>
            </w: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810</w:t>
            </w: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989,191</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92,261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F0FFFF"/>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6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23,362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shd w:val="clear" w:color="auto" w:fill="F0FFFF"/>
          </w:tcPr>
          <w:p>
            <w:pPr>
              <w:spacing w:after="0"/>
              <w:rPr>
                <w:sz w:val="20"/>
                <w:szCs w:val="20"/>
                <w:color w:val="auto"/>
              </w:rPr>
            </w:pPr>
            <w:r>
              <w:rPr>
                <w:rFonts w:ascii="Arial" w:cs="Arial" w:eastAsia="Arial" w:hAnsi="Arial"/>
                <w:sz w:val="18"/>
                <w:szCs w:val="18"/>
                <w:color w:val="auto"/>
              </w:rPr>
              <w:t>Total minimum lease payments</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2,965,143</w:t>
            </w:r>
          </w:p>
        </w:tc>
        <w:tc>
          <w:tcPr>
            <w:tcW w:w="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798,315</w:t>
            </w:r>
          </w:p>
        </w:tc>
        <w:tc>
          <w:tcPr>
            <w:tcW w:w="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3,763,458</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486,271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Less amount representing interest</w:t>
            </w:r>
          </w:p>
        </w:tc>
        <w:tc>
          <w:tcPr>
            <w:tcW w:w="12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F0FFFF"/>
          </w:tcPr>
          <w:p>
            <w:pPr>
              <w:spacing w:after="0"/>
              <w:rPr>
                <w:sz w:val="20"/>
                <w:szCs w:val="20"/>
                <w:color w:val="auto"/>
              </w:rPr>
            </w:pPr>
            <w:r>
              <w:rPr>
                <w:rFonts w:ascii="Arial" w:cs="Arial" w:eastAsia="Arial" w:hAnsi="Arial"/>
                <w:sz w:val="18"/>
                <w:szCs w:val="18"/>
                <w:color w:val="auto"/>
                <w:w w:val="92"/>
              </w:rPr>
              <w:t>Present value of net minimum lease payments</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6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414,526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5"/>
              </w:rPr>
              <w:t>Less current obligations under capital leases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164,660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4"/>
              </w:rPr>
              <w:t>Obligations under capital leases, less current</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6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420" w:type="dxa"/>
            <w:vAlign w:val="bottom"/>
            <w:shd w:val="clear" w:color="auto" w:fill="F0FFFF"/>
          </w:tcPr>
          <w:p>
            <w:pPr>
              <w:spacing w:after="0"/>
              <w:rPr>
                <w:sz w:val="20"/>
                <w:szCs w:val="20"/>
                <w:color w:val="auto"/>
              </w:rPr>
            </w:pPr>
            <w:r>
              <w:rPr>
                <w:rFonts w:ascii="Arial" w:cs="Arial" w:eastAsia="Arial" w:hAnsi="Arial"/>
                <w:sz w:val="18"/>
                <w:szCs w:val="18"/>
                <w:color w:val="auto"/>
              </w:rPr>
              <w:t>portion</w:t>
            </w: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6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4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40" w:type="dxa"/>
            <w:vAlign w:val="bottom"/>
            <w:shd w:val="clear" w:color="auto" w:fill="F0FFFF"/>
          </w:tcPr>
          <w:p>
            <w:pPr>
              <w:spacing w:after="0"/>
              <w:rPr>
                <w:sz w:val="21"/>
                <w:szCs w:val="21"/>
                <w:color w:val="auto"/>
              </w:rPr>
            </w:pP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249,866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62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04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0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30, 2011, the Company and Mr. Herbert entered into an Amended and Restated Employment and Non-Competition Agreement that replaced his prior employment agreement with the Company. The agreement provides for an initial term continuing through January 1, 2013, which is automatically renewed for consecutive one year periods unless terminated by either Mr. Herbert or the Company upon at least ninety days’ notice prior to the end of the initial term or any one year extension thereof.</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agreement increased Mr. Herbert’s base salary to $341,227, which is equal to the base salary under his prior employment agreement plus an amount equal to the cost to the Company of the car allowance and supplemental disability insurance coverage provided to him under his prior employment agreement; and, the car allowance and supplemental disability insurance coverage that had been provided to him under his prior employment agreement, which have been discontinued. He is eligible for a cash bonus as described in the next sentence. The agreement provides for the payment to Mr. Herbert of a cash bonus of $30,000 if the Company would achieve all of the minimum threshold performance target goals under the Fiscal Year 2012 Executive Performance Plan, of $50,000 if the Company would achieve all of the target performance goals under the plan, and of $75,000 if the Company would achieve all of the maximum distinguished performance target goals under the plan.</w:t>
      </w:r>
    </w:p>
    <w:p>
      <w:pPr>
        <w:spacing w:after="0" w:line="2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agreed to obtain and pay the premiums for a term life insurance policy in the amount of $1,500,000 on the life of Mr. Herbert while he is employed by the Company. Mr. Herbert has the right to designate the beneficiary of the policy. On September 5, 2012, the Company discontinued this policy and Mr. Herbert’s base salary was increased by the amount equal to the annual premiums being paid by the Company for the life insurance policy.</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agreement provides that if Mr. Herbert would terminate his employment with the Company for good reason (as defined in the agreement), or if the Company would terminate his employment without cause (as defined in the agreement), or if the Company would provide Mr. Herbert with a notice of non-renewal of his employment agreement, then the Company would pay to him a lump sum equal to two times his base salary on or before the termination of his employment. The term good reason as defined in the agreement, includes: (A) a material breach of the terms of the agreement by the Company; (B) the assignment by the Company to Mr. Herbert of duties in any way materially inconsistent with his authorities, duties, or responsibilities, or a material reduction or alteration in the nature or status of his authority, duties, or responsibilities as the Chief Executive Officer of the Company; (C) the Company reduces Mr. Herbert’s annual base salary; or (D) a material reduction by the Company in the kind or level of employee benefits to which Mr. Herbert is entitled immediately prior to such reduction with the result that his overall benefit package is significantly reduced unless such failure to continue a plan, policy, practice or arrangement pertains to all plan participants generally. As a condition to Mr. Herbert receiving any payments or benefits upon the termination of his employment for good reason, Mr. Herbert shall have executed and delivered (and not revoked) a release of any and all claims, suits, or causes of action against the Company and its affiliates in form reasonably acceptable to the Company.</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agreement also provides that as a condition of the consummation of a USA Transaction (as defined in the agreement), the successor to the Company’s business or assets would agree to assume and perform Mr. Herbert’s employment agreement. If any such successor would not do so, Mr. Herbert’s employment would terminate on the date of consummation of the USA Transaction, and the Company would pay to Mr. Herbert a lump sum equal to two times his base salary on or before the termination of his employment.</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12, 2005, Mr. DeMedio and the Company entered into an employment agreement pursuant to which he was employed as the Chief Financial Officer of the Company. In the event that a USA Transaction shall occur, then Mr. DeMedio has the right to terminate his agreement upon thirty days’ notice to the Company.</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September 24, 2009, the Company agreed to obtain and pay the premiums for a term life insurance policy in the amount of $750,000 on the life of Mr. DeMedio while he is employed by the Company. Mr. DeMedio has the right to designate the beneficiary of the policy. The Company has agreed to obtain and pay the premiums for a supplemental long term disability policy covering Mr. DeMedio over and above the existing long-term group disability plan of the Company. If he shall become disabled while employed by the Company, the policy would provide for monthly disability coverage of up to 65% of his monthly base compensation payable to age 65 or death. If Mr. DeMedio’s employment with the Company would be terminated without cause, the Company</w:t>
      </w:r>
    </w:p>
    <w:p>
      <w:pPr>
        <w:sectPr>
          <w:pgSz w:w="11900" w:h="16838" w:orient="portrait"/>
          <w:cols w:equalWidth="0" w:num="1">
            <w:col w:w="11420"/>
          </w:cols>
          <w:pgMar w:left="240" w:top="918" w:right="239" w:bottom="0" w:gutter="0" w:footer="0" w:header="0"/>
        </w:sectPr>
      </w:pPr>
    </w:p>
    <w:bookmarkStart w:id="83" w:name="page84"/>
    <w:bookmarkEnd w:id="83"/>
    <w:p>
      <w:pPr>
        <w:spacing w:after="0" w:line="277" w:lineRule="auto"/>
        <w:rPr>
          <w:sz w:val="20"/>
          <w:szCs w:val="20"/>
          <w:color w:val="auto"/>
        </w:rPr>
      </w:pPr>
      <w:r>
        <w:rPr>
          <w:rFonts w:ascii="Arial" w:cs="Arial" w:eastAsia="Arial" w:hAnsi="Arial"/>
          <w:sz w:val="18"/>
          <w:szCs w:val="18"/>
          <w:color w:val="auto"/>
        </w:rPr>
        <w:t>has agreed, at its cost, to continue to provide Mr. DeMedio with health insurance benefits substantially similar to those which he is receiving immediately prior to the date of termination for a one year period following such termination.</w:t>
      </w:r>
    </w:p>
    <w:p>
      <w:pPr>
        <w:spacing w:after="0" w:line="19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April 14, 2011, the Company and Mr. DeMedio entered into an additional amendment to the employment agreement. The agreement extended the term of Mr. DeMedio’s employment with the Company from June 30, 2011 until June 30, 2014, and will automatically continue from year to year thereafter unless terminated as of the end of the original term or any such one year renewal period by the Company or Mr. DeMedio by at least ninety days’ notice. In connection with the amendment, Mr. DeMedio was issued 25,000 shares of common stock under the 2010 Stock Incentive Plan which vested as follows: 8,333 on April 14, 2011; 8,333 on April 14, 2012; and 8,334 on April 14,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Effective July 1, 2011, Mr. DeMedio’s annual base salary was increased to $220,000.</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 (CONTINUED)</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27, 2011, the Company and Mr. DeMedio entered into another amendment to his employment agreement pursuant to which Mr. DeMedio was granted an aggregate of 25,000 shares of common stock as a bonus for his performance during the last six months of the 2011 fiscal year which vest as follows: 8,333 on the date of signing the amendment; 8,333 on the first anniversary of such signing date; and 8,334 on the second anniversary of such signing date. Mr. DeMedio also agreed that the premiums for his supplemental long term disability policy being paid by the Company would now be included in his wages and be taxable to him.</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5, 2012, the Company discontinued Mr. DeMedio’s car allowance, supplemental disability insurance policy and life insurance policy, and the amount of his base salary was increased by the annual cost of these benefits.</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November 7, 2013, the Company and Mr. DeMedio, entered into an amendment to the employment agreement. The amendment to Mr. DeMedio’s employment agreement (the “DeMedio Amendment”) provides that (i) if following a change in control of the Company (as defined in the DeMedio Amendment) Mr. DeMedio would terminate his employment with the Company for good reason (as defined in the DeMedio Amendment), or (ii) if the Company would terminate his employment at any time without cause (as defined in the DeMedio Amendment), or (iii) if the Company would provide Mr. DeMedio with a notice of non-renewal of his employment agreement, then the Company would pay to him a lump sum equal to one times his base salary on or before the termination of his employment and all restricted stock awards and stock options would become vested as of the date of termination.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is involved in various litigation proceedings arising during the normal course of business which, in the opinion of the management of the Company, will not have a material effect on the Company’s financial position and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LEASEBACK</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July, 2014, Varilease completed the purchase from the Company of the ePort equipment described in the last four of the Sale Leaseback Agreements for an aggregate of $4,993,879, and pursuant to the corresponding Schedules, the Company is obligated to pay to Varilease a base monthly rental of $137,731 for this equipment during the 36-month lease term. The Company is accounting for the Sale Leaseback as an operating lease.</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the completion of the sale under these agreements in July 2014, the Company computed a gain on the sale of its ePort equipment in the amount of approximately $1,450,000. In accordance with the FASB topic ASC 840-40, “Sale Leaseback Transactions”, any gain shall be deferred and shall be amortized in proportion to the related gross rental charged to expense over the lease term. The computed profit on the sale will be recognized ratably over the 36 month term and charged as a reduction to the Company’s JumpStart rent expense included in costs of services in the Company’s consolidated statement of operations. The Company intends to utilize the proceeds from the sale of the equipment for working capital purposes and may also explore and consider utilizing a portion of these proceeds for other purposes.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INCENTIVE PLANS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28, 2014, at the recommendation of the Compensation Committee of the Board of Directors of the Company, the Board of Directors approved the Fiscal Year 2015 Short-Term Incentive Plan (the “2015 STI Plan”) and the Fiscal Year 2015 Long-Term Stock Incentive Plan (the “2015 LTI Stock Plan”) covering Stephen P. Herbert, Chairman and Chief Executive Officer, and David M. DeMedio, Chief Financial Officer. Upon the recommendation of the Compensation Committee, the Board also approved an award of options to purchase common stock under the Company’s 2014 Stock Option Incentive Plan to each of Messrs. Herbert and DeMedio.</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2015 STI Plan provides that each executive officer would earn a cash bonus in the event that the Company achieved during the 2015 fiscal year certain annual financial goals (80% weighting) and certain annual specific performance goals relating to the executive officer which are to be established by the Compensation Committee (20% weighting). The annual financial goals are total revenues (30% weighting), cash generated from operations (30% weighting), and non-GAAP net income (40% weighting).</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none of the minimum threshold target goals are achieved, the executive officers would not earn a cash bonus. If all of the target goals are achieved, the executive officers would earn a cash bonus as follows: Mr. Herbert – $136,500 (40% of base salary); and Mr. DeMedio – $59,469 (25% of base salary). If all of the maximum distinguished target goals are achieved, the executive officers would earn a cash bonus as follows: Mr. Herbert – $273,000 (80% of base salary); and Mr. DeMedio – $118,938 (50% of base salary). Assuming the minimum threshold target goal would be achieved for a particular metric, the amount of the cash bonus to be earned would be determined on a pro rata basis, provided that the bonus would not exceed the maximum distinguished award for that metric.</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2015 LTI Stock Plan provides that each executive officer would be awarded shares of common stock of the Company in the event that certain metrics relating to the Company’s 2015 fiscal year would result in specified ranges of year-over-year percentage growth. The metrics are total number of connections as of June 30, 2015 as compared to total number of connections as of June 30, 2014 (50% weighting) and adjusted EBITDA earned during the 2015 fiscal year as compared to adjusted EBITDA earned during the 2014 fiscal year (50% weighting).</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none of the minimum threshold year-over-year percentage target goals are achieved, the executive officers would not be awarded any shares. If all of the year-over-year percentage target goals are achieved, the executive officers would be awarded shares having the following value: Stephen P. Herbert – $341,227 (100% of base salary); and David M. DeMedio – $178,406 (75% of base salary). If all of the maximum distinguished year-over-year percentage target goals are achieved, the executive officers would be awarded shares having the following value: Mr. Herbert – $682,454 (200% of base salary); and Mr. DeMedio – $356,812 (150% of base salary). Assuming the minimum threshold year-over-year percentage target goal would be achieved for a particular</w:t>
      </w:r>
    </w:p>
    <w:p>
      <w:pPr>
        <w:sectPr>
          <w:pgSz w:w="11900" w:h="16914" w:orient="portrait"/>
          <w:cols w:equalWidth="0" w:num="1">
            <w:col w:w="11420"/>
          </w:cols>
          <w:pgMar w:left="240" w:top="918" w:right="239" w:bottom="0" w:gutter="0" w:footer="0" w:header="0"/>
        </w:sectPr>
      </w:pPr>
    </w:p>
    <w:bookmarkStart w:id="85" w:name="page86"/>
    <w:bookmarkEnd w:id="85"/>
    <w:p>
      <w:pPr>
        <w:jc w:val="both"/>
        <w:spacing w:after="0" w:line="264" w:lineRule="auto"/>
        <w:rPr>
          <w:sz w:val="20"/>
          <w:szCs w:val="20"/>
          <w:color w:val="auto"/>
        </w:rPr>
      </w:pPr>
      <w:r>
        <w:rPr>
          <w:rFonts w:ascii="Arial" w:cs="Arial" w:eastAsia="Arial" w:hAnsi="Arial"/>
          <w:sz w:val="18"/>
          <w:szCs w:val="18"/>
          <w:color w:val="auto"/>
        </w:rPr>
        <w:t>metric, the number of shares to be awarded for that metric would be determined on a pro rata basis, provided that the award would not exceed the maximum distinguished award for that metric. The shares awarded under the 2015 LTI Stock Plan would vest as follows: one-third at the time of issuance; one-third on the first anniversary of issuance; and one-third on the second anniversary of issuance.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OPTIONS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Herbert was awarded incentive stock options intended to qualify under Section 422 of the Internal Revenue Code of 1986, as amended (the “Code), to purchase up to 55,555 shares at an exercise price of $1.80 per share. The options vest on September 1, 2015, and expire if not exercised prior to September 1, 2021. Mr. Herbert was also awarded non-qualified stock options to purchase up to 150,000 shares at an exercise price of $1.80 per share. The options vest as follows: one-third on September 1, 2015; one-third on September 1, 2016; and one-third on September 1, 2017. The options expire if not exercised prior to September 1, 2021.</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Mr. DeMedio was awarded incentive stock options intended to qualify under Section 422 of the Code to purchase up to 33,333 shares at an exercise price of $1.80 per share. The options vest on September 1, 2015, and expire if not exercised prior to September 1, 2021. Mr. DeMedio was also awarded non-qualified stock options to purchase up to 90,000 shares at an exercise price of $1.80 per share. The options vest as follows: one-third on September 1, 2015; one-third on September 1, 2016; and one-third on September 1, 2017. The options expire if not exercised prior to September 1,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principal executive officer and principal financial officer have evaluated the Company’s disclosure controls and procedures as of June 30, 2014. Based on this evaluation, they conclude that the disclosure controls and procedures were effective to ensure that the information required to be disclosed by the Company in the reports that it files or submits under the Securities Exchange Act of 1934 is recorded, processed, summarized and reported, within the time periods specified in the Commission’s rules and forms and to ensure that information required to be disclosed by the Company in the reports that it files or submits under the Securities Exchange Act of 1934 is accumulated and communicated to the Company’s management, including its principal executive and principal financial officers, or persons performing similar functions, as appropriate to allow timely decisions regarding required disclosure.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 Management’s annual report on internal control over financial reporting.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Exchange Act Rules 13a-15(f). The Company’s internal control over financial reporting is a process affected by the Company’s management to provide reasonable assurance regarding the reliability of financial reporting and the preparation of the Company’s financial statements for external purposes in accordance with U.S. generally accepted accounting principles.</w:t>
      </w: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designing and evaluating our disclosure controls and procedures, our management recognized that disclosure controls and procedures, no matter how well conceived and operated, can provide only a reasonable, not absolute, assurance that the objectives of the disclosure controls and procedures are met.</w:t>
      </w:r>
    </w:p>
    <w:p>
      <w:pPr>
        <w:spacing w:after="0" w:line="15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management assessed the effectiveness of its internal control over financial reporting as of June 30, 2014. In making this assessment, it used the criteria set forth by the Committee of Sponsoring Organizations (COSO) of the Treadway Commission in Internal Control—Integrated Framework. Based on its assessment, management believes that, as of June 30, 2014, the Company’s internal control over financial reporting is effective.</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an exemption for smaller reporting companies under Section 989G of the Dodd-Frank Wall Street Reform and Consumer Protection Act.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 Changes in internal control over financial reporting.</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during the quarter ended June 30, 2014 in the Company’s internal controls over financial reporting that have materially affected, or are reasonably likely to materially affect,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Directors and executive officers, on August 31, 2014, together with their ages and business backgrounds were as follows: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Name</w:t>
            </w:r>
          </w:p>
        </w:tc>
        <w:tc>
          <w:tcPr>
            <w:tcW w:w="2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Age</w:t>
            </w:r>
          </w:p>
        </w:tc>
        <w:tc>
          <w:tcPr>
            <w:tcW w:w="5640" w:type="dxa"/>
            <w:vAlign w:val="bottom"/>
            <w:gridSpan w:val="2"/>
          </w:tcPr>
          <w:p>
            <w:pPr>
              <w:ind w:left="260"/>
              <w:spacing w:after="0"/>
              <w:rPr>
                <w:sz w:val="20"/>
                <w:szCs w:val="20"/>
                <w:color w:val="auto"/>
              </w:rPr>
            </w:pPr>
            <w:r>
              <w:rPr>
                <w:rFonts w:ascii="Arial" w:cs="Arial" w:eastAsia="Arial" w:hAnsi="Arial"/>
                <w:sz w:val="18"/>
                <w:szCs w:val="18"/>
                <w:color w:val="auto"/>
              </w:rPr>
              <w:t>Position(s) Held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3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F0FFFF"/>
          </w:tcPr>
          <w:p>
            <w:pPr>
              <w:spacing w:after="0"/>
              <w:rPr>
                <w:sz w:val="20"/>
                <w:szCs w:val="20"/>
                <w:color w:val="auto"/>
              </w:rPr>
            </w:pPr>
            <w:r>
              <w:rPr>
                <w:rFonts w:ascii="Arial" w:cs="Arial" w:eastAsia="Arial" w:hAnsi="Arial"/>
                <w:sz w:val="18"/>
                <w:szCs w:val="18"/>
                <w:color w:val="auto"/>
              </w:rPr>
              <w:t>Deborah G. Arnold (4)</w:t>
            </w:r>
          </w:p>
        </w:tc>
        <w:tc>
          <w:tcPr>
            <w:tcW w:w="280" w:type="dxa"/>
            <w:vAlign w:val="bottom"/>
            <w:shd w:val="clear" w:color="auto" w:fill="F0FFFF"/>
          </w:tcPr>
          <w:p>
            <w:pPr>
              <w:spacing w:after="0"/>
              <w:rPr>
                <w:sz w:val="18"/>
                <w:szCs w:val="18"/>
                <w:color w:val="auto"/>
              </w:rPr>
            </w:pPr>
          </w:p>
        </w:tc>
        <w:tc>
          <w:tcPr>
            <w:tcW w:w="68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89"/>
              </w:rPr>
              <w:t>64</w:t>
            </w:r>
          </w:p>
        </w:tc>
        <w:tc>
          <w:tcPr>
            <w:tcW w:w="5640" w:type="dxa"/>
            <w:vAlign w:val="bottom"/>
            <w:gridSpan w:val="2"/>
            <w:shd w:val="clear" w:color="auto" w:fill="F0FF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Steven D. Barnhart (2)(3)</w:t>
            </w:r>
          </w:p>
        </w:tc>
        <w:tc>
          <w:tcPr>
            <w:tcW w:w="96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52</w:t>
            </w:r>
          </w:p>
        </w:tc>
        <w:tc>
          <w:tcPr>
            <w:tcW w:w="564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F0FFFF"/>
          </w:tcPr>
          <w:p>
            <w:pPr>
              <w:spacing w:after="0"/>
              <w:rPr>
                <w:sz w:val="20"/>
                <w:szCs w:val="20"/>
                <w:color w:val="auto"/>
              </w:rPr>
            </w:pPr>
            <w:r>
              <w:rPr>
                <w:rFonts w:ascii="Arial" w:cs="Arial" w:eastAsia="Arial" w:hAnsi="Arial"/>
                <w:sz w:val="18"/>
                <w:szCs w:val="18"/>
                <w:color w:val="auto"/>
              </w:rPr>
              <w:t>Joel Brooks (1)</w:t>
            </w:r>
          </w:p>
        </w:tc>
        <w:tc>
          <w:tcPr>
            <w:tcW w:w="960" w:type="dxa"/>
            <w:vAlign w:val="bottom"/>
            <w:gridSpan w:val="2"/>
            <w:shd w:val="clear" w:color="auto" w:fill="F0FFFF"/>
          </w:tcPr>
          <w:p>
            <w:pPr>
              <w:jc w:val="center"/>
              <w:ind w:left="170"/>
              <w:spacing w:after="0"/>
              <w:rPr>
                <w:sz w:val="20"/>
                <w:szCs w:val="20"/>
                <w:color w:val="auto"/>
              </w:rPr>
            </w:pPr>
            <w:r>
              <w:rPr>
                <w:rFonts w:ascii="Arial" w:cs="Arial" w:eastAsia="Arial" w:hAnsi="Arial"/>
                <w:sz w:val="18"/>
                <w:szCs w:val="18"/>
                <w:color w:val="auto"/>
                <w:w w:val="89"/>
              </w:rPr>
              <w:t>55</w:t>
            </w:r>
          </w:p>
        </w:tc>
        <w:tc>
          <w:tcPr>
            <w:tcW w:w="5640" w:type="dxa"/>
            <w:vAlign w:val="bottom"/>
            <w:gridSpan w:val="2"/>
            <w:shd w:val="clear" w:color="auto" w:fill="F0FF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David M. DeMedio</w:t>
            </w:r>
          </w:p>
        </w:tc>
        <w:tc>
          <w:tcPr>
            <w:tcW w:w="96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43</w:t>
            </w:r>
          </w:p>
        </w:tc>
        <w:tc>
          <w:tcPr>
            <w:tcW w:w="5640" w:type="dxa"/>
            <w:vAlign w:val="bottom"/>
            <w:gridSpan w:val="2"/>
          </w:tcPr>
          <w:p>
            <w:pPr>
              <w:ind w:left="2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960" w:type="dxa"/>
            <w:vAlign w:val="bottom"/>
            <w:gridSpan w:val="2"/>
            <w:shd w:val="clear" w:color="auto" w:fill="F0FFFF"/>
          </w:tcPr>
          <w:p>
            <w:pPr>
              <w:jc w:val="center"/>
              <w:ind w:left="170"/>
              <w:spacing w:after="0"/>
              <w:rPr>
                <w:sz w:val="20"/>
                <w:szCs w:val="20"/>
                <w:color w:val="auto"/>
              </w:rPr>
            </w:pPr>
            <w:r>
              <w:rPr>
                <w:rFonts w:ascii="Arial" w:cs="Arial" w:eastAsia="Arial" w:hAnsi="Arial"/>
                <w:sz w:val="18"/>
                <w:szCs w:val="18"/>
                <w:color w:val="auto"/>
                <w:w w:val="89"/>
              </w:rPr>
              <w:t>51</w:t>
            </w:r>
          </w:p>
        </w:tc>
        <w:tc>
          <w:tcPr>
            <w:tcW w:w="5640" w:type="dxa"/>
            <w:vAlign w:val="bottom"/>
            <w:gridSpan w:val="2"/>
            <w:shd w:val="clear" w:color="auto" w:fill="F0FFFF"/>
          </w:tcPr>
          <w:p>
            <w:pPr>
              <w:ind w:left="260"/>
              <w:spacing w:after="0"/>
              <w:rPr>
                <w:sz w:val="20"/>
                <w:szCs w:val="20"/>
                <w:color w:val="auto"/>
              </w:rPr>
            </w:pPr>
            <w:r>
              <w:rPr>
                <w:rFonts w:ascii="Arial" w:cs="Arial" w:eastAsia="Arial" w:hAnsi="Arial"/>
                <w:sz w:val="18"/>
                <w:szCs w:val="18"/>
                <w:color w:val="auto"/>
              </w:rPr>
              <w:t>Chief Executive Officer, Chairman of the Board of Directors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Albin F. Moschner(1)(3)</w:t>
            </w:r>
          </w:p>
        </w:tc>
        <w:tc>
          <w:tcPr>
            <w:tcW w:w="96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61</w:t>
            </w:r>
          </w:p>
        </w:tc>
        <w:tc>
          <w:tcPr>
            <w:tcW w:w="564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F0FFFF"/>
          </w:tcPr>
          <w:p>
            <w:pPr>
              <w:spacing w:after="0"/>
              <w:rPr>
                <w:sz w:val="20"/>
                <w:szCs w:val="20"/>
                <w:color w:val="auto"/>
              </w:rPr>
            </w:pPr>
            <w:r>
              <w:rPr>
                <w:rFonts w:ascii="Arial" w:cs="Arial" w:eastAsia="Arial" w:hAnsi="Arial"/>
                <w:sz w:val="18"/>
                <w:szCs w:val="18"/>
                <w:color w:val="auto"/>
              </w:rPr>
              <w:t>William J. Reilly, Jr.(1)(4)</w:t>
            </w:r>
          </w:p>
        </w:tc>
        <w:tc>
          <w:tcPr>
            <w:tcW w:w="960" w:type="dxa"/>
            <w:vAlign w:val="bottom"/>
            <w:gridSpan w:val="2"/>
            <w:shd w:val="clear" w:color="auto" w:fill="F0FFFF"/>
          </w:tcPr>
          <w:p>
            <w:pPr>
              <w:jc w:val="center"/>
              <w:ind w:left="170"/>
              <w:spacing w:after="0"/>
              <w:rPr>
                <w:sz w:val="20"/>
                <w:szCs w:val="20"/>
                <w:color w:val="auto"/>
              </w:rPr>
            </w:pPr>
            <w:r>
              <w:rPr>
                <w:rFonts w:ascii="Arial" w:cs="Arial" w:eastAsia="Arial" w:hAnsi="Arial"/>
                <w:sz w:val="18"/>
                <w:szCs w:val="18"/>
                <w:color w:val="auto"/>
                <w:w w:val="89"/>
              </w:rPr>
              <w:t>65</w:t>
            </w:r>
          </w:p>
        </w:tc>
        <w:tc>
          <w:tcPr>
            <w:tcW w:w="5640" w:type="dxa"/>
            <w:vAlign w:val="bottom"/>
            <w:gridSpan w:val="2"/>
            <w:shd w:val="clear" w:color="auto" w:fill="F0FF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William J. Schoch (4)</w:t>
            </w:r>
          </w:p>
        </w:tc>
        <w:tc>
          <w:tcPr>
            <w:tcW w:w="96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49</w:t>
            </w:r>
          </w:p>
        </w:tc>
        <w:tc>
          <w:tcPr>
            <w:tcW w:w="564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Member of Nominating and Corporate Governance Committee</w:t>
      </w:r>
    </w:p>
    <w:p>
      <w:pPr>
        <w:spacing w:after="0" w:line="2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Each member of the Board of Directors will hold office until the 2015 annual shareholders’ meeting and until his or her successor has been elected and qualified.</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Deborah G. Arnold </w:t>
      </w:r>
      <w:r>
        <w:rPr>
          <w:rFonts w:ascii="Arial" w:cs="Arial" w:eastAsia="Arial" w:hAnsi="Arial"/>
          <w:sz w:val="17"/>
          <w:szCs w:val="17"/>
          <w:color w:val="auto"/>
        </w:rPr>
        <w:t>joined the Board of Directors of the Company in February, 2012. Ms. Arnold is the Chair of our Nominating and Corporate Governance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She has served on the Advisory Board of the Grameen Technology Center from October 2002 to February 2012 and was on the Advisory Boards of the United Nations Year of Microfinance from January 2005 to December 2006. Ms. Arnold was Vice President of Global Consumer Products at Visa International from May 2001 to October 2006, and prior thereto she led the global smart card migration effort from October 1998 to May 2001. Ms. Arnold also led the development of a new payment product, Visa Horizon, for emerging markets from July 1995 to September 1998. Prior to joining Visa, she held a variety of executive positions in the telecommunications and financial services industries. In her consulting practice, Ms. Arnold has supported various organizations in the strategic planning and marketing of their products and programs. She has been deeply involved in driving the development of Near Field Communication technology and standards, initially as a founding member of the NFC Forum in 2004 and from 2011 until 2013, as the director of the 165+ member organization. Ms. Arnold holds a Bachelor of Arts degree from Duke University, obtained in 1972, as well as a certificate from Universite de Lausanne in Lausanne, Switzerland, awarded in 1971. We believe that Ms. Arnold’s record within the payments industry, both domestically and internationally, and her track record of helping companies develop strategies to capitalize on the abundant opportunities in the industry provide the requisite qualifications, skills, perspectives, and experiences to serve on our Board of Directors.</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Steven D. Barnhart </w:t>
      </w:r>
      <w:r>
        <w:rPr>
          <w:rFonts w:ascii="Arial" w:cs="Arial" w:eastAsia="Arial" w:hAnsi="Arial"/>
          <w:sz w:val="17"/>
          <w:szCs w:val="17"/>
          <w:color w:val="auto"/>
        </w:rPr>
        <w:t>was appointed to the Board of Directors in October 2009. Mr. Barnhart is the Company’s lead independent director and is a member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Compensation Committee. Since September 2014, Mr. Barnhart has served as the Senior Vice President and Chief Financial Officer for Bankrate, Inc. From August 2012 to June 2014, Mr. Barnhart served as the Senior Vice President and Chief Financial Officer of Sears Hometown and Outlet Stores, Inc. From January 2010 to June 2012, Mr. Barnhart served as the Senior Vice President and Chief Financial Officer of Bally Total Fitness. Mr. Barnhart was Chief Executive Officer and President of Orbitz Worldwide from 2007 to January 2009, after holding other executive positions since 2003, when he joined the company. Prior to Orbitz Worldwide, he worked for PepsiCo and the Pepsi Bottling Group from 1990 to 2003, where he was Finance Director for the Southeast Business Unit of the Pepsi Bottling Group, and held various finance and strategy roles at PepsiCo. Mr. Barnhart received a Bachelor of Arts degree in Economics in 1984 from the College of the University of Chicago and a Masters in Business Administration in 1988 from the University of Chicago-Booth School of Business. Mr. Barnhart served on the Board of Directors of Orbitz Worldwide from 2007 to January 2009. We believe Mr. Barnhart’s extensive executive experience and leadership skills, and prior public board experience provide the requisite qualifications, skills, perspectives, and experiences to serve on our Board of Directors.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Joel Brooks </w:t>
      </w:r>
      <w:r>
        <w:rPr>
          <w:rFonts w:ascii="Arial" w:cs="Arial" w:eastAsia="Arial" w:hAnsi="Arial"/>
          <w:sz w:val="17"/>
          <w:szCs w:val="17"/>
          <w:color w:val="auto"/>
        </w:rPr>
        <w:t>joined the Board of Directors of the Company during March 2007. Mr. Brooks is the Chair of our Audit Committee. Since December 2000, Mr.</w:t>
      </w:r>
      <w:r>
        <w:rPr>
          <w:rFonts w:ascii="Arial" w:cs="Arial" w:eastAsia="Arial" w:hAnsi="Arial"/>
          <w:sz w:val="17"/>
          <w:szCs w:val="17"/>
          <w:i w:val="1"/>
          <w:iCs w:val="1"/>
          <w:color w:val="auto"/>
        </w:rPr>
        <w:t xml:space="preserve"> </w:t>
      </w:r>
      <w:r>
        <w:rPr>
          <w:rFonts w:ascii="Arial" w:cs="Arial" w:eastAsia="Arial" w:hAnsi="Arial"/>
          <w:sz w:val="17"/>
          <w:szCs w:val="17"/>
          <w:color w:val="auto"/>
        </w:rPr>
        <w:t>Brooks has served as the Chief Financial Officer, Treasurer and Secretary of Senesco Technologies, Inc., a biotechnology company whose shares are traded on the OTCQB. From September 1998 until November 2000, Mr. Brooks was the Chief Financial Officer of Blades Board and Skate, LLC, a retail establishment specializing in the action sports industry. Mr. Brooks was Chief Financial Officer from 1997 until 1998 and Controller from 1994 until 1997 of Cable and Company Worldwide, Inc. He also held the position of Controller at USA Detergents, Inc. from 1992 until 1994, and held various positions at several public accounting firms from 1983 through 1992. Mr. Brooks received his Bachelor of Science degree in Commerce with a major in Accounting from Rider University in February 1983. We believe Mr. Brooks’ extensive accounting and finance background, and his executive experience at Senesco Technologies provide the requisite qualifications, skills, perspectives, and experiences to serve on our Board of Directors.</w:t>
      </w: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David M. DeMedio </w:t>
      </w:r>
      <w:r>
        <w:rPr>
          <w:rFonts w:ascii="Arial" w:cs="Arial" w:eastAsia="Arial" w:hAnsi="Arial"/>
          <w:sz w:val="16"/>
          <w:szCs w:val="16"/>
          <w:color w:val="auto"/>
        </w:rPr>
        <w:t>joined the Company on a full-time basis in March 1999 as Controller. In the summer of 2001, Mr. DeMedio was promoted to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Services where he was responsible for the sales and financial data reporting to customers, the Company’s turnkey banking services and maintaining and developing relationships with credit card processors and card associations. In July 2003, Mr. DeMedio served as interim Chief Financial Officer through April 2004. From April 2004 until April 2005, Mr. DeMedio served as Vice President - Financial &amp; Data Services. On April 12, 2005, he was appointed as the Company’s Chief Financial Officer. From 1996 to March 1999, prior to joining the Company, Mr. DeMedio had been employed by Elko, Fischer, Cunnane and Associates, LLC as a supervisor in its accounting and auditing and consulting practice. Prior thereto, Mr. DeMedio held various accounting</w:t>
      </w:r>
    </w:p>
    <w:p>
      <w:pPr>
        <w:sectPr>
          <w:pgSz w:w="11900" w:h="16838" w:orient="portrait"/>
          <w:cols w:equalWidth="0" w:num="1">
            <w:col w:w="11420"/>
          </w:cols>
          <w:pgMar w:left="240" w:top="918" w:right="239" w:bottom="0" w:gutter="0" w:footer="0" w:header="0"/>
        </w:sectPr>
      </w:pPr>
    </w:p>
    <w:bookmarkStart w:id="89" w:name="page90"/>
    <w:bookmarkEnd w:id="89"/>
    <w:p>
      <w:pPr>
        <w:spacing w:after="0" w:line="277" w:lineRule="auto"/>
        <w:rPr>
          <w:sz w:val="20"/>
          <w:szCs w:val="20"/>
          <w:color w:val="auto"/>
        </w:rPr>
      </w:pPr>
      <w:r>
        <w:rPr>
          <w:rFonts w:ascii="Arial" w:cs="Arial" w:eastAsia="Arial" w:hAnsi="Arial"/>
          <w:sz w:val="18"/>
          <w:szCs w:val="18"/>
          <w:color w:val="auto"/>
        </w:rPr>
        <w:t>positions with Intelligent Electronics, Inc., a multi-billion reseller of computer hardware and configuration services. Mr. DeMedio graduated with a Bachelor of Science in Business Administration from Shippensburg University and is a Certified Public Accountant.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0" w:name="page91"/>
    <w:bookmarkEnd w:id="90"/>
    <w:p>
      <w:pPr>
        <w:jc w:val="both"/>
        <w:spacing w:after="0" w:line="269" w:lineRule="auto"/>
        <w:rPr>
          <w:sz w:val="20"/>
          <w:szCs w:val="20"/>
          <w:color w:val="auto"/>
        </w:rPr>
      </w:pPr>
      <w:r>
        <w:rPr>
          <w:rFonts w:ascii="Arial" w:cs="Arial" w:eastAsia="Arial" w:hAnsi="Arial"/>
          <w:sz w:val="17"/>
          <w:szCs w:val="17"/>
          <w:i w:val="1"/>
          <w:iCs w:val="1"/>
          <w:color w:val="auto"/>
        </w:rPr>
        <w:t xml:space="preserve">Stephen P. Herbert </w:t>
      </w:r>
      <w:r>
        <w:rPr>
          <w:rFonts w:ascii="Arial" w:cs="Arial" w:eastAsia="Arial" w:hAnsi="Arial"/>
          <w:sz w:val="17"/>
          <w:szCs w:val="17"/>
          <w:color w:val="auto"/>
        </w:rPr>
        <w:t>has been our Chief Executive Officer and Chairman since November 30, 2011. He was elected a director in April 1996, and joined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on a full-time basis on May 6, 1996 as Executive Vice President. During August 1999, Mr. Herbert was appointed President and Chief Operating Officer of the Company. On October 5, 2011, Mr. Herbert was appointed as interim Chief Executive Officer and Chairman, and on November 30, 2011, he was appointed as the Chairman of the Board of Directors and Chief Executive Officer of the Company. Prior to joining us and since 1986, Mr. Herbert had been employed by Pepsi-Cola, the beverage division of PepsiCo, Inc. From 1994 to April 1996, Mr. Herbert was a Manager of Market Strategy. In such position he was responsible for directing development of market strategy for the vending channel and subsequently the supermarket channel for Pepsi-Cola in North America. Prior thereto, Mr. Herbert held various sales and management positions with Pepsi-Cola. Mr. Herbert graduated with a Bachelor of Science degree from Louisiana State University. We believe Mr. Herbert’s position as the President and Chief Operating Officer of our Company until October 5, 2011 and as Chairman and Chief Executive Officer of the Company thereafter, his intimate knowledge and experience with all aspects of our Company, and his extensive vending experience at PepsiCo before joining our Company provide the requisite qualifications, skills, perspectives, and experiences to serve on our Board of Directors.</w:t>
      </w:r>
    </w:p>
    <w:p>
      <w:pPr>
        <w:spacing w:after="0" w:line="2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Albin F. Moschner </w:t>
      </w:r>
      <w:r>
        <w:rPr>
          <w:rFonts w:ascii="Arial" w:cs="Arial" w:eastAsia="Arial" w:hAnsi="Arial"/>
          <w:sz w:val="17"/>
          <w:szCs w:val="17"/>
          <w:color w:val="auto"/>
        </w:rPr>
        <w:t>joined the Board of Directors of the Company in April, 2012. He is the Chair of our Compensation Committee and a member of our Audit</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Mr. Moschner served at Leap Wireless International, Inc. as the Chief Operating Officer from July 2008 to February 2011 and as Chief Marketing Officer from August 2004 to June 2008. Prior to joining Leap Wireless, Mr. Moschner served as President of the Verizon Card Services division of Verizon Communications, Inc. From January 1999 to December 2000, Mr. Moschner was President of One Point Services at One Point Communications. Mr. Moschner served at Zenith Electronics Corporation as President and Chief Executive Officer from 1995 to 1996 and as President, Chief Operating Officer and Director from 1994 to 1995. Mr. Moschner has also served in various managerial capacities at Tricord Systems, Inc. and International Business Machines Corp. Mr. Moschner has also been serving on the Board of Wintrust Financial Corporation since 1994. Mr. Moschner holds a Bachelor of Engineering in Electrical Engineering from The City College of New York, awarded in 1974, and a masters degree in Electrical Engineering awarded by Syracuse University in 1979. We believe that Mr. Moschner’s marketing, manufacturing and wireless industry experience and long standing prior public board experience provide the requisite qualifications, skills, perspectives, and experiences to serve on our Board of Directors.</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William J. Reilly, Jr.</w:t>
      </w:r>
      <w:r>
        <w:rPr>
          <w:rFonts w:ascii="Arial" w:cs="Arial" w:eastAsia="Arial" w:hAnsi="Arial"/>
          <w:sz w:val="16"/>
          <w:szCs w:val="16"/>
          <w:color w:val="auto"/>
        </w:rPr>
        <w:t>, joined the Board of Directors of the Company in July 2012. He is a member of our Audit and Nominating and Corporate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Committees. He has been an independent consultant since January 2011. From September 2004 to November 2010, Mr. Reilly was President and Chief Executive Officer of Realtime Media, Inc., an interactive promotional marketing firm serving the pharmaceutical and consumer packaged goods markets. Following the sale of Realtime Media, Inc. in November 2010, Mr. Reilly was retained as a consultant until January 2011. From September 2002 to September 2004, Mr. Reilly was a principal at Chesterbrook Growth Partners, independent consultants to the private equity community. Between 1989 and 2002, Mr. Reilly served at various positions at Checkpoint Systems Inc., a multinational manufacturer and marketer of products and services for automatic identification, retail security, pricing and brand promotion, including as Chief Operating Officer, Executive Vice President, Senior Vice President of the Americas and Pacific Rim and Vice President of Sales. Prior to that, Mr. Reilly held national and sales management positions at companies in the medical electronics and telecommunications industries, including Minolta Corporation, Megatech Pty. Ltd. and Multitone Electronics PLC. He has also served on the Board of Veramark Technologies, Inc., a telecommunications software firm, from June 1997 to May 2008. Mr. Reilly graduated from Mount St. Mary’s University with a bachelors of science degree in Psychology in 1970. We believe that Mr. Reilly’s executive, business development and international experience provide the requisite qualifications, skills, perspectives and experiences to serve on our Board of Directors.</w:t>
      </w:r>
    </w:p>
    <w:p>
      <w:pPr>
        <w:spacing w:after="0" w:line="19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William J. Schoch </w:t>
      </w:r>
      <w:r>
        <w:rPr>
          <w:rFonts w:ascii="Arial" w:cs="Arial" w:eastAsia="Arial" w:hAnsi="Arial"/>
          <w:sz w:val="16"/>
          <w:szCs w:val="16"/>
          <w:color w:val="auto"/>
        </w:rPr>
        <w:t>joined the Board of Directors of the Company in July 2012. He is a member of our Nominating and Corporate Governance Committee. Mr.</w:t>
      </w:r>
      <w:r>
        <w:rPr>
          <w:rFonts w:ascii="Arial" w:cs="Arial" w:eastAsia="Arial" w:hAnsi="Arial"/>
          <w:sz w:val="16"/>
          <w:szCs w:val="16"/>
          <w:i w:val="1"/>
          <w:iCs w:val="1"/>
          <w:color w:val="auto"/>
        </w:rPr>
        <w:t xml:space="preserve"> </w:t>
      </w:r>
      <w:r>
        <w:rPr>
          <w:rFonts w:ascii="Arial" w:cs="Arial" w:eastAsia="Arial" w:hAnsi="Arial"/>
          <w:sz w:val="16"/>
          <w:szCs w:val="16"/>
          <w:color w:val="auto"/>
        </w:rPr>
        <w:t>Schoch is the President and Chief Executive Officer of Western Payments Alliance, a non-profit payments association and has served in that capacity since March 2008. He serves on the Boards of Western Payments Alliance and NACHA, an industry trade association and the administrator of the Automated Clearing House (ACH) Network, and is on the steering committee of NACHA’s Council for Electronic Billing and Payment. From 1997 to 2008, Mr. Schoch worked at Visa International where, as the Vice President of Emerging Market Initiatives, he was responsible for the global development of the Visa Money Transfer Platform. Prior to that, Mr. Schoch served as a Vice President at Citibank, N.A. from 1989 to 1997 and as an Associate Director at NACHA from 1986 to 1989. Mr. Schoch obtained a Bachelor of Arts degree in 1986 from Indiana University of Pennsylvania with a major in Public Policy and a minor in Economics. We believe that Mr. Schoch’s experience and familiarity with the electronic payments industry and his leadership experience provide the requisite qualifications, skills, perspectives and experiences to serve on our Board of Directors.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has a standing Audit Committee presently consisting of each of Mr. Brooks (Chairman), and Messrs. Reilly and Moschner. The Company’s Board of Directors has determined that Joel Brooks has met the additional independence criteria required for Audit Committee membership under applicable NASDAQ listing standards.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Board has adopted a Code of Ethics, which applies to all executive officers, directors and employees of the Company, including our Chief Executive Officer, Chief Financial Officer, and Controller. A copy of our Code of Business Conduct and Ethics is accessible on the Company’s website, </w:t>
      </w:r>
      <w:r>
        <w:rPr>
          <w:rFonts w:ascii="Arial" w:cs="Arial" w:eastAsia="Arial" w:hAnsi="Arial"/>
          <w:sz w:val="18"/>
          <w:szCs w:val="18"/>
          <w:u w:val="single" w:color="auto"/>
          <w:color w:val="auto"/>
        </w:rPr>
        <w:t>www.usatech.com</w:t>
      </w:r>
      <w:r>
        <w:rPr>
          <w:rFonts w:ascii="Arial" w:cs="Arial" w:eastAsia="Arial" w:hAnsi="Arial"/>
          <w:sz w:val="18"/>
          <w:szCs w:val="18"/>
          <w:color w:val="auto"/>
        </w:rPr>
        <w: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AUDIT COMMITTEE REPORT</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report of the Audit Committee does not constitute soliciting material and shall not be deemed filed or incorporated by reference into any other Company filing under the Securities Act or the Exchange Act, except to the extent the Company specifically incorporates this report by reference.</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has the primary responsibility for the preparation of the financial statements and the reporting process. The Company’s management has represented to the Audit Committee that the consolidated financial statements for the fiscal year ended June 30, 2014 were prepared in accordance with generally accepted accounting principles. The Company’s independent registered public accounting firm is responsible for auditing these consolidated financial statements. In the performance of its oversight function, the Audit Committee reviewed and discussed the audited consolidated financial statements with management and the independent registered public accounting firm. The Audit Committee discussed with the independent registered public accounting firm the matters required to be discussed by Statement on Auditing Standards No. 61, as amended, as adopted by the Public Company Accounting Oversight Board.</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Audit Committee received from the independent registered public accounting firm the written disclosures required by Independence Standards Board Standard No. 1 (Independence Discussions with Audit Committees) and discussed with such firm its independence from the Company and the Company’s management.</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that the audited consolidated financial statements be included in the Company’s Annual Report on Form 10-K for the year ended June 30, 2014 for filing with the SEC.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Joel Brooks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J. Reilly,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Albin F. Moschner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92" w:name="page93"/>
    <w:bookmarkEnd w:id="92"/>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16(a) of the Securities Exchange Act of 1934, as amended, requires the Company’s directors and executive officers, and persons who own more than 10% of the Company’s Common Stock, to file with the Securities and Exchange Commission reports of ownership and changes in ownership of Common Stock. Officers, directors and greater than 10% beneficial owners are required by Securities and Exchange Commission regulations to furnish the Company with copies of all Section 16(a) forms they file.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Albin F. Moschner filed two late Form 4s, and Deborah Arnold filed one late Form 4 during the 2014 fiscal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Compensation Discussion and Analysis provides information about our compensation program for our named executive officers during the 2014 fiscal year (collectively, the “named executive officers”): Stephen P. Herbert- Chairman and Chief Executive Officer; David M. DeMedio- Chief Financial Officer; Michael Lawlor-Vice President of Sales and Business Development; and Cary Sagady- Senior Vice President of Product Management &amp; Network Solutions.</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Compensation Committee is responsible for annually reviewing and recommending to the Board for approval the corporate goals and objectives relevant to the compensation of the executive officers of the Company, evaluating the executive officers’ performance in light of those goals and objectives, and recommending for approval to the Board the executive officers’ compensation levels based on this evaluation. The compensation of Messrs. Lawlor and Sagady is determined by our Chief Executive Officer in consultation with the Compensation Committee. The Chief Executive Officer assists the Committee in establishing the compensation of our other executive officer, David DeMedio. Our Chief Executive Officer regularly provides information to the Compensation Committee. The Chief Executive Officer is not present during voting or deliberations on his compensation. The Compensation Committee has, from time to time, retained an independent compensation consultant, Buck Consultants, LLC, as deemed necessary to assist the Committee in making appropriate recommendations regarding our executive officers’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Year 2014 Highlights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Compensation Committee has developed a compensation policy that is designed to attract and retain key executives responsible for the Company’s success and motivate management to enhance long-term shareholder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Fiscal year 2014 financial highlights, compared to the prior year, included:</w:t>
      </w:r>
    </w:p>
    <w:p>
      <w:pPr>
        <w:spacing w:after="0" w:line="252" w:lineRule="exact"/>
        <w:rPr>
          <w:sz w:val="20"/>
          <w:szCs w:val="20"/>
          <w:color w:val="auto"/>
        </w:rPr>
      </w:pPr>
    </w:p>
    <w:p>
      <w:pPr>
        <w:ind w:left="860" w:hanging="487"/>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19% increase in license and transaction fee revenues to $35.6 million, representing 84% of total revenues for the 2014 fiscal year;</w:t>
      </w:r>
    </w:p>
    <w:p>
      <w:pPr>
        <w:spacing w:after="0" w:line="252" w:lineRule="exact"/>
        <w:rPr>
          <w:rFonts w:ascii="Arial" w:cs="Arial" w:eastAsia="Arial" w:hAnsi="Arial"/>
          <w:sz w:val="18"/>
          <w:szCs w:val="18"/>
          <w:color w:val="auto"/>
        </w:rPr>
      </w:pPr>
    </w:p>
    <w:p>
      <w:pPr>
        <w:ind w:left="860" w:hanging="487"/>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18% increase in total revenues to $42.3 million;</w:t>
      </w:r>
    </w:p>
    <w:p>
      <w:pPr>
        <w:spacing w:after="0" w:line="252" w:lineRule="exact"/>
        <w:rPr>
          <w:rFonts w:ascii="Arial" w:cs="Arial" w:eastAsia="Arial" w:hAnsi="Arial"/>
          <w:sz w:val="18"/>
          <w:szCs w:val="18"/>
          <w:color w:val="auto"/>
        </w:rPr>
      </w:pPr>
    </w:p>
    <w:p>
      <w:pPr>
        <w:ind w:left="860" w:hanging="487"/>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of $6.4 million compared to Adjusted EBITDA of $5.8 million representing a 12% increase;</w:t>
      </w:r>
    </w:p>
    <w:p>
      <w:pPr>
        <w:spacing w:after="0" w:line="252" w:lineRule="exact"/>
        <w:rPr>
          <w:rFonts w:ascii="Arial" w:cs="Arial" w:eastAsia="Arial" w:hAnsi="Arial"/>
          <w:sz w:val="18"/>
          <w:szCs w:val="18"/>
          <w:color w:val="auto"/>
        </w:rPr>
      </w:pPr>
    </w:p>
    <w:p>
      <w:pPr>
        <w:ind w:left="860" w:hanging="487"/>
        <w:spacing w:after="0"/>
        <w:tabs>
          <w:tab w:leader="none" w:pos="8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GAAP net income of $27.5 million (reflects recognition of $27.3 million of deferred tax assets) compared to a GAAP net income of $0.9 million;</w:t>
      </w:r>
    </w:p>
    <w:p>
      <w:pPr>
        <w:spacing w:after="0" w:line="275" w:lineRule="exact"/>
        <w:rPr>
          <w:rFonts w:ascii="Arial" w:cs="Arial" w:eastAsia="Arial" w:hAnsi="Arial"/>
          <w:sz w:val="16"/>
          <w:szCs w:val="16"/>
          <w:color w:val="auto"/>
        </w:rPr>
      </w:pPr>
    </w:p>
    <w:p>
      <w:pPr>
        <w:ind w:left="860" w:hanging="487"/>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connections to the Company’s cashless payment and telemetry service, ePort Connect®, grew by 24% during fiscal 2014;</w:t>
      </w:r>
    </w:p>
    <w:p>
      <w:pPr>
        <w:spacing w:after="0" w:line="252" w:lineRule="exact"/>
        <w:rPr>
          <w:rFonts w:ascii="Arial" w:cs="Arial" w:eastAsia="Arial" w:hAnsi="Arial"/>
          <w:sz w:val="18"/>
          <w:szCs w:val="18"/>
          <w:color w:val="auto"/>
        </w:rPr>
      </w:pPr>
    </w:p>
    <w:p>
      <w:pPr>
        <w:ind w:left="860" w:right="20" w:hanging="487"/>
        <w:spacing w:after="0" w:line="277" w:lineRule="auto"/>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After accrual for preferred dividends, net earnings per common share, for fiscal 2014 was $0.78 compared to a net earnings per common share of $0.01 for Fiscal 2013; and</w:t>
      </w:r>
    </w:p>
    <w:p>
      <w:pPr>
        <w:spacing w:after="0" w:line="170" w:lineRule="exact"/>
        <w:rPr>
          <w:rFonts w:ascii="Arial" w:cs="Arial" w:eastAsia="Arial" w:hAnsi="Arial"/>
          <w:sz w:val="18"/>
          <w:szCs w:val="18"/>
          <w:color w:val="auto"/>
        </w:rPr>
      </w:pPr>
    </w:p>
    <w:p>
      <w:pPr>
        <w:ind w:left="860" w:hanging="487"/>
        <w:spacing w:after="0"/>
        <w:tabs>
          <w:tab w:leader="none" w:pos="8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Cash generated from operations was $7.1 million for fiscal 2014 compared to $6.0 million for fiscal 2013, an increase of approximately 18%.</w:t>
      </w:r>
    </w:p>
    <w:p>
      <w:pPr>
        <w:spacing w:after="0" w:line="2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Notwithstanding the substantial progress made by the Company during the 2014 fiscal year, and as discussed in greater detail below, the Company did not achieve all of the target goals established by the Compensation Committee for compensation of our executive officers under the Fiscal Year 2014 Short-Term Incentive Plan and Fiscal Year 2014 Long-Term Incentive Performance Share Plan. In this regard, when the target goals were established, the Committee believed that the attainment of the target goals would represent a significant achievement for management and were designed to stretch corporate performance. Each of our executive officers did, however, attain his specific individual performance target goals for the 2014 fiscal year which were established by the Compensation Committee.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Goals and Objectives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developed a compensation policy that is designed to attract and retain key executives responsible for our success and motivate management to enhance long-term shareholder value. The Compensation Committee believes that compensation of the Company’s executive officers should encourage creation of shareholder value and achievement of strategic corporate objectives, and the Committee seeks to align the interests of the Company’s shareholders and management by integrating compensation with the Company’s annual and long-term corporate and financial objectives. The Compensation Committee also ties a significant portion of each executive officer’s compensation to key operational and financial goals and performance.</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designed and implemented our compensation package in order to be competitive with other companies in our peer group, as compiled by our compensation consultant, and to motivate and retain our executive officers. Our compensation package also takes into account individual responsibilities and performance.</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Certain elements of compensation reflect different compensation objectives. For example, as base salaries are generally fixed in advance of the year in which the compensation will be earned, the Committee believes that it is appropriate to determine base salaries with a focus on similarly situated officers at comparable peer group companies while also having them reflect the officer’s performance. On the other hand, annual bonuses and long-term incentives are</w:t>
      </w:r>
    </w:p>
    <w:p>
      <w:pPr>
        <w:sectPr>
          <w:pgSz w:w="11900" w:h="16858" w:orient="portrait"/>
          <w:cols w:equalWidth="0" w:num="1">
            <w:col w:w="11420"/>
          </w:cols>
          <w:pgMar w:left="240" w:top="918" w:right="239" w:bottom="0" w:gutter="0" w:footer="0" w:header="0"/>
        </w:sectPr>
      </w:pPr>
    </w:p>
    <w:bookmarkStart w:id="93" w:name="page94"/>
    <w:bookmarkEnd w:id="93"/>
    <w:p>
      <w:pPr>
        <w:jc w:val="both"/>
        <w:spacing w:after="0" w:line="257" w:lineRule="auto"/>
        <w:rPr>
          <w:sz w:val="20"/>
          <w:szCs w:val="20"/>
          <w:color w:val="auto"/>
        </w:rPr>
      </w:pPr>
      <w:r>
        <w:rPr>
          <w:rFonts w:ascii="Arial" w:cs="Arial" w:eastAsia="Arial" w:hAnsi="Arial"/>
          <w:sz w:val="18"/>
          <w:szCs w:val="18"/>
          <w:color w:val="auto"/>
        </w:rPr>
        <w:t>better able to reflect the Company’s performance as measured by financial measures such as total number of connections, total revenues, operating expenses, operating earnings, adjusted EBIDTA, and cash generated from operations. In addition, annual bonuses and long-term incentive awards, including the performance goals they are based on, help us achieve our goal of retaining executives, and motivating executive officers to increase shareholder value. The other elements of compensation reflect the Committee’s and Board’s philosophy that personal benefits, including retirement and health benefits, should be available to all employees on a non-discriminatory basis.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auto"/>
        </w:rPr>
        <w:t>Pay-for-Performance Review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Pay-for-performance is an important component of our compensation philosophy and is evident in the structure of our compensation program. Our compensation approach is designed to motivate our executive officers to substantially contribute to the Company’s long-term sustainable growth. Our pay-for-performance approach provides that our executive officers should have a large portion of variable compensation in the form of short-term and long-term incentive awards with performance hurdles designed to stretch individual and organizational performance.</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2014 fiscal year, a total of 53% of Mr. Herbert’s and 47% of Mr. DeMedio’s target total compensation was in the form of performance-based variable compensation designed to motivate them to deliver strong business performance and create shareholder value. These compensation elements were dependent upon the Company’s achievement of pre-established financial and other business goals recommended by the Committee as well as individual goals established by the Committee. Based on actual results, the annual variable compensation amount and the ultimate value of the equity compensation awards could have been zero if the Company or management did not perform.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Peer Group Analysis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2011, Buck Consultants, LLC assembled a peer group of 12 companies that it deemed comparable to the Company on the basis of size, industry, and financial performance. The peer group included companies that offered networking, software or other technology solutions to businesses with revenues within the same range as the Company. The peer group consisted of:</w:t>
      </w:r>
    </w:p>
    <w:p>
      <w:pPr>
        <w:spacing w:after="0" w:line="208"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PAR Technology Corp.</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Kit Digital Inc.</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Local.com Corp.</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TransAct Technologies, Inc.</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Digimarc Corp.</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Immersion Corp.</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Onvia Inc.</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LML Payment Systems, Inc.</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Broadvision, Inc.</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Edgar Online, Inc.</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Interphase Corp.</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Innovaro, Inc.</w:t>
      </w:r>
    </w:p>
    <w:p>
      <w:pPr>
        <w:spacing w:after="0" w:line="2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fiscal year 2014, the Committee recommended a compensation program for our executive officers consisting of target level compensation approximately equal to the 50th percentile for similarly situated officers at the peer group companies compiled by Buck Consultants in May 2011.</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July 2014, the Committee obtained an updated analysis from Buck Consultants, LLC, which contained a new peer group and updated the compensation analysis that had been previously performed. The Committee utilized this new analysis in connection with its compensation recommendations for the 2015 fiscal year.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Executive Compensation Practices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program for our executive officers features many commonly used “best practices” including:</w:t>
      </w:r>
    </w:p>
    <w:p>
      <w:pPr>
        <w:spacing w:after="0" w:line="252" w:lineRule="exact"/>
        <w:rPr>
          <w:sz w:val="20"/>
          <w:szCs w:val="20"/>
          <w:color w:val="auto"/>
        </w:rPr>
      </w:pPr>
    </w:p>
    <w:p>
      <w:pPr>
        <w:jc w:val="both"/>
        <w:ind w:left="500" w:hanging="492"/>
        <w:spacing w:after="0" w:line="264"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Pay-for-performance</w:t>
      </w:r>
      <w:r>
        <w:rPr>
          <w:rFonts w:ascii="Arial" w:cs="Arial" w:eastAsia="Arial" w:hAnsi="Arial"/>
          <w:sz w:val="18"/>
          <w:szCs w:val="18"/>
          <w:color w:val="auto"/>
        </w:rPr>
        <w:t>. For the 2014 fiscal year, our chief executive officer had approximately 53% of his total target compensation tied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while our chief financial officer had approximately 47% of his total target compensation tied to our performance and individual performance goals.</w:t>
      </w:r>
    </w:p>
    <w:p>
      <w:pPr>
        <w:spacing w:after="0" w:line="208"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Stretch performance goals</w:t>
      </w:r>
      <w:r>
        <w:rPr>
          <w:rFonts w:ascii="Arial" w:cs="Arial" w:eastAsia="Arial" w:hAnsi="Arial"/>
          <w:sz w:val="18"/>
          <w:szCs w:val="18"/>
          <w:color w:val="auto"/>
        </w:rPr>
        <w:t>. Our performance target goals are designed to stretch individual and organizational performance.</w:t>
      </w:r>
    </w:p>
    <w:p>
      <w:pPr>
        <w:spacing w:after="0" w:line="252"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Capped payouts under incentive plans</w:t>
      </w:r>
      <w:r>
        <w:rPr>
          <w:rFonts w:ascii="Arial" w:cs="Arial" w:eastAsia="Arial" w:hAnsi="Arial"/>
          <w:sz w:val="18"/>
          <w:szCs w:val="18"/>
          <w:color w:val="auto"/>
        </w:rPr>
        <w:t>. Both our long-term and short-term bonus programs have maximum payout amounts in order to discourage</w:t>
      </w:r>
      <w:r>
        <w:rPr>
          <w:rFonts w:ascii="Arial" w:cs="Arial" w:eastAsia="Arial" w:hAnsi="Arial"/>
          <w:sz w:val="18"/>
          <w:szCs w:val="18"/>
          <w:i w:val="1"/>
          <w:iCs w:val="1"/>
          <w:color w:val="auto"/>
        </w:rPr>
        <w:t xml:space="preserve"> </w:t>
      </w:r>
      <w:r>
        <w:rPr>
          <w:rFonts w:ascii="Arial" w:cs="Arial" w:eastAsia="Arial" w:hAnsi="Arial"/>
          <w:sz w:val="18"/>
          <w:szCs w:val="18"/>
          <w:color w:val="auto"/>
        </w:rPr>
        <w:t>excessive risk taking.</w:t>
      </w:r>
    </w:p>
    <w:p>
      <w:pPr>
        <w:spacing w:after="0" w:line="19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Stock ownership guidelines</w:t>
      </w:r>
      <w:r>
        <w:rPr>
          <w:rFonts w:ascii="Arial" w:cs="Arial" w:eastAsia="Arial" w:hAnsi="Arial"/>
          <w:sz w:val="18"/>
          <w:szCs w:val="18"/>
          <w:color w:val="auto"/>
        </w:rPr>
        <w:t>. Our chief executive officer is required to hold common stock with a value equal to a multiple of three times his 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chief financial officer is required to hold common stock with a value equal to one time his base salary.</w:t>
      </w:r>
    </w:p>
    <w:p>
      <w:pPr>
        <w:spacing w:after="0" w:line="19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Tax Gross-Up Provisions</w:t>
      </w:r>
      <w:r>
        <w:rPr>
          <w:rFonts w:ascii="Arial" w:cs="Arial" w:eastAsia="Arial" w:hAnsi="Arial"/>
          <w:sz w:val="18"/>
          <w:szCs w:val="18"/>
          <w:color w:val="auto"/>
        </w:rPr>
        <w:t>. Effective September 27, 2011, the Company amended Mr. Herbert’s employment agreement to eliminate all excise tax gross-up provisions with respect to payments contingent upon a change in control.</w:t>
      </w:r>
    </w:p>
    <w:p>
      <w:pPr>
        <w:spacing w:after="0" w:line="19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Limited perquisites for our executives</w:t>
      </w:r>
      <w:r>
        <w:rPr>
          <w:rFonts w:ascii="Arial" w:cs="Arial" w:eastAsia="Arial" w:hAnsi="Arial"/>
          <w:sz w:val="18"/>
          <w:szCs w:val="18"/>
          <w:color w:val="auto"/>
        </w:rPr>
        <w:t>. Perquisites are not a significant portion of our executive officers’ compensation, representing 1% of Mr.</w:t>
      </w:r>
      <w:r>
        <w:rPr>
          <w:rFonts w:ascii="Arial" w:cs="Arial" w:eastAsia="Arial" w:hAnsi="Arial"/>
          <w:sz w:val="18"/>
          <w:szCs w:val="18"/>
          <w:i w:val="1"/>
          <w:iCs w:val="1"/>
          <w:color w:val="auto"/>
        </w:rPr>
        <w:t xml:space="preserve"> </w:t>
      </w:r>
      <w:r>
        <w:rPr>
          <w:rFonts w:ascii="Arial" w:cs="Arial" w:eastAsia="Arial" w:hAnsi="Arial"/>
          <w:sz w:val="18"/>
          <w:szCs w:val="18"/>
          <w:color w:val="auto"/>
        </w:rPr>
        <w:t>Herbert’s and 0% of Mr. DeMedio’s total target compensation.</w:t>
      </w:r>
    </w:p>
    <w:p>
      <w:pPr>
        <w:spacing w:after="0" w:line="19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Independent compensation consultant</w:t>
      </w:r>
      <w:r>
        <w:rPr>
          <w:rFonts w:ascii="Arial" w:cs="Arial" w:eastAsia="Arial" w:hAnsi="Arial"/>
          <w:sz w:val="18"/>
          <w:szCs w:val="18"/>
          <w:color w:val="auto"/>
        </w:rPr>
        <w:t>. The Committee has from time to time retained an independent compensation consultant, Buck Consultants,</w:t>
      </w:r>
      <w:r>
        <w:rPr>
          <w:rFonts w:ascii="Arial" w:cs="Arial" w:eastAsia="Arial" w:hAnsi="Arial"/>
          <w:sz w:val="18"/>
          <w:szCs w:val="18"/>
          <w:i w:val="1"/>
          <w:iCs w:val="1"/>
          <w:color w:val="auto"/>
        </w:rPr>
        <w:t xml:space="preserve"> </w:t>
      </w:r>
      <w:r>
        <w:rPr>
          <w:rFonts w:ascii="Arial" w:cs="Arial" w:eastAsia="Arial" w:hAnsi="Arial"/>
          <w:sz w:val="18"/>
          <w:szCs w:val="18"/>
          <w:color w:val="auto"/>
        </w:rPr>
        <w:t>LLC, to review the executive compensation programs and practices.</w:t>
      </w:r>
    </w:p>
    <w:p>
      <w:pPr>
        <w:spacing w:after="0" w:line="197"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No payment on change in control without a “double trigger”</w:t>
      </w:r>
      <w:r>
        <w:rPr>
          <w:rFonts w:ascii="Arial" w:cs="Arial" w:eastAsia="Arial" w:hAnsi="Arial"/>
          <w:sz w:val="18"/>
          <w:szCs w:val="18"/>
          <w:color w:val="auto"/>
        </w:rPr>
        <w:t>. Payments under our employment agreements require two events for vesting – both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control and a “good reason” for termination of employment.</w:t>
      </w:r>
    </w:p>
    <w:p>
      <w:pPr>
        <w:sectPr>
          <w:pgSz w:w="11900" w:h="16838" w:orient="portrait"/>
          <w:cols w:equalWidth="0" w:num="1">
            <w:col w:w="11420"/>
          </w:cols>
          <w:pgMar w:left="240" w:top="922" w:right="239" w:bottom="126" w:gutter="0" w:footer="0" w:header="0"/>
        </w:sectPr>
      </w:pPr>
    </w:p>
    <w:bookmarkStart w:id="95" w:name="page96"/>
    <w:bookmarkEnd w:id="95"/>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auto"/>
        </w:rPr>
        <w:t>Elements of Compensation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section describes the various elements of our compensation program for our named executive officers during the 2014 fiscal year. The components of compensation reflected in our named executive officers’ compensation program are set forth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Element</w:t>
            </w:r>
          </w:p>
        </w:tc>
        <w:tc>
          <w:tcPr>
            <w:tcW w:w="3300" w:type="dxa"/>
            <w:vAlign w:val="bottom"/>
            <w:gridSpan w:val="2"/>
          </w:tcPr>
          <w:p>
            <w:pPr>
              <w:ind w:left="120"/>
              <w:spacing w:after="0"/>
              <w:rPr>
                <w:sz w:val="20"/>
                <w:szCs w:val="20"/>
                <w:color w:val="auto"/>
              </w:rPr>
            </w:pPr>
            <w:r>
              <w:rPr>
                <w:rFonts w:ascii="Arial" w:cs="Arial" w:eastAsia="Arial" w:hAnsi="Arial"/>
                <w:sz w:val="18"/>
                <w:szCs w:val="18"/>
                <w:b w:val="1"/>
                <w:bCs w:val="1"/>
                <w:color w:val="auto"/>
              </w:rPr>
              <w:t>Key Characteristics</w:t>
            </w:r>
          </w:p>
        </w:tc>
        <w:tc>
          <w:tcPr>
            <w:tcW w:w="240" w:type="dxa"/>
            <w:vAlign w:val="bottom"/>
          </w:tcPr>
          <w:p>
            <w:pPr>
              <w:spacing w:after="0"/>
              <w:rPr>
                <w:sz w:val="22"/>
                <w:szCs w:val="22"/>
                <w:color w:val="auto"/>
              </w:rPr>
            </w:pPr>
          </w:p>
        </w:tc>
        <w:tc>
          <w:tcPr>
            <w:tcW w:w="3180" w:type="dxa"/>
            <w:vAlign w:val="bottom"/>
          </w:tcPr>
          <w:p>
            <w:pPr>
              <w:spacing w:after="0"/>
              <w:rPr>
                <w:sz w:val="20"/>
                <w:szCs w:val="20"/>
                <w:color w:val="auto"/>
              </w:rPr>
            </w:pPr>
            <w:r>
              <w:rPr>
                <w:rFonts w:ascii="Arial" w:cs="Arial" w:eastAsia="Arial" w:hAnsi="Arial"/>
                <w:sz w:val="18"/>
                <w:szCs w:val="18"/>
                <w:b w:val="1"/>
                <w:bCs w:val="1"/>
                <w:color w:val="auto"/>
              </w:rPr>
              <w:t>Why We Pay this Element</w:t>
            </w:r>
          </w:p>
        </w:tc>
        <w:tc>
          <w:tcPr>
            <w:tcW w:w="260" w:type="dxa"/>
            <w:vAlign w:val="bottom"/>
          </w:tcPr>
          <w:p>
            <w:pPr>
              <w:spacing w:after="0"/>
              <w:rPr>
                <w:sz w:val="22"/>
                <w:szCs w:val="22"/>
                <w:color w:val="auto"/>
              </w:rPr>
            </w:pPr>
          </w:p>
        </w:tc>
        <w:tc>
          <w:tcPr>
            <w:tcW w:w="3180" w:type="dxa"/>
            <w:vAlign w:val="bottom"/>
          </w:tcPr>
          <w:p>
            <w:pPr>
              <w:spacing w:after="0"/>
              <w:rPr>
                <w:sz w:val="20"/>
                <w:szCs w:val="20"/>
                <w:color w:val="auto"/>
              </w:rPr>
            </w:pPr>
            <w:r>
              <w:rPr>
                <w:rFonts w:ascii="Arial" w:cs="Arial" w:eastAsia="Arial" w:hAnsi="Arial"/>
                <w:sz w:val="18"/>
                <w:szCs w:val="18"/>
                <w:b w:val="1"/>
                <w:bCs w:val="1"/>
                <w:color w:val="auto"/>
              </w:rPr>
              <w:t>How We Determine the 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40" w:type="dxa"/>
            <w:vAlign w:val="bottom"/>
            <w:shd w:val="clear" w:color="auto" w:fill="F0FF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3300" w:type="dxa"/>
            <w:vAlign w:val="bottom"/>
            <w:gridSpan w:val="2"/>
            <w:shd w:val="clear" w:color="auto" w:fill="F0FFFF"/>
          </w:tcPr>
          <w:p>
            <w:pPr>
              <w:ind w:left="120"/>
              <w:spacing w:after="0" w:line="201" w:lineRule="exact"/>
              <w:rPr>
                <w:sz w:val="20"/>
                <w:szCs w:val="20"/>
                <w:color w:val="auto"/>
              </w:rPr>
            </w:pPr>
            <w:r>
              <w:rPr>
                <w:rFonts w:ascii="Arial" w:cs="Arial" w:eastAsia="Arial" w:hAnsi="Arial"/>
                <w:sz w:val="18"/>
                <w:szCs w:val="18"/>
                <w:color w:val="auto"/>
                <w:w w:val="92"/>
              </w:rPr>
              <w:t>Fixed compensation component payable in</w:t>
            </w:r>
          </w:p>
        </w:tc>
        <w:tc>
          <w:tcPr>
            <w:tcW w:w="240" w:type="dxa"/>
            <w:vAlign w:val="bottom"/>
            <w:shd w:val="clear" w:color="auto" w:fill="F0FFFF"/>
          </w:tcPr>
          <w:p>
            <w:pPr>
              <w:spacing w:after="0"/>
              <w:rPr>
                <w:sz w:val="17"/>
                <w:szCs w:val="17"/>
                <w:color w:val="auto"/>
              </w:rPr>
            </w:pPr>
          </w:p>
        </w:tc>
        <w:tc>
          <w:tcPr>
            <w:tcW w:w="31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8"/>
              </w:rPr>
              <w:t>Provide a base level of competitive cash</w:t>
            </w:r>
          </w:p>
        </w:tc>
        <w:tc>
          <w:tcPr>
            <w:tcW w:w="260" w:type="dxa"/>
            <w:vAlign w:val="bottom"/>
            <w:shd w:val="clear" w:color="auto" w:fill="F0FFFF"/>
          </w:tcPr>
          <w:p>
            <w:pPr>
              <w:spacing w:after="0"/>
              <w:rPr>
                <w:sz w:val="17"/>
                <w:szCs w:val="17"/>
                <w:color w:val="auto"/>
              </w:rPr>
            </w:pPr>
          </w:p>
        </w:tc>
        <w:tc>
          <w:tcPr>
            <w:tcW w:w="31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Experience, job scope, peer group,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3300" w:type="dxa"/>
            <w:vAlign w:val="bottom"/>
            <w:gridSpan w:val="2"/>
            <w:shd w:val="clear" w:color="auto" w:fill="F0FFFF"/>
          </w:tcPr>
          <w:p>
            <w:pPr>
              <w:ind w:left="120"/>
              <w:spacing w:after="0"/>
              <w:rPr>
                <w:sz w:val="20"/>
                <w:szCs w:val="20"/>
                <w:color w:val="auto"/>
              </w:rPr>
            </w:pPr>
            <w:r>
              <w:rPr>
                <w:rFonts w:ascii="Arial" w:cs="Arial" w:eastAsia="Arial" w:hAnsi="Arial"/>
                <w:sz w:val="18"/>
                <w:szCs w:val="18"/>
                <w:color w:val="auto"/>
                <w:w w:val="88"/>
              </w:rPr>
              <w:t>cash. Reviewed annually and adjusted when</w:t>
            </w:r>
          </w:p>
        </w:tc>
        <w:tc>
          <w:tcPr>
            <w:tcW w:w="240" w:type="dxa"/>
            <w:vAlign w:val="bottom"/>
            <w:shd w:val="clear" w:color="auto" w:fill="F0FFFF"/>
          </w:tcPr>
          <w:p>
            <w:pPr>
              <w:spacing w:after="0"/>
              <w:rPr>
                <w:sz w:val="18"/>
                <w:szCs w:val="18"/>
                <w:color w:val="auto"/>
              </w:rPr>
            </w:pPr>
          </w:p>
        </w:tc>
        <w:tc>
          <w:tcPr>
            <w:tcW w:w="3180" w:type="dxa"/>
            <w:vAlign w:val="bottom"/>
            <w:shd w:val="clear" w:color="auto" w:fill="F0FFFF"/>
          </w:tcPr>
          <w:p>
            <w:pPr>
              <w:spacing w:after="0"/>
              <w:rPr>
                <w:sz w:val="20"/>
                <w:szCs w:val="20"/>
                <w:color w:val="auto"/>
              </w:rPr>
            </w:pPr>
            <w:r>
              <w:rPr>
                <w:rFonts w:ascii="Arial" w:cs="Arial" w:eastAsia="Arial" w:hAnsi="Arial"/>
                <w:sz w:val="18"/>
                <w:szCs w:val="18"/>
                <w:color w:val="auto"/>
              </w:rPr>
              <w:t>compensation for executive talent.</w:t>
            </w:r>
          </w:p>
        </w:tc>
        <w:tc>
          <w:tcPr>
            <w:tcW w:w="260" w:type="dxa"/>
            <w:vAlign w:val="bottom"/>
            <w:shd w:val="clear" w:color="auto" w:fill="F0FFFF"/>
          </w:tcPr>
          <w:p>
            <w:pPr>
              <w:spacing w:after="0"/>
              <w:rPr>
                <w:sz w:val="18"/>
                <w:szCs w:val="18"/>
                <w:color w:val="auto"/>
              </w:rPr>
            </w:pPr>
          </w:p>
        </w:tc>
        <w:tc>
          <w:tcPr>
            <w:tcW w:w="3180" w:type="dxa"/>
            <w:vAlign w:val="bottom"/>
            <w:shd w:val="clear" w:color="auto" w:fill="F0FFFF"/>
          </w:tcPr>
          <w:p>
            <w:pPr>
              <w:spacing w:after="0"/>
              <w:rPr>
                <w:sz w:val="20"/>
                <w:szCs w:val="20"/>
                <w:color w:val="auto"/>
              </w:rPr>
            </w:pPr>
            <w:r>
              <w:rPr>
                <w:rFonts w:ascii="Arial" w:cs="Arial" w:eastAsia="Arial" w:hAnsi="Arial"/>
                <w:sz w:val="18"/>
                <w:szCs w:val="18"/>
                <w:color w:val="auto"/>
              </w:rPr>
              <w:t>individual performance.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shd w:val="clear" w:color="auto" w:fill="F0FFFF"/>
          </w:tcPr>
          <w:p>
            <w:pPr>
              <w:spacing w:after="0"/>
              <w:rPr>
                <w:sz w:val="20"/>
                <w:szCs w:val="20"/>
                <w:color w:val="auto"/>
              </w:rPr>
            </w:pPr>
          </w:p>
        </w:tc>
        <w:tc>
          <w:tcPr>
            <w:tcW w:w="3300" w:type="dxa"/>
            <w:vAlign w:val="bottom"/>
            <w:gridSpan w:val="2"/>
            <w:shd w:val="clear" w:color="auto" w:fill="F0FFFF"/>
          </w:tcPr>
          <w:p>
            <w:pPr>
              <w:ind w:left="120"/>
              <w:spacing w:after="0"/>
              <w:rPr>
                <w:sz w:val="20"/>
                <w:szCs w:val="20"/>
                <w:color w:val="auto"/>
              </w:rPr>
            </w:pPr>
            <w:r>
              <w:rPr>
                <w:rFonts w:ascii="Arial" w:cs="Arial" w:eastAsia="Arial" w:hAnsi="Arial"/>
                <w:sz w:val="18"/>
                <w:szCs w:val="18"/>
                <w:color w:val="auto"/>
              </w:rPr>
              <w:t>appropriate.</w:t>
            </w:r>
          </w:p>
        </w:tc>
        <w:tc>
          <w:tcPr>
            <w:tcW w:w="240" w:type="dxa"/>
            <w:vAlign w:val="bottom"/>
            <w:shd w:val="clear" w:color="auto" w:fill="F0FFFF"/>
          </w:tcPr>
          <w:p>
            <w:pPr>
              <w:spacing w:after="0"/>
              <w:rPr>
                <w:sz w:val="20"/>
                <w:szCs w:val="20"/>
                <w:color w:val="auto"/>
              </w:rPr>
            </w:pPr>
          </w:p>
        </w:tc>
        <w:tc>
          <w:tcPr>
            <w:tcW w:w="31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31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40" w:type="dxa"/>
            <w:vAlign w:val="bottom"/>
            <w:shd w:val="clear" w:color="auto" w:fill="F0FFFF"/>
          </w:tcPr>
          <w:p>
            <w:pPr>
              <w:spacing w:after="0" w:line="201" w:lineRule="exact"/>
              <w:rPr>
                <w:sz w:val="20"/>
                <w:szCs w:val="20"/>
                <w:color w:val="auto"/>
              </w:rPr>
            </w:pPr>
            <w:r>
              <w:rPr>
                <w:rFonts w:ascii="Arial" w:cs="Arial" w:eastAsia="Arial" w:hAnsi="Arial"/>
                <w:sz w:val="18"/>
                <w:szCs w:val="18"/>
                <w:b w:val="1"/>
                <w:bCs w:val="1"/>
                <w:color w:val="auto"/>
                <w:w w:val="99"/>
              </w:rPr>
              <w:t>Annual Bonus</w:t>
            </w:r>
          </w:p>
        </w:tc>
        <w:tc>
          <w:tcPr>
            <w:tcW w:w="3300" w:type="dxa"/>
            <w:vAlign w:val="bottom"/>
            <w:gridSpan w:val="2"/>
            <w:shd w:val="clear" w:color="auto" w:fill="F0FFFF"/>
          </w:tcPr>
          <w:p>
            <w:pPr>
              <w:ind w:left="120"/>
              <w:spacing w:after="0" w:line="201" w:lineRule="exact"/>
              <w:rPr>
                <w:sz w:val="20"/>
                <w:szCs w:val="20"/>
                <w:color w:val="auto"/>
              </w:rPr>
            </w:pPr>
            <w:r>
              <w:rPr>
                <w:rFonts w:ascii="Arial" w:cs="Arial" w:eastAsia="Arial" w:hAnsi="Arial"/>
                <w:sz w:val="18"/>
                <w:szCs w:val="18"/>
                <w:color w:val="auto"/>
                <w:w w:val="91"/>
              </w:rPr>
              <w:t>Variable compensation component payable</w:t>
            </w:r>
          </w:p>
        </w:tc>
        <w:tc>
          <w:tcPr>
            <w:tcW w:w="240" w:type="dxa"/>
            <w:vAlign w:val="bottom"/>
            <w:shd w:val="clear" w:color="auto" w:fill="F0FFFF"/>
          </w:tcPr>
          <w:p>
            <w:pPr>
              <w:spacing w:after="0"/>
              <w:rPr>
                <w:sz w:val="17"/>
                <w:szCs w:val="17"/>
                <w:color w:val="auto"/>
              </w:rPr>
            </w:pPr>
          </w:p>
        </w:tc>
        <w:tc>
          <w:tcPr>
            <w:tcW w:w="31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Motivate and reward executives for</w:t>
            </w:r>
          </w:p>
        </w:tc>
        <w:tc>
          <w:tcPr>
            <w:tcW w:w="260" w:type="dxa"/>
            <w:vAlign w:val="bottom"/>
            <w:shd w:val="clear" w:color="auto" w:fill="F0FFFF"/>
          </w:tcPr>
          <w:p>
            <w:pPr>
              <w:spacing w:after="0"/>
              <w:rPr>
                <w:sz w:val="17"/>
                <w:szCs w:val="17"/>
                <w:color w:val="auto"/>
              </w:rPr>
            </w:pPr>
          </w:p>
        </w:tc>
        <w:tc>
          <w:tcPr>
            <w:tcW w:w="31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Peer group and individual performance,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3300" w:type="dxa"/>
            <w:vAlign w:val="bottom"/>
            <w:gridSpan w:val="2"/>
            <w:shd w:val="clear" w:color="auto" w:fill="F0FFFF"/>
          </w:tcPr>
          <w:p>
            <w:pPr>
              <w:ind w:left="120"/>
              <w:spacing w:after="0"/>
              <w:rPr>
                <w:sz w:val="20"/>
                <w:szCs w:val="20"/>
                <w:color w:val="auto"/>
              </w:rPr>
            </w:pPr>
            <w:r>
              <w:rPr>
                <w:rFonts w:ascii="Arial" w:cs="Arial" w:eastAsia="Arial" w:hAnsi="Arial"/>
                <w:sz w:val="18"/>
                <w:szCs w:val="18"/>
                <w:color w:val="auto"/>
                <w:w w:val="94"/>
              </w:rPr>
              <w:t>in cash or stock based on performance as</w:t>
            </w:r>
          </w:p>
        </w:tc>
        <w:tc>
          <w:tcPr>
            <w:tcW w:w="240" w:type="dxa"/>
            <w:vAlign w:val="bottom"/>
            <w:shd w:val="clear" w:color="auto" w:fill="F0FFFF"/>
          </w:tcPr>
          <w:p>
            <w:pPr>
              <w:spacing w:after="0"/>
              <w:rPr>
                <w:sz w:val="18"/>
                <w:szCs w:val="18"/>
                <w:color w:val="auto"/>
              </w:rPr>
            </w:pPr>
          </w:p>
        </w:tc>
        <w:tc>
          <w:tcPr>
            <w:tcW w:w="3180" w:type="dxa"/>
            <w:vAlign w:val="bottom"/>
            <w:shd w:val="clear" w:color="auto" w:fill="F0FFFF"/>
          </w:tcPr>
          <w:p>
            <w:pPr>
              <w:spacing w:after="0"/>
              <w:rPr>
                <w:sz w:val="20"/>
                <w:szCs w:val="20"/>
                <w:color w:val="auto"/>
              </w:rPr>
            </w:pPr>
            <w:r>
              <w:rPr>
                <w:rFonts w:ascii="Arial" w:cs="Arial" w:eastAsia="Arial" w:hAnsi="Arial"/>
                <w:sz w:val="18"/>
                <w:szCs w:val="18"/>
                <w:color w:val="auto"/>
                <w:w w:val="95"/>
              </w:rPr>
              <w:t>performance on key operational, financial</w:t>
            </w:r>
          </w:p>
        </w:tc>
        <w:tc>
          <w:tcPr>
            <w:tcW w:w="260" w:type="dxa"/>
            <w:vAlign w:val="bottom"/>
            <w:shd w:val="clear" w:color="auto" w:fill="F0FFFF"/>
          </w:tcPr>
          <w:p>
            <w:pPr>
              <w:spacing w:after="0"/>
              <w:rPr>
                <w:sz w:val="18"/>
                <w:szCs w:val="18"/>
                <w:color w:val="auto"/>
              </w:rPr>
            </w:pPr>
          </w:p>
        </w:tc>
        <w:tc>
          <w:tcPr>
            <w:tcW w:w="3180" w:type="dxa"/>
            <w:vAlign w:val="bottom"/>
            <w:shd w:val="clear" w:color="auto" w:fill="F0FFFF"/>
          </w:tcPr>
          <w:p>
            <w:pPr>
              <w:spacing w:after="0"/>
              <w:rPr>
                <w:sz w:val="20"/>
                <w:szCs w:val="20"/>
                <w:color w:val="auto"/>
              </w:rPr>
            </w:pPr>
            <w:r>
              <w:rPr>
                <w:rFonts w:ascii="Arial" w:cs="Arial" w:eastAsia="Arial" w:hAnsi="Arial"/>
                <w:sz w:val="18"/>
                <w:szCs w:val="18"/>
                <w:color w:val="auto"/>
                <w:w w:val="93"/>
              </w:rPr>
              <w:t>with actual payouts based on the extent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3300" w:type="dxa"/>
            <w:vAlign w:val="bottom"/>
            <w:gridSpan w:val="2"/>
            <w:shd w:val="clear" w:color="auto" w:fill="F0FFFF"/>
          </w:tcPr>
          <w:p>
            <w:pPr>
              <w:ind w:left="120"/>
              <w:spacing w:after="0"/>
              <w:rPr>
                <w:sz w:val="20"/>
                <w:szCs w:val="20"/>
                <w:color w:val="auto"/>
              </w:rPr>
            </w:pPr>
            <w:r>
              <w:rPr>
                <w:rFonts w:ascii="Arial" w:cs="Arial" w:eastAsia="Arial" w:hAnsi="Arial"/>
                <w:sz w:val="18"/>
                <w:szCs w:val="18"/>
                <w:color w:val="auto"/>
                <w:w w:val="91"/>
              </w:rPr>
              <w:t>compared to annually-established company</w:t>
            </w:r>
          </w:p>
        </w:tc>
        <w:tc>
          <w:tcPr>
            <w:tcW w:w="240" w:type="dxa"/>
            <w:vAlign w:val="bottom"/>
            <w:shd w:val="clear" w:color="auto" w:fill="F0FFFF"/>
          </w:tcPr>
          <w:p>
            <w:pPr>
              <w:spacing w:after="0"/>
              <w:rPr>
                <w:sz w:val="18"/>
                <w:szCs w:val="18"/>
                <w:color w:val="auto"/>
              </w:rPr>
            </w:pPr>
          </w:p>
        </w:tc>
        <w:tc>
          <w:tcPr>
            <w:tcW w:w="3180" w:type="dxa"/>
            <w:vAlign w:val="bottom"/>
            <w:shd w:val="clear" w:color="auto" w:fill="F0FFFF"/>
          </w:tcPr>
          <w:p>
            <w:pPr>
              <w:spacing w:after="0"/>
              <w:rPr>
                <w:sz w:val="20"/>
                <w:szCs w:val="20"/>
                <w:color w:val="auto"/>
              </w:rPr>
            </w:pPr>
            <w:r>
              <w:rPr>
                <w:rFonts w:ascii="Arial" w:cs="Arial" w:eastAsia="Arial" w:hAnsi="Arial"/>
                <w:sz w:val="18"/>
                <w:szCs w:val="18"/>
                <w:color w:val="auto"/>
                <w:w w:val="99"/>
              </w:rPr>
              <w:t>and personal measures during the year.</w:t>
            </w:r>
          </w:p>
        </w:tc>
        <w:tc>
          <w:tcPr>
            <w:tcW w:w="260" w:type="dxa"/>
            <w:vAlign w:val="bottom"/>
            <w:shd w:val="clear" w:color="auto" w:fill="F0FFFF"/>
          </w:tcPr>
          <w:p>
            <w:pPr>
              <w:spacing w:after="0"/>
              <w:rPr>
                <w:sz w:val="18"/>
                <w:szCs w:val="18"/>
                <w:color w:val="auto"/>
              </w:rPr>
            </w:pPr>
          </w:p>
        </w:tc>
        <w:tc>
          <w:tcPr>
            <w:tcW w:w="3180" w:type="dxa"/>
            <w:vAlign w:val="bottom"/>
            <w:shd w:val="clear" w:color="auto" w:fill="F0FFFF"/>
          </w:tcPr>
          <w:p>
            <w:pPr>
              <w:spacing w:after="0"/>
              <w:rPr>
                <w:sz w:val="20"/>
                <w:szCs w:val="20"/>
                <w:color w:val="auto"/>
              </w:rPr>
            </w:pPr>
            <w:r>
              <w:rPr>
                <w:rFonts w:ascii="Arial" w:cs="Arial" w:eastAsia="Arial" w:hAnsi="Arial"/>
                <w:sz w:val="18"/>
                <w:szCs w:val="18"/>
                <w:color w:val="auto"/>
              </w:rPr>
              <w:t>which performance goals are satisfied.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shd w:val="clear" w:color="auto" w:fill="F0FFFF"/>
          </w:tcPr>
          <w:p>
            <w:pPr>
              <w:spacing w:after="0"/>
              <w:rPr>
                <w:sz w:val="20"/>
                <w:szCs w:val="20"/>
                <w:color w:val="auto"/>
              </w:rPr>
            </w:pPr>
          </w:p>
        </w:tc>
        <w:tc>
          <w:tcPr>
            <w:tcW w:w="3300" w:type="dxa"/>
            <w:vAlign w:val="bottom"/>
            <w:gridSpan w:val="2"/>
            <w:shd w:val="clear" w:color="auto" w:fill="F0FFFF"/>
          </w:tcPr>
          <w:p>
            <w:pPr>
              <w:ind w:left="120"/>
              <w:spacing w:after="0"/>
              <w:rPr>
                <w:sz w:val="20"/>
                <w:szCs w:val="20"/>
                <w:color w:val="auto"/>
              </w:rPr>
            </w:pPr>
            <w:r>
              <w:rPr>
                <w:rFonts w:ascii="Arial" w:cs="Arial" w:eastAsia="Arial" w:hAnsi="Arial"/>
                <w:sz w:val="18"/>
                <w:szCs w:val="18"/>
                <w:color w:val="auto"/>
              </w:rPr>
              <w:t>and individual performance goals.</w:t>
            </w:r>
          </w:p>
        </w:tc>
        <w:tc>
          <w:tcPr>
            <w:tcW w:w="240" w:type="dxa"/>
            <w:vAlign w:val="bottom"/>
            <w:shd w:val="clear" w:color="auto" w:fill="F0FFFF"/>
          </w:tcPr>
          <w:p>
            <w:pPr>
              <w:spacing w:after="0"/>
              <w:rPr>
                <w:sz w:val="20"/>
                <w:szCs w:val="20"/>
                <w:color w:val="auto"/>
              </w:rPr>
            </w:pPr>
          </w:p>
        </w:tc>
        <w:tc>
          <w:tcPr>
            <w:tcW w:w="31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31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240" w:type="dxa"/>
            <w:vAlign w:val="bottom"/>
            <w:shd w:val="clear" w:color="auto" w:fill="F0FFFF"/>
          </w:tcPr>
          <w:p>
            <w:pPr>
              <w:spacing w:after="0" w:line="198" w:lineRule="exact"/>
              <w:rPr>
                <w:sz w:val="20"/>
                <w:szCs w:val="20"/>
                <w:color w:val="auto"/>
              </w:rPr>
            </w:pPr>
            <w:r>
              <w:rPr>
                <w:rFonts w:ascii="Arial" w:cs="Arial" w:eastAsia="Arial" w:hAnsi="Arial"/>
                <w:sz w:val="18"/>
                <w:szCs w:val="18"/>
                <w:b w:val="1"/>
                <w:bCs w:val="1"/>
                <w:color w:val="auto"/>
              </w:rPr>
              <w:t>Long Term</w:t>
            </w:r>
          </w:p>
        </w:tc>
        <w:tc>
          <w:tcPr>
            <w:tcW w:w="3300" w:type="dxa"/>
            <w:vAlign w:val="bottom"/>
            <w:gridSpan w:val="2"/>
            <w:shd w:val="clear" w:color="auto" w:fill="F0FFFF"/>
          </w:tcPr>
          <w:p>
            <w:pPr>
              <w:ind w:left="120"/>
              <w:spacing w:after="0" w:line="198" w:lineRule="exact"/>
              <w:rPr>
                <w:sz w:val="20"/>
                <w:szCs w:val="20"/>
                <w:color w:val="auto"/>
              </w:rPr>
            </w:pPr>
            <w:r>
              <w:rPr>
                <w:rFonts w:ascii="Arial" w:cs="Arial" w:eastAsia="Arial" w:hAnsi="Arial"/>
                <w:sz w:val="18"/>
                <w:szCs w:val="18"/>
                <w:color w:val="auto"/>
                <w:w w:val="91"/>
              </w:rPr>
              <w:t>Variable compensation component payable</w:t>
            </w:r>
          </w:p>
        </w:tc>
        <w:tc>
          <w:tcPr>
            <w:tcW w:w="240" w:type="dxa"/>
            <w:vAlign w:val="bottom"/>
            <w:shd w:val="clear" w:color="auto" w:fill="F0FFFF"/>
          </w:tcPr>
          <w:p>
            <w:pPr>
              <w:spacing w:after="0"/>
              <w:rPr>
                <w:sz w:val="17"/>
                <w:szCs w:val="17"/>
                <w:color w:val="auto"/>
              </w:rPr>
            </w:pPr>
          </w:p>
        </w:tc>
        <w:tc>
          <w:tcPr>
            <w:tcW w:w="3180" w:type="dxa"/>
            <w:vAlign w:val="bottom"/>
            <w:shd w:val="clear" w:color="auto" w:fill="F0FFFF"/>
          </w:tcPr>
          <w:p>
            <w:pPr>
              <w:spacing w:after="0" w:line="198" w:lineRule="exact"/>
              <w:rPr>
                <w:sz w:val="20"/>
                <w:szCs w:val="20"/>
                <w:color w:val="auto"/>
              </w:rPr>
            </w:pPr>
            <w:r>
              <w:rPr>
                <w:rFonts w:ascii="Arial" w:cs="Arial" w:eastAsia="Arial" w:hAnsi="Arial"/>
                <w:sz w:val="18"/>
                <w:szCs w:val="18"/>
                <w:color w:val="auto"/>
              </w:rPr>
              <w:t>Alignment of long term interests of</w:t>
            </w:r>
          </w:p>
        </w:tc>
        <w:tc>
          <w:tcPr>
            <w:tcW w:w="260" w:type="dxa"/>
            <w:vAlign w:val="bottom"/>
            <w:shd w:val="clear" w:color="auto" w:fill="F0FFFF"/>
          </w:tcPr>
          <w:p>
            <w:pPr>
              <w:spacing w:after="0"/>
              <w:rPr>
                <w:sz w:val="17"/>
                <w:szCs w:val="17"/>
                <w:color w:val="auto"/>
              </w:rPr>
            </w:pPr>
          </w:p>
        </w:tc>
        <w:tc>
          <w:tcPr>
            <w:tcW w:w="3180" w:type="dxa"/>
            <w:vAlign w:val="bottom"/>
            <w:shd w:val="clear" w:color="auto" w:fill="F0FFFF"/>
          </w:tcPr>
          <w:p>
            <w:pPr>
              <w:spacing w:after="0" w:line="198" w:lineRule="exact"/>
              <w:rPr>
                <w:sz w:val="20"/>
                <w:szCs w:val="20"/>
                <w:color w:val="auto"/>
              </w:rPr>
            </w:pPr>
            <w:r>
              <w:rPr>
                <w:rFonts w:ascii="Arial" w:cs="Arial" w:eastAsia="Arial" w:hAnsi="Arial"/>
                <w:sz w:val="18"/>
                <w:szCs w:val="18"/>
                <w:color w:val="auto"/>
              </w:rPr>
              <w:t>Peer group and individual performance,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Incentives</w:t>
            </w:r>
          </w:p>
        </w:tc>
        <w:tc>
          <w:tcPr>
            <w:tcW w:w="3300" w:type="dxa"/>
            <w:vAlign w:val="bottom"/>
            <w:gridSpan w:val="2"/>
            <w:shd w:val="clear" w:color="auto" w:fill="F0FFFF"/>
          </w:tcPr>
          <w:p>
            <w:pPr>
              <w:ind w:left="120"/>
              <w:spacing w:after="0"/>
              <w:rPr>
                <w:sz w:val="20"/>
                <w:szCs w:val="20"/>
                <w:color w:val="auto"/>
              </w:rPr>
            </w:pPr>
            <w:r>
              <w:rPr>
                <w:rFonts w:ascii="Arial" w:cs="Arial" w:eastAsia="Arial" w:hAnsi="Arial"/>
                <w:sz w:val="18"/>
                <w:szCs w:val="18"/>
                <w:color w:val="auto"/>
              </w:rPr>
              <w:t>in restricted stock.</w:t>
            </w:r>
          </w:p>
        </w:tc>
        <w:tc>
          <w:tcPr>
            <w:tcW w:w="240" w:type="dxa"/>
            <w:vAlign w:val="bottom"/>
            <w:shd w:val="clear" w:color="auto" w:fill="F0FFFF"/>
          </w:tcPr>
          <w:p>
            <w:pPr>
              <w:spacing w:after="0"/>
              <w:rPr>
                <w:sz w:val="19"/>
                <w:szCs w:val="19"/>
                <w:color w:val="auto"/>
              </w:rPr>
            </w:pPr>
          </w:p>
        </w:tc>
        <w:tc>
          <w:tcPr>
            <w:tcW w:w="3180" w:type="dxa"/>
            <w:vAlign w:val="bottom"/>
            <w:shd w:val="clear" w:color="auto" w:fill="F0FFFF"/>
          </w:tcPr>
          <w:p>
            <w:pPr>
              <w:spacing w:after="0"/>
              <w:rPr>
                <w:sz w:val="20"/>
                <w:szCs w:val="20"/>
                <w:color w:val="auto"/>
              </w:rPr>
            </w:pPr>
            <w:r>
              <w:rPr>
                <w:rFonts w:ascii="Arial" w:cs="Arial" w:eastAsia="Arial" w:hAnsi="Arial"/>
                <w:sz w:val="18"/>
                <w:szCs w:val="18"/>
                <w:color w:val="auto"/>
              </w:rPr>
              <w:t>management and shareholders.</w:t>
            </w:r>
          </w:p>
        </w:tc>
        <w:tc>
          <w:tcPr>
            <w:tcW w:w="260" w:type="dxa"/>
            <w:vAlign w:val="bottom"/>
            <w:shd w:val="clear" w:color="auto" w:fill="F0FFFF"/>
          </w:tcPr>
          <w:p>
            <w:pPr>
              <w:spacing w:after="0"/>
              <w:rPr>
                <w:sz w:val="19"/>
                <w:szCs w:val="19"/>
                <w:color w:val="auto"/>
              </w:rPr>
            </w:pPr>
          </w:p>
        </w:tc>
        <w:tc>
          <w:tcPr>
            <w:tcW w:w="3180" w:type="dxa"/>
            <w:vAlign w:val="bottom"/>
            <w:shd w:val="clear" w:color="auto" w:fill="F0FFFF"/>
          </w:tcPr>
          <w:p>
            <w:pPr>
              <w:spacing w:after="0"/>
              <w:rPr>
                <w:sz w:val="20"/>
                <w:szCs w:val="20"/>
                <w:color w:val="auto"/>
              </w:rPr>
            </w:pPr>
            <w:r>
              <w:rPr>
                <w:rFonts w:ascii="Arial" w:cs="Arial" w:eastAsia="Arial" w:hAnsi="Arial"/>
                <w:sz w:val="18"/>
                <w:szCs w:val="18"/>
                <w:color w:val="auto"/>
                <w:w w:val="93"/>
              </w:rPr>
              <w:t>with actual payouts based on the extent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318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3180" w:type="dxa"/>
            <w:vAlign w:val="bottom"/>
            <w:shd w:val="clear" w:color="auto" w:fill="F0FFFF"/>
          </w:tcPr>
          <w:p>
            <w:pPr>
              <w:spacing w:after="0"/>
              <w:rPr>
                <w:sz w:val="20"/>
                <w:szCs w:val="20"/>
                <w:color w:val="auto"/>
              </w:rPr>
            </w:pPr>
            <w:r>
              <w:rPr>
                <w:rFonts w:ascii="Arial" w:cs="Arial" w:eastAsia="Arial" w:hAnsi="Arial"/>
                <w:sz w:val="18"/>
                <w:szCs w:val="18"/>
                <w:color w:val="auto"/>
              </w:rPr>
              <w:t>Retention of executive talent.</w:t>
            </w:r>
          </w:p>
        </w:tc>
        <w:tc>
          <w:tcPr>
            <w:tcW w:w="260" w:type="dxa"/>
            <w:vAlign w:val="bottom"/>
            <w:shd w:val="clear" w:color="auto" w:fill="F0FFFF"/>
          </w:tcPr>
          <w:p>
            <w:pPr>
              <w:spacing w:after="0"/>
              <w:rPr>
                <w:sz w:val="20"/>
                <w:szCs w:val="20"/>
                <w:color w:val="auto"/>
              </w:rPr>
            </w:pPr>
          </w:p>
        </w:tc>
        <w:tc>
          <w:tcPr>
            <w:tcW w:w="3180" w:type="dxa"/>
            <w:vAlign w:val="bottom"/>
            <w:shd w:val="clear" w:color="auto" w:fill="F0FFFF"/>
          </w:tcPr>
          <w:p>
            <w:pPr>
              <w:spacing w:after="0"/>
              <w:rPr>
                <w:sz w:val="20"/>
                <w:szCs w:val="20"/>
                <w:color w:val="auto"/>
              </w:rPr>
            </w:pPr>
            <w:r>
              <w:rPr>
                <w:rFonts w:ascii="Arial" w:cs="Arial" w:eastAsia="Arial" w:hAnsi="Arial"/>
                <w:sz w:val="18"/>
                <w:szCs w:val="18"/>
                <w:color w:val="auto"/>
              </w:rPr>
              <w:t>which goals are satisfied.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240" w:type="dxa"/>
            <w:vAlign w:val="bottom"/>
            <w:shd w:val="clear" w:color="auto" w:fill="F0FFFF"/>
          </w:tcPr>
          <w:p>
            <w:pPr>
              <w:spacing w:after="0" w:line="198" w:lineRule="exact"/>
              <w:rPr>
                <w:sz w:val="20"/>
                <w:szCs w:val="20"/>
                <w:color w:val="auto"/>
              </w:rPr>
            </w:pPr>
            <w:r>
              <w:rPr>
                <w:rFonts w:ascii="Arial" w:cs="Arial" w:eastAsia="Arial" w:hAnsi="Arial"/>
                <w:sz w:val="18"/>
                <w:szCs w:val="18"/>
                <w:b w:val="1"/>
                <w:bCs w:val="1"/>
                <w:color w:val="auto"/>
                <w:w w:val="90"/>
              </w:rPr>
              <w:t>Perquisites and</w:t>
            </w:r>
          </w:p>
        </w:tc>
        <w:tc>
          <w:tcPr>
            <w:tcW w:w="3300" w:type="dxa"/>
            <w:vAlign w:val="bottom"/>
            <w:gridSpan w:val="2"/>
            <w:shd w:val="clear" w:color="auto" w:fill="F0FFFF"/>
          </w:tcPr>
          <w:p>
            <w:pPr>
              <w:ind w:left="120"/>
              <w:spacing w:after="0" w:line="198" w:lineRule="exact"/>
              <w:rPr>
                <w:sz w:val="20"/>
                <w:szCs w:val="20"/>
                <w:color w:val="auto"/>
              </w:rPr>
            </w:pPr>
            <w:r>
              <w:rPr>
                <w:rFonts w:ascii="Arial" w:cs="Arial" w:eastAsia="Arial" w:hAnsi="Arial"/>
                <w:sz w:val="18"/>
                <w:szCs w:val="18"/>
                <w:color w:val="auto"/>
                <w:w w:val="93"/>
              </w:rPr>
              <w:t>Fixed compensation component to provide</w:t>
            </w:r>
          </w:p>
        </w:tc>
        <w:tc>
          <w:tcPr>
            <w:tcW w:w="240" w:type="dxa"/>
            <w:vAlign w:val="bottom"/>
            <w:shd w:val="clear" w:color="auto" w:fill="F0FFFF"/>
          </w:tcPr>
          <w:p>
            <w:pPr>
              <w:spacing w:after="0"/>
              <w:rPr>
                <w:sz w:val="17"/>
                <w:szCs w:val="17"/>
                <w:color w:val="auto"/>
              </w:rPr>
            </w:pPr>
          </w:p>
        </w:tc>
        <w:tc>
          <w:tcPr>
            <w:tcW w:w="3180" w:type="dxa"/>
            <w:vAlign w:val="bottom"/>
            <w:shd w:val="clear" w:color="auto" w:fill="F0FFFF"/>
          </w:tcPr>
          <w:p>
            <w:pPr>
              <w:spacing w:after="0" w:line="198" w:lineRule="exact"/>
              <w:rPr>
                <w:sz w:val="20"/>
                <w:szCs w:val="20"/>
                <w:color w:val="auto"/>
              </w:rPr>
            </w:pPr>
            <w:r>
              <w:rPr>
                <w:rFonts w:ascii="Arial" w:cs="Arial" w:eastAsia="Arial" w:hAnsi="Arial"/>
                <w:sz w:val="18"/>
                <w:szCs w:val="18"/>
                <w:color w:val="auto"/>
              </w:rPr>
              <w:t>Provide a base level of competitive</w:t>
            </w:r>
          </w:p>
        </w:tc>
        <w:tc>
          <w:tcPr>
            <w:tcW w:w="260" w:type="dxa"/>
            <w:vAlign w:val="bottom"/>
            <w:shd w:val="clear" w:color="auto" w:fill="F0FFFF"/>
          </w:tcPr>
          <w:p>
            <w:pPr>
              <w:spacing w:after="0"/>
              <w:rPr>
                <w:sz w:val="17"/>
                <w:szCs w:val="17"/>
                <w:color w:val="auto"/>
              </w:rPr>
            </w:pPr>
          </w:p>
        </w:tc>
        <w:tc>
          <w:tcPr>
            <w:tcW w:w="3180" w:type="dxa"/>
            <w:vAlign w:val="bottom"/>
            <w:shd w:val="clear" w:color="auto" w:fill="F0FFFF"/>
          </w:tcPr>
          <w:p>
            <w:pPr>
              <w:spacing w:after="0" w:line="198" w:lineRule="exact"/>
              <w:rPr>
                <w:sz w:val="20"/>
                <w:szCs w:val="20"/>
                <w:color w:val="auto"/>
              </w:rPr>
            </w:pPr>
            <w:r>
              <w:rPr>
                <w:rFonts w:ascii="Arial" w:cs="Arial" w:eastAsia="Arial" w:hAnsi="Arial"/>
                <w:sz w:val="18"/>
                <w:szCs w:val="18"/>
                <w:color w:val="auto"/>
              </w:rPr>
              <w:t>Periodic review of benefits provided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w w:val="94"/>
              </w:rPr>
              <w:t>Other Personal</w:t>
            </w:r>
          </w:p>
        </w:tc>
        <w:tc>
          <w:tcPr>
            <w:tcW w:w="3300" w:type="dxa"/>
            <w:vAlign w:val="bottom"/>
            <w:gridSpan w:val="2"/>
            <w:shd w:val="clear" w:color="auto" w:fill="F0FFFF"/>
          </w:tcPr>
          <w:p>
            <w:pPr>
              <w:ind w:left="120"/>
              <w:spacing w:after="0"/>
              <w:rPr>
                <w:sz w:val="20"/>
                <w:szCs w:val="20"/>
                <w:color w:val="auto"/>
              </w:rPr>
            </w:pPr>
            <w:r>
              <w:rPr>
                <w:rFonts w:ascii="Arial" w:cs="Arial" w:eastAsia="Arial" w:hAnsi="Arial"/>
                <w:sz w:val="18"/>
                <w:szCs w:val="18"/>
                <w:color w:val="auto"/>
              </w:rPr>
              <w:t>basic competitive benefits.</w:t>
            </w:r>
          </w:p>
        </w:tc>
        <w:tc>
          <w:tcPr>
            <w:tcW w:w="240" w:type="dxa"/>
            <w:vAlign w:val="bottom"/>
            <w:shd w:val="clear" w:color="auto" w:fill="F0FFFF"/>
          </w:tcPr>
          <w:p>
            <w:pPr>
              <w:spacing w:after="0"/>
              <w:rPr>
                <w:sz w:val="18"/>
                <w:szCs w:val="18"/>
                <w:color w:val="auto"/>
              </w:rPr>
            </w:pPr>
          </w:p>
        </w:tc>
        <w:tc>
          <w:tcPr>
            <w:tcW w:w="3180" w:type="dxa"/>
            <w:vAlign w:val="bottom"/>
            <w:shd w:val="clear" w:color="auto" w:fill="F0FFFF"/>
          </w:tcPr>
          <w:p>
            <w:pPr>
              <w:spacing w:after="0"/>
              <w:rPr>
                <w:sz w:val="20"/>
                <w:szCs w:val="20"/>
                <w:color w:val="auto"/>
              </w:rPr>
            </w:pPr>
            <w:r>
              <w:rPr>
                <w:rFonts w:ascii="Arial" w:cs="Arial" w:eastAsia="Arial" w:hAnsi="Arial"/>
                <w:sz w:val="18"/>
                <w:szCs w:val="18"/>
                <w:color w:val="auto"/>
              </w:rPr>
              <w:t>compensation for executive talent.</w:t>
            </w:r>
          </w:p>
        </w:tc>
        <w:tc>
          <w:tcPr>
            <w:tcW w:w="260" w:type="dxa"/>
            <w:vAlign w:val="bottom"/>
            <w:shd w:val="clear" w:color="auto" w:fill="F0FFFF"/>
          </w:tcPr>
          <w:p>
            <w:pPr>
              <w:spacing w:after="0"/>
              <w:rPr>
                <w:sz w:val="18"/>
                <w:szCs w:val="18"/>
                <w:color w:val="auto"/>
              </w:rPr>
            </w:pPr>
          </w:p>
        </w:tc>
        <w:tc>
          <w:tcPr>
            <w:tcW w:w="3180" w:type="dxa"/>
            <w:vAlign w:val="bottom"/>
            <w:shd w:val="clear" w:color="auto" w:fill="F0FFFF"/>
          </w:tcPr>
          <w:p>
            <w:pPr>
              <w:spacing w:after="0"/>
              <w:rPr>
                <w:sz w:val="20"/>
                <w:szCs w:val="20"/>
                <w:color w:val="auto"/>
              </w:rPr>
            </w:pPr>
            <w:r>
              <w:rPr>
                <w:rFonts w:ascii="Arial" w:cs="Arial" w:eastAsia="Arial" w:hAnsi="Arial"/>
                <w:sz w:val="18"/>
                <w:szCs w:val="18"/>
                <w:color w:val="auto"/>
              </w:rPr>
              <w:t>generally to all employees.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Benefits</w:t>
            </w:r>
          </w:p>
        </w:tc>
        <w:tc>
          <w:tcPr>
            <w:tcW w:w="120" w:type="dxa"/>
            <w:vAlign w:val="bottom"/>
            <w:shd w:val="clear" w:color="auto" w:fill="F0FFFF"/>
          </w:tcPr>
          <w:p>
            <w:pPr>
              <w:spacing w:after="0"/>
              <w:rPr>
                <w:sz w:val="20"/>
                <w:szCs w:val="20"/>
                <w:color w:val="auto"/>
              </w:rPr>
            </w:pPr>
          </w:p>
        </w:tc>
        <w:tc>
          <w:tcPr>
            <w:tcW w:w="318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31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31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fiscal year 2014, the targeted aggregate compensation of our named executive officers consisted of the following components expressed as a percentage of total compensation:</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Long-Term</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Perquisites &amp;</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Named</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3"/>
              </w:rPr>
              <w:t>Base</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4"/>
              </w:rPr>
              <w:t>Annual</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w:t>
            </w: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50"/>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Salary</w:t>
            </w:r>
          </w:p>
        </w:tc>
        <w:tc>
          <w:tcPr>
            <w:tcW w:w="10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Bonus</w:t>
            </w:r>
          </w:p>
        </w:tc>
        <w:tc>
          <w:tcPr>
            <w:tcW w:w="100" w:type="dxa"/>
            <w:vAlign w:val="bottom"/>
          </w:tcPr>
          <w:p>
            <w:pPr>
              <w:spacing w:after="0"/>
              <w:rPr>
                <w:sz w:val="21"/>
                <w:szCs w:val="21"/>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1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Benefits</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110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94"/>
              </w:rPr>
              <w:t>46%</w:t>
            </w:r>
          </w:p>
        </w:tc>
        <w:tc>
          <w:tcPr>
            <w:tcW w:w="1200" w:type="dxa"/>
            <w:vAlign w:val="bottom"/>
            <w:gridSpan w:val="2"/>
            <w:shd w:val="clear" w:color="auto" w:fill="F0FFFF"/>
          </w:tcPr>
          <w:p>
            <w:pPr>
              <w:jc w:val="center"/>
              <w:spacing w:after="0"/>
              <w:rPr>
                <w:sz w:val="20"/>
                <w:szCs w:val="20"/>
                <w:color w:val="auto"/>
              </w:rPr>
            </w:pPr>
            <w:r>
              <w:rPr>
                <w:rFonts w:ascii="Arial" w:cs="Arial" w:eastAsia="Arial" w:hAnsi="Arial"/>
                <w:sz w:val="18"/>
                <w:szCs w:val="18"/>
                <w:color w:val="auto"/>
                <w:w w:val="92"/>
              </w:rPr>
              <w:t>7%</w:t>
            </w:r>
          </w:p>
        </w:tc>
        <w:tc>
          <w:tcPr>
            <w:tcW w:w="1400" w:type="dxa"/>
            <w:vAlign w:val="bottom"/>
            <w:gridSpan w:val="2"/>
            <w:shd w:val="clear" w:color="auto" w:fill="F0FFFF"/>
          </w:tcPr>
          <w:p>
            <w:pPr>
              <w:jc w:val="center"/>
              <w:ind w:left="10"/>
              <w:spacing w:after="0"/>
              <w:rPr>
                <w:sz w:val="20"/>
                <w:szCs w:val="20"/>
                <w:color w:val="auto"/>
              </w:rPr>
            </w:pPr>
            <w:r>
              <w:rPr>
                <w:rFonts w:ascii="Arial" w:cs="Arial" w:eastAsia="Arial" w:hAnsi="Arial"/>
                <w:sz w:val="18"/>
                <w:szCs w:val="18"/>
                <w:color w:val="auto"/>
                <w:w w:val="94"/>
              </w:rPr>
              <w:t>46%</w:t>
            </w:r>
          </w:p>
        </w:tc>
        <w:tc>
          <w:tcPr>
            <w:tcW w:w="1220" w:type="dxa"/>
            <w:vAlign w:val="bottom"/>
            <w:gridSpan w:val="2"/>
            <w:shd w:val="clear" w:color="auto" w:fill="F0FFFF"/>
          </w:tcPr>
          <w:p>
            <w:pPr>
              <w:jc w:val="center"/>
              <w:ind w:left="10"/>
              <w:spacing w:after="0"/>
              <w:rPr>
                <w:sz w:val="20"/>
                <w:szCs w:val="20"/>
                <w:color w:val="auto"/>
              </w:rPr>
            </w:pPr>
            <w:r>
              <w:rPr>
                <w:rFonts w:ascii="Arial" w:cs="Arial" w:eastAsia="Arial" w:hAnsi="Arial"/>
                <w:sz w:val="18"/>
                <w:szCs w:val="18"/>
                <w:color w:val="auto"/>
                <w:w w:val="92"/>
              </w:rPr>
              <w:t>1%</w:t>
            </w:r>
          </w:p>
        </w:tc>
        <w:tc>
          <w:tcPr>
            <w:tcW w:w="1440" w:type="dxa"/>
            <w:vAlign w:val="bottom"/>
            <w:gridSpan w:val="2"/>
            <w:shd w:val="clear" w:color="auto" w:fill="F0FFFF"/>
          </w:tcPr>
          <w:p>
            <w:pPr>
              <w:jc w:val="center"/>
              <w:ind w:left="1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F0FFFF"/>
          </w:tcPr>
          <w:p>
            <w:pPr>
              <w:spacing w:after="0"/>
              <w:rPr>
                <w:sz w:val="20"/>
                <w:szCs w:val="20"/>
                <w:color w:val="auto"/>
              </w:rPr>
            </w:pPr>
            <w:r>
              <w:rPr>
                <w:rFonts w:ascii="Arial" w:cs="Arial" w:eastAsia="Arial" w:hAnsi="Arial"/>
                <w:sz w:val="18"/>
                <w:szCs w:val="18"/>
                <w:color w:val="auto"/>
              </w:rPr>
              <w:t>David M. DeMedio</w:t>
            </w:r>
          </w:p>
        </w:tc>
        <w:tc>
          <w:tcPr>
            <w:tcW w:w="110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94"/>
              </w:rPr>
              <w:t>53%</w:t>
            </w:r>
          </w:p>
        </w:tc>
        <w:tc>
          <w:tcPr>
            <w:tcW w:w="1200" w:type="dxa"/>
            <w:vAlign w:val="bottom"/>
            <w:gridSpan w:val="2"/>
            <w:shd w:val="clear" w:color="auto" w:fill="F0FFFF"/>
          </w:tcPr>
          <w:p>
            <w:pPr>
              <w:jc w:val="center"/>
              <w:spacing w:after="0"/>
              <w:rPr>
                <w:sz w:val="20"/>
                <w:szCs w:val="20"/>
                <w:color w:val="auto"/>
              </w:rPr>
            </w:pPr>
            <w:r>
              <w:rPr>
                <w:rFonts w:ascii="Arial" w:cs="Arial" w:eastAsia="Arial" w:hAnsi="Arial"/>
                <w:sz w:val="18"/>
                <w:szCs w:val="18"/>
                <w:color w:val="auto"/>
                <w:w w:val="92"/>
              </w:rPr>
              <w:t>7%</w:t>
            </w:r>
          </w:p>
        </w:tc>
        <w:tc>
          <w:tcPr>
            <w:tcW w:w="1400" w:type="dxa"/>
            <w:vAlign w:val="bottom"/>
            <w:gridSpan w:val="2"/>
            <w:shd w:val="clear" w:color="auto" w:fill="F0FFFF"/>
          </w:tcPr>
          <w:p>
            <w:pPr>
              <w:jc w:val="center"/>
              <w:ind w:left="10"/>
              <w:spacing w:after="0"/>
              <w:rPr>
                <w:sz w:val="20"/>
                <w:szCs w:val="20"/>
                <w:color w:val="auto"/>
              </w:rPr>
            </w:pPr>
            <w:r>
              <w:rPr>
                <w:rFonts w:ascii="Arial" w:cs="Arial" w:eastAsia="Arial" w:hAnsi="Arial"/>
                <w:sz w:val="18"/>
                <w:szCs w:val="18"/>
                <w:color w:val="auto"/>
                <w:w w:val="94"/>
              </w:rPr>
              <w:t>40%</w:t>
            </w:r>
          </w:p>
        </w:tc>
        <w:tc>
          <w:tcPr>
            <w:tcW w:w="1220" w:type="dxa"/>
            <w:vAlign w:val="bottom"/>
            <w:gridSpan w:val="2"/>
            <w:shd w:val="clear" w:color="auto" w:fill="F0FFFF"/>
          </w:tcPr>
          <w:p>
            <w:pPr>
              <w:jc w:val="center"/>
              <w:ind w:left="10"/>
              <w:spacing w:after="0"/>
              <w:rPr>
                <w:sz w:val="20"/>
                <w:szCs w:val="20"/>
                <w:color w:val="auto"/>
              </w:rPr>
            </w:pPr>
            <w:r>
              <w:rPr>
                <w:rFonts w:ascii="Arial" w:cs="Arial" w:eastAsia="Arial" w:hAnsi="Arial"/>
                <w:sz w:val="18"/>
                <w:szCs w:val="18"/>
                <w:color w:val="auto"/>
                <w:w w:val="92"/>
              </w:rPr>
              <w:t>0%</w:t>
            </w:r>
          </w:p>
        </w:tc>
        <w:tc>
          <w:tcPr>
            <w:tcW w:w="1440" w:type="dxa"/>
            <w:vAlign w:val="bottom"/>
            <w:gridSpan w:val="2"/>
            <w:shd w:val="clear" w:color="auto" w:fill="F0FFFF"/>
          </w:tcPr>
          <w:p>
            <w:pPr>
              <w:jc w:val="center"/>
              <w:ind w:left="1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F0FFFF"/>
          </w:tcPr>
          <w:p>
            <w:pPr>
              <w:spacing w:after="0"/>
              <w:rPr>
                <w:sz w:val="20"/>
                <w:szCs w:val="20"/>
                <w:color w:val="auto"/>
              </w:rPr>
            </w:pPr>
            <w:r>
              <w:rPr>
                <w:rFonts w:ascii="Arial" w:cs="Arial" w:eastAsia="Arial" w:hAnsi="Arial"/>
                <w:sz w:val="18"/>
                <w:szCs w:val="18"/>
                <w:color w:val="auto"/>
              </w:rPr>
              <w:t>Michael Lawlor</w:t>
            </w:r>
          </w:p>
        </w:tc>
        <w:tc>
          <w:tcPr>
            <w:tcW w:w="110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94"/>
              </w:rPr>
              <w:t>49%</w:t>
            </w:r>
          </w:p>
        </w:tc>
        <w:tc>
          <w:tcPr>
            <w:tcW w:w="1200" w:type="dxa"/>
            <w:vAlign w:val="bottom"/>
            <w:gridSpan w:val="2"/>
            <w:shd w:val="clear" w:color="auto" w:fill="F0FFFF"/>
          </w:tcPr>
          <w:p>
            <w:pPr>
              <w:jc w:val="center"/>
              <w:ind w:left="10"/>
              <w:spacing w:after="0"/>
              <w:rPr>
                <w:sz w:val="20"/>
                <w:szCs w:val="20"/>
                <w:color w:val="auto"/>
              </w:rPr>
            </w:pPr>
            <w:r>
              <w:rPr>
                <w:rFonts w:ascii="Arial" w:cs="Arial" w:eastAsia="Arial" w:hAnsi="Arial"/>
                <w:sz w:val="18"/>
                <w:szCs w:val="18"/>
                <w:color w:val="auto"/>
                <w:w w:val="94"/>
              </w:rPr>
              <w:t>49%</w:t>
            </w:r>
          </w:p>
        </w:tc>
        <w:tc>
          <w:tcPr>
            <w:tcW w:w="1400" w:type="dxa"/>
            <w:vAlign w:val="bottom"/>
            <w:gridSpan w:val="2"/>
            <w:shd w:val="clear" w:color="auto" w:fill="F0FFFF"/>
          </w:tcPr>
          <w:p>
            <w:pPr>
              <w:jc w:val="center"/>
              <w:ind w:left="30"/>
              <w:spacing w:after="0"/>
              <w:rPr>
                <w:sz w:val="20"/>
                <w:szCs w:val="20"/>
                <w:color w:val="auto"/>
              </w:rPr>
            </w:pPr>
            <w:r>
              <w:rPr>
                <w:rFonts w:ascii="Arial" w:cs="Arial" w:eastAsia="Arial" w:hAnsi="Arial"/>
                <w:sz w:val="18"/>
                <w:szCs w:val="18"/>
                <w:color w:val="auto"/>
                <w:w w:val="92"/>
              </w:rPr>
              <w:t>0%</w:t>
            </w:r>
          </w:p>
        </w:tc>
        <w:tc>
          <w:tcPr>
            <w:tcW w:w="1220" w:type="dxa"/>
            <w:vAlign w:val="bottom"/>
            <w:gridSpan w:val="2"/>
            <w:shd w:val="clear" w:color="auto" w:fill="F0FFFF"/>
          </w:tcPr>
          <w:p>
            <w:pPr>
              <w:jc w:val="center"/>
              <w:ind w:left="10"/>
              <w:spacing w:after="0"/>
              <w:rPr>
                <w:sz w:val="20"/>
                <w:szCs w:val="20"/>
                <w:color w:val="auto"/>
              </w:rPr>
            </w:pPr>
            <w:r>
              <w:rPr>
                <w:rFonts w:ascii="Arial" w:cs="Arial" w:eastAsia="Arial" w:hAnsi="Arial"/>
                <w:sz w:val="18"/>
                <w:szCs w:val="18"/>
                <w:color w:val="auto"/>
                <w:w w:val="92"/>
              </w:rPr>
              <w:t>2%</w:t>
            </w:r>
          </w:p>
        </w:tc>
        <w:tc>
          <w:tcPr>
            <w:tcW w:w="1440" w:type="dxa"/>
            <w:vAlign w:val="bottom"/>
            <w:gridSpan w:val="2"/>
            <w:shd w:val="clear" w:color="auto" w:fill="F0FFFF"/>
          </w:tcPr>
          <w:p>
            <w:pPr>
              <w:jc w:val="center"/>
              <w:ind w:left="1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F0FFFF"/>
          </w:tcPr>
          <w:p>
            <w:pPr>
              <w:spacing w:after="0"/>
              <w:rPr>
                <w:sz w:val="20"/>
                <w:szCs w:val="20"/>
                <w:color w:val="auto"/>
              </w:rPr>
            </w:pPr>
            <w:r>
              <w:rPr>
                <w:rFonts w:ascii="Arial" w:cs="Arial" w:eastAsia="Arial" w:hAnsi="Arial"/>
                <w:sz w:val="18"/>
                <w:szCs w:val="18"/>
                <w:color w:val="auto"/>
              </w:rPr>
              <w:t>Cary Sagady</w:t>
            </w:r>
          </w:p>
        </w:tc>
        <w:tc>
          <w:tcPr>
            <w:tcW w:w="110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94"/>
              </w:rPr>
              <w:t>61%</w:t>
            </w:r>
          </w:p>
        </w:tc>
        <w:tc>
          <w:tcPr>
            <w:tcW w:w="1200" w:type="dxa"/>
            <w:vAlign w:val="bottom"/>
            <w:gridSpan w:val="2"/>
            <w:shd w:val="clear" w:color="auto" w:fill="F0FFFF"/>
          </w:tcPr>
          <w:p>
            <w:pPr>
              <w:jc w:val="center"/>
              <w:ind w:left="10"/>
              <w:spacing w:after="0"/>
              <w:rPr>
                <w:sz w:val="20"/>
                <w:szCs w:val="20"/>
                <w:color w:val="auto"/>
              </w:rPr>
            </w:pPr>
            <w:r>
              <w:rPr>
                <w:rFonts w:ascii="Arial" w:cs="Arial" w:eastAsia="Arial" w:hAnsi="Arial"/>
                <w:sz w:val="18"/>
                <w:szCs w:val="18"/>
                <w:color w:val="auto"/>
                <w:w w:val="94"/>
              </w:rPr>
              <w:t>37%</w:t>
            </w:r>
          </w:p>
        </w:tc>
        <w:tc>
          <w:tcPr>
            <w:tcW w:w="1400" w:type="dxa"/>
            <w:vAlign w:val="bottom"/>
            <w:gridSpan w:val="2"/>
            <w:shd w:val="clear" w:color="auto" w:fill="F0FFFF"/>
          </w:tcPr>
          <w:p>
            <w:pPr>
              <w:jc w:val="center"/>
              <w:ind w:left="30"/>
              <w:spacing w:after="0"/>
              <w:rPr>
                <w:sz w:val="20"/>
                <w:szCs w:val="20"/>
                <w:color w:val="auto"/>
              </w:rPr>
            </w:pPr>
            <w:r>
              <w:rPr>
                <w:rFonts w:ascii="Arial" w:cs="Arial" w:eastAsia="Arial" w:hAnsi="Arial"/>
                <w:sz w:val="18"/>
                <w:szCs w:val="18"/>
                <w:color w:val="auto"/>
                <w:w w:val="92"/>
              </w:rPr>
              <w:t>0%</w:t>
            </w:r>
          </w:p>
        </w:tc>
        <w:tc>
          <w:tcPr>
            <w:tcW w:w="1220" w:type="dxa"/>
            <w:vAlign w:val="bottom"/>
            <w:gridSpan w:val="2"/>
            <w:shd w:val="clear" w:color="auto" w:fill="F0FFFF"/>
          </w:tcPr>
          <w:p>
            <w:pPr>
              <w:jc w:val="center"/>
              <w:ind w:left="10"/>
              <w:spacing w:after="0"/>
              <w:rPr>
                <w:sz w:val="20"/>
                <w:szCs w:val="20"/>
                <w:color w:val="auto"/>
              </w:rPr>
            </w:pPr>
            <w:r>
              <w:rPr>
                <w:rFonts w:ascii="Arial" w:cs="Arial" w:eastAsia="Arial" w:hAnsi="Arial"/>
                <w:sz w:val="18"/>
                <w:szCs w:val="18"/>
                <w:color w:val="auto"/>
                <w:w w:val="92"/>
              </w:rPr>
              <w:t>2%</w:t>
            </w:r>
          </w:p>
        </w:tc>
        <w:tc>
          <w:tcPr>
            <w:tcW w:w="1440" w:type="dxa"/>
            <w:vAlign w:val="bottom"/>
            <w:gridSpan w:val="2"/>
            <w:shd w:val="clear" w:color="auto" w:fill="F0FFFF"/>
          </w:tcPr>
          <w:p>
            <w:pPr>
              <w:jc w:val="center"/>
              <w:ind w:left="1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fiscal year 2014, the aggregate compensation actually paid or awarded to our named executive officers consisted of the following components expressed as a percentage of total compensation:</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Long-Term</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Perquisites &amp;</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3"/>
              </w:rPr>
              <w:t>Base</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4"/>
              </w:rPr>
              <w:t>Annual</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55"/>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Salary</w:t>
            </w:r>
          </w:p>
        </w:tc>
        <w:tc>
          <w:tcPr>
            <w:tcW w:w="100" w:type="dxa"/>
            <w:vAlign w:val="bottom"/>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Bonus</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Benefits</w:t>
            </w: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110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94"/>
              </w:rPr>
              <w:t>76%</w:t>
            </w:r>
          </w:p>
        </w:tc>
        <w:tc>
          <w:tcPr>
            <w:tcW w:w="1200" w:type="dxa"/>
            <w:vAlign w:val="bottom"/>
            <w:gridSpan w:val="2"/>
            <w:shd w:val="clear" w:color="auto" w:fill="F0FFFF"/>
          </w:tcPr>
          <w:p>
            <w:pPr>
              <w:jc w:val="center"/>
              <w:spacing w:after="0"/>
              <w:rPr>
                <w:sz w:val="20"/>
                <w:szCs w:val="20"/>
                <w:color w:val="auto"/>
              </w:rPr>
            </w:pPr>
            <w:r>
              <w:rPr>
                <w:rFonts w:ascii="Arial" w:cs="Arial" w:eastAsia="Arial" w:hAnsi="Arial"/>
                <w:sz w:val="18"/>
                <w:szCs w:val="18"/>
                <w:color w:val="auto"/>
                <w:w w:val="92"/>
              </w:rPr>
              <w:t>7%</w:t>
            </w:r>
          </w:p>
        </w:tc>
        <w:tc>
          <w:tcPr>
            <w:tcW w:w="1400" w:type="dxa"/>
            <w:vAlign w:val="bottom"/>
            <w:gridSpan w:val="2"/>
            <w:shd w:val="clear" w:color="auto" w:fill="F0FFFF"/>
          </w:tcPr>
          <w:p>
            <w:pPr>
              <w:jc w:val="center"/>
              <w:ind w:left="10"/>
              <w:spacing w:after="0"/>
              <w:rPr>
                <w:sz w:val="20"/>
                <w:szCs w:val="20"/>
                <w:color w:val="auto"/>
              </w:rPr>
            </w:pPr>
            <w:r>
              <w:rPr>
                <w:rFonts w:ascii="Arial" w:cs="Arial" w:eastAsia="Arial" w:hAnsi="Arial"/>
                <w:sz w:val="18"/>
                <w:szCs w:val="18"/>
                <w:color w:val="auto"/>
                <w:w w:val="94"/>
              </w:rPr>
              <w:t>15%</w:t>
            </w:r>
          </w:p>
        </w:tc>
        <w:tc>
          <w:tcPr>
            <w:tcW w:w="1220" w:type="dxa"/>
            <w:vAlign w:val="bottom"/>
            <w:gridSpan w:val="2"/>
            <w:shd w:val="clear" w:color="auto" w:fill="F0FFFF"/>
          </w:tcPr>
          <w:p>
            <w:pPr>
              <w:jc w:val="center"/>
              <w:ind w:left="10"/>
              <w:spacing w:after="0"/>
              <w:rPr>
                <w:sz w:val="20"/>
                <w:szCs w:val="20"/>
                <w:color w:val="auto"/>
              </w:rPr>
            </w:pPr>
            <w:r>
              <w:rPr>
                <w:rFonts w:ascii="Arial" w:cs="Arial" w:eastAsia="Arial" w:hAnsi="Arial"/>
                <w:sz w:val="18"/>
                <w:szCs w:val="18"/>
                <w:color w:val="auto"/>
                <w:w w:val="92"/>
              </w:rPr>
              <w:t>2%</w:t>
            </w:r>
          </w:p>
        </w:tc>
        <w:tc>
          <w:tcPr>
            <w:tcW w:w="1440" w:type="dxa"/>
            <w:vAlign w:val="bottom"/>
            <w:gridSpan w:val="2"/>
            <w:shd w:val="clear" w:color="auto" w:fill="F0FFFF"/>
          </w:tcPr>
          <w:p>
            <w:pPr>
              <w:jc w:val="center"/>
              <w:ind w:left="1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F0FFFF"/>
          </w:tcPr>
          <w:p>
            <w:pPr>
              <w:spacing w:after="0"/>
              <w:rPr>
                <w:sz w:val="20"/>
                <w:szCs w:val="20"/>
                <w:color w:val="auto"/>
              </w:rPr>
            </w:pPr>
            <w:r>
              <w:rPr>
                <w:rFonts w:ascii="Arial" w:cs="Arial" w:eastAsia="Arial" w:hAnsi="Arial"/>
                <w:sz w:val="18"/>
                <w:szCs w:val="18"/>
                <w:color w:val="auto"/>
              </w:rPr>
              <w:t>David M. DeMedio</w:t>
            </w:r>
          </w:p>
        </w:tc>
        <w:tc>
          <w:tcPr>
            <w:tcW w:w="110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94"/>
              </w:rPr>
              <w:t>82%</w:t>
            </w:r>
          </w:p>
        </w:tc>
        <w:tc>
          <w:tcPr>
            <w:tcW w:w="1200" w:type="dxa"/>
            <w:vAlign w:val="bottom"/>
            <w:gridSpan w:val="2"/>
            <w:shd w:val="clear" w:color="auto" w:fill="F0FFFF"/>
          </w:tcPr>
          <w:p>
            <w:pPr>
              <w:jc w:val="center"/>
              <w:spacing w:after="0"/>
              <w:rPr>
                <w:sz w:val="20"/>
                <w:szCs w:val="20"/>
                <w:color w:val="auto"/>
              </w:rPr>
            </w:pPr>
            <w:r>
              <w:rPr>
                <w:rFonts w:ascii="Arial" w:cs="Arial" w:eastAsia="Arial" w:hAnsi="Arial"/>
                <w:sz w:val="18"/>
                <w:szCs w:val="18"/>
                <w:color w:val="auto"/>
                <w:w w:val="92"/>
              </w:rPr>
              <w:t>6%</w:t>
            </w:r>
          </w:p>
        </w:tc>
        <w:tc>
          <w:tcPr>
            <w:tcW w:w="1400" w:type="dxa"/>
            <w:vAlign w:val="bottom"/>
            <w:gridSpan w:val="2"/>
            <w:shd w:val="clear" w:color="auto" w:fill="F0FFFF"/>
          </w:tcPr>
          <w:p>
            <w:pPr>
              <w:jc w:val="center"/>
              <w:ind w:left="10"/>
              <w:spacing w:after="0"/>
              <w:rPr>
                <w:sz w:val="20"/>
                <w:szCs w:val="20"/>
                <w:color w:val="auto"/>
              </w:rPr>
            </w:pPr>
            <w:r>
              <w:rPr>
                <w:rFonts w:ascii="Arial" w:cs="Arial" w:eastAsia="Arial" w:hAnsi="Arial"/>
                <w:sz w:val="18"/>
                <w:szCs w:val="18"/>
                <w:color w:val="auto"/>
                <w:w w:val="94"/>
              </w:rPr>
              <w:t>12%</w:t>
            </w:r>
          </w:p>
        </w:tc>
        <w:tc>
          <w:tcPr>
            <w:tcW w:w="1220" w:type="dxa"/>
            <w:vAlign w:val="bottom"/>
            <w:gridSpan w:val="2"/>
            <w:shd w:val="clear" w:color="auto" w:fill="F0FFFF"/>
          </w:tcPr>
          <w:p>
            <w:pPr>
              <w:jc w:val="center"/>
              <w:ind w:left="10"/>
              <w:spacing w:after="0"/>
              <w:rPr>
                <w:sz w:val="20"/>
                <w:szCs w:val="20"/>
                <w:color w:val="auto"/>
              </w:rPr>
            </w:pPr>
            <w:r>
              <w:rPr>
                <w:rFonts w:ascii="Arial" w:cs="Arial" w:eastAsia="Arial" w:hAnsi="Arial"/>
                <w:sz w:val="18"/>
                <w:szCs w:val="18"/>
                <w:color w:val="auto"/>
                <w:w w:val="92"/>
              </w:rPr>
              <w:t>0%</w:t>
            </w:r>
          </w:p>
        </w:tc>
        <w:tc>
          <w:tcPr>
            <w:tcW w:w="1440" w:type="dxa"/>
            <w:vAlign w:val="bottom"/>
            <w:gridSpan w:val="2"/>
            <w:shd w:val="clear" w:color="auto" w:fill="F0FFFF"/>
          </w:tcPr>
          <w:p>
            <w:pPr>
              <w:jc w:val="center"/>
              <w:ind w:left="1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F0FFFF"/>
          </w:tcPr>
          <w:p>
            <w:pPr>
              <w:spacing w:after="0"/>
              <w:rPr>
                <w:sz w:val="20"/>
                <w:szCs w:val="20"/>
                <w:color w:val="auto"/>
              </w:rPr>
            </w:pPr>
            <w:r>
              <w:rPr>
                <w:rFonts w:ascii="Arial" w:cs="Arial" w:eastAsia="Arial" w:hAnsi="Arial"/>
                <w:sz w:val="18"/>
                <w:szCs w:val="18"/>
                <w:color w:val="auto"/>
              </w:rPr>
              <w:t>Michael Lawlor</w:t>
            </w:r>
          </w:p>
        </w:tc>
        <w:tc>
          <w:tcPr>
            <w:tcW w:w="110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94"/>
              </w:rPr>
              <w:t>88%</w:t>
            </w:r>
          </w:p>
        </w:tc>
        <w:tc>
          <w:tcPr>
            <w:tcW w:w="1200" w:type="dxa"/>
            <w:vAlign w:val="bottom"/>
            <w:gridSpan w:val="2"/>
            <w:shd w:val="clear" w:color="auto" w:fill="F0FFFF"/>
          </w:tcPr>
          <w:p>
            <w:pPr>
              <w:jc w:val="center"/>
              <w:spacing w:after="0"/>
              <w:rPr>
                <w:sz w:val="20"/>
                <w:szCs w:val="20"/>
                <w:color w:val="auto"/>
              </w:rPr>
            </w:pPr>
            <w:r>
              <w:rPr>
                <w:rFonts w:ascii="Arial" w:cs="Arial" w:eastAsia="Arial" w:hAnsi="Arial"/>
                <w:sz w:val="18"/>
                <w:szCs w:val="18"/>
                <w:color w:val="auto"/>
                <w:w w:val="92"/>
              </w:rPr>
              <w:t>8%</w:t>
            </w:r>
          </w:p>
        </w:tc>
        <w:tc>
          <w:tcPr>
            <w:tcW w:w="1400" w:type="dxa"/>
            <w:vAlign w:val="bottom"/>
            <w:gridSpan w:val="2"/>
            <w:shd w:val="clear" w:color="auto" w:fill="F0FFFF"/>
          </w:tcPr>
          <w:p>
            <w:pPr>
              <w:jc w:val="center"/>
              <w:ind w:left="30"/>
              <w:spacing w:after="0"/>
              <w:rPr>
                <w:sz w:val="20"/>
                <w:szCs w:val="20"/>
                <w:color w:val="auto"/>
              </w:rPr>
            </w:pPr>
            <w:r>
              <w:rPr>
                <w:rFonts w:ascii="Arial" w:cs="Arial" w:eastAsia="Arial" w:hAnsi="Arial"/>
                <w:sz w:val="18"/>
                <w:szCs w:val="18"/>
                <w:color w:val="auto"/>
                <w:w w:val="92"/>
              </w:rPr>
              <w:t>0%</w:t>
            </w:r>
          </w:p>
        </w:tc>
        <w:tc>
          <w:tcPr>
            <w:tcW w:w="1220" w:type="dxa"/>
            <w:vAlign w:val="bottom"/>
            <w:gridSpan w:val="2"/>
            <w:shd w:val="clear" w:color="auto" w:fill="F0FFFF"/>
          </w:tcPr>
          <w:p>
            <w:pPr>
              <w:jc w:val="center"/>
              <w:ind w:left="10"/>
              <w:spacing w:after="0"/>
              <w:rPr>
                <w:sz w:val="20"/>
                <w:szCs w:val="20"/>
                <w:color w:val="auto"/>
              </w:rPr>
            </w:pPr>
            <w:r>
              <w:rPr>
                <w:rFonts w:ascii="Arial" w:cs="Arial" w:eastAsia="Arial" w:hAnsi="Arial"/>
                <w:sz w:val="18"/>
                <w:szCs w:val="18"/>
                <w:color w:val="auto"/>
                <w:w w:val="92"/>
              </w:rPr>
              <w:t>4%</w:t>
            </w:r>
          </w:p>
        </w:tc>
        <w:tc>
          <w:tcPr>
            <w:tcW w:w="1440" w:type="dxa"/>
            <w:vAlign w:val="bottom"/>
            <w:gridSpan w:val="2"/>
            <w:shd w:val="clear" w:color="auto" w:fill="F0FFFF"/>
          </w:tcPr>
          <w:p>
            <w:pPr>
              <w:jc w:val="center"/>
              <w:ind w:left="1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F0FFFF"/>
          </w:tcPr>
          <w:p>
            <w:pPr>
              <w:spacing w:after="0"/>
              <w:rPr>
                <w:sz w:val="20"/>
                <w:szCs w:val="20"/>
                <w:color w:val="auto"/>
              </w:rPr>
            </w:pPr>
            <w:r>
              <w:rPr>
                <w:rFonts w:ascii="Arial" w:cs="Arial" w:eastAsia="Arial" w:hAnsi="Arial"/>
                <w:sz w:val="18"/>
                <w:szCs w:val="18"/>
                <w:color w:val="auto"/>
              </w:rPr>
              <w:t>Cary Sagady</w:t>
            </w:r>
          </w:p>
        </w:tc>
        <w:tc>
          <w:tcPr>
            <w:tcW w:w="110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94"/>
              </w:rPr>
              <w:t>93%</w:t>
            </w:r>
          </w:p>
        </w:tc>
        <w:tc>
          <w:tcPr>
            <w:tcW w:w="1200" w:type="dxa"/>
            <w:vAlign w:val="bottom"/>
            <w:gridSpan w:val="2"/>
            <w:shd w:val="clear" w:color="auto" w:fill="F0FFFF"/>
          </w:tcPr>
          <w:p>
            <w:pPr>
              <w:jc w:val="center"/>
              <w:spacing w:after="0"/>
              <w:rPr>
                <w:sz w:val="20"/>
                <w:szCs w:val="20"/>
                <w:color w:val="auto"/>
              </w:rPr>
            </w:pPr>
            <w:r>
              <w:rPr>
                <w:rFonts w:ascii="Arial" w:cs="Arial" w:eastAsia="Arial" w:hAnsi="Arial"/>
                <w:sz w:val="18"/>
                <w:szCs w:val="18"/>
                <w:color w:val="auto"/>
                <w:w w:val="92"/>
              </w:rPr>
              <w:t>3%</w:t>
            </w:r>
          </w:p>
        </w:tc>
        <w:tc>
          <w:tcPr>
            <w:tcW w:w="1400" w:type="dxa"/>
            <w:vAlign w:val="bottom"/>
            <w:gridSpan w:val="2"/>
            <w:shd w:val="clear" w:color="auto" w:fill="F0FFFF"/>
          </w:tcPr>
          <w:p>
            <w:pPr>
              <w:jc w:val="center"/>
              <w:ind w:left="30"/>
              <w:spacing w:after="0"/>
              <w:rPr>
                <w:sz w:val="20"/>
                <w:szCs w:val="20"/>
                <w:color w:val="auto"/>
              </w:rPr>
            </w:pPr>
            <w:r>
              <w:rPr>
                <w:rFonts w:ascii="Arial" w:cs="Arial" w:eastAsia="Arial" w:hAnsi="Arial"/>
                <w:sz w:val="18"/>
                <w:szCs w:val="18"/>
                <w:color w:val="auto"/>
                <w:w w:val="92"/>
              </w:rPr>
              <w:t>0%</w:t>
            </w:r>
          </w:p>
        </w:tc>
        <w:tc>
          <w:tcPr>
            <w:tcW w:w="1220" w:type="dxa"/>
            <w:vAlign w:val="bottom"/>
            <w:gridSpan w:val="2"/>
            <w:shd w:val="clear" w:color="auto" w:fill="F0FFFF"/>
          </w:tcPr>
          <w:p>
            <w:pPr>
              <w:jc w:val="center"/>
              <w:ind w:left="10"/>
              <w:spacing w:after="0"/>
              <w:rPr>
                <w:sz w:val="20"/>
                <w:szCs w:val="20"/>
                <w:color w:val="auto"/>
              </w:rPr>
            </w:pPr>
            <w:r>
              <w:rPr>
                <w:rFonts w:ascii="Arial" w:cs="Arial" w:eastAsia="Arial" w:hAnsi="Arial"/>
                <w:sz w:val="18"/>
                <w:szCs w:val="18"/>
                <w:color w:val="auto"/>
                <w:w w:val="92"/>
              </w:rPr>
              <w:t>4%</w:t>
            </w:r>
          </w:p>
        </w:tc>
        <w:tc>
          <w:tcPr>
            <w:tcW w:w="1440" w:type="dxa"/>
            <w:vAlign w:val="bottom"/>
            <w:gridSpan w:val="2"/>
            <w:shd w:val="clear" w:color="auto" w:fill="F0FFFF"/>
          </w:tcPr>
          <w:p>
            <w:pPr>
              <w:jc w:val="center"/>
              <w:ind w:left="1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Salary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 salary is the fixed component of our named executive officers’ annual cash compensation and is set with the goal of attracting talented executives and adequately compensating and rewarding them for services rendered during the fiscal year. The Compensation Committee reviews our executive officers’ base salary on an annual basis.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base salaries of each of our executive officers reflect the individual’s level of responsibility and performance. In recommending base salaries of our executive officers to the Board of Directors, the Compensation Committee also considers changes in duties and responsibilities, our business and financial results, and its knowledge of base salaries paid to executive officers of our peer group. The base salaries of each of Messrs. Sagady and Lawlor were established by our Chief Executive Officer after discussions with each employee.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base salaries were increased during the 2014 fiscal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Bonus</w:t>
      </w:r>
    </w:p>
    <w:p>
      <w:pPr>
        <w:sectPr>
          <w:pgSz w:w="11900" w:h="16838" w:orient="portrait"/>
          <w:cols w:equalWidth="0" w:num="1">
            <w:col w:w="11420"/>
          </w:cols>
          <w:pgMar w:left="240" w:top="918" w:right="239" w:bottom="86" w:gutter="0" w:footer="0" w:header="0"/>
        </w:sectPr>
      </w:pPr>
    </w:p>
    <w:bookmarkStart w:id="97" w:name="page98"/>
    <w:bookmarkEnd w:id="97"/>
    <w:p>
      <w:pPr>
        <w:jc w:val="both"/>
        <w:spacing w:after="0" w:line="276" w:lineRule="auto"/>
        <w:rPr>
          <w:sz w:val="20"/>
          <w:szCs w:val="20"/>
          <w:color w:val="auto"/>
        </w:rPr>
      </w:pPr>
      <w:r>
        <w:rPr>
          <w:rFonts w:ascii="Arial" w:cs="Arial" w:eastAsia="Arial" w:hAnsi="Arial"/>
          <w:sz w:val="17"/>
          <w:szCs w:val="17"/>
          <w:color w:val="auto"/>
        </w:rPr>
        <w:t>Performance-based annual bonuses are based on each named executive officer’s overall performance and the achievement of performance goals. Annual bonuses are intended to provide officers with an opportunity to receive additional cash and equity compensation based on their individual performance and Company results, including the achievement of pre-determined Company and individual performance goals. Performance-based bonuses are included in the compensation package because they incentivize our named executive officers, in any particular year, to pursue particular objectives that are consistent with the overall goals and strategic direction that the Board has set for the Company for that year.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Committee believes that the annual performance-based bonus reinforces the pay-for-performance nature of our compensation program.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2014 Short-Term Incentive Plan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recommendation of the Compensation Committee, the Board of Directors adopted the Fiscal Year 2014 Short-Term Incentive Plan (the “2014 STI Plan”) covering Messrs. Herbert and DeMedio. Pursuant to the 2014 STI Plan, each executive officer would earn a cash bonus in the event that the Company achieved during the 2014 fiscal year certain annual financial goals (80% weighting) and certain annual specific performance goals relating to the executive officer which were established by the Compensation Committee (20% weighting). The annual financial goals are total revenues (30% weighting), cash generated from operations (30% weighting), and non-GAAP net income (40% weighting). Assuming the minimum threshold target goal would be achieved for a particular metric, the amount of the cash bonus to be earned would be determined on a pro rata basis, provided that the bonus would not exceed the maximum distinguished award for that metric.</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Below were the threshold, target and distinguished cash bonus award opportunities for our executive officers:</w:t>
      </w:r>
    </w:p>
    <w:p>
      <w:pPr>
        <w:spacing w:after="0" w:line="248" w:lineRule="exact"/>
        <w:rPr>
          <w:sz w:val="20"/>
          <w:szCs w:val="20"/>
          <w:color w:val="auto"/>
        </w:rPr>
      </w:pPr>
    </w:p>
    <w:p>
      <w:pPr>
        <w:ind w:left="7020"/>
        <w:spacing w:after="0"/>
        <w:tabs>
          <w:tab w:leader="none" w:pos="8500" w:val="left"/>
          <w:tab w:leader="none" w:pos="9600" w:val="left"/>
        </w:tabs>
        <w:rPr>
          <w:sz w:val="20"/>
          <w:szCs w:val="20"/>
          <w:color w:val="auto"/>
        </w:rPr>
      </w:pPr>
      <w:r>
        <w:rPr>
          <w:rFonts w:ascii="Arial" w:cs="Arial" w:eastAsia="Arial" w:hAnsi="Arial"/>
          <w:sz w:val="18"/>
          <w:szCs w:val="18"/>
          <w:b w:val="1"/>
          <w:bCs w:val="1"/>
          <w:color w:val="auto"/>
        </w:rPr>
        <w:t>Threshold</w:t>
      </w:r>
      <w:r>
        <w:rPr>
          <w:sz w:val="20"/>
          <w:szCs w:val="20"/>
          <w:color w:val="auto"/>
        </w:rPr>
        <w:tab/>
      </w:r>
      <w:r>
        <w:rPr>
          <w:rFonts w:ascii="Arial" w:cs="Arial" w:eastAsia="Arial" w:hAnsi="Arial"/>
          <w:sz w:val="18"/>
          <w:szCs w:val="18"/>
          <w:b w:val="1"/>
          <w:bCs w:val="1"/>
          <w:color w:val="auto"/>
        </w:rPr>
        <w:t>Target</w:t>
      </w:r>
      <w:r>
        <w:rPr>
          <w:sz w:val="20"/>
          <w:szCs w:val="20"/>
          <w:color w:val="auto"/>
        </w:rPr>
        <w:tab/>
      </w:r>
      <w:r>
        <w:rPr>
          <w:rFonts w:ascii="Arial" w:cs="Arial" w:eastAsia="Arial" w:hAnsi="Arial"/>
          <w:sz w:val="16"/>
          <w:szCs w:val="16"/>
          <w:b w:val="1"/>
          <w:bCs w:val="1"/>
          <w:color w:val="auto"/>
        </w:rPr>
        <w:t>Distinguished</w:t>
      </w:r>
    </w:p>
    <w:p>
      <w:pPr>
        <w:spacing w:after="0" w:line="27" w:lineRule="exact"/>
        <w:rPr>
          <w:sz w:val="20"/>
          <w:szCs w:val="20"/>
          <w:color w:val="auto"/>
        </w:rPr>
      </w:pPr>
    </w:p>
    <w:p>
      <w:pPr>
        <w:ind w:left="6920"/>
        <w:spacing w:after="0"/>
        <w:tabs>
          <w:tab w:leader="none" w:pos="8260" w:val="left"/>
          <w:tab w:leader="none" w:pos="9640" w:val="left"/>
        </w:tabs>
        <w:rPr>
          <w:sz w:val="20"/>
          <w:szCs w:val="20"/>
          <w:color w:val="auto"/>
        </w:rPr>
      </w:pPr>
      <w:r>
        <w:rPr>
          <w:rFonts w:ascii="Arial" w:cs="Arial" w:eastAsia="Arial" w:hAnsi="Arial"/>
          <w:sz w:val="18"/>
          <w:szCs w:val="18"/>
          <w:b w:val="1"/>
          <w:bCs w:val="1"/>
          <w:u w:val="single" w:color="auto"/>
          <w:color w:val="auto"/>
        </w:rPr>
        <w:t>Performance</w:t>
      </w:r>
      <w:r>
        <w:rPr>
          <w:sz w:val="20"/>
          <w:szCs w:val="20"/>
          <w:color w:val="auto"/>
        </w:rPr>
        <w:tab/>
      </w:r>
      <w:r>
        <w:rPr>
          <w:rFonts w:ascii="Arial" w:cs="Arial" w:eastAsia="Arial" w:hAnsi="Arial"/>
          <w:sz w:val="18"/>
          <w:szCs w:val="18"/>
          <w:b w:val="1"/>
          <w:bCs w:val="1"/>
          <w:color w:val="auto"/>
        </w:rPr>
        <w:t>Performance</w:t>
      </w:r>
      <w:r>
        <w:rPr>
          <w:sz w:val="20"/>
          <w:szCs w:val="20"/>
          <w:color w:val="auto"/>
        </w:rPr>
        <w:tab/>
      </w:r>
      <w:r>
        <w:rPr>
          <w:rFonts w:ascii="Arial" w:cs="Arial" w:eastAsia="Arial" w:hAnsi="Arial"/>
          <w:sz w:val="16"/>
          <w:szCs w:val="16"/>
          <w:b w:val="1"/>
          <w:bCs w:val="1"/>
          <w:color w:val="auto"/>
        </w:rPr>
        <w:t>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5715</wp:posOffset>
            </wp:positionV>
            <wp:extent cx="16122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12265" cy="26035"/>
                    </a:xfrm>
                    <a:prstGeom prst="rect">
                      <a:avLst/>
                    </a:prstGeom>
                    <a:noFill/>
                  </pic:spPr>
                </pic:pic>
              </a:graphicData>
            </a:graphic>
          </wp:anchor>
        </w:drawing>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840" w:type="dxa"/>
            <w:vAlign w:val="bottom"/>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3020" w:type="dxa"/>
            <w:vAlign w:val="bottom"/>
            <w:shd w:val="clear" w:color="auto" w:fill="F0FFFF"/>
          </w:tcPr>
          <w:p>
            <w:pPr>
              <w:jc w:val="right"/>
              <w:ind w:right="390"/>
              <w:spacing w:after="0"/>
              <w:rPr>
                <w:sz w:val="20"/>
                <w:szCs w:val="20"/>
                <w:color w:val="auto"/>
              </w:rPr>
            </w:pPr>
            <w:r>
              <w:rPr>
                <w:rFonts w:ascii="Arial" w:cs="Arial" w:eastAsia="Arial" w:hAnsi="Arial"/>
                <w:sz w:val="18"/>
                <w:szCs w:val="18"/>
                <w:color w:val="auto"/>
              </w:rPr>
              <w:t>$</w:t>
            </w:r>
          </w:p>
        </w:tc>
        <w:tc>
          <w:tcPr>
            <w:tcW w:w="6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shd w:val="clear" w:color="auto" w:fill="F0FF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51,184</w:t>
            </w:r>
          </w:p>
        </w:tc>
        <w:tc>
          <w:tcPr>
            <w:tcW w:w="440" w:type="dxa"/>
            <w:vAlign w:val="bottom"/>
            <w:shd w:val="clear" w:color="auto" w:fill="F0FF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102,368</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David M. DeMedio</w:t>
            </w:r>
          </w:p>
        </w:tc>
        <w:tc>
          <w:tcPr>
            <w:tcW w:w="30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29,283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58,566</w:t>
            </w:r>
          </w:p>
        </w:tc>
      </w:tr>
    </w:tbl>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Based on the performance of the Company and individual performance, Mr. Herbert earned a cash bonus of $29,673 and Mr. DeMedio earned a cash bonus of $17,238 under the 2014 STI Plan. Each executive achieved all of the individual performance target goals established by the Committee. Based on the actual performance of the Company during the 2014 fiscal year, the minimum threshold performance targets established under the 2014 STI Plan were not met for non-GAAP net income. Revenues for the fiscal year were in excess of the minimum threshold target goal but less than the target goal, and cash from operations was in excess of the maximum distinguished performance target goal.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Named Executive Officers’ Cash Bonus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fiscal year ended June 30, 2014, the cash bonuses earned by Messrs. Lawlor and Sagady were based upon the attainment of financial target goals by the Company relating to connections (50% weighting for Mr. Sagady and 75% weighting for Mr. Lawlor), revenues (25% weighting for Mr. Sagady and 15% weighting for Mr. Lawlor), and adjusted EBITDA (25% weighting for Mr. Sagady and 10% weighting for Mr. Lawlor). Based on the actual performance of the Company during the 2014 fiscal year, the minimum threshold performance targets were not met for revenues and adjusted EBITDA. Connections for the fiscal year were in excess of the minimum threshold target goal but less than the target goal.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DeMedio Stock Bonus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November 2013, and subsequent to the end of the 2013 fiscal year, upon recommendation of the Compensation Committee, the Board awarded to Mr. DeMedio 21,000 vested shares of common stock as a one-time bonus in recognition of his performance during the 2013 fiscal year. Although the Compensation Committee considered this bonus to be part of Mr. DeMedio’s fiscal year 2013 compensation and is not considered to be part of Mr. DeMedio’s compensation for the 2014 fiscal year under this Compensation Discussion and Analysis, this stock award is reflected as required by applicable disclosure regulations in the fiscal year 2014 compensation tables set forth below in this Form 10-K.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Incentive Compensation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described above, the Committee believes that a substantial portion of each executive officer’s compensation should be in the form of long-term incentive compensation in order to further align the interests of our executive officers and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2014 Long-Term Incentive Performance Share Plan</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the recommendation of the Compensation Committee, the Board of Directors adopted the Fiscal Year 2014 Long-Term Incentive Performance Share Plan (the “2014 LTI Stock Plan”) covering Messrs. Herbert and DeMedio. Under the 2014 LTI Stock Plan, each executive officer would be awarded shares of common stock in the event that certain metrics relating to the Company’s 2014 fiscal year would result in specified ranges of year-over-year percentage growth. The metrics are total number of connections as of June 30, 2014 as compared to total number of connections as of June 30, 2013 (50% weighting), total license and transaction fee revenues earned during the 2014 fiscal year as compared to those earned during the 2013 fiscal year (25% weighting), and adjusted EBITDA earned during the 2014 fiscal year as compared to adjusted EBITDA earned during the 2013 fiscal year (25% weighting). The shares awarded under the 2014 LTI Stock Plan would vest as follows: one-third on the date of issuance; one-third on the first anniversary of the date of issuance; and one-third on the second anniversary of the date of issuance.</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time of the establishment of the 2014 LTI Stock Plan, the Compensation Committee believed that the attainment of the target goals under the 2014 LTI Stock Plan would represent a significant achievement for management, and were designed to stretch the Company’s and management’s performance during the fiscal year.</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table set forth below lists the value of the shares that would have been awarded to the executive officers under the 2014 LTI Stock Plan if all of the minimum threshold performance goals had been achieved, if all of the target performance goals had been achieved, and if all of the distinguished performance goals had been achieved. Assuming the minimum threshold target goal was achieved for a particular metric, the number of shares to be awarded for that metric was required to be determined on a pro-rata basis, provided that the award could not exceed the maximum distinguished award for that metric.</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Threshold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Target</w:t>
            </w:r>
          </w:p>
        </w:tc>
        <w:tc>
          <w:tcPr>
            <w:tcW w:w="20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Distinguished</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94"/>
              </w:rPr>
              <w:t>Performance</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Performance</w:t>
            </w:r>
          </w:p>
        </w:tc>
        <w:tc>
          <w:tcPr>
            <w:tcW w:w="200" w:type="dxa"/>
            <w:vAlign w:val="bottom"/>
          </w:tcPr>
          <w:p>
            <w:pPr>
              <w:spacing w:after="0"/>
              <w:rPr>
                <w:sz w:val="22"/>
                <w:szCs w:val="22"/>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Performance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3500" w:type="dxa"/>
            <w:vAlign w:val="bottom"/>
            <w:gridSpan w:val="2"/>
            <w:shd w:val="clear" w:color="auto" w:fill="F0FFFF"/>
          </w:tcPr>
          <w:p>
            <w:pPr>
              <w:jc w:val="right"/>
              <w:ind w:right="870"/>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42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341,277</w:t>
            </w:r>
          </w:p>
        </w:tc>
        <w:tc>
          <w:tcPr>
            <w:tcW w:w="540" w:type="dxa"/>
            <w:vAlign w:val="bottom"/>
            <w:gridSpan w:val="2"/>
            <w:shd w:val="clear" w:color="auto" w:fill="F0FF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682,554</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F0FFFF"/>
          </w:tcPr>
          <w:p>
            <w:pPr>
              <w:spacing w:after="0"/>
              <w:rPr>
                <w:sz w:val="20"/>
                <w:szCs w:val="20"/>
                <w:color w:val="auto"/>
              </w:rPr>
            </w:pPr>
            <w:r>
              <w:rPr>
                <w:rFonts w:ascii="Arial" w:cs="Arial" w:eastAsia="Arial" w:hAnsi="Arial"/>
                <w:sz w:val="18"/>
                <w:szCs w:val="18"/>
                <w:color w:val="auto"/>
              </w:rPr>
              <w:t>David M. DeMedio</w:t>
            </w:r>
          </w:p>
        </w:tc>
        <w:tc>
          <w:tcPr>
            <w:tcW w:w="3500" w:type="dxa"/>
            <w:vAlign w:val="bottom"/>
            <w:gridSpan w:val="2"/>
            <w:shd w:val="clear" w:color="auto" w:fill="F0FFFF"/>
          </w:tcPr>
          <w:p>
            <w:pPr>
              <w:jc w:val="right"/>
              <w:ind w:right="870"/>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42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175,699</w:t>
            </w:r>
          </w:p>
        </w:tc>
        <w:tc>
          <w:tcPr>
            <w:tcW w:w="540" w:type="dxa"/>
            <w:vAlign w:val="bottom"/>
            <w:gridSpan w:val="2"/>
            <w:shd w:val="clear" w:color="auto" w:fill="F0FF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351,396</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Based on the actual performance of the Company during the 2014 fiscal year, the minimum threshold performance targets established under the 2014 LTI Stock Plan were not met for revenues or adjusted EBITDA. Connections (50% weighting) for the fiscal year were in excess of the minimum threshold but less than the target goal. Consequently, the stock award to each executive officer under the 2014 LTI Stock Plan was as follows:</w:t>
      </w:r>
    </w:p>
    <w:p>
      <w:pPr>
        <w:spacing w:after="0" w:line="193"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Value of Shares</w:t>
      </w:r>
    </w:p>
    <w:p>
      <w:pPr>
        <w:spacing w:after="0" w:line="23" w:lineRule="exact"/>
        <w:rPr>
          <w:sz w:val="20"/>
          <w:szCs w:val="20"/>
          <w:color w:val="auto"/>
        </w:rPr>
      </w:pPr>
    </w:p>
    <w:p>
      <w:pPr>
        <w:ind w:left="7660"/>
        <w:spacing w:after="0"/>
        <w:tabs>
          <w:tab w:leader="none" w:pos="9160" w:val="left"/>
        </w:tabs>
        <w:rPr>
          <w:sz w:val="20"/>
          <w:szCs w:val="20"/>
          <w:color w:val="auto"/>
        </w:rPr>
      </w:pPr>
      <w:r>
        <w:rPr>
          <w:rFonts w:ascii="Arial" w:cs="Arial" w:eastAsia="Arial" w:hAnsi="Arial"/>
          <w:sz w:val="18"/>
          <w:szCs w:val="18"/>
          <w:color w:val="auto"/>
        </w:rPr>
        <w:t>Number of</w:t>
      </w:r>
      <w:r>
        <w:rPr>
          <w:sz w:val="20"/>
          <w:szCs w:val="20"/>
          <w:color w:val="auto"/>
        </w:rPr>
        <w:tab/>
      </w:r>
      <w:r>
        <w:rPr>
          <w:rFonts w:ascii="Arial" w:cs="Arial" w:eastAsia="Arial" w:hAnsi="Arial"/>
          <w:sz w:val="15"/>
          <w:szCs w:val="15"/>
          <w:color w:val="auto"/>
        </w:rPr>
        <w:t>as of June 30,</w:t>
      </w:r>
    </w:p>
    <w:p>
      <w:pPr>
        <w:spacing w:after="0" w:line="9" w:lineRule="exact"/>
        <w:rPr>
          <w:sz w:val="20"/>
          <w:szCs w:val="20"/>
          <w:color w:val="auto"/>
        </w:rPr>
      </w:pPr>
    </w:p>
    <w:p>
      <w:pPr>
        <w:ind w:left="7840"/>
        <w:spacing w:after="0"/>
        <w:tabs>
          <w:tab w:leader="none" w:pos="9800" w:val="left"/>
        </w:tabs>
        <w:rPr>
          <w:sz w:val="20"/>
          <w:szCs w:val="20"/>
          <w:color w:val="auto"/>
        </w:rPr>
      </w:pPr>
      <w:r>
        <w:rPr>
          <w:rFonts w:ascii="Arial" w:cs="Arial" w:eastAsia="Arial" w:hAnsi="Arial"/>
          <w:sz w:val="18"/>
          <w:szCs w:val="18"/>
          <w:color w:val="auto"/>
        </w:rPr>
        <w:t>Shares</w:t>
      </w:r>
      <w:r>
        <w:rPr>
          <w:sz w:val="20"/>
          <w:szCs w:val="20"/>
          <w:color w:val="auto"/>
        </w:rPr>
        <w:tab/>
      </w:r>
      <w:r>
        <w:rPr>
          <w:rFonts w:ascii="Arial" w:cs="Arial" w:eastAsia="Arial" w:hAnsi="Arial"/>
          <w:sz w:val="18"/>
          <w:szCs w:val="18"/>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160020</wp:posOffset>
            </wp:positionV>
            <wp:extent cx="5797550" cy="78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97550" cy="7874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5715</wp:posOffset>
            </wp:positionV>
            <wp:extent cx="168084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80845" cy="17145"/>
                    </a:xfrm>
                    <a:prstGeom prst="rect">
                      <a:avLst/>
                    </a:prstGeom>
                    <a:noFill/>
                  </pic:spPr>
                </pic:pic>
              </a:graphicData>
            </a:graphic>
          </wp:anchor>
        </w:drawing>
      </w:r>
    </w:p>
    <w:p>
      <w:pPr>
        <w:sectPr>
          <w:pgSz w:w="11900" w:h="16838" w:orient="portrait"/>
          <w:cols w:equalWidth="0" w:num="1">
            <w:col w:w="11420"/>
          </w:cols>
          <w:pgMar w:left="240" w:top="922" w:right="239" w:bottom="0" w:gutter="0" w:footer="0" w:header="0"/>
        </w:sectPr>
      </w:pPr>
    </w:p>
    <w:bookmarkStart w:id="99" w:name="page100"/>
    <w:bookmarkEnd w:id="99"/>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80" w:type="dxa"/>
            <w:vAlign w:val="bottom"/>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33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36,649</w:t>
            </w:r>
          </w:p>
        </w:tc>
        <w:tc>
          <w:tcPr>
            <w:tcW w:w="560" w:type="dxa"/>
            <w:vAlign w:val="bottom"/>
            <w:shd w:val="clear" w:color="auto" w:fill="F0FF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76,776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F0FFFF"/>
          </w:tcPr>
          <w:p>
            <w:pPr>
              <w:spacing w:after="0"/>
              <w:rPr>
                <w:sz w:val="20"/>
                <w:szCs w:val="20"/>
                <w:color w:val="auto"/>
              </w:rPr>
            </w:pPr>
            <w:r>
              <w:rPr>
                <w:rFonts w:ascii="Arial" w:cs="Arial" w:eastAsia="Arial" w:hAnsi="Arial"/>
                <w:sz w:val="18"/>
                <w:szCs w:val="18"/>
                <w:color w:val="auto"/>
              </w:rPr>
              <w:t>David M. DeMedio</w:t>
            </w:r>
          </w:p>
        </w:tc>
        <w:tc>
          <w:tcPr>
            <w:tcW w:w="33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19,161</w:t>
            </w:r>
          </w:p>
        </w:tc>
        <w:tc>
          <w:tcPr>
            <w:tcW w:w="560" w:type="dxa"/>
            <w:vAlign w:val="bottom"/>
            <w:shd w:val="clear" w:color="auto" w:fill="F0FF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39,532</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Perquisites and Other Benefits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and after September 5, 2012, our named executive officers were entitled to the health care coverage, group insurance and other employee benefits provided to all of our other employees. In this regard, we recommended to the Board, and the Board approved, the discontinuance of all fringe benefits previously provided to our named executive officers which were in excess of those generally available to the Company’s employees. The base salaries of the named executive officers were increased by an amount equal to the annual payments attributable to these discontinued fringe benefits.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auto"/>
        </w:rPr>
        <w:t>Post-Termination Compensation</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Upon the recommendation of the Compensation Committee, in November 2013, the Board approved an amendment to Mr. DeMedio’s employment agreement which provided that (i) if following a change in control of the Company, Mr. DeMedio would terminate his employment with the Company for good reason, or (ii) if the Company would terminate his employment at any time without cause, or (iii) if the Company would provide Mr. DeMedio with a notice of non-renewal of his employment agreement, then the Company would pay to him a lump sum equal to one times his base salary on or before the termination of his employment and all restricted stock awards or stock options would become vested as of the date of termination.</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set forth in his employment agreement, upon the termination of Mr. Herbert’s employment under certain circumstances, including termination by the Company without cause or by a notice of non-renewal of the employment agreement, or under certain circumstances following a change of control of the Company, the Company has agreed to pay Mr. Herbert a lump sum amount equal to two times his annual base salary and all restricted stock awards or stock options would become vested as of the date of termination.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these provisions are an important component of each executive’s employment arrangement and will help to secure the continued employment and dedication of our executive officers, notwithstanding any concern that they might have at such time regarding their own continued employment, prior to or following a change in control.</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Committee notes that there would be no payments to our executive officers upon a change of control without a “double trigger”. Payments under our employment agreements require two events for vesting – both the change in control and a “good reason” for termination of employment.</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information regarding what would have been received by our executive officers had termination occurred on June 30, 2014 is found under the heading “Potential Payments upon Termination or Change of Control” on page 46 of this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Ownership Policy</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providing our executive officers who have responsibility for the Company’s management and growth with an opportunity to increase their ownership of Company stock aligns the interests of the executive officers with those of the shareholders. In furtherance thereof, in April 2011, the Board approved Stock Ownership Guidelines that were recommended by the Compensation Committee. These guidelines provide that the Chief Executive Officer should own shares with a value of at least three times his annual base salary, and the Chief Financial Officer should own shares with a value of at least one times his annual base salary. Each executive officer has until April 2016 to comply with the policy. In November 2013, the Compensation Committee recommended and the Board approved an amendment to our guidelines to provide that non-vested restricted stock awards would count towards the stock ownership requirements thereunder for executive officers and non-employee directors.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November 2013, the Board of Directors approved our recommendation that each non-employee director own shares of common stock with a value of at least five times his or her annual cash retainer as well as for serving on one (but not more than one) Committee of the Board for a total share value of at least $150,000. Each director serving at the time of the amendment would have until June 30, 2016 to comply with the increased stock ownership requirements, and future directors would have five years to comply. Prior to the amendment, each non-employee director was required to own shares of common stock with a value of at least $40,000.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 Of 2014 Say-On-Pay Vote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2014 annual meeting of shareholders, over 77% of the votes cast on the advisory vote on the compensation of our named executive officers were in favor of the Company’s executive compensation disclosed in the proxy statement. The Compensation Committee considered the vote, and even though the results convey strong shareholder support for the Company’s executive compensation programs and the Compensation Committee’s decisions, the Committee determined that it was in the best interest of the Company and its shareholders to continue to evaluate our executive compensation programs and, if appropriate, to strengthen certain aspects of these programs.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Impact of Taxation and Accounting Considerations on Executive Compensation</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Compensation Committee and the Board of Directors take into account tax and accounting consequences of the compensation program and weigh these factors when setting total compensation and determining the individual elements of any executive officer’s compensation package.</w:t>
      </w:r>
    </w:p>
    <w:p>
      <w:pPr>
        <w:spacing w:after="0" w:line="17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stock awards to our executive officers under our stock incentive plans as well as any option awards under our 2014 Stock Option Incentive Plan provide that the executive is responsible for any withholding or payroll tax obligations incurred by the Company in connection with the award, and that the executive may satisfy any such obligations by, among other things, either the delivery to the Company of a cash payment equal to the obligations, or the assignment or transfer to the Company of shares having a value equal to the obligations, or such other method that shall be satisfactory to the Company.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Summary Compensation Table</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certain information with respect to compensation paid or accrued by the Company during the fiscal years ended June 30, 2014, 2013, and 2012 to each of the executive officers and employees of the Company named below (“named executive officers”):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Fiscal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Stock</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All Other</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80" w:type="dxa"/>
            <w:vAlign w:val="bottom"/>
          </w:tcPr>
          <w:p>
            <w:pPr>
              <w:ind w:left="300"/>
              <w:spacing w:after="0"/>
              <w:rPr>
                <w:sz w:val="20"/>
                <w:szCs w:val="20"/>
                <w:color w:val="auto"/>
              </w:rPr>
            </w:pPr>
            <w:r>
              <w:rPr>
                <w:rFonts w:ascii="Arial" w:cs="Arial" w:eastAsia="Arial" w:hAnsi="Arial"/>
                <w:sz w:val="18"/>
                <w:szCs w:val="18"/>
                <w:color w:val="auto"/>
              </w:rPr>
              <w:t>Name and Principal Position</w:t>
            </w:r>
          </w:p>
        </w:tc>
        <w:tc>
          <w:tcPr>
            <w:tcW w:w="10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Year</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Salary</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w w:val="94"/>
              </w:rPr>
              <w:t>Bonus (2)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w w:val="91"/>
              </w:rPr>
              <w:t>Awards (3)</w:t>
            </w:r>
          </w:p>
        </w:tc>
        <w:tc>
          <w:tcPr>
            <w:tcW w:w="18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w w:val="90"/>
              </w:rPr>
              <w:t>Compensation (4)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F0FFFF"/>
          </w:tcPr>
          <w:p>
            <w:pPr>
              <w:spacing w:after="0"/>
              <w:rPr>
                <w:sz w:val="20"/>
                <w:szCs w:val="20"/>
                <w:color w:val="auto"/>
              </w:rPr>
            </w:pPr>
            <w:r>
              <w:rPr>
                <w:rFonts w:ascii="Arial" w:cs="Arial" w:eastAsia="Arial" w:hAnsi="Arial"/>
                <w:sz w:val="18"/>
                <w:szCs w:val="18"/>
                <w:color w:val="auto"/>
              </w:rPr>
              <w:t>Stephen P. Herbert</w:t>
            </w: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2014</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341,227</w:t>
            </w:r>
          </w:p>
        </w:tc>
        <w:tc>
          <w:tcPr>
            <w:tcW w:w="3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29,673</w:t>
            </w:r>
          </w:p>
        </w:tc>
        <w:tc>
          <w:tcPr>
            <w:tcW w:w="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341,227</w:t>
            </w:r>
          </w:p>
        </w:tc>
        <w:tc>
          <w:tcPr>
            <w:tcW w:w="38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10,000</w:t>
            </w:r>
          </w:p>
        </w:tc>
        <w:tc>
          <w:tcPr>
            <w:tcW w:w="4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695,127</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F0FFFF"/>
          </w:tcPr>
          <w:p>
            <w:pPr>
              <w:ind w:left="120"/>
              <w:spacing w:after="0"/>
              <w:rPr>
                <w:sz w:val="20"/>
                <w:szCs w:val="20"/>
                <w:color w:val="auto"/>
              </w:rPr>
            </w:pPr>
            <w:r>
              <w:rPr>
                <w:rFonts w:ascii="Arial" w:cs="Arial" w:eastAsia="Arial" w:hAnsi="Arial"/>
                <w:sz w:val="18"/>
                <w:szCs w:val="18"/>
                <w:color w:val="auto"/>
                <w:w w:val="94"/>
              </w:rPr>
              <w:t>Chief Executive Officer, President</w:t>
            </w: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2013</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341,227</w:t>
            </w:r>
          </w:p>
        </w:tc>
        <w:tc>
          <w:tcPr>
            <w:tcW w:w="3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51,250</w:t>
            </w:r>
          </w:p>
        </w:tc>
        <w:tc>
          <w:tcPr>
            <w:tcW w:w="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111,399</w:t>
            </w:r>
          </w:p>
        </w:tc>
        <w:tc>
          <w:tcPr>
            <w:tcW w:w="38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10,000</w:t>
            </w:r>
          </w:p>
        </w:tc>
        <w:tc>
          <w:tcPr>
            <w:tcW w:w="4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513,876</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F0FFFF"/>
          </w:tcPr>
          <w:p>
            <w:pPr>
              <w:ind w:left="120"/>
              <w:spacing w:after="0"/>
              <w:rPr>
                <w:sz w:val="20"/>
                <w:szCs w:val="20"/>
                <w:color w:val="auto"/>
              </w:rPr>
            </w:pPr>
            <w:r>
              <w:rPr>
                <w:rFonts w:ascii="Arial" w:cs="Arial" w:eastAsia="Arial" w:hAnsi="Arial"/>
                <w:sz w:val="18"/>
                <w:szCs w:val="18"/>
                <w:color w:val="auto"/>
              </w:rPr>
              <w:t>&amp; Chairman of the Board (1)</w:t>
            </w: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2012</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332,246</w:t>
            </w:r>
          </w:p>
        </w:tc>
        <w:tc>
          <w:tcPr>
            <w:tcW w:w="3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40,000</w:t>
            </w:r>
          </w:p>
        </w:tc>
        <w:tc>
          <w:tcPr>
            <w:tcW w:w="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391,300</w:t>
            </w:r>
          </w:p>
        </w:tc>
        <w:tc>
          <w:tcPr>
            <w:tcW w:w="38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18,748</w:t>
            </w:r>
          </w:p>
        </w:tc>
        <w:tc>
          <w:tcPr>
            <w:tcW w:w="4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782,294</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F0FFFF"/>
          </w:tcPr>
          <w:p>
            <w:pPr>
              <w:spacing w:after="0"/>
              <w:rPr>
                <w:sz w:val="20"/>
                <w:szCs w:val="20"/>
                <w:color w:val="auto"/>
              </w:rPr>
            </w:pPr>
            <w:r>
              <w:rPr>
                <w:rFonts w:ascii="Arial" w:cs="Arial" w:eastAsia="Arial" w:hAnsi="Arial"/>
                <w:sz w:val="18"/>
                <w:szCs w:val="18"/>
                <w:color w:val="auto"/>
              </w:rPr>
              <w:t>David M. DeMedio</w:t>
            </w: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2014</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237,875</w:t>
            </w:r>
          </w:p>
        </w:tc>
        <w:tc>
          <w:tcPr>
            <w:tcW w:w="3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17,238</w:t>
            </w:r>
          </w:p>
        </w:tc>
        <w:tc>
          <w:tcPr>
            <w:tcW w:w="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213,709</w:t>
            </w:r>
          </w:p>
        </w:tc>
        <w:tc>
          <w:tcPr>
            <w:tcW w:w="38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468,822</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F0FFFF"/>
          </w:tcPr>
          <w:p>
            <w:pPr>
              <w:ind w:left="120"/>
              <w:spacing w:after="0"/>
              <w:rPr>
                <w:sz w:val="20"/>
                <w:szCs w:val="20"/>
                <w:color w:val="auto"/>
              </w:rPr>
            </w:pPr>
            <w:r>
              <w:rPr>
                <w:rFonts w:ascii="Arial" w:cs="Arial" w:eastAsia="Arial" w:hAnsi="Arial"/>
                <w:sz w:val="18"/>
                <w:szCs w:val="18"/>
                <w:color w:val="auto"/>
              </w:rPr>
              <w:t>Chief Financial Officer</w:t>
            </w: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2013</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234,265</w:t>
            </w:r>
          </w:p>
        </w:tc>
        <w:tc>
          <w:tcPr>
            <w:tcW w:w="3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4,024</w:t>
            </w:r>
          </w:p>
        </w:tc>
        <w:tc>
          <w:tcPr>
            <w:tcW w:w="38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4,813</w:t>
            </w:r>
          </w:p>
        </w:tc>
        <w:tc>
          <w:tcPr>
            <w:tcW w:w="4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243,102</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2012</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219,615</w:t>
            </w:r>
          </w:p>
        </w:tc>
        <w:tc>
          <w:tcPr>
            <w:tcW w:w="3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134,542</w:t>
            </w:r>
          </w:p>
        </w:tc>
        <w:tc>
          <w:tcPr>
            <w:tcW w:w="38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18,190</w:t>
            </w:r>
          </w:p>
        </w:tc>
        <w:tc>
          <w:tcPr>
            <w:tcW w:w="4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372,347</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F0FFFF"/>
          </w:tcPr>
          <w:p>
            <w:pPr>
              <w:spacing w:after="0"/>
              <w:rPr>
                <w:sz w:val="20"/>
                <w:szCs w:val="20"/>
                <w:color w:val="auto"/>
              </w:rPr>
            </w:pPr>
            <w:r>
              <w:rPr>
                <w:rFonts w:ascii="Arial" w:cs="Arial" w:eastAsia="Arial" w:hAnsi="Arial"/>
                <w:sz w:val="18"/>
                <w:szCs w:val="18"/>
                <w:color w:val="auto"/>
              </w:rPr>
              <w:t>Cary Sagady</w:t>
            </w: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2014</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200,300</w:t>
            </w:r>
          </w:p>
        </w:tc>
        <w:tc>
          <w:tcPr>
            <w:tcW w:w="3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7,109</w:t>
            </w:r>
          </w:p>
        </w:tc>
        <w:tc>
          <w:tcPr>
            <w:tcW w:w="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7,721</w:t>
            </w:r>
          </w:p>
        </w:tc>
        <w:tc>
          <w:tcPr>
            <w:tcW w:w="4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215,130</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F0FFFF"/>
          </w:tcPr>
          <w:p>
            <w:pPr>
              <w:ind w:left="120"/>
              <w:spacing w:after="0"/>
              <w:rPr>
                <w:sz w:val="20"/>
                <w:szCs w:val="20"/>
                <w:color w:val="auto"/>
              </w:rPr>
            </w:pPr>
            <w:r>
              <w:rPr>
                <w:rFonts w:ascii="Arial" w:cs="Arial" w:eastAsia="Arial" w:hAnsi="Arial"/>
                <w:sz w:val="18"/>
                <w:szCs w:val="18"/>
                <w:color w:val="auto"/>
              </w:rPr>
              <w:t>Sr. VP Product Management &amp;</w:t>
            </w: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2013</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198,200</w:t>
            </w:r>
          </w:p>
        </w:tc>
        <w:tc>
          <w:tcPr>
            <w:tcW w:w="3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42,063</w:t>
            </w:r>
          </w:p>
        </w:tc>
        <w:tc>
          <w:tcPr>
            <w:tcW w:w="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12,100</w:t>
            </w:r>
          </w:p>
        </w:tc>
        <w:tc>
          <w:tcPr>
            <w:tcW w:w="4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252,363</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F0FFFF"/>
          </w:tcPr>
          <w:p>
            <w:pPr>
              <w:ind w:left="120"/>
              <w:spacing w:after="0"/>
              <w:rPr>
                <w:sz w:val="20"/>
                <w:szCs w:val="20"/>
                <w:color w:val="auto"/>
              </w:rPr>
            </w:pPr>
            <w:r>
              <w:rPr>
                <w:rFonts w:ascii="Arial" w:cs="Arial" w:eastAsia="Arial" w:hAnsi="Arial"/>
                <w:sz w:val="18"/>
                <w:szCs w:val="18"/>
                <w:color w:val="auto"/>
              </w:rPr>
              <w:t>Network Solutions</w:t>
            </w: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2012</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193,066</w:t>
            </w:r>
          </w:p>
        </w:tc>
        <w:tc>
          <w:tcPr>
            <w:tcW w:w="3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64,680</w:t>
            </w:r>
          </w:p>
        </w:tc>
        <w:tc>
          <w:tcPr>
            <w:tcW w:w="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16,016</w:t>
            </w:r>
          </w:p>
        </w:tc>
        <w:tc>
          <w:tcPr>
            <w:tcW w:w="4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273,762</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F0FFFF"/>
          </w:tcPr>
          <w:p>
            <w:pPr>
              <w:spacing w:after="0"/>
              <w:rPr>
                <w:sz w:val="20"/>
                <w:szCs w:val="20"/>
                <w:color w:val="auto"/>
              </w:rPr>
            </w:pPr>
            <w:r>
              <w:rPr>
                <w:rFonts w:ascii="Arial" w:cs="Arial" w:eastAsia="Arial" w:hAnsi="Arial"/>
                <w:sz w:val="18"/>
                <w:szCs w:val="18"/>
                <w:color w:val="auto"/>
              </w:rPr>
              <w:t>Michael Lawlor</w:t>
            </w: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2014</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179,800</w:t>
            </w:r>
          </w:p>
        </w:tc>
        <w:tc>
          <w:tcPr>
            <w:tcW w:w="3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15,953</w:t>
            </w:r>
          </w:p>
        </w:tc>
        <w:tc>
          <w:tcPr>
            <w:tcW w:w="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8,670</w:t>
            </w:r>
          </w:p>
        </w:tc>
        <w:tc>
          <w:tcPr>
            <w:tcW w:w="4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204,423</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F0FFFF"/>
          </w:tcPr>
          <w:p>
            <w:pPr>
              <w:ind w:left="120"/>
              <w:spacing w:after="0"/>
              <w:rPr>
                <w:sz w:val="20"/>
                <w:szCs w:val="20"/>
                <w:color w:val="auto"/>
              </w:rPr>
            </w:pPr>
            <w:r>
              <w:rPr>
                <w:rFonts w:ascii="Arial" w:cs="Arial" w:eastAsia="Arial" w:hAnsi="Arial"/>
                <w:sz w:val="18"/>
                <w:szCs w:val="18"/>
                <w:color w:val="auto"/>
              </w:rPr>
              <w:t>VP of Sales &amp; Business</w:t>
            </w: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2013</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179,800</w:t>
            </w:r>
          </w:p>
        </w:tc>
        <w:tc>
          <w:tcPr>
            <w:tcW w:w="3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62,930</w:t>
            </w:r>
          </w:p>
        </w:tc>
        <w:tc>
          <w:tcPr>
            <w:tcW w:w="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10,000</w:t>
            </w:r>
          </w:p>
        </w:tc>
        <w:tc>
          <w:tcPr>
            <w:tcW w:w="4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252,730</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F0FFFF"/>
          </w:tcPr>
          <w:p>
            <w:pPr>
              <w:ind w:left="120"/>
              <w:spacing w:after="0"/>
              <w:rPr>
                <w:sz w:val="20"/>
                <w:szCs w:val="20"/>
                <w:color w:val="auto"/>
              </w:rPr>
            </w:pPr>
            <w:r>
              <w:rPr>
                <w:rFonts w:ascii="Arial" w:cs="Arial" w:eastAsia="Arial" w:hAnsi="Arial"/>
                <w:sz w:val="18"/>
                <w:szCs w:val="18"/>
                <w:color w:val="auto"/>
              </w:rPr>
              <w:t>Development</w:t>
            </w: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2012</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173,745</w:t>
            </w:r>
          </w:p>
        </w:tc>
        <w:tc>
          <w:tcPr>
            <w:tcW w:w="3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96,320</w:t>
            </w:r>
          </w:p>
        </w:tc>
        <w:tc>
          <w:tcPr>
            <w:tcW w:w="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36,200</w:t>
            </w:r>
          </w:p>
        </w:tc>
        <w:tc>
          <w:tcPr>
            <w:tcW w:w="38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15,197</w:t>
            </w:r>
          </w:p>
        </w:tc>
        <w:tc>
          <w:tcPr>
            <w:tcW w:w="4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321,462</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580" w:hanging="572"/>
        <w:spacing w:after="0" w:line="264"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Herbert was formerly the Company’s President and Chief Operating Officer through October 4, 2011 and interim Chairman and Chief Executive Officer from October 5 through November 28, 2011. Mr. Herbert was named Chairman of the Board, Chief Executive Officer and President on November 30, 2011.</w:t>
      </w:r>
    </w:p>
    <w:p>
      <w:pPr>
        <w:spacing w:after="0" w:line="208" w:lineRule="exact"/>
        <w:rPr>
          <w:rFonts w:ascii="Arial" w:cs="Arial" w:eastAsia="Arial" w:hAnsi="Arial"/>
          <w:sz w:val="18"/>
          <w:szCs w:val="18"/>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cash bonuses earned upon such person’s performance during the fiscal year or upon the attainment by the Company of certain target goals.</w:t>
      </w:r>
    </w:p>
    <w:p>
      <w:pPr>
        <w:spacing w:after="0" w:line="275" w:lineRule="exact"/>
        <w:rPr>
          <w:rFonts w:ascii="Arial" w:cs="Arial" w:eastAsia="Arial" w:hAnsi="Arial"/>
          <w:sz w:val="16"/>
          <w:szCs w:val="16"/>
          <w:color w:val="auto"/>
        </w:rPr>
      </w:pPr>
    </w:p>
    <w:p>
      <w:pPr>
        <w:jc w:val="both"/>
        <w:ind w:left="580" w:hanging="572"/>
        <w:spacing w:after="0" w:line="270" w:lineRule="auto"/>
        <w:tabs>
          <w:tab w:leader="none" w:pos="5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 accordance with FASB ASC Topic 718, the price of our common stock on the grant date equals the grant date fair value of these stock awards. For fiscal year 2014, represents (i) 188,523 shares with a value of $341,227 that would have been earned by Mr. Herbert under the 2014 LTI Stock Plan if all of the target goals had been achieved, (ii) 21,000 shares with a value of $38,010 granted to Mr. DeMedio as a bonus on November 7, 2013, and (iii) 97,071 shares with a value of $175,699 that would have been earned by Mr. DeMedio under the 2014 LTI Stock Plan if all of the target goals had been achieved. Based on the actual financial results, Mr. Herbert was awarded 36,649 shares with a grant date value of $66,335 and Mr. DeMedio was awarded 19,161 shares with a grant date value of $34,861 under the 2014 LTI Stock Plan. If all of the maximum target levels had been achieved under the 2014 LTI Stock Plan, Mr. Herbert would have earned 377,102 shares with a grant date value of $682,554, and Mr. DeMedio would have earned 194,141 shares with a grant date value of $351,396. The shares earned under the 2014 LTI Stock Plan vest as follows: one-third on June 30, 2014; one-third on June 30, 2015; and one-third on June 30, 2016.</w:t>
      </w:r>
    </w:p>
    <w:p>
      <w:pPr>
        <w:spacing w:after="0" w:line="208" w:lineRule="exact"/>
        <w:rPr>
          <w:rFonts w:ascii="Arial" w:cs="Arial" w:eastAsia="Arial" w:hAnsi="Arial"/>
          <w:sz w:val="17"/>
          <w:szCs w:val="17"/>
          <w:color w:val="auto"/>
        </w:rPr>
      </w:pPr>
    </w:p>
    <w:p>
      <w:pPr>
        <w:ind w:left="580" w:hanging="572"/>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the 2014 fiscal year, represents matching 401(k) contributions for Messrs. Herbert, Lawlor and Sagady.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amounts of awards granted to our named executive officers and employees during the fiscal year ended June 30, 2014: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All Other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Stock Awards: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88"/>
              </w:rPr>
              <w:t>Grant Date</w:t>
            </w: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gridSpan w:val="7"/>
          </w:tcPr>
          <w:p>
            <w:pPr>
              <w:jc w:val="center"/>
              <w:ind w:right="280"/>
              <w:spacing w:after="0"/>
              <w:rPr>
                <w:sz w:val="20"/>
                <w:szCs w:val="20"/>
                <w:color w:val="auto"/>
              </w:rPr>
            </w:pPr>
            <w:r>
              <w:rPr>
                <w:rFonts w:ascii="Arial" w:cs="Arial" w:eastAsia="Arial" w:hAnsi="Arial"/>
                <w:sz w:val="18"/>
                <w:szCs w:val="18"/>
                <w:color w:val="auto"/>
                <w:w w:val="89"/>
              </w:rPr>
              <w:t>Estimated Future Payouts Under</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Shares of</w:t>
            </w:r>
          </w:p>
        </w:tc>
        <w:tc>
          <w:tcPr>
            <w:tcW w:w="120" w:type="dxa"/>
            <w:vAlign w:val="bottom"/>
          </w:tcPr>
          <w:p>
            <w:pPr>
              <w:spacing w:after="0"/>
              <w:rPr>
                <w:sz w:val="18"/>
                <w:szCs w:val="18"/>
                <w:color w:val="auto"/>
              </w:rPr>
            </w:pPr>
          </w:p>
        </w:tc>
        <w:tc>
          <w:tcPr>
            <w:tcW w:w="1140" w:type="dxa"/>
            <w:vAlign w:val="bottom"/>
            <w:gridSpan w:val="2"/>
          </w:tcPr>
          <w:p>
            <w:pPr>
              <w:jc w:val="center"/>
              <w:ind w:right="70"/>
              <w:spacing w:after="0"/>
              <w:rPr>
                <w:sz w:val="20"/>
                <w:szCs w:val="20"/>
                <w:color w:val="auto"/>
              </w:rPr>
            </w:pPr>
            <w:r>
              <w:rPr>
                <w:rFonts w:ascii="Arial" w:cs="Arial" w:eastAsia="Arial" w:hAnsi="Arial"/>
                <w:sz w:val="18"/>
                <w:szCs w:val="18"/>
                <w:color w:val="auto"/>
                <w:w w:val="92"/>
              </w:rPr>
              <w:t>Fair Value of</w:t>
            </w: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gridSpan w:val="7"/>
          </w:tcPr>
          <w:p>
            <w:pPr>
              <w:jc w:val="center"/>
              <w:ind w:right="280"/>
              <w:spacing w:after="0"/>
              <w:rPr>
                <w:sz w:val="20"/>
                <w:szCs w:val="20"/>
                <w:color w:val="auto"/>
              </w:rPr>
            </w:pPr>
            <w:r>
              <w:rPr>
                <w:rFonts w:ascii="Arial" w:cs="Arial" w:eastAsia="Arial" w:hAnsi="Arial"/>
                <w:sz w:val="18"/>
                <w:szCs w:val="18"/>
                <w:color w:val="auto"/>
                <w:w w:val="93"/>
              </w:rPr>
              <w:t>Non-Equity Incentive Plan</w:t>
            </w:r>
          </w:p>
        </w:tc>
        <w:tc>
          <w:tcPr>
            <w:tcW w:w="3140" w:type="dxa"/>
            <w:vAlign w:val="bottom"/>
            <w:gridSpan w:val="5"/>
          </w:tcPr>
          <w:p>
            <w:pPr>
              <w:jc w:val="center"/>
              <w:spacing w:after="0"/>
              <w:rPr>
                <w:sz w:val="20"/>
                <w:szCs w:val="20"/>
                <w:color w:val="auto"/>
              </w:rPr>
            </w:pPr>
            <w:r>
              <w:rPr>
                <w:rFonts w:ascii="Arial" w:cs="Arial" w:eastAsia="Arial" w:hAnsi="Arial"/>
                <w:sz w:val="18"/>
                <w:szCs w:val="18"/>
                <w:color w:val="auto"/>
                <w:w w:val="89"/>
              </w:rPr>
              <w:t>Estimated Future Payouts Under</w:t>
            </w:r>
          </w:p>
        </w:tc>
        <w:tc>
          <w:tcPr>
            <w:tcW w:w="22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Stock or Units</w:t>
            </w:r>
          </w:p>
        </w:tc>
        <w:tc>
          <w:tcPr>
            <w:tcW w:w="12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w w:val="99"/>
              </w:rPr>
              <w:t>Stock Awards</w:t>
            </w: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1"/>
              </w:rPr>
              <w:t>Awards (1)</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2"/>
              </w:rPr>
              <w:t>Equity Incentive Plan Awards (2)</w:t>
            </w:r>
          </w:p>
        </w:tc>
        <w:tc>
          <w:tcPr>
            <w:tcW w:w="22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(4)</w:t>
            </w:r>
          </w:p>
        </w:tc>
      </w:tr>
      <w:tr>
        <w:trPr>
          <w:trHeight w:val="418"/>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Threshold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Target</w:t>
            </w: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Maximum</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Threshold</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Target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9"/>
              </w:rPr>
              <w:t>Maximum</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240" w:type="dxa"/>
            <w:vAlign w:val="bottom"/>
          </w:tcPr>
          <w:p>
            <w:pPr>
              <w:ind w:left="40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Grant Date</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Units (#)</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color w:val="auto"/>
                <w:w w:val="91"/>
              </w:rPr>
              <w:t>Awards ($)</w:t>
            </w:r>
          </w:p>
        </w:tc>
      </w:tr>
      <w:tr>
        <w:trPr>
          <w:trHeight w:val="250"/>
        </w:trPr>
        <w:tc>
          <w:tcPr>
            <w:tcW w:w="20" w:type="dxa"/>
            <w:vAlign w:val="bottom"/>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124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Stephen P.</w:t>
            </w:r>
          </w:p>
        </w:tc>
        <w:tc>
          <w:tcPr>
            <w:tcW w:w="1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240" w:type="dxa"/>
            <w:vAlign w:val="bottom"/>
            <w:shd w:val="clear" w:color="auto" w:fill="F0FFFF"/>
          </w:tcPr>
          <w:p>
            <w:pPr>
              <w:spacing w:after="0"/>
              <w:rPr>
                <w:sz w:val="20"/>
                <w:szCs w:val="20"/>
                <w:color w:val="auto"/>
              </w:rPr>
            </w:pPr>
            <w:r>
              <w:rPr>
                <w:rFonts w:ascii="Arial" w:cs="Arial" w:eastAsia="Arial" w:hAnsi="Arial"/>
                <w:sz w:val="18"/>
                <w:szCs w:val="18"/>
                <w:color w:val="auto"/>
              </w:rPr>
              <w:t>Herbert</w:t>
            </w:r>
          </w:p>
        </w:tc>
        <w:tc>
          <w:tcPr>
            <w:tcW w:w="120" w:type="dxa"/>
            <w:vAlign w:val="bottom"/>
            <w:shd w:val="clear" w:color="auto" w:fill="F0FFFF"/>
          </w:tcPr>
          <w:p>
            <w:pPr>
              <w:spacing w:after="0"/>
              <w:rPr>
                <w:sz w:val="20"/>
                <w:szCs w:val="20"/>
                <w:color w:val="auto"/>
              </w:rPr>
            </w:pPr>
          </w:p>
        </w:tc>
        <w:tc>
          <w:tcPr>
            <w:tcW w:w="7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800" w:type="dxa"/>
            <w:vAlign w:val="bottom"/>
            <w:shd w:val="clear" w:color="auto" w:fill="F0FFFF"/>
          </w:tcPr>
          <w:p>
            <w:pPr>
              <w:spacing w:after="0"/>
              <w:rPr>
                <w:sz w:val="20"/>
                <w:szCs w:val="20"/>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3"/>
            <w:shd w:val="clear" w:color="auto" w:fill="F0FFFF"/>
          </w:tcPr>
          <w:p>
            <w:pPr>
              <w:jc w:val="right"/>
              <w:ind w:right="220"/>
              <w:spacing w:after="0"/>
              <w:rPr>
                <w:sz w:val="20"/>
                <w:szCs w:val="20"/>
                <w:color w:val="auto"/>
              </w:rPr>
            </w:pPr>
            <w:r>
              <w:rPr>
                <w:rFonts w:ascii="Arial" w:cs="Arial" w:eastAsia="Arial" w:hAnsi="Arial"/>
                <w:sz w:val="18"/>
                <w:szCs w:val="18"/>
                <w:color w:val="auto"/>
              </w:rPr>
              <w:t>51,184</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102,368</w:t>
            </w:r>
          </w:p>
        </w:tc>
        <w:tc>
          <w:tcPr>
            <w:tcW w:w="2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F0FFFF"/>
          </w:tcPr>
          <w:p>
            <w:pPr>
              <w:ind w:left="12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11/7/2013</w:t>
            </w:r>
          </w:p>
        </w:tc>
        <w:tc>
          <w:tcPr>
            <w:tcW w:w="8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188,523</w:t>
            </w:r>
          </w:p>
        </w:tc>
        <w:tc>
          <w:tcPr>
            <w:tcW w:w="900" w:type="dxa"/>
            <w:vAlign w:val="bottom"/>
          </w:tcPr>
          <w:p>
            <w:pPr>
              <w:jc w:val="right"/>
              <w:spacing w:after="0"/>
              <w:rPr>
                <w:sz w:val="20"/>
                <w:szCs w:val="20"/>
                <w:color w:val="auto"/>
              </w:rPr>
            </w:pPr>
            <w:r>
              <w:rPr>
                <w:rFonts w:ascii="Arial" w:cs="Arial" w:eastAsia="Arial" w:hAnsi="Arial"/>
                <w:sz w:val="18"/>
                <w:szCs w:val="18"/>
                <w:color w:val="auto"/>
              </w:rPr>
              <w:t>377,102</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341,227</w:t>
            </w:r>
          </w:p>
        </w:tc>
      </w:tr>
      <w:tr>
        <w:trPr>
          <w:trHeight w:val="216"/>
        </w:trPr>
        <w:tc>
          <w:tcPr>
            <w:tcW w:w="20" w:type="dxa"/>
            <w:vAlign w:val="bottom"/>
          </w:tcPr>
          <w:p>
            <w:pPr>
              <w:spacing w:after="0"/>
              <w:rPr>
                <w:sz w:val="18"/>
                <w:szCs w:val="18"/>
                <w:color w:val="auto"/>
              </w:rPr>
            </w:pPr>
          </w:p>
        </w:tc>
        <w:tc>
          <w:tcPr>
            <w:tcW w:w="2260" w:type="dxa"/>
            <w:vAlign w:val="bottom"/>
            <w:gridSpan w:val="4"/>
            <w:shd w:val="clear" w:color="auto" w:fill="F0FFFF"/>
          </w:tcPr>
          <w:p>
            <w:pPr>
              <w:spacing w:after="0"/>
              <w:rPr>
                <w:sz w:val="20"/>
                <w:szCs w:val="20"/>
                <w:color w:val="auto"/>
              </w:rPr>
            </w:pPr>
            <w:r>
              <w:rPr>
                <w:rFonts w:ascii="Arial" w:cs="Arial" w:eastAsia="Arial" w:hAnsi="Arial"/>
                <w:sz w:val="18"/>
                <w:szCs w:val="18"/>
                <w:color w:val="auto"/>
              </w:rPr>
              <w:t>David M. DeMedio</w:t>
            </w:r>
          </w:p>
        </w:tc>
        <w:tc>
          <w:tcPr>
            <w:tcW w:w="800" w:type="dxa"/>
            <w:vAlign w:val="bottom"/>
            <w:shd w:val="clear" w:color="auto" w:fill="F0FFFF"/>
          </w:tcPr>
          <w:p>
            <w:pPr>
              <w:spacing w:after="0"/>
              <w:rPr>
                <w:sz w:val="18"/>
                <w:szCs w:val="18"/>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3"/>
            <w:shd w:val="clear" w:color="auto" w:fill="F0FFFF"/>
          </w:tcPr>
          <w:p>
            <w:pPr>
              <w:jc w:val="right"/>
              <w:ind w:right="220"/>
              <w:spacing w:after="0"/>
              <w:rPr>
                <w:sz w:val="20"/>
                <w:szCs w:val="20"/>
                <w:color w:val="auto"/>
              </w:rPr>
            </w:pPr>
            <w:r>
              <w:rPr>
                <w:rFonts w:ascii="Arial" w:cs="Arial" w:eastAsia="Arial" w:hAnsi="Arial"/>
                <w:sz w:val="18"/>
                <w:szCs w:val="18"/>
                <w:color w:val="auto"/>
              </w:rPr>
              <w:t>29,283</w:t>
            </w: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58,566</w:t>
            </w: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F0FFFF"/>
          </w:tcPr>
          <w:p>
            <w:pPr>
              <w:ind w:left="12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11/7/2013</w:t>
            </w:r>
          </w:p>
        </w:tc>
        <w:tc>
          <w:tcPr>
            <w:tcW w:w="8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97,071</w:t>
            </w:r>
          </w:p>
        </w:tc>
        <w:tc>
          <w:tcPr>
            <w:tcW w:w="900" w:type="dxa"/>
            <w:vAlign w:val="bottom"/>
          </w:tcPr>
          <w:p>
            <w:pPr>
              <w:jc w:val="right"/>
              <w:spacing w:after="0"/>
              <w:rPr>
                <w:sz w:val="20"/>
                <w:szCs w:val="20"/>
                <w:color w:val="auto"/>
              </w:rPr>
            </w:pPr>
            <w:r>
              <w:rPr>
                <w:rFonts w:ascii="Arial" w:cs="Arial" w:eastAsia="Arial" w:hAnsi="Arial"/>
                <w:sz w:val="18"/>
                <w:szCs w:val="18"/>
                <w:color w:val="auto"/>
              </w:rPr>
              <w:t>194,141</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175,699</w:t>
            </w:r>
          </w:p>
        </w:tc>
      </w:tr>
      <w:tr>
        <w:trPr>
          <w:trHeight w:val="216"/>
        </w:trPr>
        <w:tc>
          <w:tcPr>
            <w:tcW w:w="20" w:type="dxa"/>
            <w:vAlign w:val="bottom"/>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020" w:type="dxa"/>
            <w:vAlign w:val="bottom"/>
            <w:gridSpan w:val="3"/>
            <w:shd w:val="clear" w:color="auto" w:fill="F0FFFF"/>
          </w:tcPr>
          <w:p>
            <w:pPr>
              <w:jc w:val="right"/>
              <w:ind w:right="120"/>
              <w:spacing w:after="0"/>
              <w:rPr>
                <w:sz w:val="20"/>
                <w:szCs w:val="20"/>
                <w:color w:val="auto"/>
              </w:rPr>
            </w:pPr>
            <w:r>
              <w:rPr>
                <w:rFonts w:ascii="Arial" w:cs="Arial" w:eastAsia="Arial" w:hAnsi="Arial"/>
                <w:sz w:val="18"/>
                <w:szCs w:val="18"/>
                <w:color w:val="auto"/>
              </w:rPr>
              <w:t>11/7/2013</w:t>
            </w:r>
          </w:p>
        </w:tc>
        <w:tc>
          <w:tcPr>
            <w:tcW w:w="800" w:type="dxa"/>
            <w:vAlign w:val="bottom"/>
            <w:shd w:val="clear" w:color="auto" w:fill="F0FFFF"/>
          </w:tcPr>
          <w:p>
            <w:pPr>
              <w:spacing w:after="0"/>
              <w:rPr>
                <w:sz w:val="18"/>
                <w:szCs w:val="18"/>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3"/>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21,000</w:t>
            </w:r>
          </w:p>
        </w:tc>
        <w:tc>
          <w:tcPr>
            <w:tcW w:w="200" w:type="dxa"/>
            <w:vAlign w:val="bottom"/>
            <w:gridSpan w:val="2"/>
            <w:shd w:val="clear" w:color="auto" w:fill="F0FFFF"/>
          </w:tcPr>
          <w:p>
            <w:pPr>
              <w:ind w:left="12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38,010</w:t>
            </w: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Cary Sagady</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120,000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240" w:type="dxa"/>
            <w:vAlign w:val="bottom"/>
            <w:shd w:val="clear" w:color="auto" w:fill="F0FFFF"/>
          </w:tcPr>
          <w:p>
            <w:pPr>
              <w:spacing w:after="0"/>
              <w:rPr>
                <w:sz w:val="20"/>
                <w:szCs w:val="20"/>
                <w:color w:val="auto"/>
              </w:rPr>
            </w:pPr>
            <w:r>
              <w:rPr>
                <w:rFonts w:ascii="Arial" w:cs="Arial" w:eastAsia="Arial" w:hAnsi="Arial"/>
                <w:sz w:val="18"/>
                <w:szCs w:val="18"/>
                <w:color w:val="auto"/>
              </w:rPr>
              <w:t>Michael Lawlor</w:t>
            </w: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3"/>
            <w:shd w:val="clear" w:color="auto" w:fill="F0FFFF"/>
          </w:tcPr>
          <w:p>
            <w:pPr>
              <w:jc w:val="right"/>
              <w:ind w:right="220"/>
              <w:spacing w:after="0"/>
              <w:rPr>
                <w:sz w:val="20"/>
                <w:szCs w:val="20"/>
                <w:color w:val="auto"/>
              </w:rPr>
            </w:pPr>
            <w:r>
              <w:rPr>
                <w:rFonts w:ascii="Arial" w:cs="Arial" w:eastAsia="Arial" w:hAnsi="Arial"/>
                <w:sz w:val="18"/>
                <w:szCs w:val="18"/>
                <w:color w:val="auto"/>
              </w:rPr>
              <w:t>179,800</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F0FFFF"/>
          </w:tcPr>
          <w:p>
            <w:pPr>
              <w:ind w:left="12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r>
      <w:tr>
        <w:trPr>
          <w:trHeight w:val="675"/>
        </w:trPr>
        <w:tc>
          <w:tcPr>
            <w:tcW w:w="20" w:type="dxa"/>
            <w:vAlign w:val="bottom"/>
          </w:tcPr>
          <w:p>
            <w:pPr>
              <w:spacing w:after="0"/>
              <w:rPr>
                <w:sz w:val="24"/>
                <w:szCs w:val="24"/>
                <w:color w:val="auto"/>
              </w:rPr>
            </w:pPr>
          </w:p>
        </w:tc>
        <w:tc>
          <w:tcPr>
            <w:tcW w:w="12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7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0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jc w:val="right"/>
              <w:ind w:right="630"/>
              <w:spacing w:after="0"/>
              <w:rPr>
                <w:sz w:val="20"/>
                <w:szCs w:val="20"/>
                <w:color w:val="auto"/>
              </w:rPr>
            </w:pPr>
            <w:r>
              <w:rPr>
                <w:rFonts w:ascii="Arial" w:cs="Arial" w:eastAsia="Arial" w:hAnsi="Arial"/>
                <w:sz w:val="18"/>
                <w:szCs w:val="18"/>
                <w:color w:val="auto"/>
                <w:w w:val="79"/>
              </w:rPr>
              <w:t>44</w:t>
            </w:r>
          </w:p>
        </w:tc>
        <w:tc>
          <w:tcPr>
            <w:tcW w:w="22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18" w:right="239" w:bottom="495" w:gutter="0" w:footer="0" w:header="0"/>
        </w:sectPr>
      </w:pPr>
    </w:p>
    <w:bookmarkStart w:id="102" w:name="page103"/>
    <w:bookmarkEnd w:id="102"/>
    <w:p>
      <w:pPr>
        <w:jc w:val="both"/>
        <w:ind w:left="740" w:hanging="367"/>
        <w:spacing w:after="0" w:line="257"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awards granted to Messrs. Herbert and DeMedio by the Board of Directors under the 2014 STI Plan. The plan provides for the award of a cash bonus if all targets are achieved as follows: Mr. Herbert - $51,184 and Mr. DeMedio - $29,283. If none of the minimum, threshold targets are achieved, the executive officers would not earn a cash bonus. If all of the maximum distinguished target goals are achieved, the executive officers would earn a cash bonus as follows: Mr. Herbert – $102,368 and Mr. DeMedio – $58,566. Mr. Herbert was awarded $29,673 and Mr. DeMedio was awarded $17,238 under the plan.</w:t>
      </w:r>
    </w:p>
    <w:p>
      <w:pPr>
        <w:spacing w:after="0" w:line="188" w:lineRule="exact"/>
        <w:rPr>
          <w:rFonts w:ascii="Arial" w:cs="Arial" w:eastAsia="Arial" w:hAnsi="Arial"/>
          <w:sz w:val="18"/>
          <w:szCs w:val="18"/>
          <w:color w:val="auto"/>
        </w:rPr>
      </w:pPr>
    </w:p>
    <w:p>
      <w:pPr>
        <w:ind w:left="740"/>
        <w:spacing w:after="0" w:line="277" w:lineRule="auto"/>
        <w:rPr>
          <w:rFonts w:ascii="Arial" w:cs="Arial" w:eastAsia="Arial" w:hAnsi="Arial"/>
          <w:sz w:val="18"/>
          <w:szCs w:val="18"/>
          <w:color w:val="auto"/>
        </w:rPr>
      </w:pPr>
      <w:r>
        <w:rPr>
          <w:rFonts w:ascii="Arial" w:cs="Arial" w:eastAsia="Arial" w:hAnsi="Arial"/>
          <w:sz w:val="18"/>
          <w:szCs w:val="18"/>
          <w:color w:val="auto"/>
        </w:rPr>
        <w:t>Represents cash bonus opportunity for Messrs. Sagady and Lawlor if all of the target goals were achieved. Mr. Sagady was awarded $7,109 and Mr. Lawlor was awarded $15,953</w:t>
      </w:r>
    </w:p>
    <w:p>
      <w:pPr>
        <w:spacing w:after="0" w:line="170" w:lineRule="exact"/>
        <w:rPr>
          <w:rFonts w:ascii="Arial" w:cs="Arial" w:eastAsia="Arial" w:hAnsi="Arial"/>
          <w:sz w:val="18"/>
          <w:szCs w:val="18"/>
          <w:color w:val="auto"/>
        </w:rPr>
      </w:pPr>
    </w:p>
    <w:p>
      <w:pPr>
        <w:jc w:val="both"/>
        <w:ind w:left="740" w:hanging="367"/>
        <w:spacing w:after="0" w:line="255"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awards granted by the Board of Directors under the 2014 LTI Stock Plan. The plan provides for the award of shares having the following value if all targets are achieved; Mr. Herbert - $341,227 and Mr. DeMedio - $175,699. If none of the minimum threshold year-over-year percentage target goals are achieved, the executive officers would not be awarded any shares; and if all maximum distinguished targets are achieved the executive officers would be awarded shares having the following value: Mr. Herbert - $682,454 and Mr. DeMedio - $356,812. The number of shares in the table above represents the total dollar value of the award divided by the grant date value of the share. Mr. Herbert was awarded 36,649 shares and Mr. DeMedio was awarded 19,161 shares under the plan of which one-third vested on June 30, 2014, one-third vests on June 30, 2015 and one-third vests on June 30, 2016.</w:t>
      </w:r>
    </w:p>
    <w:p>
      <w:pPr>
        <w:spacing w:after="0" w:line="216" w:lineRule="exact"/>
        <w:rPr>
          <w:rFonts w:ascii="Arial" w:cs="Arial" w:eastAsia="Arial" w:hAnsi="Arial"/>
          <w:sz w:val="18"/>
          <w:szCs w:val="18"/>
          <w:color w:val="auto"/>
        </w:rPr>
      </w:pPr>
    </w:p>
    <w:p>
      <w:pPr>
        <w:ind w:left="740" w:hanging="367"/>
        <w:spacing w:after="0"/>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Represents 21,000 shares of common stock granted to Mr. DeMedio as a bonus in recognition of his performance during the 2013 fiscal year.</w:t>
      </w:r>
    </w:p>
    <w:p>
      <w:pPr>
        <w:spacing w:after="0" w:line="263" w:lineRule="exact"/>
        <w:rPr>
          <w:rFonts w:ascii="Arial" w:cs="Arial" w:eastAsia="Arial" w:hAnsi="Arial"/>
          <w:sz w:val="17"/>
          <w:szCs w:val="17"/>
          <w:color w:val="auto"/>
        </w:rPr>
      </w:pPr>
    </w:p>
    <w:p>
      <w:pPr>
        <w:jc w:val="both"/>
        <w:ind w:left="740" w:hanging="367"/>
        <w:spacing w:after="0" w:line="255"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 represents the grant date fair value determined in accordance with ASC 718. For Mr. Herbert, represents the grant date value of 188,523 shares which would have been awarded to him if the target goals had been achieved under the 2014 LTI Stock Plan. For Mr. DeMedio, represents the grant date value of 97,071 shares which would have been awarded to him if the target goals had been achieved under the 2014 LTI Stock Plan as well as the grant date value of 21,000 shares awarded to him on November 7, 2013. Based on the actual financial results, Mr. Herbert was awarded 36,649 shares with a grant date value of $66,335 and Mr. DeMedio was awarded 19,161 shares with a grant date value of $34,861 under the 2014 LTI Stock Plan.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information regarding unexercised stock options and unvested equity awards granted to the named executive officers as of the fiscal year ended June 30, 2014:</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4"/>
              </w:rPr>
              <w:t>Option Awards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5"/>
          </w:tcPr>
          <w:p>
            <w:pPr>
              <w:ind w:left="820"/>
              <w:spacing w:after="0"/>
              <w:rPr>
                <w:sz w:val="20"/>
                <w:szCs w:val="20"/>
                <w:color w:val="auto"/>
              </w:rPr>
            </w:pPr>
            <w:r>
              <w:rPr>
                <w:rFonts w:ascii="Arial" w:cs="Arial" w:eastAsia="Arial" w:hAnsi="Arial"/>
                <w:sz w:val="18"/>
                <w:szCs w:val="18"/>
                <w:color w:val="auto"/>
              </w:rPr>
              <w:t>Stock Awards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70"/>
              <w:spacing w:after="0" w:line="201" w:lineRule="exact"/>
              <w:rPr>
                <w:sz w:val="20"/>
                <w:szCs w:val="20"/>
                <w:color w:val="auto"/>
              </w:rPr>
            </w:pPr>
            <w:r>
              <w:rPr>
                <w:rFonts w:ascii="Arial" w:cs="Arial" w:eastAsia="Arial" w:hAnsi="Arial"/>
                <w:sz w:val="18"/>
                <w:szCs w:val="18"/>
                <w:color w:val="auto"/>
                <w:w w:val="94"/>
              </w:rPr>
              <w:t>Market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30"/>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Shares or</w:t>
            </w: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Shares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Units of</w:t>
            </w: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Units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10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Stock That</w:t>
            </w: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Stock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92"/>
              </w:rPr>
              <w:t>Options(#)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Exercise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Expiration</w:t>
            </w:r>
          </w:p>
        </w:tc>
        <w:tc>
          <w:tcPr>
            <w:tcW w:w="10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Have Not</w:t>
            </w: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Have Not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0"/>
              </w:rPr>
              <w:t>Exercisable</w:t>
            </w:r>
          </w:p>
        </w:tc>
        <w:tc>
          <w:tcPr>
            <w:tcW w:w="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Price($)</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Vested (#)</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7"/>
              </w:rPr>
              <w:t>Vested($)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F0FFFF"/>
          </w:tcPr>
          <w:p>
            <w:pPr>
              <w:spacing w:after="0"/>
              <w:rPr>
                <w:sz w:val="20"/>
                <w:szCs w:val="20"/>
                <w:color w:val="auto"/>
              </w:rPr>
            </w:pPr>
            <w:r>
              <w:rPr>
                <w:rFonts w:ascii="Arial" w:cs="Arial" w:eastAsia="Arial" w:hAnsi="Arial"/>
                <w:sz w:val="18"/>
                <w:szCs w:val="18"/>
                <w:color w:val="auto"/>
                <w:w w:val="94"/>
              </w:rPr>
              <w:t>Stephen P. Herbert</w:t>
            </w:r>
          </w:p>
        </w:tc>
        <w:tc>
          <w:tcPr>
            <w:tcW w:w="1080" w:type="dxa"/>
            <w:vAlign w:val="bottom"/>
            <w:shd w:val="clear" w:color="auto" w:fill="F0FFFF"/>
          </w:tcPr>
          <w:p>
            <w:pPr>
              <w:spacing w:after="0"/>
              <w:rPr>
                <w:sz w:val="18"/>
                <w:szCs w:val="18"/>
                <w:color w:val="auto"/>
              </w:rPr>
            </w:pPr>
          </w:p>
        </w:tc>
        <w:tc>
          <w:tcPr>
            <w:tcW w:w="1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85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600" w:type="dxa"/>
            <w:vAlign w:val="bottom"/>
            <w:gridSpan w:val="3"/>
            <w:shd w:val="clear" w:color="auto" w:fill="F0FFFF"/>
          </w:tcPr>
          <w:p>
            <w:pPr>
              <w:jc w:val="right"/>
              <w:ind w:right="120"/>
              <w:spacing w:after="0"/>
              <w:rPr>
                <w:sz w:val="20"/>
                <w:szCs w:val="20"/>
                <w:color w:val="auto"/>
              </w:rPr>
            </w:pPr>
            <w:r>
              <w:rPr>
                <w:rFonts w:ascii="Arial" w:cs="Arial" w:eastAsia="Arial" w:hAnsi="Arial"/>
                <w:sz w:val="18"/>
                <w:szCs w:val="18"/>
                <w:color w:val="auto"/>
              </w:rPr>
              <w:t>48,241 (1)</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101,789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80" w:type="dxa"/>
            <w:vAlign w:val="bottom"/>
            <w:gridSpan w:val="2"/>
            <w:shd w:val="clear" w:color="auto" w:fill="F0FFFF"/>
          </w:tcPr>
          <w:p>
            <w:pPr>
              <w:spacing w:after="0" w:line="201" w:lineRule="exact"/>
              <w:rPr>
                <w:sz w:val="20"/>
                <w:szCs w:val="20"/>
                <w:color w:val="auto"/>
              </w:rPr>
            </w:pPr>
            <w:r>
              <w:rPr>
                <w:rFonts w:ascii="Arial" w:cs="Arial" w:eastAsia="Arial" w:hAnsi="Arial"/>
                <w:sz w:val="18"/>
                <w:szCs w:val="18"/>
                <w:color w:val="auto"/>
              </w:rPr>
              <w:t>David M.</w:t>
            </w:r>
          </w:p>
        </w:tc>
        <w:tc>
          <w:tcPr>
            <w:tcW w:w="10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DeMedio</w:t>
            </w:r>
          </w:p>
        </w:tc>
        <w:tc>
          <w:tcPr>
            <w:tcW w:w="1080" w:type="dxa"/>
            <w:vAlign w:val="bottom"/>
            <w:shd w:val="clear" w:color="auto" w:fill="F0FFFF"/>
          </w:tcPr>
          <w:p>
            <w:pPr>
              <w:spacing w:after="0"/>
              <w:rPr>
                <w:sz w:val="20"/>
                <w:szCs w:val="20"/>
                <w:color w:val="auto"/>
              </w:rPr>
            </w:pPr>
          </w:p>
        </w:tc>
        <w:tc>
          <w:tcPr>
            <w:tcW w:w="1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85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F0FFFF"/>
          </w:tcPr>
          <w:p>
            <w:pPr>
              <w:spacing w:after="0"/>
              <w:rPr>
                <w:sz w:val="20"/>
                <w:szCs w:val="20"/>
                <w:color w:val="auto"/>
              </w:rPr>
            </w:pPr>
          </w:p>
        </w:tc>
        <w:tc>
          <w:tcPr>
            <w:tcW w:w="1040" w:type="dxa"/>
            <w:vAlign w:val="bottom"/>
            <w:shd w:val="clear" w:color="auto" w:fill="F0FFFF"/>
          </w:tcPr>
          <w:p>
            <w:pPr>
              <w:spacing w:after="0"/>
              <w:rPr>
                <w:sz w:val="20"/>
                <w:szCs w:val="20"/>
                <w:color w:val="auto"/>
              </w:rPr>
            </w:pPr>
          </w:p>
        </w:tc>
        <w:tc>
          <w:tcPr>
            <w:tcW w:w="1600" w:type="dxa"/>
            <w:vAlign w:val="bottom"/>
            <w:gridSpan w:val="3"/>
            <w:shd w:val="clear" w:color="auto" w:fill="F0FFFF"/>
          </w:tcPr>
          <w:p>
            <w:pPr>
              <w:jc w:val="right"/>
              <w:ind w:right="120"/>
              <w:spacing w:after="0"/>
              <w:rPr>
                <w:sz w:val="20"/>
                <w:szCs w:val="20"/>
                <w:color w:val="auto"/>
              </w:rPr>
            </w:pPr>
            <w:r>
              <w:rPr>
                <w:rFonts w:ascii="Arial" w:cs="Arial" w:eastAsia="Arial" w:hAnsi="Arial"/>
                <w:sz w:val="18"/>
                <w:szCs w:val="18"/>
                <w:color w:val="auto"/>
              </w:rPr>
              <w:t>12,774 (1)</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26,953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Cary Sagady</w:t>
            </w:r>
          </w:p>
        </w:tc>
        <w:tc>
          <w:tcPr>
            <w:tcW w:w="1080" w:type="dxa"/>
            <w:vAlign w:val="bottom"/>
            <w:shd w:val="clear" w:color="auto" w:fill="F0FFFF"/>
          </w:tcPr>
          <w:p>
            <w:pPr>
              <w:spacing w:after="0"/>
              <w:rPr>
                <w:sz w:val="18"/>
                <w:szCs w:val="18"/>
                <w:color w:val="auto"/>
              </w:rPr>
            </w:pPr>
          </w:p>
        </w:tc>
        <w:tc>
          <w:tcPr>
            <w:tcW w:w="1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85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600" w:type="dxa"/>
            <w:vAlign w:val="bottom"/>
            <w:gridSpan w:val="3"/>
            <w:shd w:val="clear" w:color="auto" w:fill="F0FF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Michael Lawlor</w:t>
            </w:r>
          </w:p>
        </w:tc>
        <w:tc>
          <w:tcPr>
            <w:tcW w:w="1080" w:type="dxa"/>
            <w:vAlign w:val="bottom"/>
            <w:shd w:val="clear" w:color="auto" w:fill="F0FFFF"/>
          </w:tcPr>
          <w:p>
            <w:pPr>
              <w:spacing w:after="0"/>
              <w:rPr>
                <w:sz w:val="18"/>
                <w:szCs w:val="18"/>
                <w:color w:val="auto"/>
              </w:rPr>
            </w:pPr>
          </w:p>
        </w:tc>
        <w:tc>
          <w:tcPr>
            <w:tcW w:w="1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85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600" w:type="dxa"/>
            <w:vAlign w:val="bottom"/>
            <w:gridSpan w:val="3"/>
            <w:shd w:val="clear" w:color="auto" w:fill="F0FF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760" w:hanging="752"/>
        <w:spacing w:after="0" w:line="276" w:lineRule="auto"/>
        <w:tabs>
          <w:tab w:leader="none" w:pos="7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Reflects 24,432 shares for Mr. Herbert and 12,774 shares for Mr. DeMedio awarded under the 2014 LTI Stock Plan. Shares vest one-half on June 30, 2015 and one-half on June 30, 2016. The closing market price on June 30, 2014, or $2.11 per share, was used in the calculation of market value. Reflects 23,809 shares granted to Mr. Herbert under a long term incentive plan on September 5, 2012. The shares vest any time prior to September 5, 2015, and at such time the Company’s common stock would close above $2.50 per share for thirty consecutive trading days. The closing market price on June 30, 2014, or $2.11 per share, was used in the calculation of market value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regarding options exercised and shares of common stock acquired upon vesting by our named executive officers during the fiscal year ended June 30,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4"/>
          </w:tcPr>
          <w:p>
            <w:pPr>
              <w:jc w:val="right"/>
              <w:ind w:right="450"/>
              <w:spacing w:after="0"/>
              <w:rPr>
                <w:sz w:val="20"/>
                <w:szCs w:val="20"/>
                <w:color w:val="auto"/>
              </w:rPr>
            </w:pPr>
            <w:r>
              <w:rPr>
                <w:rFonts w:ascii="Arial" w:cs="Arial" w:eastAsia="Arial" w:hAnsi="Arial"/>
                <w:sz w:val="18"/>
                <w:szCs w:val="18"/>
                <w:color w:val="auto"/>
              </w:rPr>
              <w:t>Option Awards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5"/>
          </w:tcPr>
          <w:p>
            <w:pPr>
              <w:ind w:left="660"/>
              <w:spacing w:after="0"/>
              <w:rPr>
                <w:sz w:val="20"/>
                <w:szCs w:val="20"/>
                <w:color w:val="auto"/>
              </w:rPr>
            </w:pPr>
            <w:r>
              <w:rPr>
                <w:rFonts w:ascii="Arial" w:cs="Arial" w:eastAsia="Arial" w:hAnsi="Arial"/>
                <w:sz w:val="18"/>
                <w:szCs w:val="18"/>
                <w:color w:val="auto"/>
              </w:rPr>
              <w:t>Stock Awards</w:t>
            </w:r>
          </w:p>
        </w:tc>
      </w:tr>
      <w:tr>
        <w:trPr>
          <w:trHeight w:val="202"/>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Number of</w:t>
            </w:r>
          </w:p>
        </w:tc>
        <w:tc>
          <w:tcPr>
            <w:tcW w:w="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Borders>
              <w:top w:val="single" w:sz="8" w:color="auto"/>
            </w:tcBorders>
            <w:gridSpan w:val="2"/>
          </w:tcPr>
          <w:p>
            <w:pPr>
              <w:jc w:val="center"/>
              <w:ind w:right="200"/>
              <w:spacing w:after="0" w:line="201" w:lineRule="exact"/>
              <w:rPr>
                <w:sz w:val="20"/>
                <w:szCs w:val="20"/>
                <w:color w:val="auto"/>
              </w:rPr>
            </w:pPr>
            <w:r>
              <w:rPr>
                <w:rFonts w:ascii="Arial" w:cs="Arial" w:eastAsia="Arial" w:hAnsi="Arial"/>
                <w:sz w:val="18"/>
                <w:szCs w:val="18"/>
                <w:color w:val="auto"/>
                <w:w w:val="92"/>
              </w:rPr>
              <w:t>Number of</w:t>
            </w: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Value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Value</w:t>
            </w: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Acquired on</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Realized on</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Acquired on</w:t>
            </w: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Realized on</w:t>
            </w:r>
          </w:p>
        </w:tc>
      </w:tr>
      <w:tr>
        <w:trPr>
          <w:trHeight w:val="237"/>
        </w:trPr>
        <w:tc>
          <w:tcPr>
            <w:tcW w:w="20" w:type="dxa"/>
            <w:vAlign w:val="bottom"/>
          </w:tcPr>
          <w:p>
            <w:pPr>
              <w:spacing w:after="0"/>
              <w:rPr>
                <w:sz w:val="20"/>
                <w:szCs w:val="20"/>
                <w:color w:val="auto"/>
              </w:rPr>
            </w:pPr>
          </w:p>
        </w:tc>
        <w:tc>
          <w:tcPr>
            <w:tcW w:w="17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Exercise (#)</w:t>
            </w:r>
          </w:p>
        </w:tc>
        <w:tc>
          <w:tcPr>
            <w:tcW w:w="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Exercise ($)</w:t>
            </w:r>
          </w:p>
        </w:tc>
        <w:tc>
          <w:tcPr>
            <w:tcW w:w="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Vesting (#)</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Vesting ($)</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8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Stephen P. Herbert (1)</w:t>
            </w:r>
          </w:p>
        </w:tc>
        <w:tc>
          <w:tcPr>
            <w:tcW w:w="980" w:type="dxa"/>
            <w:vAlign w:val="bottom"/>
            <w:shd w:val="clear" w:color="auto" w:fill="F0FFFF"/>
          </w:tcPr>
          <w:p>
            <w:pPr>
              <w:spacing w:after="0"/>
              <w:rPr>
                <w:sz w:val="18"/>
                <w:szCs w:val="18"/>
                <w:color w:val="auto"/>
              </w:rPr>
            </w:pPr>
          </w:p>
        </w:tc>
        <w:tc>
          <w:tcPr>
            <w:tcW w:w="60" w:type="dxa"/>
            <w:vAlign w:val="bottom"/>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180" w:type="dxa"/>
            <w:vAlign w:val="bottom"/>
            <w:gridSpan w:val="2"/>
            <w:shd w:val="clear" w:color="auto" w:fill="F0FFFF"/>
          </w:tcPr>
          <w:p>
            <w:pPr>
              <w:jc w:val="right"/>
              <w:ind w:right="79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w w:val="74"/>
              </w:rPr>
              <w:t>-</w:t>
            </w: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33,334</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59,001</w:t>
            </w:r>
          </w:p>
        </w:tc>
      </w:tr>
      <w:tr>
        <w:trPr>
          <w:trHeight w:val="216"/>
        </w:trPr>
        <w:tc>
          <w:tcPr>
            <w:tcW w:w="2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David M. DeMedio (2)</w:t>
            </w:r>
          </w:p>
        </w:tc>
        <w:tc>
          <w:tcPr>
            <w:tcW w:w="9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1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29,334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52,761</w:t>
            </w:r>
          </w:p>
        </w:tc>
      </w:tr>
      <w:tr>
        <w:trPr>
          <w:trHeight w:val="216"/>
        </w:trPr>
        <w:tc>
          <w:tcPr>
            <w:tcW w:w="20" w:type="dxa"/>
            <w:vAlign w:val="bottom"/>
          </w:tcPr>
          <w:p>
            <w:pPr>
              <w:spacing w:after="0"/>
              <w:rPr>
                <w:sz w:val="18"/>
                <w:szCs w:val="18"/>
                <w:color w:val="auto"/>
              </w:rPr>
            </w:pPr>
          </w:p>
        </w:tc>
        <w:tc>
          <w:tcPr>
            <w:tcW w:w="18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Cary Sagady</w:t>
            </w:r>
          </w:p>
        </w:tc>
        <w:tc>
          <w:tcPr>
            <w:tcW w:w="980" w:type="dxa"/>
            <w:vAlign w:val="bottom"/>
            <w:shd w:val="clear" w:color="auto" w:fill="F0FFFF"/>
          </w:tcPr>
          <w:p>
            <w:pPr>
              <w:spacing w:after="0"/>
              <w:rPr>
                <w:sz w:val="18"/>
                <w:szCs w:val="18"/>
                <w:color w:val="auto"/>
              </w:rPr>
            </w:pPr>
          </w:p>
        </w:tc>
        <w:tc>
          <w:tcPr>
            <w:tcW w:w="60" w:type="dxa"/>
            <w:vAlign w:val="bottom"/>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180" w:type="dxa"/>
            <w:vAlign w:val="bottom"/>
            <w:gridSpan w:val="2"/>
            <w:shd w:val="clear" w:color="auto" w:fill="F0FFFF"/>
          </w:tcPr>
          <w:p>
            <w:pPr>
              <w:jc w:val="right"/>
              <w:ind w:right="79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w w:val="74"/>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Michael Lawlor</w:t>
            </w:r>
          </w:p>
        </w:tc>
        <w:tc>
          <w:tcPr>
            <w:tcW w:w="98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1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bl>
    <w:p>
      <w:pPr>
        <w:sectPr>
          <w:pgSz w:w="11900" w:h="16838" w:orient="portrait"/>
          <w:cols w:equalWidth="0" w:num="1">
            <w:col w:w="11420"/>
          </w:cols>
          <w:pgMar w:left="240" w:top="922" w:right="239" w:bottom="35" w:gutter="0" w:footer="0" w:header="0"/>
        </w:sectPr>
      </w:pPr>
    </w:p>
    <w:bookmarkStart w:id="103" w:name="page104"/>
    <w:bookmarkEnd w:id="103"/>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4" w:name="page105"/>
    <w:bookmarkEnd w:id="104"/>
    <w:p>
      <w:pPr>
        <w:ind w:left="760" w:hanging="752"/>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33,334 shares valued at $1.77 per share that vested on September 27, 2013.</w:t>
      </w:r>
    </w:p>
    <w:p>
      <w:pPr>
        <w:spacing w:after="0" w:line="252" w:lineRule="exact"/>
        <w:rPr>
          <w:rFonts w:ascii="Arial" w:cs="Arial" w:eastAsia="Arial" w:hAnsi="Arial"/>
          <w:sz w:val="18"/>
          <w:szCs w:val="18"/>
          <w:color w:val="auto"/>
        </w:rPr>
      </w:pPr>
    </w:p>
    <w:p>
      <w:pPr>
        <w:ind w:left="760" w:hanging="752"/>
        <w:spacing w:after="0" w:line="277"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8,334 shares valued at $1.77 per share that vested on September 27, 2013 and 21,000 shares valued at $1.81 that vested on November 7,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Stephen P. Herbert</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Mr. Herbert’s employment agreement provides that he has been appointed Chairman and is employed as the Chief Executive Officer. The agreement provided for an initial term continuing through January 1, 2013, which is automatically renewed for consecutive one year periods unless terminated by either Mr. Herbert or the Company upon at least 90 days’ notice prior to the end of the initial term or any one year extension thereof.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David M. DeMedio</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DeMedio’s employment agreement provides that he is employed as the Chief Financial Officer of the Company. The agreement provided for an initial term from June 30, 2011 until June 30, 2014, and will automatically continue from year to year thereafter unless terminated as of the end of the original term or any such one year renewal period by the Company or Mr. DeMedio by at least 90-days’ notice. During November 2013, the Company and Mr. DeMedio entered into an amendment to his employment agreement which contained certain provisions which are described below in this Form 10-K under the section titled “Potential Payments Upon Termination Or Change of Control”.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Cary Sagady</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Mr. Sagady’s employment agreement provided that he was employed as Senior Vice President, Product Development. During April 2013, Mr. Sagady provided notice of termination of his employment agreement, and his employment agreement expired on June 30, 2013. Subsequent to that date, Mr. Sagady has continued to serve as an employee of the Company with the same title and compensation as provided prior to the expiration.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Sagady is eligible to earn an annual discretionary bonus in the maximum amount of 60% of his annual base salary based upon the Company’s and/or his performance. Mr. Sagady is also covered by all standard fringe and employee benefits made available to other employees of the Company, including medical and dental insurance, paid vacation and holidays, a 401(k) plan and a long-term disability plan.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Michael Lawlor</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Lawlor’s employment agreement provides that he is employed as Senior Vice President, Sales and Business Development through June 30, 2013. Mr. Lawlor’s employment with the Company shall automatically continue for consecutive one-year periods unless terminated by either party upon notice of at least 60 days prior to the end of each one-year extension.</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Mr. Lawlor is eligible to earn an annual discretionary bonus in the maximum amount of 100% of his annual base salary based upon the Company’s and/or his performance. Mr. Lawlor is also entitled to be covered by all standard fringe and employee benefits made available to other employees of the Company, including medical and dental insurance, paid vacation and holidays, a 401(k) plan and a long-term disability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employment agreements of our executive officers include provisions for the payment to the executives upon termination of employment under certain conditions or if a successor to the Company’s business or assets does not agree to assume and perform his employment agreement as a condition to the consummation of a USA Transaction.</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“USA Transaction” means: (i) the acquisition of fifty-one percent or more of the then outstanding voting securities entitled to vote generally in the election of directors of the Company by any person, entity or group, or (ii) the approval by the shareholders of the Company of a reorganization, merger, consolidation, liquidation, or dissolution of the Company, or the sale, transfer, lease or other disposition of all or substantially all of the assets of the Company, or (iii) a change in the composition of the Board of Directors of the Company over a period of twelve (12) months or less such that the continuing directors fail to constitute a majority of the Board.</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Herbert’s employment agreement provides that if Mr. Herbert would terminate his employment with the Company for good reason, or if the Company would terminate his employment without cause, or if the Company would provide Mr. Herbert with a notice of non-renewal of his employment agreement, then the Company would pay to him a lump sum equal to two times his base salary on or before the termination of his employment and all restricted stock awards and stock options would become vested as of the date of termination.</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term “good reason,” as defined in the agreement, includes: (A) a material breach of the terms of the agreement by the Company; (B) the assignment by the Company to Mr. Herbert of duties in any way materially inconsistent with his authorities, duties, or responsibilities, or a material reduction or alteration in the nature or status of his authority, duties, or responsibilities as the Chief Executive Officer of the Company; (C) the Company reduces Mr. Herbert’s annual base salary; or (D) a material reduction by the Company in the kind or level of employee benefits to which Mr. Herbert is entitled immediately prior to such reduction with the result that his overall benefit package is significantly reduced unless such failure to continue a plan, policy, practice or arrangement pertains to all plan participants generally. As a condition to Mr. Herbert receiving any payments or benefits upon the termination of his employment for good reason, Mr. Herbert shall have executed and delivered (and not revoked) a release of any and all claims, suits, or causes of action against the Company and its affiliates in form reasonably acceptable to the Company.</w:t>
      </w:r>
    </w:p>
    <w:p>
      <w:pPr>
        <w:spacing w:after="0" w:line="20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agreement also provides that as a condition of the consummation of a USA Transaction, the successor to the Company’s business or assets would agree to assume and perform Mr. Herbert’s employment agreement. If any such successor would not do so, Mr. Herbert’s employment would terminate on the date of</w:t>
      </w:r>
    </w:p>
    <w:p>
      <w:pPr>
        <w:sectPr>
          <w:pgSz w:w="11900" w:h="16838" w:orient="portrait"/>
          <w:cols w:equalWidth="0" w:num="1">
            <w:col w:w="11420"/>
          </w:cols>
          <w:pgMar w:left="240" w:top="922" w:right="239" w:bottom="0" w:gutter="0" w:footer="0" w:header="0"/>
        </w:sectPr>
      </w:pPr>
    </w:p>
    <w:bookmarkStart w:id="105" w:name="page106"/>
    <w:bookmarkEnd w:id="105"/>
    <w:p>
      <w:pPr>
        <w:jc w:val="both"/>
        <w:ind w:right="20"/>
        <w:spacing w:after="0" w:line="277" w:lineRule="auto"/>
        <w:rPr>
          <w:sz w:val="20"/>
          <w:szCs w:val="20"/>
          <w:color w:val="auto"/>
        </w:rPr>
      </w:pPr>
      <w:r>
        <w:rPr>
          <w:rFonts w:ascii="Arial" w:cs="Arial" w:eastAsia="Arial" w:hAnsi="Arial"/>
          <w:sz w:val="18"/>
          <w:szCs w:val="18"/>
          <w:color w:val="auto"/>
        </w:rPr>
        <w:t>consummation of the USA Transaction, and the Company would pay to Mr. Herbert a lump sum equal to two times his base salary on or before the termination of his employment and all restricted stock awards and stock options would become vested as of the date of termination.</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Mr. Herbert’s employment had been terminated as of June 30, 2014 (when the closing price per share was $2.11) (i) by him for good reason, or (ii) by the Company without cause, or (iii) if a successor to the Company’s business or assets had not agreed to assume and perform his employment agreement as a condition to the consummation of a USA Transaction, then Mr. Herbert would have been entitled to receive: (a) an aggregate cash payment of twice his annual base salary or $682,454; (b) an aggregate of 24,432 shares granted to him under the 2014 LTI Stock Plan, which would become automatically vested as of the date of termination, with a value of $51,552; and (c) an aggregate of 23,809 shares previously granted to him during September 2012, which would automatically become vested as of the date of termination, with a value of $50,237.</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6" w:name="page107"/>
    <w:bookmarkEnd w:id="106"/>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November 2013 amendment to Mr. DeMedio’s employment agreement provides that (i) if following a USA Transaction, Mr. DeMedio would terminate his employment with the Company for good reason, or (ii) if the Company would terminate his employment at any time without cause, or (iii) if the Company would provide Mr. DeMedio with a notice of non-renewal of his employment agreement, then the Company would pay to him a lump sum equal to one times his base salary on or before the termination of his employment and all restricted stock awards and stock options would become vested as of the date of termination.</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term “good reason” as defined in the amendment includes any of the following which have occurred within 12 months following a USA Transaction: (A) a material breach of the terms of the agreement by the Company; (B) the assignment by the Company to Mr. DeMedio of duties in any way materially inconsistent with his authorities, duties, or responsibilities and status as Chief Financial Officer, or a material reduction or alteration in the nature or status of his authority, duties, or responsibilities as Chief Financial Officer; (C) the Company reduces Mr. DeMedio’s annual base salary; or (D) a reduction by the Company in the kind or level of employee benefits to which Mr. DeMedio is entitled immediately prior to such reduction with the result that his overall benefit package is significantly reduced unless such failure to continue a plan, policy, practice or arrangement pertains to all plan participants generally. As a condition to Mr. DeMedio receiving any payments or benefits upon the termination of his employment for good reason, Mr. DeMedio shall have executed and delivered (and not revoked) a release of any and all claims, suits, or causes of action against the Company and its affiliates in form reasonably acceptable to the Company.</w:t>
      </w:r>
    </w:p>
    <w:p>
      <w:pPr>
        <w:spacing w:after="0" w:line="22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amendment also provides that as a condition of the consummation of a USA Transaction, the successor to the Company’s business or assets would agree to assume and perform Mr. DeMedio’s employment agreement. If any such successor would not do so, Mr. DeMedio’s employment would terminate on the date of consummation of the change in control, and the Company would pay to Mr. DeMedio a lump sum equal to one times his base salary and all restricted stock awards and stock options would become vested.</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Mr. DeMedio’s employment had been so terminated as of June 30, 2014 (when the closing price per share was $2.11), then Mr. DeMedio would have been entitled to receive: (a) an aggregate cash payment of one times his annual base salary or $234,265; and (b) an aggregate of 12,774 shares granted to him under the 2014 LTI Stock Plan, which would become automatically vested as of the date of termination, with a value of $26,953.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Committee Interlocks And Insider Participation</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fiscal year 2014, Albin F. Moschner, Frank A. Petito, III, and Steven D. Barnhart served at various times as members of the Compensation Committee of our Board of Directors. No member of the Compensation Committee was, during fiscal year 2014, an officer or employee of the Company or any of our subsidiaries, or was formerly an officer of the Company or any of our subsidiaries, or had any relationships requiring disclosure by us under Item 404 of Regulation S-K of the General Rules and Regulations of the Securities and Exchange Commission.</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last fiscal year, none of our executive officers served as: (i) a member of the compensation committee (or other committee of the board of directors performing equivalent functions or, in the absence of any such committee, the entire board of directors) of another entity, one of whose executive officers served on our Compensation Committee; (ii) a director of another entity, one of whose executive officers served on our Compensation Committee; or (iii) a member of the compensation committee (or other committee of the board of directors performing equivalent functions or, in the absence of any such committee, the entire board of directors) of another entity, one of whose executive officers served as a director on our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Committee Report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has reviewed and discussed the Compensation Discussion and Analysis included in this Form 10-K with the Company’s management. Based upon such review and the related discussions, the Compensation Committee has recommended to the Board of Directors that the Compensation Discussion and Analysis be included in this Form 10-K.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Albin F. Moschner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D. Barnhart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Non-Employee Directors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Members of the Board of Directors who are not employees of the Company receive cash and equity compensation for serving on the Board of Directors, as determined from time to time by the Compensation Committee with subsequent approval thereof by the Board of Directors. Each member of the Board has the option, in his or her discretion, to receive cash or stock, or some combination thereof, in payment of the compensation due for his or her service on the Board.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Table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compensation earned or paid in cash by the Company to non-employee Directors during the fiscal year ended June 30, 2014.</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Fees Earned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Option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or Paid in</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Awards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50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Cash($)(2)</w:t>
            </w:r>
          </w:p>
        </w:tc>
        <w:tc>
          <w:tcPr>
            <w:tcW w:w="1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Awards ($)</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5"/>
              </w:rPr>
              <w:t>($)(3)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F0FFFF"/>
          </w:tcPr>
          <w:p>
            <w:pPr>
              <w:spacing w:after="0"/>
              <w:rPr>
                <w:sz w:val="20"/>
                <w:szCs w:val="20"/>
                <w:color w:val="auto"/>
              </w:rPr>
            </w:pPr>
            <w:r>
              <w:rPr>
                <w:rFonts w:ascii="Arial" w:cs="Arial" w:eastAsia="Arial" w:hAnsi="Arial"/>
                <w:sz w:val="18"/>
                <w:szCs w:val="18"/>
                <w:color w:val="auto"/>
              </w:rPr>
              <w:t>Deborah G. Arnold</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30,000</w:t>
            </w:r>
          </w:p>
        </w:tc>
        <w:tc>
          <w:tcPr>
            <w:tcW w:w="1040" w:type="dxa"/>
            <w:vAlign w:val="bottom"/>
            <w:shd w:val="clear" w:color="auto" w:fill="F0FFFF"/>
          </w:tcPr>
          <w:p>
            <w:pPr>
              <w:jc w:val="right"/>
              <w:ind w:right="850"/>
              <w:spacing w:after="0"/>
              <w:rPr>
                <w:sz w:val="20"/>
                <w:szCs w:val="20"/>
                <w:color w:val="auto"/>
              </w:rPr>
            </w:pPr>
            <w:r>
              <w:rPr>
                <w:rFonts w:ascii="Arial" w:cs="Arial" w:eastAsia="Arial" w:hAnsi="Arial"/>
                <w:sz w:val="18"/>
                <w:szCs w:val="18"/>
                <w:color w:val="auto"/>
                <w:w w:val="79"/>
              </w:rPr>
              <w:t>$</w:t>
            </w:r>
          </w:p>
        </w:tc>
        <w:tc>
          <w:tcPr>
            <w:tcW w:w="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29,800</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59,800</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Steven D. Barnhart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70,000</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29,800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99,800</w:t>
            </w:r>
          </w:p>
        </w:tc>
      </w:tr>
      <w:tr>
        <w:trPr>
          <w:trHeight w:val="216"/>
        </w:trPr>
        <w:tc>
          <w:tcPr>
            <w:tcW w:w="20" w:type="dxa"/>
            <w:vAlign w:val="bottom"/>
          </w:tcPr>
          <w:p>
            <w:pPr>
              <w:spacing w:after="0"/>
              <w:rPr>
                <w:sz w:val="18"/>
                <w:szCs w:val="18"/>
                <w:color w:val="auto"/>
              </w:rPr>
            </w:pPr>
          </w:p>
        </w:tc>
        <w:tc>
          <w:tcPr>
            <w:tcW w:w="2500" w:type="dxa"/>
            <w:vAlign w:val="bottom"/>
            <w:shd w:val="clear" w:color="auto" w:fill="F0FFFF"/>
          </w:tcPr>
          <w:p>
            <w:pPr>
              <w:spacing w:after="0"/>
              <w:rPr>
                <w:sz w:val="20"/>
                <w:szCs w:val="20"/>
                <w:color w:val="auto"/>
              </w:rPr>
            </w:pPr>
            <w:r>
              <w:rPr>
                <w:rFonts w:ascii="Arial" w:cs="Arial" w:eastAsia="Arial" w:hAnsi="Arial"/>
                <w:sz w:val="18"/>
                <w:szCs w:val="18"/>
                <w:color w:val="auto"/>
              </w:rPr>
              <w:t>Joel Brooks</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30,000</w:t>
            </w:r>
          </w:p>
        </w:tc>
        <w:tc>
          <w:tcPr>
            <w:tcW w:w="1040" w:type="dxa"/>
            <w:vAlign w:val="bottom"/>
            <w:shd w:val="clear" w:color="auto" w:fill="F0FFFF"/>
          </w:tcPr>
          <w:p>
            <w:pPr>
              <w:jc w:val="right"/>
              <w:ind w:right="850"/>
              <w:spacing w:after="0"/>
              <w:rPr>
                <w:sz w:val="20"/>
                <w:szCs w:val="20"/>
                <w:color w:val="auto"/>
              </w:rPr>
            </w:pPr>
            <w:r>
              <w:rPr>
                <w:rFonts w:ascii="Arial" w:cs="Arial" w:eastAsia="Arial" w:hAnsi="Arial"/>
                <w:sz w:val="18"/>
                <w:szCs w:val="18"/>
                <w:color w:val="auto"/>
                <w:w w:val="79"/>
              </w:rPr>
              <w:t>$</w:t>
            </w:r>
          </w:p>
        </w:tc>
        <w:tc>
          <w:tcPr>
            <w:tcW w:w="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29,800</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59,800</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Albin F. Moschner</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30,000</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29,800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59,800</w:t>
            </w:r>
          </w:p>
        </w:tc>
      </w:tr>
      <w:tr>
        <w:trPr>
          <w:trHeight w:val="216"/>
        </w:trPr>
        <w:tc>
          <w:tcPr>
            <w:tcW w:w="20" w:type="dxa"/>
            <w:vAlign w:val="bottom"/>
          </w:tcPr>
          <w:p>
            <w:pPr>
              <w:spacing w:after="0"/>
              <w:rPr>
                <w:sz w:val="18"/>
                <w:szCs w:val="18"/>
                <w:color w:val="auto"/>
              </w:rPr>
            </w:pPr>
          </w:p>
        </w:tc>
        <w:tc>
          <w:tcPr>
            <w:tcW w:w="2500" w:type="dxa"/>
            <w:vAlign w:val="bottom"/>
            <w:shd w:val="clear" w:color="auto" w:fill="F0FFFF"/>
          </w:tcPr>
          <w:p>
            <w:pPr>
              <w:spacing w:after="0"/>
              <w:rPr>
                <w:sz w:val="20"/>
                <w:szCs w:val="20"/>
                <w:color w:val="auto"/>
              </w:rPr>
            </w:pPr>
            <w:r>
              <w:rPr>
                <w:rFonts w:ascii="Arial" w:cs="Arial" w:eastAsia="Arial" w:hAnsi="Arial"/>
                <w:sz w:val="18"/>
                <w:szCs w:val="18"/>
                <w:color w:val="auto"/>
              </w:rPr>
              <w:t>Frank A. Petito, III (1)</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20,000</w:t>
            </w:r>
          </w:p>
        </w:tc>
        <w:tc>
          <w:tcPr>
            <w:tcW w:w="1040" w:type="dxa"/>
            <w:vAlign w:val="bottom"/>
            <w:shd w:val="clear" w:color="auto" w:fill="F0FFFF"/>
          </w:tcPr>
          <w:p>
            <w:pPr>
              <w:jc w:val="right"/>
              <w:ind w:right="850"/>
              <w:spacing w:after="0"/>
              <w:rPr>
                <w:sz w:val="20"/>
                <w:szCs w:val="20"/>
                <w:color w:val="auto"/>
              </w:rPr>
            </w:pPr>
            <w:r>
              <w:rPr>
                <w:rFonts w:ascii="Arial" w:cs="Arial" w:eastAsia="Arial" w:hAnsi="Arial"/>
                <w:sz w:val="18"/>
                <w:szCs w:val="18"/>
                <w:color w:val="auto"/>
                <w:w w:val="79"/>
              </w:rPr>
              <w:t>$</w:t>
            </w:r>
          </w:p>
        </w:tc>
        <w:tc>
          <w:tcPr>
            <w:tcW w:w="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Jack E. Price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30,000</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r>
      <w:tr>
        <w:trPr>
          <w:trHeight w:val="216"/>
        </w:trPr>
        <w:tc>
          <w:tcPr>
            <w:tcW w:w="20" w:type="dxa"/>
            <w:vAlign w:val="bottom"/>
          </w:tcPr>
          <w:p>
            <w:pPr>
              <w:spacing w:after="0"/>
              <w:rPr>
                <w:sz w:val="18"/>
                <w:szCs w:val="18"/>
                <w:color w:val="auto"/>
              </w:rPr>
            </w:pPr>
          </w:p>
        </w:tc>
        <w:tc>
          <w:tcPr>
            <w:tcW w:w="2500" w:type="dxa"/>
            <w:vAlign w:val="bottom"/>
            <w:shd w:val="clear" w:color="auto" w:fill="F0FFFF"/>
          </w:tcPr>
          <w:p>
            <w:pPr>
              <w:spacing w:after="0"/>
              <w:rPr>
                <w:sz w:val="20"/>
                <w:szCs w:val="20"/>
                <w:color w:val="auto"/>
              </w:rPr>
            </w:pPr>
            <w:r>
              <w:rPr>
                <w:rFonts w:ascii="Arial" w:cs="Arial" w:eastAsia="Arial" w:hAnsi="Arial"/>
                <w:sz w:val="18"/>
                <w:szCs w:val="18"/>
                <w:color w:val="auto"/>
              </w:rPr>
              <w:t>William J. Reilly, Jr.</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40,000</w:t>
            </w:r>
          </w:p>
        </w:tc>
        <w:tc>
          <w:tcPr>
            <w:tcW w:w="1040" w:type="dxa"/>
            <w:vAlign w:val="bottom"/>
            <w:shd w:val="clear" w:color="auto" w:fill="F0FFFF"/>
          </w:tcPr>
          <w:p>
            <w:pPr>
              <w:jc w:val="right"/>
              <w:ind w:right="850"/>
              <w:spacing w:after="0"/>
              <w:rPr>
                <w:sz w:val="20"/>
                <w:szCs w:val="20"/>
                <w:color w:val="auto"/>
              </w:rPr>
            </w:pPr>
            <w:r>
              <w:rPr>
                <w:rFonts w:ascii="Arial" w:cs="Arial" w:eastAsia="Arial" w:hAnsi="Arial"/>
                <w:sz w:val="18"/>
                <w:szCs w:val="18"/>
                <w:color w:val="auto"/>
                <w:w w:val="79"/>
              </w:rPr>
              <w:t>$</w:t>
            </w:r>
          </w:p>
        </w:tc>
        <w:tc>
          <w:tcPr>
            <w:tcW w:w="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29,800</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69,800</w:t>
            </w: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William J. Schoch</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30,000</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29,800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59,800</w:t>
            </w:r>
          </w:p>
        </w:tc>
      </w:tr>
    </w:tbl>
    <w:p>
      <w:pPr>
        <w:sectPr>
          <w:pgSz w:w="11900" w:h="16925" w:orient="portrait"/>
          <w:cols w:equalWidth="0" w:num="1">
            <w:col w:w="11420"/>
          </w:cols>
          <w:pgMar w:left="240" w:top="922" w:right="239" w:bottom="0" w:gutter="0" w:footer="0" w:header="0"/>
        </w:sectPr>
      </w:pPr>
    </w:p>
    <w:bookmarkStart w:id="107" w:name="page108"/>
    <w:bookmarkEnd w:id="107"/>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08" w:name="page109"/>
    <w:bookmarkEnd w:id="108"/>
    <w:p>
      <w:pPr>
        <w:ind w:left="760" w:hanging="752"/>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Resigned as a director effective February 27, 2014.</w:t>
      </w:r>
    </w:p>
    <w:p>
      <w:pPr>
        <w:spacing w:after="0" w:line="252" w:lineRule="exact"/>
        <w:rPr>
          <w:rFonts w:ascii="Arial" w:cs="Arial" w:eastAsia="Arial" w:hAnsi="Arial"/>
          <w:sz w:val="18"/>
          <w:szCs w:val="18"/>
          <w:color w:val="auto"/>
        </w:rPr>
      </w:pPr>
    </w:p>
    <w:p>
      <w:pPr>
        <w:ind w:left="760" w:hanging="752"/>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fiscal year ended June 30, 2014, we paid the following fees:</w:t>
      </w:r>
    </w:p>
    <w:p>
      <w:pPr>
        <w:spacing w:after="0" w:line="252" w:lineRule="exact"/>
        <w:rPr>
          <w:rFonts w:ascii="Arial" w:cs="Arial" w:eastAsia="Arial" w:hAnsi="Arial"/>
          <w:sz w:val="18"/>
          <w:szCs w:val="18"/>
          <w:color w:val="auto"/>
        </w:rPr>
      </w:pPr>
    </w:p>
    <w:p>
      <w:pPr>
        <w:ind w:left="1500" w:hanging="358"/>
        <w:spacing w:after="0"/>
        <w:tabs>
          <w:tab w:leader="none" w:pos="15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Director: each Director received $20,000. Mr. Petito received $13,333.</w:t>
      </w:r>
    </w:p>
    <w:p>
      <w:pPr>
        <w:spacing w:after="0" w:line="252" w:lineRule="exact"/>
        <w:rPr>
          <w:rFonts w:ascii="Arial" w:cs="Arial" w:eastAsia="Arial" w:hAnsi="Arial"/>
          <w:sz w:val="18"/>
          <w:szCs w:val="18"/>
          <w:color w:val="auto"/>
        </w:rPr>
      </w:pPr>
    </w:p>
    <w:p>
      <w:pPr>
        <w:ind w:left="1500" w:hanging="358"/>
        <w:spacing w:after="0"/>
        <w:tabs>
          <w:tab w:leader="none" w:pos="15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Lead Independent Director: Mr. Barnhart received $40,000.</w:t>
      </w:r>
    </w:p>
    <w:p>
      <w:pPr>
        <w:spacing w:after="0" w:line="252" w:lineRule="exact"/>
        <w:rPr>
          <w:rFonts w:ascii="Arial" w:cs="Arial" w:eastAsia="Arial" w:hAnsi="Arial"/>
          <w:sz w:val="18"/>
          <w:szCs w:val="18"/>
          <w:color w:val="auto"/>
        </w:rPr>
      </w:pPr>
    </w:p>
    <w:p>
      <w:pPr>
        <w:ind w:left="1500" w:hanging="358"/>
        <w:spacing w:after="0"/>
        <w:tabs>
          <w:tab w:leader="none" w:pos="15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Audit Committee: each of Messrs. Brooks, Price and Reilly received $10,000.</w:t>
      </w:r>
    </w:p>
    <w:p>
      <w:pPr>
        <w:spacing w:after="0" w:line="252" w:lineRule="exact"/>
        <w:rPr>
          <w:rFonts w:ascii="Arial" w:cs="Arial" w:eastAsia="Arial" w:hAnsi="Arial"/>
          <w:sz w:val="18"/>
          <w:szCs w:val="18"/>
          <w:color w:val="auto"/>
        </w:rPr>
      </w:pPr>
    </w:p>
    <w:p>
      <w:pPr>
        <w:ind w:left="1500" w:hanging="358"/>
        <w:spacing w:after="0"/>
        <w:tabs>
          <w:tab w:leader="none" w:pos="15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Compensation Committee: each of Messrs. Barnhart and Moschner received $10,000. Mr. Petito received $6,667.</w:t>
      </w:r>
    </w:p>
    <w:p>
      <w:pPr>
        <w:spacing w:after="0" w:line="252" w:lineRule="exact"/>
        <w:rPr>
          <w:rFonts w:ascii="Arial" w:cs="Arial" w:eastAsia="Arial" w:hAnsi="Arial"/>
          <w:sz w:val="18"/>
          <w:szCs w:val="18"/>
          <w:color w:val="auto"/>
        </w:rPr>
      </w:pPr>
    </w:p>
    <w:p>
      <w:pPr>
        <w:ind w:left="1500" w:hanging="358"/>
        <w:spacing w:after="0"/>
        <w:tabs>
          <w:tab w:leader="none" w:pos="15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Nominating and Corporate Governance Committee: each of Ms. Arnold, Messrs. Reilly and Schoch received $10,000.</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fiscal year ended June 30, 2014, the following directors elected to receive their fees, or a portion thereof, in the Company’s Common Stock in lieu of cash:</w:t>
      </w:r>
    </w:p>
    <w:p>
      <w:pPr>
        <w:spacing w:after="0" w:line="197" w:lineRule="exact"/>
        <w:rPr>
          <w:sz w:val="20"/>
          <w:szCs w:val="20"/>
          <w:color w:val="auto"/>
        </w:rPr>
      </w:pPr>
    </w:p>
    <w:p>
      <w:pPr>
        <w:jc w:val="both"/>
        <w:ind w:left="1500" w:hanging="358"/>
        <w:spacing w:after="0" w:line="264" w:lineRule="auto"/>
        <w:tabs>
          <w:tab w:leader="none" w:pos="15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Ms. Arnold and Messrs. Moschner and Schoch each elected to receive 15,980 shares for $30,000 of fees; Mr. Barnhart elected to receive 37,287 shares for $70,000 of fees; Mr. Petito elected to receive 11,217 shares for $20,000 of fees; and Mr. Reilly elected to receive 16,475 shares for $30,000 of fees.</w:t>
      </w:r>
    </w:p>
    <w:p>
      <w:pPr>
        <w:spacing w:after="0" w:line="208" w:lineRule="exact"/>
        <w:rPr>
          <w:rFonts w:ascii="Arial" w:cs="Arial" w:eastAsia="Arial" w:hAnsi="Arial"/>
          <w:sz w:val="18"/>
          <w:szCs w:val="18"/>
          <w:color w:val="auto"/>
        </w:rPr>
      </w:pPr>
    </w:p>
    <w:p>
      <w:pPr>
        <w:jc w:val="both"/>
        <w:ind w:left="760" w:hanging="752"/>
        <w:spacing w:after="0" w:line="259"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fair value of options granted to each non-employee director on June 19, 2014 pursuant to our 2014 Incentive Stock Option Plan computed in accordance with FASB ASC Topic 718. Each non-employee director was granted options to purchase up to 20,000 shares of Common Stock which vest as follows: one-third on the first anniversary of the grant date; one-third on the second anniversary of the grant date; and one-third on the third anniversary of the grant date.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sets forth, as of September 5, 2014, the beneficial ownership of the common stock of each of the Company’s directors and executive officers, the other employees named in the Summary Compensation Table set forth above, as well as by the Company’s directors and executive officers as a group. The Company is not aware of any beneficial owner of more than five percent of the common stock. Except as otherwise indicated, the Company believes that the beneficial owners of the common stock listed below, based on information furnished by such owners, have sole investment and voting power with respect to such shares, subject to community property laws where applicable: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Number of Shares of</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Common Stock</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00" w:type="dxa"/>
            <w:vAlign w:val="bottom"/>
            <w:vMerge w:val="restart"/>
          </w:tcPr>
          <w:p>
            <w:pPr>
              <w:spacing w:after="0"/>
              <w:rPr>
                <w:sz w:val="18"/>
                <w:szCs w:val="18"/>
                <w:color w:val="auto"/>
              </w:rPr>
            </w:pPr>
          </w:p>
        </w:tc>
        <w:tc>
          <w:tcPr>
            <w:tcW w:w="4980" w:type="dxa"/>
            <w:vAlign w:val="bottom"/>
            <w:vMerge w:val="restart"/>
          </w:tcPr>
          <w:p>
            <w:pPr>
              <w:spacing w:after="0"/>
              <w:rPr>
                <w:sz w:val="20"/>
                <w:szCs w:val="20"/>
                <w:color w:val="auto"/>
              </w:rPr>
            </w:pPr>
            <w:r>
              <w:rPr>
                <w:rFonts w:ascii="Arial" w:cs="Arial" w:eastAsia="Arial" w:hAnsi="Arial"/>
                <w:sz w:val="18"/>
                <w:szCs w:val="18"/>
                <w:color w:val="auto"/>
              </w:rPr>
              <w:t>Name and Address of Beneficial Owner(1)</w:t>
            </w:r>
          </w:p>
        </w:tc>
        <w:tc>
          <w:tcPr>
            <w:tcW w:w="16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Beneficially</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Percent of</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498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Owned(2)</w:t>
            </w:r>
          </w:p>
        </w:tc>
        <w:tc>
          <w:tcPr>
            <w:tcW w:w="280" w:type="dxa"/>
            <w:vAlign w:val="bottom"/>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Class</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9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Deborah G. Arnold</w:t>
            </w:r>
          </w:p>
        </w:tc>
        <w:tc>
          <w:tcPr>
            <w:tcW w:w="1940" w:type="dxa"/>
            <w:vAlign w:val="bottom"/>
            <w:gridSpan w:val="3"/>
            <w:shd w:val="clear" w:color="auto" w:fill="F0FFFF"/>
          </w:tcPr>
          <w:p>
            <w:pPr>
              <w:jc w:val="right"/>
              <w:ind w:right="280"/>
              <w:spacing w:after="0" w:line="201" w:lineRule="exact"/>
              <w:rPr>
                <w:sz w:val="20"/>
                <w:szCs w:val="20"/>
                <w:color w:val="auto"/>
              </w:rPr>
            </w:pPr>
            <w:r>
              <w:rPr>
                <w:rFonts w:ascii="Arial" w:cs="Arial" w:eastAsia="Arial" w:hAnsi="Arial"/>
                <w:sz w:val="18"/>
                <w:szCs w:val="18"/>
                <w:color w:val="auto"/>
              </w:rPr>
              <w:t>43,416</w:t>
            </w:r>
          </w:p>
        </w:tc>
        <w:tc>
          <w:tcPr>
            <w:tcW w:w="1060" w:type="dxa"/>
            <w:vAlign w:val="bottom"/>
            <w:shd w:val="clear" w:color="auto" w:fill="F0FFFF"/>
          </w:tcPr>
          <w:p>
            <w:pPr>
              <w:jc w:val="right"/>
              <w:ind w:right="37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9704 Clos du Lac Circle</w:t>
            </w:r>
          </w:p>
        </w:tc>
        <w:tc>
          <w:tcPr>
            <w:tcW w:w="160" w:type="dxa"/>
            <w:vAlign w:val="bottom"/>
            <w:shd w:val="clear" w:color="auto" w:fill="F0FFFF"/>
          </w:tcPr>
          <w:p>
            <w:pPr>
              <w:spacing w:after="0"/>
              <w:rPr>
                <w:sz w:val="18"/>
                <w:szCs w:val="18"/>
                <w:color w:val="auto"/>
              </w:rPr>
            </w:pPr>
          </w:p>
        </w:tc>
        <w:tc>
          <w:tcPr>
            <w:tcW w:w="15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Loomis, California 95630</w:t>
            </w:r>
          </w:p>
        </w:tc>
        <w:tc>
          <w:tcPr>
            <w:tcW w:w="160" w:type="dxa"/>
            <w:vAlign w:val="bottom"/>
            <w:shd w:val="clear" w:color="auto" w:fill="F0FFFF"/>
          </w:tcPr>
          <w:p>
            <w:pPr>
              <w:spacing w:after="0"/>
              <w:rPr>
                <w:sz w:val="20"/>
                <w:szCs w:val="20"/>
                <w:color w:val="auto"/>
              </w:rPr>
            </w:pPr>
          </w:p>
        </w:tc>
        <w:tc>
          <w:tcPr>
            <w:tcW w:w="150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106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Arial" w:cs="Arial" w:eastAsia="Arial" w:hAnsi="Arial"/>
                <w:sz w:val="18"/>
                <w:szCs w:val="18"/>
                <w:color w:val="auto"/>
              </w:rPr>
              <w:t>Steven D. Barnhart</w:t>
            </w:r>
          </w:p>
        </w:tc>
        <w:tc>
          <w:tcPr>
            <w:tcW w:w="1940" w:type="dxa"/>
            <w:vAlign w:val="bottom"/>
            <w:gridSpan w:val="3"/>
          </w:tcPr>
          <w:p>
            <w:pPr>
              <w:jc w:val="right"/>
              <w:ind w:right="280"/>
              <w:spacing w:after="0" w:line="201" w:lineRule="exact"/>
              <w:rPr>
                <w:sz w:val="20"/>
                <w:szCs w:val="20"/>
                <w:color w:val="auto"/>
              </w:rPr>
            </w:pPr>
            <w:r>
              <w:rPr>
                <w:rFonts w:ascii="Arial" w:cs="Arial" w:eastAsia="Arial" w:hAnsi="Arial"/>
                <w:sz w:val="18"/>
                <w:szCs w:val="18"/>
                <w:color w:val="auto"/>
              </w:rPr>
              <w:t>240,197</w:t>
            </w:r>
          </w:p>
        </w:tc>
        <w:tc>
          <w:tcPr>
            <w:tcW w:w="1060" w:type="dxa"/>
            <w:vAlign w:val="bottom"/>
          </w:tcPr>
          <w:p>
            <w:pPr>
              <w:jc w:val="right"/>
              <w:ind w:right="37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280" w:type="dxa"/>
            <w:vAlign w:val="bottom"/>
            <w:gridSpan w:val="2"/>
          </w:tcPr>
          <w:p>
            <w:pPr>
              <w:ind w:left="1300"/>
              <w:spacing w:after="0"/>
              <w:rPr>
                <w:sz w:val="20"/>
                <w:szCs w:val="20"/>
                <w:color w:val="auto"/>
              </w:rPr>
            </w:pPr>
            <w:r>
              <w:rPr>
                <w:rFonts w:ascii="Arial" w:cs="Arial" w:eastAsia="Arial" w:hAnsi="Arial"/>
                <w:sz w:val="18"/>
                <w:szCs w:val="18"/>
                <w:color w:val="auto"/>
              </w:rPr>
              <w:t>1 W. Onwentsia Road</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6280" w:type="dxa"/>
            <w:vAlign w:val="bottom"/>
            <w:gridSpan w:val="2"/>
          </w:tcPr>
          <w:p>
            <w:pPr>
              <w:ind w:left="1300"/>
              <w:spacing w:after="0"/>
              <w:rPr>
                <w:sz w:val="20"/>
                <w:szCs w:val="20"/>
                <w:color w:val="auto"/>
              </w:rPr>
            </w:pPr>
            <w:r>
              <w:rPr>
                <w:rFonts w:ascii="Arial" w:cs="Arial" w:eastAsia="Arial" w:hAnsi="Arial"/>
                <w:sz w:val="18"/>
                <w:szCs w:val="18"/>
                <w:color w:val="auto"/>
              </w:rPr>
              <w:t>Lake Forest, Illinois 60045</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9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Joel Brooks</w:t>
            </w:r>
          </w:p>
        </w:tc>
        <w:tc>
          <w:tcPr>
            <w:tcW w:w="1940" w:type="dxa"/>
            <w:vAlign w:val="bottom"/>
            <w:gridSpan w:val="3"/>
            <w:shd w:val="clear" w:color="auto" w:fill="F0FFFF"/>
          </w:tcPr>
          <w:p>
            <w:pPr>
              <w:jc w:val="right"/>
              <w:ind w:right="280"/>
              <w:spacing w:after="0" w:line="201" w:lineRule="exact"/>
              <w:rPr>
                <w:sz w:val="20"/>
                <w:szCs w:val="20"/>
                <w:color w:val="auto"/>
              </w:rPr>
            </w:pPr>
            <w:r>
              <w:rPr>
                <w:rFonts w:ascii="Arial" w:cs="Arial" w:eastAsia="Arial" w:hAnsi="Arial"/>
                <w:sz w:val="18"/>
                <w:szCs w:val="18"/>
                <w:color w:val="auto"/>
              </w:rPr>
              <w:t>35,000</w:t>
            </w:r>
          </w:p>
        </w:tc>
        <w:tc>
          <w:tcPr>
            <w:tcW w:w="1060" w:type="dxa"/>
            <w:vAlign w:val="bottom"/>
            <w:shd w:val="clear" w:color="auto" w:fill="F0FFFF"/>
          </w:tcPr>
          <w:p>
            <w:pPr>
              <w:jc w:val="right"/>
              <w:ind w:right="37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303 George Street, Suite 140</w:t>
            </w:r>
          </w:p>
        </w:tc>
        <w:tc>
          <w:tcPr>
            <w:tcW w:w="160" w:type="dxa"/>
            <w:vAlign w:val="bottom"/>
            <w:shd w:val="clear" w:color="auto" w:fill="F0FFFF"/>
          </w:tcPr>
          <w:p>
            <w:pPr>
              <w:spacing w:after="0"/>
              <w:rPr>
                <w:sz w:val="18"/>
                <w:szCs w:val="18"/>
                <w:color w:val="auto"/>
              </w:rPr>
            </w:pPr>
          </w:p>
        </w:tc>
        <w:tc>
          <w:tcPr>
            <w:tcW w:w="15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New Brunswick, New Jersey 08901</w:t>
            </w:r>
          </w:p>
        </w:tc>
        <w:tc>
          <w:tcPr>
            <w:tcW w:w="160" w:type="dxa"/>
            <w:vAlign w:val="bottom"/>
            <w:shd w:val="clear" w:color="auto" w:fill="F0FFFF"/>
          </w:tcPr>
          <w:p>
            <w:pPr>
              <w:spacing w:after="0"/>
              <w:rPr>
                <w:sz w:val="20"/>
                <w:szCs w:val="20"/>
                <w:color w:val="auto"/>
              </w:rPr>
            </w:pPr>
          </w:p>
        </w:tc>
        <w:tc>
          <w:tcPr>
            <w:tcW w:w="150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106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Arial" w:cs="Arial" w:eastAsia="Arial" w:hAnsi="Arial"/>
                <w:sz w:val="18"/>
                <w:szCs w:val="18"/>
                <w:color w:val="auto"/>
              </w:rPr>
              <w:t>David M. DeMedio</w:t>
            </w:r>
          </w:p>
        </w:tc>
        <w:tc>
          <w:tcPr>
            <w:tcW w:w="1940" w:type="dxa"/>
            <w:vAlign w:val="bottom"/>
            <w:gridSpan w:val="3"/>
          </w:tcPr>
          <w:p>
            <w:pPr>
              <w:jc w:val="right"/>
              <w:ind w:right="280"/>
              <w:spacing w:after="0" w:line="201" w:lineRule="exact"/>
              <w:rPr>
                <w:sz w:val="20"/>
                <w:szCs w:val="20"/>
                <w:color w:val="auto"/>
              </w:rPr>
            </w:pPr>
            <w:r>
              <w:rPr>
                <w:rFonts w:ascii="Arial" w:cs="Arial" w:eastAsia="Arial" w:hAnsi="Arial"/>
                <w:sz w:val="18"/>
                <w:szCs w:val="18"/>
                <w:color w:val="auto"/>
              </w:rPr>
              <w:t>130,675</w:t>
            </w:r>
          </w:p>
        </w:tc>
        <w:tc>
          <w:tcPr>
            <w:tcW w:w="1060" w:type="dxa"/>
            <w:vAlign w:val="bottom"/>
          </w:tcPr>
          <w:p>
            <w:pPr>
              <w:jc w:val="right"/>
              <w:ind w:right="37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280" w:type="dxa"/>
            <w:vAlign w:val="bottom"/>
            <w:gridSpan w:val="2"/>
          </w:tcPr>
          <w:p>
            <w:pPr>
              <w:ind w:left="1300"/>
              <w:spacing w:after="0"/>
              <w:rPr>
                <w:sz w:val="20"/>
                <w:szCs w:val="20"/>
                <w:color w:val="auto"/>
              </w:rPr>
            </w:pPr>
            <w:r>
              <w:rPr>
                <w:rFonts w:ascii="Arial" w:cs="Arial" w:eastAsia="Arial" w:hAnsi="Arial"/>
                <w:sz w:val="18"/>
                <w:szCs w:val="18"/>
                <w:color w:val="auto"/>
              </w:rPr>
              <w:t>100 Deerfield Lane, Suite 140</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6280" w:type="dxa"/>
            <w:vAlign w:val="bottom"/>
            <w:gridSpan w:val="2"/>
          </w:tcPr>
          <w:p>
            <w:pPr>
              <w:ind w:left="1300"/>
              <w:spacing w:after="0"/>
              <w:rPr>
                <w:sz w:val="20"/>
                <w:szCs w:val="20"/>
                <w:color w:val="auto"/>
              </w:rPr>
            </w:pPr>
            <w:r>
              <w:rPr>
                <w:rFonts w:ascii="Arial" w:cs="Arial" w:eastAsia="Arial" w:hAnsi="Arial"/>
                <w:sz w:val="18"/>
                <w:szCs w:val="18"/>
                <w:color w:val="auto"/>
              </w:rPr>
              <w:t>Malvern, Pennsylvania 19355</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9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Stephen P. Herbert</w:t>
            </w:r>
          </w:p>
        </w:tc>
        <w:tc>
          <w:tcPr>
            <w:tcW w:w="1940" w:type="dxa"/>
            <w:vAlign w:val="bottom"/>
            <w:gridSpan w:val="3"/>
            <w:shd w:val="clear" w:color="auto" w:fill="F0FFFF"/>
          </w:tcPr>
          <w:p>
            <w:pPr>
              <w:jc w:val="right"/>
              <w:ind w:right="80"/>
              <w:spacing w:after="0" w:line="201" w:lineRule="exact"/>
              <w:rPr>
                <w:sz w:val="20"/>
                <w:szCs w:val="20"/>
                <w:color w:val="auto"/>
              </w:rPr>
            </w:pPr>
            <w:r>
              <w:rPr>
                <w:rFonts w:ascii="Arial" w:cs="Arial" w:eastAsia="Arial" w:hAnsi="Arial"/>
                <w:sz w:val="18"/>
                <w:szCs w:val="18"/>
                <w:color w:val="auto"/>
              </w:rPr>
              <w:t>346,656(3)</w:t>
            </w:r>
          </w:p>
        </w:tc>
        <w:tc>
          <w:tcPr>
            <w:tcW w:w="1060" w:type="dxa"/>
            <w:vAlign w:val="bottom"/>
            <w:shd w:val="clear" w:color="auto" w:fill="F0FFFF"/>
          </w:tcPr>
          <w:p>
            <w:pPr>
              <w:jc w:val="right"/>
              <w:ind w:right="37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100 Deerfield Lane, Suite 140</w:t>
            </w:r>
          </w:p>
        </w:tc>
        <w:tc>
          <w:tcPr>
            <w:tcW w:w="160" w:type="dxa"/>
            <w:vAlign w:val="bottom"/>
            <w:shd w:val="clear" w:color="auto" w:fill="F0FFFF"/>
          </w:tcPr>
          <w:p>
            <w:pPr>
              <w:spacing w:after="0"/>
              <w:rPr>
                <w:sz w:val="18"/>
                <w:szCs w:val="18"/>
                <w:color w:val="auto"/>
              </w:rPr>
            </w:pPr>
          </w:p>
        </w:tc>
        <w:tc>
          <w:tcPr>
            <w:tcW w:w="15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Malvern, Pennsylvania 19355</w:t>
            </w:r>
          </w:p>
        </w:tc>
        <w:tc>
          <w:tcPr>
            <w:tcW w:w="160" w:type="dxa"/>
            <w:vAlign w:val="bottom"/>
            <w:shd w:val="clear" w:color="auto" w:fill="F0FFFF"/>
          </w:tcPr>
          <w:p>
            <w:pPr>
              <w:spacing w:after="0"/>
              <w:rPr>
                <w:sz w:val="20"/>
                <w:szCs w:val="20"/>
                <w:color w:val="auto"/>
              </w:rPr>
            </w:pPr>
          </w:p>
        </w:tc>
        <w:tc>
          <w:tcPr>
            <w:tcW w:w="150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106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Arial" w:cs="Arial" w:eastAsia="Arial" w:hAnsi="Arial"/>
                <w:sz w:val="18"/>
                <w:szCs w:val="18"/>
                <w:color w:val="auto"/>
              </w:rPr>
              <w:t>Michael Lawlor</w:t>
            </w:r>
          </w:p>
        </w:tc>
        <w:tc>
          <w:tcPr>
            <w:tcW w:w="1940" w:type="dxa"/>
            <w:vAlign w:val="bottom"/>
            <w:gridSpan w:val="3"/>
          </w:tcPr>
          <w:p>
            <w:pPr>
              <w:jc w:val="right"/>
              <w:ind w:right="280"/>
              <w:spacing w:after="0" w:line="201" w:lineRule="exact"/>
              <w:rPr>
                <w:sz w:val="20"/>
                <w:szCs w:val="20"/>
                <w:color w:val="auto"/>
              </w:rPr>
            </w:pPr>
            <w:r>
              <w:rPr>
                <w:rFonts w:ascii="Arial" w:cs="Arial" w:eastAsia="Arial" w:hAnsi="Arial"/>
                <w:sz w:val="18"/>
                <w:szCs w:val="18"/>
                <w:color w:val="auto"/>
              </w:rPr>
              <w:t>35,552</w:t>
            </w:r>
          </w:p>
        </w:tc>
        <w:tc>
          <w:tcPr>
            <w:tcW w:w="1060" w:type="dxa"/>
            <w:vAlign w:val="bottom"/>
          </w:tcPr>
          <w:p>
            <w:pPr>
              <w:jc w:val="right"/>
              <w:ind w:right="37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280" w:type="dxa"/>
            <w:vAlign w:val="bottom"/>
            <w:gridSpan w:val="2"/>
          </w:tcPr>
          <w:p>
            <w:pPr>
              <w:ind w:left="1300"/>
              <w:spacing w:after="0"/>
              <w:rPr>
                <w:sz w:val="20"/>
                <w:szCs w:val="20"/>
                <w:color w:val="auto"/>
              </w:rPr>
            </w:pPr>
            <w:r>
              <w:rPr>
                <w:rFonts w:ascii="Arial" w:cs="Arial" w:eastAsia="Arial" w:hAnsi="Arial"/>
                <w:sz w:val="18"/>
                <w:szCs w:val="18"/>
                <w:color w:val="auto"/>
              </w:rPr>
              <w:t>100 Deerfield Lane, Suite 140</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6280" w:type="dxa"/>
            <w:vAlign w:val="bottom"/>
            <w:gridSpan w:val="2"/>
          </w:tcPr>
          <w:p>
            <w:pPr>
              <w:ind w:left="1300"/>
              <w:spacing w:after="0"/>
              <w:rPr>
                <w:sz w:val="20"/>
                <w:szCs w:val="20"/>
                <w:color w:val="auto"/>
              </w:rPr>
            </w:pPr>
            <w:r>
              <w:rPr>
                <w:rFonts w:ascii="Arial" w:cs="Arial" w:eastAsia="Arial" w:hAnsi="Arial"/>
                <w:sz w:val="18"/>
                <w:szCs w:val="18"/>
                <w:color w:val="auto"/>
              </w:rPr>
              <w:t>Malvern, Pennsylvania 19355</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9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Albin F. Moschner</w:t>
            </w:r>
          </w:p>
        </w:tc>
        <w:tc>
          <w:tcPr>
            <w:tcW w:w="1940" w:type="dxa"/>
            <w:vAlign w:val="bottom"/>
            <w:gridSpan w:val="3"/>
            <w:shd w:val="clear" w:color="auto" w:fill="F0FFFF"/>
          </w:tcPr>
          <w:p>
            <w:pPr>
              <w:jc w:val="right"/>
              <w:ind w:right="80"/>
              <w:spacing w:after="0" w:line="201" w:lineRule="exact"/>
              <w:rPr>
                <w:sz w:val="20"/>
                <w:szCs w:val="20"/>
                <w:color w:val="auto"/>
              </w:rPr>
            </w:pPr>
            <w:r>
              <w:rPr>
                <w:rFonts w:ascii="Arial" w:cs="Arial" w:eastAsia="Arial" w:hAnsi="Arial"/>
                <w:sz w:val="18"/>
                <w:szCs w:val="18"/>
                <w:color w:val="auto"/>
              </w:rPr>
              <w:t>483,172(4)</w:t>
            </w:r>
          </w:p>
        </w:tc>
        <w:tc>
          <w:tcPr>
            <w:tcW w:w="1060" w:type="dxa"/>
            <w:vAlign w:val="bottom"/>
            <w:shd w:val="clear" w:color="auto" w:fill="F0FFFF"/>
          </w:tcPr>
          <w:p>
            <w:pPr>
              <w:jc w:val="right"/>
              <w:ind w:right="210"/>
              <w:spacing w:after="0" w:line="201"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1022 Aynsley Avenue</w:t>
            </w:r>
          </w:p>
        </w:tc>
        <w:tc>
          <w:tcPr>
            <w:tcW w:w="160" w:type="dxa"/>
            <w:vAlign w:val="bottom"/>
            <w:shd w:val="clear" w:color="auto" w:fill="F0FFFF"/>
          </w:tcPr>
          <w:p>
            <w:pPr>
              <w:spacing w:after="0"/>
              <w:rPr>
                <w:sz w:val="18"/>
                <w:szCs w:val="18"/>
                <w:color w:val="auto"/>
              </w:rPr>
            </w:pPr>
          </w:p>
        </w:tc>
        <w:tc>
          <w:tcPr>
            <w:tcW w:w="15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Lake Forest, Illinois 60045</w:t>
            </w:r>
          </w:p>
        </w:tc>
        <w:tc>
          <w:tcPr>
            <w:tcW w:w="160" w:type="dxa"/>
            <w:vAlign w:val="bottom"/>
            <w:shd w:val="clear" w:color="auto" w:fill="F0FFFF"/>
          </w:tcPr>
          <w:p>
            <w:pPr>
              <w:spacing w:after="0"/>
              <w:rPr>
                <w:sz w:val="20"/>
                <w:szCs w:val="20"/>
                <w:color w:val="auto"/>
              </w:rPr>
            </w:pPr>
          </w:p>
        </w:tc>
        <w:tc>
          <w:tcPr>
            <w:tcW w:w="150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106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Arial" w:cs="Arial" w:eastAsia="Arial" w:hAnsi="Arial"/>
                <w:sz w:val="18"/>
                <w:szCs w:val="18"/>
                <w:color w:val="auto"/>
              </w:rPr>
              <w:t>William J. Reilly, Jr.</w:t>
            </w:r>
          </w:p>
        </w:tc>
        <w:tc>
          <w:tcPr>
            <w:tcW w:w="1940" w:type="dxa"/>
            <w:vAlign w:val="bottom"/>
            <w:gridSpan w:val="3"/>
          </w:tcPr>
          <w:p>
            <w:pPr>
              <w:jc w:val="right"/>
              <w:ind w:right="80"/>
              <w:spacing w:after="0" w:line="201" w:lineRule="exact"/>
              <w:rPr>
                <w:sz w:val="20"/>
                <w:szCs w:val="20"/>
                <w:color w:val="auto"/>
              </w:rPr>
            </w:pPr>
            <w:r>
              <w:rPr>
                <w:rFonts w:ascii="Arial" w:cs="Arial" w:eastAsia="Arial" w:hAnsi="Arial"/>
                <w:sz w:val="18"/>
                <w:szCs w:val="18"/>
                <w:color w:val="auto"/>
              </w:rPr>
              <w:t>42,080(5)</w:t>
            </w:r>
          </w:p>
        </w:tc>
        <w:tc>
          <w:tcPr>
            <w:tcW w:w="1060" w:type="dxa"/>
            <w:vAlign w:val="bottom"/>
          </w:tcPr>
          <w:p>
            <w:pPr>
              <w:jc w:val="right"/>
              <w:ind w:right="37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280" w:type="dxa"/>
            <w:vAlign w:val="bottom"/>
            <w:gridSpan w:val="2"/>
          </w:tcPr>
          <w:p>
            <w:pPr>
              <w:ind w:left="1300"/>
              <w:spacing w:after="0"/>
              <w:rPr>
                <w:sz w:val="20"/>
                <w:szCs w:val="20"/>
                <w:color w:val="auto"/>
              </w:rPr>
            </w:pPr>
            <w:r>
              <w:rPr>
                <w:rFonts w:ascii="Arial" w:cs="Arial" w:eastAsia="Arial" w:hAnsi="Arial"/>
                <w:sz w:val="18"/>
                <w:szCs w:val="18"/>
                <w:color w:val="auto"/>
              </w:rPr>
              <w:t>1280 South Concord Road</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6280" w:type="dxa"/>
            <w:vAlign w:val="bottom"/>
            <w:gridSpan w:val="2"/>
          </w:tcPr>
          <w:p>
            <w:pPr>
              <w:ind w:left="1300"/>
              <w:spacing w:after="0"/>
              <w:rPr>
                <w:sz w:val="20"/>
                <w:szCs w:val="20"/>
                <w:color w:val="auto"/>
              </w:rPr>
            </w:pPr>
            <w:r>
              <w:rPr>
                <w:rFonts w:ascii="Arial" w:cs="Arial" w:eastAsia="Arial" w:hAnsi="Arial"/>
                <w:sz w:val="18"/>
                <w:szCs w:val="18"/>
                <w:color w:val="auto"/>
              </w:rPr>
              <w:t>West Chester, Pennsylvania 19382</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9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Cary Sagady</w:t>
            </w:r>
          </w:p>
        </w:tc>
        <w:tc>
          <w:tcPr>
            <w:tcW w:w="1940" w:type="dxa"/>
            <w:vAlign w:val="bottom"/>
            <w:gridSpan w:val="3"/>
            <w:shd w:val="clear" w:color="auto" w:fill="F0FFFF"/>
          </w:tcPr>
          <w:p>
            <w:pPr>
              <w:jc w:val="right"/>
              <w:ind w:right="280"/>
              <w:spacing w:after="0" w:line="201" w:lineRule="exact"/>
              <w:rPr>
                <w:sz w:val="20"/>
                <w:szCs w:val="20"/>
                <w:color w:val="auto"/>
              </w:rPr>
            </w:pPr>
            <w:r>
              <w:rPr>
                <w:rFonts w:ascii="Arial" w:cs="Arial" w:eastAsia="Arial" w:hAnsi="Arial"/>
                <w:sz w:val="18"/>
                <w:szCs w:val="18"/>
                <w:color w:val="auto"/>
              </w:rPr>
              <w:t>5,050</w:t>
            </w:r>
          </w:p>
        </w:tc>
        <w:tc>
          <w:tcPr>
            <w:tcW w:w="1060" w:type="dxa"/>
            <w:vAlign w:val="bottom"/>
            <w:shd w:val="clear" w:color="auto" w:fill="F0FFFF"/>
          </w:tcPr>
          <w:p>
            <w:pPr>
              <w:jc w:val="right"/>
              <w:ind w:right="37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100 Deerfield Lane, Suite 140</w:t>
            </w:r>
          </w:p>
        </w:tc>
        <w:tc>
          <w:tcPr>
            <w:tcW w:w="160" w:type="dxa"/>
            <w:vAlign w:val="bottom"/>
            <w:shd w:val="clear" w:color="auto" w:fill="F0FFFF"/>
          </w:tcPr>
          <w:p>
            <w:pPr>
              <w:spacing w:after="0"/>
              <w:rPr>
                <w:sz w:val="18"/>
                <w:szCs w:val="18"/>
                <w:color w:val="auto"/>
              </w:rPr>
            </w:pPr>
          </w:p>
        </w:tc>
        <w:tc>
          <w:tcPr>
            <w:tcW w:w="15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Malvern, Pennsylvania 19355</w:t>
            </w:r>
          </w:p>
        </w:tc>
        <w:tc>
          <w:tcPr>
            <w:tcW w:w="160" w:type="dxa"/>
            <w:vAlign w:val="bottom"/>
            <w:shd w:val="clear" w:color="auto" w:fill="F0FFFF"/>
          </w:tcPr>
          <w:p>
            <w:pPr>
              <w:spacing w:after="0"/>
              <w:rPr>
                <w:sz w:val="20"/>
                <w:szCs w:val="20"/>
                <w:color w:val="auto"/>
              </w:rPr>
            </w:pPr>
          </w:p>
        </w:tc>
        <w:tc>
          <w:tcPr>
            <w:tcW w:w="150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106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Arial" w:cs="Arial" w:eastAsia="Arial" w:hAnsi="Arial"/>
                <w:sz w:val="18"/>
                <w:szCs w:val="18"/>
                <w:color w:val="auto"/>
              </w:rPr>
              <w:t>William J. Schoch</w:t>
            </w:r>
          </w:p>
        </w:tc>
        <w:tc>
          <w:tcPr>
            <w:tcW w:w="1940" w:type="dxa"/>
            <w:vAlign w:val="bottom"/>
            <w:gridSpan w:val="3"/>
          </w:tcPr>
          <w:p>
            <w:pPr>
              <w:jc w:val="right"/>
              <w:ind w:right="280"/>
              <w:spacing w:after="0" w:line="201" w:lineRule="exact"/>
              <w:rPr>
                <w:sz w:val="20"/>
                <w:szCs w:val="20"/>
                <w:color w:val="auto"/>
              </w:rPr>
            </w:pPr>
            <w:r>
              <w:rPr>
                <w:rFonts w:ascii="Arial" w:cs="Arial" w:eastAsia="Arial" w:hAnsi="Arial"/>
                <w:sz w:val="18"/>
                <w:szCs w:val="18"/>
                <w:color w:val="auto"/>
              </w:rPr>
              <w:t>41,958</w:t>
            </w:r>
          </w:p>
        </w:tc>
        <w:tc>
          <w:tcPr>
            <w:tcW w:w="1060" w:type="dxa"/>
            <w:vAlign w:val="bottom"/>
          </w:tcPr>
          <w:p>
            <w:pPr>
              <w:jc w:val="right"/>
              <w:ind w:right="37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280" w:type="dxa"/>
            <w:vAlign w:val="bottom"/>
            <w:gridSpan w:val="2"/>
          </w:tcPr>
          <w:p>
            <w:pPr>
              <w:ind w:left="1300"/>
              <w:spacing w:after="0"/>
              <w:rPr>
                <w:sz w:val="20"/>
                <w:szCs w:val="20"/>
                <w:color w:val="auto"/>
              </w:rPr>
            </w:pPr>
            <w:r>
              <w:rPr>
                <w:rFonts w:ascii="Arial" w:cs="Arial" w:eastAsia="Arial" w:hAnsi="Arial"/>
                <w:sz w:val="18"/>
                <w:szCs w:val="18"/>
                <w:color w:val="auto"/>
              </w:rPr>
              <w:t>300 Montgomery Street, #400</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6280" w:type="dxa"/>
            <w:vAlign w:val="bottom"/>
            <w:gridSpan w:val="2"/>
          </w:tcPr>
          <w:p>
            <w:pPr>
              <w:ind w:left="1300"/>
              <w:spacing w:after="0"/>
              <w:rPr>
                <w:sz w:val="20"/>
                <w:szCs w:val="20"/>
                <w:color w:val="auto"/>
              </w:rPr>
            </w:pPr>
            <w:r>
              <w:rPr>
                <w:rFonts w:ascii="Arial" w:cs="Arial" w:eastAsia="Arial" w:hAnsi="Arial"/>
                <w:sz w:val="18"/>
                <w:szCs w:val="18"/>
                <w:color w:val="auto"/>
              </w:rPr>
              <w:t>San Francisco, California 94104</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9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All Directors and Executive Officers</w:t>
            </w:r>
          </w:p>
        </w:tc>
        <w:tc>
          <w:tcPr>
            <w:tcW w:w="1660" w:type="dxa"/>
            <w:vAlign w:val="bottom"/>
            <w:gridSpan w:val="2"/>
            <w:shd w:val="clear" w:color="auto" w:fill="F0FFFF"/>
          </w:tcPr>
          <w:p>
            <w:pPr>
              <w:jc w:val="right"/>
              <w:spacing w:after="0" w:line="201" w:lineRule="exact"/>
              <w:rPr>
                <w:sz w:val="20"/>
                <w:szCs w:val="20"/>
                <w:color w:val="auto"/>
              </w:rPr>
            </w:pPr>
            <w:r>
              <w:rPr>
                <w:rFonts w:ascii="Arial" w:cs="Arial" w:eastAsia="Arial" w:hAnsi="Arial"/>
                <w:sz w:val="18"/>
                <w:szCs w:val="18"/>
                <w:color w:val="auto"/>
              </w:rPr>
              <w:t>1,363,154</w:t>
            </w:r>
          </w:p>
        </w:tc>
        <w:tc>
          <w:tcPr>
            <w:tcW w:w="280" w:type="dxa"/>
            <w:vAlign w:val="bottom"/>
            <w:shd w:val="clear" w:color="auto" w:fill="F0FFFF"/>
          </w:tcPr>
          <w:p>
            <w:pPr>
              <w:spacing w:after="0"/>
              <w:rPr>
                <w:sz w:val="17"/>
                <w:szCs w:val="17"/>
                <w:color w:val="auto"/>
              </w:rPr>
            </w:pPr>
          </w:p>
        </w:tc>
        <w:tc>
          <w:tcPr>
            <w:tcW w:w="1060" w:type="dxa"/>
            <w:vAlign w:val="bottom"/>
            <w:shd w:val="clear" w:color="auto" w:fill="F0FFFF"/>
          </w:tcPr>
          <w:p>
            <w:pPr>
              <w:jc w:val="right"/>
              <w:ind w:right="210"/>
              <w:spacing w:after="0" w:line="201" w:lineRule="exact"/>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As a Group (8 persons)</w:t>
            </w:r>
          </w:p>
        </w:tc>
        <w:tc>
          <w:tcPr>
            <w:tcW w:w="160" w:type="dxa"/>
            <w:vAlign w:val="bottom"/>
            <w:shd w:val="clear" w:color="auto" w:fill="F0FFFF"/>
          </w:tcPr>
          <w:p>
            <w:pPr>
              <w:spacing w:after="0"/>
              <w:rPr>
                <w:sz w:val="20"/>
                <w:szCs w:val="20"/>
                <w:color w:val="auto"/>
              </w:rPr>
            </w:pPr>
          </w:p>
        </w:tc>
        <w:tc>
          <w:tcPr>
            <w:tcW w:w="150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106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280" w:type="dxa"/>
            <w:vAlign w:val="bottom"/>
            <w:gridSpan w:val="2"/>
          </w:tcPr>
          <w:p>
            <w:pPr>
              <w:ind w:left="340"/>
              <w:spacing w:after="0"/>
              <w:rPr>
                <w:sz w:val="20"/>
                <w:szCs w:val="20"/>
                <w:color w:val="auto"/>
              </w:rPr>
            </w:pPr>
            <w:r>
              <w:rPr>
                <w:rFonts w:ascii="Arial" w:cs="Arial" w:eastAsia="Arial" w:hAnsi="Arial"/>
                <w:sz w:val="18"/>
                <w:szCs w:val="18"/>
                <w:color w:val="auto"/>
              </w:rPr>
              <w:t>Less than one percent (1%)</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80" w:right="20" w:hanging="372"/>
        <w:spacing w:after="0" w:line="259"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Securities and Exchange Commission and derives from either voting or investment power with respect to securities. Shares of Common Stock issuable upon conversion of the Series A Preferred Stock, or shares of Common Stock issuable upon exercise of warrants currently exercisable, or exercisable within sixty days of September 5, 2014, are deemed to be beneficially owned for purposes hereof.</w:t>
      </w:r>
    </w:p>
    <w:p>
      <w:pPr>
        <w:spacing w:after="0" w:line="213" w:lineRule="exact"/>
        <w:rPr>
          <w:rFonts w:ascii="Arial" w:cs="Arial" w:eastAsia="Arial" w:hAnsi="Arial"/>
          <w:sz w:val="18"/>
          <w:szCs w:val="18"/>
          <w:color w:val="auto"/>
        </w:rPr>
      </w:pPr>
    </w:p>
    <w:p>
      <w:pPr>
        <w:ind w:left="380" w:hanging="372"/>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percentage of common stock beneficially owned is based on 35,603,271 shares outstanding as of September 5, 2014.</w:t>
      </w:r>
    </w:p>
    <w:p>
      <w:pPr>
        <w:spacing w:after="0" w:line="252" w:lineRule="exact"/>
        <w:rPr>
          <w:rFonts w:ascii="Arial" w:cs="Arial" w:eastAsia="Arial" w:hAnsi="Arial"/>
          <w:sz w:val="18"/>
          <w:szCs w:val="18"/>
          <w:color w:val="auto"/>
        </w:rPr>
      </w:pPr>
    </w:p>
    <w:p>
      <w:pPr>
        <w:jc w:val="both"/>
        <w:ind w:left="380" w:hanging="372"/>
        <w:spacing w:after="0" w:line="264"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32,010 shares of common stock beneficially owned by Mr. Herbert’s child, 27,440 shares of common stock beneficially owned by his spouse. Includes 23,809 shares which vest upon the attainment of at least $2.50 per share closing price for thirty consecutive trading days at any time prior to September 5, 2015.</w:t>
      </w:r>
    </w:p>
    <w:p>
      <w:pPr>
        <w:spacing w:after="0" w:line="208" w:lineRule="exact"/>
        <w:rPr>
          <w:rFonts w:ascii="Arial" w:cs="Arial" w:eastAsia="Arial" w:hAnsi="Arial"/>
          <w:sz w:val="18"/>
          <w:szCs w:val="18"/>
          <w:color w:val="auto"/>
        </w:rPr>
      </w:pPr>
    </w:p>
    <w:p>
      <w:pPr>
        <w:ind w:left="380" w:hanging="372"/>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1,163 shares underlying preferred stock.</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100 shares of common stock beneficially owned by Mr. Reilly’s child.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than the 7,000 shares of preferred stock beneficially owned by Mr. Moschner, there were no shares of preferred stock that were beneficially owned as of September 5, 2014 by the Company’s directors or named executive officers.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policy is that all related party transactions, which are required to be disclosed under Item 404 of Regulation S-K promulgated under the Securities Act of 1933, as amended, are to be reviewed and approved by the Audit Committee for any possible conflicts of interest. This policy is evidenced in the Charter of the Audit Committee of the Board of Directors of the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has determined that Deborah G. Arnold, Steven D. Barnhart, Joel Brooks, Albin F. Moschner, William J. Reilly, Jr., and William J. Schoch, which members constitute all of the currently serving Board of Directors other than Mr. Herbert, are independent in accordance with the applicable listing standards of The NASDAQ Stock Market LLC.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has a standing Audit Committee, Nominating and Corporate Governance Committee, and Compensation Committee.</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Audit Committee of the Board of Directors presently consists of Mr. Brooks (Chairman), Mr. Moschner and Mr. Reilly. The Audit Committee recommends the engagement of the Company’s independent accountants and is primarily responsible for approving the services performed by the Company’s independent accountants, for reviewing and evaluating the Company’s accounting principles, reviewing the independence of independent auditors, and reviewing the adequacy and effectiveness of the Company’s internal controls. The Audit Committee operates pursuant to a charter that was last amended and restated by the Board of Directors on April 11, 2006, a copy of which is accessible on the Company’s website, </w:t>
      </w:r>
      <w:r>
        <w:rPr>
          <w:rFonts w:ascii="Arial" w:cs="Arial" w:eastAsia="Arial" w:hAnsi="Arial"/>
          <w:sz w:val="16"/>
          <w:szCs w:val="16"/>
          <w:u w:val="single" w:color="auto"/>
          <w:color w:val="auto"/>
        </w:rPr>
        <w:t>www.usatech.com</w:t>
      </w:r>
      <w:r>
        <w:rPr>
          <w:rFonts w:ascii="Arial" w:cs="Arial" w:eastAsia="Arial" w:hAnsi="Arial"/>
          <w:sz w:val="16"/>
          <w:szCs w:val="16"/>
          <w:color w:val="auto"/>
        </w:rPr>
        <w:t>.</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Compensation Committee of the Board of Directors presently consists of Mr. Moschner (Chairman) and Mr. Barnhart. The Board of Directors has determined that each of the current members of the Compensation Committee is independent in accordance with the applicable listing standards of The Nasdaq Stock Market LLC. The Committee reviews and recommends compensation and compensation changes for the executive officers of the Company and administers the Company’s stock option and restricted stock grant plans. The Compensation Committee operates pursuant to a charter that was adopted by the Board in September 2007 and amended in May 2013, a copy of which is accessible on the Company’s website, </w:t>
      </w:r>
      <w:r>
        <w:rPr>
          <w:rFonts w:ascii="Arial" w:cs="Arial" w:eastAsia="Arial" w:hAnsi="Arial"/>
          <w:sz w:val="16"/>
          <w:szCs w:val="16"/>
          <w:u w:val="single" w:color="auto"/>
          <w:color w:val="auto"/>
        </w:rPr>
        <w:t>www.usatech.com</w:t>
      </w:r>
      <w:r>
        <w:rPr>
          <w:rFonts w:ascii="Arial" w:cs="Arial" w:eastAsia="Arial" w:hAnsi="Arial"/>
          <w:sz w:val="16"/>
          <w:szCs w:val="16"/>
          <w:color w:val="auto"/>
        </w:rPr>
        <w:t>.</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Nominating and Corporate Governance Committee of the Board of Directors presently consists of Ms. Arnold (Chairman), Mr. Reilly and Mr. Schoch. The Board of Directors has determined that each of the current members of the Nominating and Corporate Governance Committee is independent in accordance with the applicable listing standards of The Nasdaq Stock Market LLC. The Committee recommends to the entire Board of Directors for selection any nominees for director. The Nominating and Corporate Committee operates pursuant to a charter that was adopted by the Board of Directors on October 26, 2012, a copy of which is accessible on the Company’s website, </w:t>
      </w:r>
      <w:r>
        <w:rPr>
          <w:rFonts w:ascii="Arial" w:cs="Arial" w:eastAsia="Arial" w:hAnsi="Arial"/>
          <w:sz w:val="17"/>
          <w:szCs w:val="17"/>
          <w:u w:val="single" w:color="auto"/>
          <w:color w:val="auto"/>
        </w:rPr>
        <w:t>www.usatech.com</w:t>
      </w:r>
      <w:r>
        <w:rPr>
          <w:rFonts w:ascii="Arial" w:cs="Arial" w:eastAsia="Arial" w:hAnsi="Arial"/>
          <w:sz w:val="17"/>
          <w:szCs w:val="17"/>
          <w:color w:val="auto"/>
        </w:rPr>
        <w: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During the fiscal year ended June 30, 2014 and 2013, fees in connection with services rendered by McGladrey LLP were as set forth below:</w:t>
      </w:r>
    </w:p>
    <w:p>
      <w:pPr>
        <w:spacing w:after="0" w:line="252"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Fiscal</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Fiscal</w:t>
            </w:r>
          </w:p>
        </w:tc>
      </w:tr>
      <w:tr>
        <w:trPr>
          <w:trHeight w:val="237"/>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F0FFFF"/>
          </w:tcPr>
          <w:p>
            <w:pPr>
              <w:spacing w:after="0"/>
              <w:rPr>
                <w:sz w:val="20"/>
                <w:szCs w:val="20"/>
                <w:color w:val="auto"/>
              </w:rPr>
            </w:pPr>
            <w:r>
              <w:rPr>
                <w:rFonts w:ascii="Arial" w:cs="Arial" w:eastAsia="Arial" w:hAnsi="Arial"/>
                <w:sz w:val="18"/>
                <w:szCs w:val="18"/>
                <w:color w:val="auto"/>
              </w:rPr>
              <w:t>Audit Fees</w:t>
            </w: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225,530</w:t>
            </w:r>
          </w:p>
        </w:tc>
        <w:tc>
          <w:tcPr>
            <w:tcW w:w="4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211,186</w:t>
            </w:r>
          </w:p>
        </w:tc>
        <w:tc>
          <w:tcPr>
            <w:tcW w:w="12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Audit-Related Fees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10,905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F0FFFF"/>
          </w:tcPr>
          <w:p>
            <w:pPr>
              <w:spacing w:after="0"/>
              <w:rPr>
                <w:sz w:val="20"/>
                <w:szCs w:val="20"/>
                <w:color w:val="auto"/>
              </w:rPr>
            </w:pPr>
            <w:r>
              <w:rPr>
                <w:rFonts w:ascii="Arial" w:cs="Arial" w:eastAsia="Arial" w:hAnsi="Arial"/>
                <w:sz w:val="18"/>
                <w:szCs w:val="18"/>
                <w:color w:val="auto"/>
              </w:rPr>
              <w:t>Tax Fees</w:t>
            </w:r>
          </w:p>
        </w:tc>
        <w:tc>
          <w:tcPr>
            <w:tcW w:w="7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9,500</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All Other Fees</w:t>
            </w:r>
          </w:p>
        </w:tc>
        <w:tc>
          <w:tcPr>
            <w:tcW w:w="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2140" w:type="dxa"/>
            <w:vAlign w:val="bottom"/>
            <w:shd w:val="clear" w:color="auto" w:fill="F0FFFF"/>
          </w:tcPr>
          <w:p>
            <w:pPr>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240,830</w:t>
            </w:r>
          </w:p>
        </w:tc>
        <w:tc>
          <w:tcPr>
            <w:tcW w:w="4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222,091</w:t>
            </w:r>
          </w:p>
        </w:tc>
        <w:tc>
          <w:tcPr>
            <w:tcW w:w="120" w:type="dxa"/>
            <w:vAlign w:val="bottom"/>
            <w:shd w:val="clear" w:color="auto" w:fill="F0FF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F0FFFF"/>
            </w:tcBorders>
            <w:shd w:val="clear" w:color="auto" w:fill="F0FFFF"/>
          </w:tcPr>
          <w:p>
            <w:pPr>
              <w:spacing w:after="0" w:line="20" w:lineRule="exact"/>
              <w:rPr>
                <w:sz w:val="1"/>
                <w:szCs w:val="1"/>
                <w:color w:val="auto"/>
              </w:rPr>
            </w:pPr>
          </w:p>
        </w:tc>
        <w:tc>
          <w:tcPr>
            <w:tcW w:w="78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Audit fees consisted of fees for the audit of our annual financial statements and review of quarterly financial statements as well as services normally provided in connection with statutory and regulatory filings or engagements, consents and assistance with and reviews of Company documents filed with the Securities and Exchange Commission.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Audit related fees were primarily incurred in connection with our equity offerings, and fees in connection with attending the annual shareholders meeting.</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 fees related to the review of our analysis of the timing and extent to which the Company can utilize future tax deductions in any year, which may be limited by provisions of the Internal Revenue Code regarding changes in ownership of corporations (i.e. IRS Code Section 382).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Committee’s policy is to pre-approve all audit and permissible non-audit services provided by the independent registered public accounting firm on a case-by-case basis.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Description</w:t>
      </w:r>
    </w:p>
    <w:p>
      <w:pPr>
        <w:spacing w:after="0" w:line="211" w:lineRule="exact"/>
        <w:rPr>
          <w:sz w:val="20"/>
          <w:szCs w:val="20"/>
          <w:color w:val="auto"/>
        </w:rPr>
      </w:pPr>
    </w:p>
    <w:p>
      <w:pPr>
        <w:jc w:val="both"/>
        <w:ind w:left="700" w:hanging="688"/>
        <w:spacing w:after="0" w:line="277" w:lineRule="auto"/>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Articles of Incorporation of the Company filed January 26, 2004 (Incorporated by reference to Exhibit 3.1.20 to Form 10-QSB filed on February 12, 2004).</w:t>
      </w:r>
    </w:p>
    <w:p>
      <w:pPr>
        <w:spacing w:after="0" w:line="17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First Amendment to Amended and Restated Articles of Incorporation of the Company filed on March 17, 2005 (Incorporated by reference to Exhibit</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3.1.1 to Form S-1 Registration Statement No. 333-124078).</w:t>
      </w:r>
    </w:p>
    <w:p>
      <w:pPr>
        <w:spacing w:after="0" w:line="211" w:lineRule="exact"/>
        <w:rPr>
          <w:sz w:val="20"/>
          <w:szCs w:val="20"/>
          <w:color w:val="auto"/>
        </w:rPr>
      </w:pPr>
    </w:p>
    <w:p>
      <w:pPr>
        <w:jc w:val="both"/>
        <w:ind w:left="700" w:hanging="688"/>
        <w:spacing w:after="0" w:line="277" w:lineRule="auto"/>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Second Amendment to Amended and Restated Articles of Incorporation of the Company filed on December 13, 2005 (Incorporated by reference to Exhibit 3.1.2 to Form S-1 Registration Statement No. 333-130992).</w:t>
      </w:r>
    </w:p>
    <w:p>
      <w:pPr>
        <w:spacing w:after="0" w:line="170" w:lineRule="exact"/>
        <w:rPr>
          <w:sz w:val="20"/>
          <w:szCs w:val="20"/>
          <w:color w:val="auto"/>
        </w:rPr>
      </w:pPr>
    </w:p>
    <w:p>
      <w:pPr>
        <w:jc w:val="both"/>
        <w:ind w:left="700" w:hanging="688"/>
        <w:spacing w:after="0" w:line="277" w:lineRule="auto"/>
        <w:tabs>
          <w:tab w:leader="none" w:pos="6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Third Amendment to Amended and Restated Articles of Incorporation of the Company filed on February 7, 2006 (Incorporated by reference to Exhibit 3.1.3 to Form 10-K filed on September 30, 2013).</w:t>
      </w:r>
    </w:p>
    <w:p>
      <w:pPr>
        <w:spacing w:after="0" w:line="170" w:lineRule="exact"/>
        <w:rPr>
          <w:sz w:val="20"/>
          <w:szCs w:val="20"/>
          <w:color w:val="auto"/>
        </w:rPr>
      </w:pPr>
    </w:p>
    <w:p>
      <w:pPr>
        <w:jc w:val="both"/>
        <w:ind w:left="700" w:hanging="688"/>
        <w:spacing w:after="0" w:line="277" w:lineRule="auto"/>
        <w:tabs>
          <w:tab w:leader="none" w:pos="68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Fourth Amendment to Amended and Restated Articles of Incorporation of the Company filed on July 25, 2007. (Incorporated by reference to Exhibit 3.1.3 to Form 10-K filed September 23, 2008).</w:t>
      </w:r>
    </w:p>
    <w:p>
      <w:pPr>
        <w:spacing w:after="0" w:line="17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color w:val="auto"/>
        </w:rPr>
        <w:t>Fifth Amendment to Amended and Restated Articles of Incorporation of the Company filed on March 6, 2008. (Incorporated by reference to Exhibit</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3.1.4 to Form 10-K filed September 23, 2008).</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Amended and Restated By-Laws of the Company dated as of April 24, 2014 (Incorporated by reference to Exhibit 3(i) to Form8-K filed on April</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30, 2014).</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Warrant dated January 1, 2013 in favor of Avidbank Holdings, Inc. (Incorporated by reference to Exhibit 4.1 to Form 8-K filed on April 19, 2013).</w:t>
      </w:r>
    </w:p>
    <w:p>
      <w:pPr>
        <w:spacing w:after="0" w:line="225" w:lineRule="exact"/>
        <w:rPr>
          <w:sz w:val="20"/>
          <w:szCs w:val="20"/>
          <w:color w:val="auto"/>
        </w:rPr>
      </w:pPr>
    </w:p>
    <w:p>
      <w:pPr>
        <w:jc w:val="both"/>
        <w:ind w:left="700" w:right="20" w:hanging="688"/>
        <w:spacing w:after="0" w:line="277" w:lineRule="auto"/>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Agreement of Lease between Deerfield Corporate Center 1 Associates LP, as landlord, and the Company, as tenant, dated March 2003 (Incorporated by reference to Exhibit 10.22 to Form 10-KSB filed on September 28, 2004).</w:t>
      </w:r>
    </w:p>
    <w:p>
      <w:pPr>
        <w:spacing w:after="0" w:line="17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Amendment to Office Space Lease dated as of April 1, 2005 by and between the Company and Deerfield Corporate Center Associates, LP.</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(Incorporated by reference to Exhibit 10.19.1 to Form S-1 Registration Statement No. 333-124078).</w:t>
      </w:r>
    </w:p>
    <w:p>
      <w:pPr>
        <w:spacing w:after="0" w:line="211" w:lineRule="exact"/>
        <w:rPr>
          <w:sz w:val="20"/>
          <w:szCs w:val="20"/>
          <w:color w:val="auto"/>
        </w:rPr>
      </w:pPr>
    </w:p>
    <w:p>
      <w:pPr>
        <w:jc w:val="both"/>
        <w:ind w:left="700" w:hanging="688"/>
        <w:spacing w:after="0" w:line="277" w:lineRule="auto"/>
        <w:tabs>
          <w:tab w:leader="none" w:pos="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Employment and Non-Competition Agreement between the Company and David M. DeMedio dated April 12, 2005 (Incorporated by reference to Exhibit 10.22 to Form S-1 Registration Statement No. 333-124078).</w:t>
      </w:r>
    </w:p>
    <w:p>
      <w:pPr>
        <w:spacing w:after="0" w:line="170" w:lineRule="exact"/>
        <w:rPr>
          <w:sz w:val="20"/>
          <w:szCs w:val="20"/>
          <w:color w:val="auto"/>
        </w:rPr>
      </w:pPr>
    </w:p>
    <w:p>
      <w:pPr>
        <w:jc w:val="both"/>
        <w:ind w:left="700" w:hanging="688"/>
        <w:spacing w:after="0" w:line="277" w:lineRule="auto"/>
        <w:tabs>
          <w:tab w:leader="none" w:pos="6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First Amendment to Employment and Non-Competition Agreement between the Company and David M. DeMedio dated May 11, 2006 (Incorporated by reference to Exhibit 10.3 to Form 10-Q filed on May 15, 2006).</w:t>
      </w:r>
    </w:p>
    <w:p>
      <w:pPr>
        <w:spacing w:after="0" w:line="17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USA Technologies, Inc. 2013 Stock Incentive Plan (Incorporated by reference to Exhibit 10.6 to Form 10-K filed on September 30, 2013).</w:t>
      </w:r>
    </w:p>
    <w:p>
      <w:pPr>
        <w:spacing w:after="0" w:line="225" w:lineRule="exact"/>
        <w:rPr>
          <w:sz w:val="20"/>
          <w:szCs w:val="20"/>
          <w:color w:val="auto"/>
        </w:rPr>
      </w:pPr>
    </w:p>
    <w:p>
      <w:pPr>
        <w:jc w:val="both"/>
        <w:ind w:left="700" w:hanging="688"/>
        <w:spacing w:after="0" w:line="277" w:lineRule="auto"/>
        <w:tabs>
          <w:tab w:leader="none" w:pos="6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Second Amendment to Employment and Non-Competition Agreement dated March 13, 2007, between the Company and David M. DeMedio (Incorporated by reference to Exhibit 10.34 to Form S-1 filed April 12, 2007).</w:t>
      </w:r>
    </w:p>
    <w:p>
      <w:pPr>
        <w:spacing w:after="0" w:line="17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Indemnification Agreement between the Company and each of its officers and Directors (Incorporated by reference to Exhibit 10.1 to Form</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10-Q filed May 14, 2007).</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7"/>
          <w:szCs w:val="17"/>
          <w:color w:val="auto"/>
        </w:rPr>
        <w:t>Third Amendment to Employment and Non-Competition Agreement between the Company and David M. DeMedio dated September 22, 2008.</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(Incorporated by reference to Exhibit 10.29 to Form 10-K filed September 24, 2008).</w:t>
      </w:r>
    </w:p>
    <w:p>
      <w:pPr>
        <w:spacing w:after="0" w:line="211" w:lineRule="exact"/>
        <w:rPr>
          <w:sz w:val="20"/>
          <w:szCs w:val="20"/>
          <w:color w:val="auto"/>
        </w:rPr>
      </w:pPr>
    </w:p>
    <w:p>
      <w:pPr>
        <w:jc w:val="both"/>
        <w:ind w:left="700" w:hanging="688"/>
        <w:spacing w:after="0" w:line="264" w:lineRule="auto"/>
        <w:tabs>
          <w:tab w:leader="none" w:pos="6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Promotional Agreement between the Company and Visa U.S.A. Inc., dated October 12, 2011 (Portions of this exhibit were redacted pursuant to a confidential treatment request) (Incorporated by reference to Exhibit 10.1 to Post-Effective Amendment No.4 to Form S-1 Registration Statement No. 333-165516).</w:t>
      </w:r>
    </w:p>
    <w:p>
      <w:pPr>
        <w:spacing w:after="0" w:line="181" w:lineRule="exact"/>
        <w:rPr>
          <w:sz w:val="20"/>
          <w:szCs w:val="20"/>
          <w:color w:val="auto"/>
        </w:rPr>
      </w:pPr>
    </w:p>
    <w:p>
      <w:pPr>
        <w:jc w:val="both"/>
        <w:ind w:left="700" w:right="20" w:hanging="688"/>
        <w:spacing w:after="0" w:line="264" w:lineRule="auto"/>
        <w:tabs>
          <w:tab w:leader="none" w:pos="680" w:val="left"/>
        </w:tabs>
        <w:rPr>
          <w:sz w:val="20"/>
          <w:szCs w:val="20"/>
          <w:color w:val="auto"/>
        </w:rPr>
      </w:pPr>
      <w:r>
        <w:rPr>
          <w:rFonts w:ascii="Arial" w:cs="Arial" w:eastAsia="Arial" w:hAnsi="Arial"/>
          <w:sz w:val="18"/>
          <w:szCs w:val="18"/>
          <w:color w:val="auto"/>
        </w:rPr>
        <w:t>10.10</w:t>
        <w:tab/>
        <w:t>First Amendment to Visa Promotional Agreement between the Company and Visa U.S.A. Inc. dated as of October 9, 2012 (Portions of this exhibit were redacted pursuant to a confidential treatment request) (Incorporated by reference to Exhibit 10.32 to Post-Effective Amendment No.6 to Form S-1 Registration Statement No. 333-165516).</w:t>
      </w:r>
    </w:p>
    <w:p>
      <w:pPr>
        <w:spacing w:after="0" w:line="181" w:lineRule="exact"/>
        <w:rPr>
          <w:sz w:val="20"/>
          <w:szCs w:val="20"/>
          <w:color w:val="auto"/>
        </w:rPr>
      </w:pPr>
    </w:p>
    <w:p>
      <w:pPr>
        <w:jc w:val="both"/>
        <w:ind w:left="700" w:hanging="688"/>
        <w:spacing w:after="0" w:line="277" w:lineRule="auto"/>
        <w:tabs>
          <w:tab w:leader="none" w:pos="6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Letter from the Company to David M. DeMedio dated September 24, 2009. (Incorporated by reference to Exhibit 10.32 to Form 10-K filed September 25, 2009).</w:t>
      </w:r>
    </w:p>
    <w:p>
      <w:pPr>
        <w:spacing w:after="0" w:line="17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Amended and Restated Employment and Non-Competition Agreement between the Company and Stephen P. Herbert dated November 30, 2011.</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(Incorporated by reference to Exhibit 10.1 to Form 8-K filed December 5, 2011).</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7"/>
          <w:szCs w:val="17"/>
          <w:color w:val="auto"/>
        </w:rPr>
        <w:t>Fifth Amendment to Employment and Non-Competition Agreement dated as of July 1, 2011 between the Company and David M. DeMedio.</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(Incorporated by reference to Exhibit 10.31 to Form 10-K filed September 27, 2011).</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7"/>
          <w:szCs w:val="17"/>
          <w:color w:val="auto"/>
        </w:rPr>
        <w:t>Sixth Amendment to Employment and Non-Competition Agreement dated September 27, 2011 between the Company and David M. DeMedio.</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(Incorporated by reference to Exhibit 10.32 to Form 10-K filed September 27, 2011).</w:t>
      </w:r>
    </w:p>
    <w:p>
      <w:pPr>
        <w:sectPr>
          <w:pgSz w:w="11900" w:h="16838" w:orient="portrait"/>
          <w:cols w:equalWidth="0" w:num="1">
            <w:col w:w="11420"/>
          </w:cols>
          <w:pgMar w:left="240" w:top="918" w:right="239" w:bottom="0" w:gutter="0" w:footer="0" w:header="0"/>
        </w:sectPr>
      </w:pPr>
    </w:p>
    <w:bookmarkStart w:id="113" w:name="page114"/>
    <w:bookmarkEnd w:id="113"/>
    <w:p>
      <w:pPr>
        <w:spacing w:after="0"/>
        <w:tabs>
          <w:tab w:leader="none" w:pos="6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Employment and Non-Competition Agreement dated July 2, 2008 between the Company and Cary Sagady (Incorporated by reference to Exhibit</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10.21 to Form 10-K filed on September 30, 2013).</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Employment and Non-Competition Agreement dated June 7, 2010 between the Company and Michael Lawlor (Incorporated by reference to Exhibit</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10.22 to Form 10-K filed on September 30, 2013).</w:t>
      </w:r>
    </w:p>
    <w:p>
      <w:pPr>
        <w:spacing w:after="0" w:line="211" w:lineRule="exact"/>
        <w:rPr>
          <w:sz w:val="20"/>
          <w:szCs w:val="20"/>
          <w:color w:val="auto"/>
        </w:rPr>
      </w:pPr>
    </w:p>
    <w:p>
      <w:pPr>
        <w:ind w:left="700" w:hanging="688"/>
        <w:spacing w:after="0" w:line="277" w:lineRule="auto"/>
        <w:tabs>
          <w:tab w:leader="none" w:pos="680" w:val="left"/>
        </w:tabs>
        <w:rPr>
          <w:sz w:val="20"/>
          <w:szCs w:val="20"/>
          <w:color w:val="auto"/>
        </w:rPr>
      </w:pPr>
      <w:r>
        <w:rPr>
          <w:rFonts w:ascii="Arial" w:cs="Arial" w:eastAsia="Arial" w:hAnsi="Arial"/>
          <w:sz w:val="18"/>
          <w:szCs w:val="18"/>
          <w:color w:val="auto"/>
        </w:rPr>
        <w:t>10.17</w:t>
        <w:tab/>
        <w:t>First Amendment to Employment and Non-competition Agreement dated April 27, 2012 between the Company and Michael Lawlor (Incorporated by reference to Exhibit 10.23 to Form 10-K filed on September 30, 2013).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4" w:name="page115"/>
    <w:bookmarkEnd w:id="114"/>
    <w:p>
      <w:pPr>
        <w:ind w:left="700" w:hanging="688"/>
        <w:spacing w:after="0" w:line="277" w:lineRule="auto"/>
        <w:tabs>
          <w:tab w:leader="none" w:pos="680" w:val="left"/>
        </w:tabs>
        <w:rPr>
          <w:sz w:val="20"/>
          <w:szCs w:val="20"/>
          <w:color w:val="auto"/>
        </w:rPr>
      </w:pPr>
      <w:r>
        <w:rPr>
          <w:rFonts w:ascii="Arial" w:cs="Arial" w:eastAsia="Arial" w:hAnsi="Arial"/>
          <w:sz w:val="18"/>
          <w:szCs w:val="18"/>
          <w:color w:val="auto"/>
        </w:rPr>
        <w:t>10.18</w:t>
        <w:tab/>
        <w:t>Second Amendment to Office Space Lease dated as of November 17, 2010 by and between the Company and Liberty Malvern, LP. (Incorporated by reference to Exhibit 10.2 to Form 10-Q filed on January 20, 2011).</w:t>
      </w:r>
    </w:p>
    <w:p>
      <w:pPr>
        <w:spacing w:after="0" w:line="170" w:lineRule="exact"/>
        <w:rPr>
          <w:sz w:val="20"/>
          <w:szCs w:val="20"/>
          <w:color w:val="auto"/>
        </w:rPr>
      </w:pPr>
    </w:p>
    <w:p>
      <w:pPr>
        <w:ind w:left="700" w:hanging="688"/>
        <w:spacing w:after="0" w:line="277" w:lineRule="auto"/>
        <w:tabs>
          <w:tab w:leader="none" w:pos="680" w:val="left"/>
        </w:tabs>
        <w:rPr>
          <w:sz w:val="20"/>
          <w:szCs w:val="20"/>
          <w:color w:val="auto"/>
        </w:rPr>
      </w:pPr>
      <w:r>
        <w:rPr>
          <w:rFonts w:ascii="Arial" w:cs="Arial" w:eastAsia="Arial" w:hAnsi="Arial"/>
          <w:sz w:val="18"/>
          <w:szCs w:val="18"/>
          <w:color w:val="auto"/>
        </w:rPr>
        <w:t>10.19</w:t>
        <w:tab/>
        <w:t>USA Technologies, Inc. 2014 Stock Option Incentive Plan. (Incorporated by reference to Appendix A to the Company’s Definitive Proxy Statement on form DEF 14A filed on May 15, 2014).</w:t>
      </w:r>
    </w:p>
    <w:p>
      <w:pPr>
        <w:spacing w:after="0" w:line="170" w:lineRule="exact"/>
        <w:rPr>
          <w:sz w:val="20"/>
          <w:szCs w:val="20"/>
          <w:color w:val="auto"/>
        </w:rPr>
      </w:pPr>
    </w:p>
    <w:p>
      <w:pPr>
        <w:ind w:left="700" w:hanging="688"/>
        <w:spacing w:after="0" w:line="277" w:lineRule="auto"/>
        <w:tabs>
          <w:tab w:leader="none" w:pos="680" w:val="left"/>
        </w:tabs>
        <w:rPr>
          <w:sz w:val="20"/>
          <w:szCs w:val="20"/>
          <w:color w:val="auto"/>
        </w:rPr>
      </w:pPr>
      <w:r>
        <w:rPr>
          <w:rFonts w:ascii="Arial" w:cs="Arial" w:eastAsia="Arial" w:hAnsi="Arial"/>
          <w:sz w:val="18"/>
          <w:szCs w:val="18"/>
          <w:color w:val="auto"/>
        </w:rPr>
        <w:t>10.20</w:t>
        <w:tab/>
        <w:t>Loan and Security Agreement between the Company and Avidbank Corporate Finance, a division of Avidbank, dated as of June 21, 2012 (Incorporated by reference to Exhibit 10.40 to Form 10-K filed on September 25, 2012).</w:t>
      </w:r>
    </w:p>
    <w:p>
      <w:pPr>
        <w:spacing w:after="0" w:line="170" w:lineRule="exact"/>
        <w:rPr>
          <w:sz w:val="20"/>
          <w:szCs w:val="20"/>
          <w:color w:val="auto"/>
        </w:rPr>
      </w:pPr>
    </w:p>
    <w:p>
      <w:pPr>
        <w:ind w:left="700" w:right="20" w:hanging="688"/>
        <w:spacing w:after="0" w:line="277" w:lineRule="auto"/>
        <w:tabs>
          <w:tab w:leader="none" w:pos="680" w:val="left"/>
        </w:tabs>
        <w:rPr>
          <w:sz w:val="20"/>
          <w:szCs w:val="20"/>
          <w:color w:val="auto"/>
        </w:rPr>
      </w:pPr>
      <w:r>
        <w:rPr>
          <w:rFonts w:ascii="Arial" w:cs="Arial" w:eastAsia="Arial" w:hAnsi="Arial"/>
          <w:sz w:val="18"/>
          <w:szCs w:val="18"/>
          <w:color w:val="auto"/>
        </w:rPr>
        <w:t>10.21</w:t>
        <w:tab/>
        <w:t>First Amendment to Loan and Security Agreement dated as of January 1, 2013 between the Company and Avidbank Corporate Finance, a division of Avidbank (Incorporated by reference to Exhibit 10.1 to Form 8-K filed on April 18, 2013).</w:t>
      </w:r>
    </w:p>
    <w:p>
      <w:pPr>
        <w:spacing w:after="0" w:line="170" w:lineRule="exact"/>
        <w:rPr>
          <w:sz w:val="20"/>
          <w:szCs w:val="20"/>
          <w:color w:val="auto"/>
        </w:rPr>
      </w:pPr>
    </w:p>
    <w:p>
      <w:pPr>
        <w:ind w:left="700" w:hanging="688"/>
        <w:spacing w:after="0" w:line="277" w:lineRule="auto"/>
        <w:tabs>
          <w:tab w:leader="none" w:pos="680" w:val="left"/>
        </w:tabs>
        <w:rPr>
          <w:sz w:val="20"/>
          <w:szCs w:val="20"/>
          <w:color w:val="auto"/>
        </w:rPr>
      </w:pPr>
      <w:r>
        <w:rPr>
          <w:rFonts w:ascii="Arial" w:cs="Arial" w:eastAsia="Arial" w:hAnsi="Arial"/>
          <w:sz w:val="18"/>
          <w:szCs w:val="18"/>
          <w:color w:val="auto"/>
        </w:rPr>
        <w:t>10.22</w:t>
        <w:tab/>
        <w:t>Second Amendment to Loan and Security Agreement dated as of April 2, 2013 between the Company and Avidbank Corporate Finance, a division of Avidbank (Incorporated by reference to Exhibit 10.2 to Form 8-K filed on April 18, 2013).</w:t>
      </w:r>
    </w:p>
    <w:p>
      <w:pPr>
        <w:spacing w:after="0" w:line="170" w:lineRule="exact"/>
        <w:rPr>
          <w:sz w:val="20"/>
          <w:szCs w:val="20"/>
          <w:color w:val="auto"/>
        </w:rPr>
      </w:pPr>
    </w:p>
    <w:p>
      <w:pPr>
        <w:ind w:left="700" w:hanging="688"/>
        <w:spacing w:after="0" w:line="277" w:lineRule="auto"/>
        <w:tabs>
          <w:tab w:leader="none" w:pos="680" w:val="left"/>
        </w:tabs>
        <w:rPr>
          <w:sz w:val="20"/>
          <w:szCs w:val="20"/>
          <w:color w:val="auto"/>
        </w:rPr>
      </w:pPr>
      <w:r>
        <w:rPr>
          <w:rFonts w:ascii="Arial" w:cs="Arial" w:eastAsia="Arial" w:hAnsi="Arial"/>
          <w:sz w:val="18"/>
          <w:szCs w:val="18"/>
          <w:color w:val="auto"/>
        </w:rPr>
        <w:t>10.23</w:t>
        <w:tab/>
        <w:t>Third Amendment to Loan and Security Agreement dated as of April 11, 2013 between the Company and Avidbank Corporate Finance, a division of Avidbank (Incorporated by reference to Exhibit 10.3 to Form 8-K filed on April 18, 2013).</w:t>
      </w:r>
    </w:p>
    <w:p>
      <w:pPr>
        <w:spacing w:after="0" w:line="170" w:lineRule="exact"/>
        <w:rPr>
          <w:sz w:val="20"/>
          <w:szCs w:val="20"/>
          <w:color w:val="auto"/>
        </w:rPr>
      </w:pPr>
    </w:p>
    <w:p>
      <w:pPr>
        <w:ind w:left="700" w:hanging="688"/>
        <w:spacing w:after="0" w:line="277" w:lineRule="auto"/>
        <w:tabs>
          <w:tab w:leader="none" w:pos="680" w:val="left"/>
        </w:tabs>
        <w:rPr>
          <w:sz w:val="20"/>
          <w:szCs w:val="20"/>
          <w:color w:val="auto"/>
        </w:rPr>
      </w:pPr>
      <w:r>
        <w:rPr>
          <w:rFonts w:ascii="Arial" w:cs="Arial" w:eastAsia="Arial" w:hAnsi="Arial"/>
          <w:sz w:val="18"/>
          <w:szCs w:val="18"/>
          <w:color w:val="auto"/>
        </w:rPr>
        <w:t>10.24</w:t>
        <w:tab/>
        <w:t>Fourth Amendment to Loan and Security Agreement dated as of April 29, 2013 between the Company and Avidbank Corporate Finance, a division of Avidbank (Incorporated by reference to Exhibit 10.1 to Form 10-Q filed on May 14, 2013)</w:t>
      </w:r>
    </w:p>
    <w:p>
      <w:pPr>
        <w:spacing w:after="0" w:line="170" w:lineRule="exact"/>
        <w:rPr>
          <w:sz w:val="20"/>
          <w:szCs w:val="20"/>
          <w:color w:val="auto"/>
        </w:rPr>
      </w:pPr>
    </w:p>
    <w:p>
      <w:pPr>
        <w:ind w:left="700" w:right="480" w:hanging="688"/>
        <w:spacing w:after="0" w:line="277" w:lineRule="auto"/>
        <w:tabs>
          <w:tab w:leader="none" w:pos="680" w:val="left"/>
        </w:tabs>
        <w:rPr>
          <w:sz w:val="20"/>
          <w:szCs w:val="20"/>
          <w:color w:val="auto"/>
        </w:rPr>
      </w:pPr>
      <w:r>
        <w:rPr>
          <w:rFonts w:ascii="Arial" w:cs="Arial" w:eastAsia="Arial" w:hAnsi="Arial"/>
          <w:sz w:val="18"/>
          <w:szCs w:val="18"/>
          <w:color w:val="auto"/>
        </w:rPr>
        <w:t>10.25</w:t>
        <w:tab/>
        <w:t>Fifth Amendment to Loan and Security Agreement dated as of September 26, 2013 between the Company and Avidbank Corporate Finance, a division of Avidbank (Incorporated by reference to Exhibit 10.30 to Form 10-K filed September 30, 2013).</w:t>
      </w:r>
    </w:p>
    <w:p>
      <w:pPr>
        <w:spacing w:after="0" w:line="170" w:lineRule="exact"/>
        <w:rPr>
          <w:sz w:val="20"/>
          <w:szCs w:val="20"/>
          <w:color w:val="auto"/>
        </w:rPr>
      </w:pPr>
    </w:p>
    <w:p>
      <w:pPr>
        <w:ind w:left="700" w:right="20" w:hanging="688"/>
        <w:spacing w:after="0" w:line="277" w:lineRule="auto"/>
        <w:tabs>
          <w:tab w:leader="none" w:pos="680" w:val="left"/>
        </w:tabs>
        <w:rPr>
          <w:sz w:val="20"/>
          <w:szCs w:val="20"/>
          <w:color w:val="auto"/>
        </w:rPr>
      </w:pPr>
      <w:r>
        <w:rPr>
          <w:rFonts w:ascii="Arial" w:cs="Arial" w:eastAsia="Arial" w:hAnsi="Arial"/>
          <w:sz w:val="18"/>
          <w:szCs w:val="18"/>
          <w:color w:val="auto"/>
        </w:rPr>
        <w:t>10.26</w:t>
        <w:tab/>
        <w:t>Intellectual Property Security Agreement between the Company and Avidbank Corporate Finance, a division of Avidbank, dated as of June 21, 2012 (Incorporated by reference to Exhibit 10.41 to Form 10-K filed on September 25, 2012).</w:t>
      </w:r>
    </w:p>
    <w:p>
      <w:pPr>
        <w:spacing w:after="0" w:line="17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Seventh Amendment to Employment and Non-Competition Agreement dated as of November 7, 2013 between the Company and David M.</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DeMedio. (Incorporated by reference to Exhibit 10.1 to Form 10-Q filed November 13, 2013).</w:t>
      </w:r>
    </w:p>
    <w:p>
      <w:pPr>
        <w:spacing w:after="0" w:line="211" w:lineRule="exact"/>
        <w:rPr>
          <w:sz w:val="20"/>
          <w:szCs w:val="20"/>
          <w:color w:val="auto"/>
        </w:rPr>
      </w:pPr>
    </w:p>
    <w:p>
      <w:pPr>
        <w:ind w:left="700" w:right="60" w:hanging="688"/>
        <w:spacing w:after="0" w:line="277" w:lineRule="auto"/>
        <w:rPr>
          <w:sz w:val="20"/>
          <w:szCs w:val="20"/>
          <w:color w:val="auto"/>
        </w:rPr>
      </w:pPr>
      <w:r>
        <w:rPr>
          <w:rFonts w:ascii="Arial" w:cs="Arial" w:eastAsia="Arial" w:hAnsi="Arial"/>
          <w:sz w:val="18"/>
          <w:szCs w:val="18"/>
          <w:color w:val="auto"/>
        </w:rPr>
        <w:t>10.28** Sixth Amendment to Loan and Security Agreement dated as of May 15, 2014 between the Company and Avidbank Corporate Finance, a division of Avidbank.</w:t>
      </w:r>
    </w:p>
    <w:p>
      <w:pPr>
        <w:spacing w:after="0" w:line="170" w:lineRule="exact"/>
        <w:rPr>
          <w:sz w:val="20"/>
          <w:szCs w:val="20"/>
          <w:color w:val="auto"/>
        </w:rPr>
      </w:pPr>
    </w:p>
    <w:p>
      <w:pPr>
        <w:ind w:left="700" w:right="60" w:hanging="688"/>
        <w:spacing w:after="0" w:line="277" w:lineRule="auto"/>
        <w:rPr>
          <w:sz w:val="20"/>
          <w:szCs w:val="20"/>
          <w:color w:val="auto"/>
        </w:rPr>
      </w:pPr>
      <w:r>
        <w:rPr>
          <w:rFonts w:ascii="Arial" w:cs="Arial" w:eastAsia="Arial" w:hAnsi="Arial"/>
          <w:sz w:val="18"/>
          <w:szCs w:val="18"/>
          <w:color w:val="auto"/>
        </w:rPr>
        <w:t>10.29** Seventh Amendment to Loan and Security Agreement dated as of June 17, 2014 between the Company and Avidbank Corporate Finance, a division of Avidbank.</w:t>
      </w:r>
    </w:p>
    <w:p>
      <w:pPr>
        <w:spacing w:after="0" w:line="170" w:lineRule="exact"/>
        <w:rPr>
          <w:sz w:val="20"/>
          <w:szCs w:val="20"/>
          <w:color w:val="auto"/>
        </w:rPr>
      </w:pPr>
    </w:p>
    <w:p>
      <w:pPr>
        <w:ind w:left="700" w:right="160" w:hanging="688"/>
        <w:spacing w:after="0" w:line="277" w:lineRule="auto"/>
        <w:rPr>
          <w:sz w:val="20"/>
          <w:szCs w:val="20"/>
          <w:color w:val="auto"/>
        </w:rPr>
      </w:pPr>
      <w:r>
        <w:rPr>
          <w:rFonts w:ascii="Arial" w:cs="Arial" w:eastAsia="Arial" w:hAnsi="Arial"/>
          <w:sz w:val="18"/>
          <w:szCs w:val="18"/>
          <w:color w:val="auto"/>
        </w:rPr>
        <w:t>10.30** Eighth Amendment to Loan and Security Agreement dated as of June 30, 2014 between the Company and Avidbank Corporate Finance, a division of Avidbank.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10.31** Master Lease Agreement by and between the Company and Varilease Finance, Inc. as of June 26,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10.32** Sale Leaseback Agreement and Schedule No. 1 by and between the Company and Varilease Finance, Inc. as of June 26,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10.33** Sale Leaseback Agreement and Schedule No. 2 by and between the Company and Varilease Finance, Inc. as of June 26,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10.34** Sale Leaseback Agreement and Schedule No. 3 by and between the Company and Varilease Finance, Inc. as of June 26,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10.35** Sale Leaseback Agreement and Schedule No. 4 by and between the Company and Varilease Finance, Inc. as of June 26,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10.36** Sale Leaseback Agreement and Schedule No. 5 by and between the Company and Varilease Finance, Inc. as of June 26,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10.37** Sale Leaseback Agreement and Schedule No. 6 by and between the Company and Varilease Finance, Inc. as of June 26, 2014.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10.38** Amendment No. 1 to Schedule No. 1 to Sale Leaseback Agreement by and between the Company and Varilease Finance, Inc. as of July 9, 2014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10.39** Amendment No. 1 to Schedule No. 2 to Sale Leaseback Agreement by and between the Company and Varilease Finance, Inc. as of July 9, 2014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10.40** Amendment No. 1 to Schedule No. 3 to Sale Leaseback Agreement by and between the Company and Varilease Finance, Inc. as of July 25, 2014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10.41** Amendment No. 1 to Schedule No. 4 to Sale Leaseback Agreement by and between the Company and Varilease Finance, Inc. as of July 29, 2014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10.42** Amendment No. 1 to Schedule No. 5 to Sale Leaseback Agreement by and between the Company and Varilease Finance, Inc. as of July 30, 2014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10.43** Amendment No. 1 to Schedule No. 6 to Sale Leaseback Agreement by and between the Company and Varilease Finance, Inc. as of August 1,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21</w:t>
            </w:r>
          </w:p>
        </w:tc>
        <w:tc>
          <w:tcPr>
            <w:tcW w:w="9240" w:type="dxa"/>
            <w:vAlign w:val="bottom"/>
          </w:tcPr>
          <w:p>
            <w:pPr>
              <w:ind w:left="100"/>
              <w:spacing w:after="0"/>
              <w:rPr>
                <w:sz w:val="20"/>
                <w:szCs w:val="20"/>
                <w:color w:val="auto"/>
              </w:rPr>
            </w:pPr>
            <w:r>
              <w:rPr>
                <w:rFonts w:ascii="Arial" w:cs="Arial" w:eastAsia="Arial" w:hAnsi="Arial"/>
                <w:sz w:val="18"/>
                <w:szCs w:val="18"/>
                <w:color w:val="auto"/>
                <w:w w:val="92"/>
              </w:rPr>
              <w:t>List of significant subsidiaries of the Company (Incorporated by reference to Exhibit 21 to Form S-1 filed on March 16, 2010).</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23.1**</w:t>
            </w:r>
          </w:p>
        </w:tc>
        <w:tc>
          <w:tcPr>
            <w:tcW w:w="9240" w:type="dxa"/>
            <w:vAlign w:val="bottom"/>
          </w:tcPr>
          <w:p>
            <w:pPr>
              <w:ind w:left="100"/>
              <w:spacing w:after="0"/>
              <w:rPr>
                <w:sz w:val="20"/>
                <w:szCs w:val="20"/>
                <w:color w:val="auto"/>
              </w:rPr>
            </w:pPr>
            <w:r>
              <w:rPr>
                <w:rFonts w:ascii="Arial" w:cs="Arial" w:eastAsia="Arial" w:hAnsi="Arial"/>
                <w:sz w:val="18"/>
                <w:szCs w:val="18"/>
                <w:color w:val="auto"/>
              </w:rPr>
              <w:t>Consent of McGladrey LLP, Independent Registered Public Accounting Firm.</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31.1**</w:t>
            </w:r>
          </w:p>
        </w:tc>
        <w:tc>
          <w:tcPr>
            <w:tcW w:w="9240" w:type="dxa"/>
            <w:vAlign w:val="bottom"/>
          </w:tcPr>
          <w:p>
            <w:pPr>
              <w:ind w:left="100"/>
              <w:spacing w:after="0"/>
              <w:rPr>
                <w:sz w:val="20"/>
                <w:szCs w:val="20"/>
                <w:color w:val="auto"/>
              </w:rPr>
            </w:pPr>
            <w:r>
              <w:rPr>
                <w:rFonts w:ascii="Arial" w:cs="Arial" w:eastAsia="Arial" w:hAnsi="Arial"/>
                <w:sz w:val="18"/>
                <w:szCs w:val="18"/>
                <w:color w:val="auto"/>
              </w:rPr>
              <w:t>Certifications of Chief Executive Officer pursuant to Rule 13a-14(a) under the Securities Exchange Act of 1934.</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31.2**</w:t>
            </w:r>
          </w:p>
        </w:tc>
        <w:tc>
          <w:tcPr>
            <w:tcW w:w="9240" w:type="dxa"/>
            <w:vAlign w:val="bottom"/>
          </w:tcPr>
          <w:p>
            <w:pPr>
              <w:ind w:left="100"/>
              <w:spacing w:after="0"/>
              <w:rPr>
                <w:sz w:val="20"/>
                <w:szCs w:val="20"/>
                <w:color w:val="auto"/>
              </w:rPr>
            </w:pPr>
            <w:r>
              <w:rPr>
                <w:rFonts w:ascii="Arial" w:cs="Arial" w:eastAsia="Arial" w:hAnsi="Arial"/>
                <w:sz w:val="18"/>
                <w:szCs w:val="18"/>
                <w:color w:val="auto"/>
              </w:rPr>
              <w:t>Certifications of Chief Financial Officer pursuant to Rule 13a-14(a) under the Securities Exchange Act of 1934.</w:t>
            </w:r>
          </w:p>
        </w:tc>
      </w:tr>
    </w:tbl>
    <w:p>
      <w:pPr>
        <w:sectPr>
          <w:pgSz w:w="11900" w:h="16838" w:orient="portrait"/>
          <w:cols w:equalWidth="0" w:num="1">
            <w:col w:w="11420"/>
          </w:cols>
          <w:pgMar w:left="240" w:top="922" w:right="239" w:bottom="0" w:gutter="0" w:footer="0" w:header="0"/>
        </w:sectPr>
      </w:pPr>
    </w:p>
    <w:bookmarkStart w:id="115" w:name="page116"/>
    <w:bookmarkEnd w:id="115"/>
    <w:p>
      <w:pPr>
        <w:ind w:left="692" w:hanging="699"/>
        <w:spacing w:after="0" w:line="277" w:lineRule="auto"/>
        <w:tabs>
          <w:tab w:leader="none" w:pos="67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Certifications by the Chief Executive Officer and Chief Financial Officer pursuant to 18 USC Section 1350, as adopted pursuant to Section 906 of the Sarbanes-Oxley Act of 2002.</w:t>
      </w:r>
    </w:p>
    <w:p>
      <w:pPr>
        <w:spacing w:after="0" w:line="170" w:lineRule="exact"/>
        <w:rPr>
          <w:sz w:val="20"/>
          <w:szCs w:val="20"/>
          <w:color w:val="auto"/>
        </w:rPr>
      </w:pPr>
    </w:p>
    <w:p>
      <w:pPr>
        <w:ind w:left="692" w:hanging="692"/>
        <w:spacing w:after="0"/>
        <w:tabs>
          <w:tab w:leader="none" w:pos="6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6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JUNE 30, 2014, 2013, AND 2012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40" w:type="dxa"/>
            <w:vAlign w:val="bottom"/>
            <w:gridSpan w:val="2"/>
          </w:tcPr>
          <w:p>
            <w:pPr>
              <w:jc w:val="center"/>
              <w:ind w:right="50"/>
              <w:spacing w:after="0"/>
              <w:rPr>
                <w:sz w:val="20"/>
                <w:szCs w:val="20"/>
                <w:color w:val="auto"/>
              </w:rPr>
            </w:pPr>
            <w:r>
              <w:rPr>
                <w:rFonts w:ascii="Arial" w:cs="Arial" w:eastAsia="Arial" w:hAnsi="Arial"/>
                <w:sz w:val="18"/>
                <w:szCs w:val="18"/>
                <w:color w:val="auto"/>
                <w:w w:val="91"/>
              </w:rPr>
              <w:t>Deductions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40" w:type="dxa"/>
            <w:vAlign w:val="bottom"/>
            <w:gridSpan w:val="2"/>
          </w:tcPr>
          <w:p>
            <w:pPr>
              <w:jc w:val="center"/>
              <w:ind w:right="50"/>
              <w:spacing w:after="0"/>
              <w:rPr>
                <w:sz w:val="20"/>
                <w:szCs w:val="20"/>
                <w:color w:val="auto"/>
              </w:rPr>
            </w:pPr>
            <w:r>
              <w:rPr>
                <w:rFonts w:ascii="Arial" w:cs="Arial" w:eastAsia="Arial" w:hAnsi="Arial"/>
                <w:sz w:val="18"/>
                <w:szCs w:val="18"/>
                <w:color w:val="auto"/>
                <w:w w:val="94"/>
              </w:rPr>
              <w:t>uncollectible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20" w:type="dxa"/>
            <w:vAlign w:val="bottom"/>
          </w:tcPr>
          <w:p>
            <w:pPr>
              <w:jc w:val="center"/>
              <w:ind w:right="350"/>
              <w:spacing w:after="0"/>
              <w:rPr>
                <w:sz w:val="20"/>
                <w:szCs w:val="20"/>
                <w:color w:val="auto"/>
              </w:rPr>
            </w:pPr>
            <w:r>
              <w:rPr>
                <w:rFonts w:ascii="Arial" w:cs="Arial" w:eastAsia="Arial" w:hAnsi="Arial"/>
                <w:sz w:val="18"/>
                <w:szCs w:val="18"/>
                <w:color w:val="auto"/>
                <w:w w:val="86"/>
              </w:rPr>
              <w:t>Balance at</w:t>
            </w:r>
          </w:p>
        </w:tc>
        <w:tc>
          <w:tcPr>
            <w:tcW w:w="280" w:type="dxa"/>
            <w:vAlign w:val="bottom"/>
          </w:tcPr>
          <w:p>
            <w:pPr>
              <w:spacing w:after="0"/>
              <w:rPr>
                <w:sz w:val="18"/>
                <w:szCs w:val="18"/>
                <w:color w:val="auto"/>
              </w:rPr>
            </w:pPr>
          </w:p>
        </w:tc>
        <w:tc>
          <w:tcPr>
            <w:tcW w:w="1220" w:type="dxa"/>
            <w:vAlign w:val="bottom"/>
          </w:tcPr>
          <w:p>
            <w:pPr>
              <w:jc w:val="center"/>
              <w:ind w:right="330"/>
              <w:spacing w:after="0"/>
              <w:rPr>
                <w:sz w:val="20"/>
                <w:szCs w:val="20"/>
                <w:color w:val="auto"/>
              </w:rPr>
            </w:pPr>
            <w:r>
              <w:rPr>
                <w:rFonts w:ascii="Arial" w:cs="Arial" w:eastAsia="Arial" w:hAnsi="Arial"/>
                <w:sz w:val="18"/>
                <w:szCs w:val="18"/>
                <w:color w:val="auto"/>
                <w:w w:val="97"/>
              </w:rPr>
              <w:t>Additions</w:t>
            </w:r>
          </w:p>
        </w:tc>
        <w:tc>
          <w:tcPr>
            <w:tcW w:w="240" w:type="dxa"/>
            <w:vAlign w:val="bottom"/>
          </w:tcPr>
          <w:p>
            <w:pPr>
              <w:spacing w:after="0"/>
              <w:rPr>
                <w:sz w:val="18"/>
                <w:szCs w:val="18"/>
                <w:color w:val="auto"/>
              </w:rPr>
            </w:pPr>
          </w:p>
        </w:tc>
        <w:tc>
          <w:tcPr>
            <w:tcW w:w="1200" w:type="dxa"/>
            <w:vAlign w:val="bottom"/>
          </w:tcPr>
          <w:p>
            <w:pPr>
              <w:jc w:val="center"/>
              <w:ind w:right="290"/>
              <w:spacing w:after="0"/>
              <w:rPr>
                <w:sz w:val="20"/>
                <w:szCs w:val="20"/>
                <w:color w:val="auto"/>
              </w:rPr>
            </w:pPr>
            <w:r>
              <w:rPr>
                <w:rFonts w:ascii="Arial" w:cs="Arial" w:eastAsia="Arial" w:hAnsi="Arial"/>
                <w:sz w:val="18"/>
                <w:szCs w:val="18"/>
                <w:color w:val="auto"/>
                <w:w w:val="90"/>
              </w:rPr>
              <w:t>receivables</w:t>
            </w:r>
          </w:p>
        </w:tc>
        <w:tc>
          <w:tcPr>
            <w:tcW w:w="300" w:type="dxa"/>
            <w:vAlign w:val="bottom"/>
          </w:tcPr>
          <w:p>
            <w:pPr>
              <w:spacing w:after="0"/>
              <w:rPr>
                <w:sz w:val="18"/>
                <w:szCs w:val="18"/>
                <w:color w:val="auto"/>
              </w:rPr>
            </w:pPr>
          </w:p>
        </w:tc>
        <w:tc>
          <w:tcPr>
            <w:tcW w:w="1100" w:type="dxa"/>
            <w:vAlign w:val="bottom"/>
          </w:tcPr>
          <w:p>
            <w:pPr>
              <w:jc w:val="center"/>
              <w:ind w:right="270"/>
              <w:spacing w:after="0"/>
              <w:rPr>
                <w:sz w:val="20"/>
                <w:szCs w:val="20"/>
                <w:color w:val="auto"/>
              </w:rPr>
            </w:pPr>
            <w:r>
              <w:rPr>
                <w:rFonts w:ascii="Arial" w:cs="Arial" w:eastAsia="Arial" w:hAnsi="Arial"/>
                <w:sz w:val="18"/>
                <w:szCs w:val="18"/>
                <w:color w:val="auto"/>
                <w:w w:val="89"/>
              </w:rPr>
              <w:t>Balance</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20" w:type="dxa"/>
            <w:vAlign w:val="bottom"/>
          </w:tcPr>
          <w:p>
            <w:pPr>
              <w:jc w:val="center"/>
              <w:ind w:right="370"/>
              <w:spacing w:after="0"/>
              <w:rPr>
                <w:sz w:val="20"/>
                <w:szCs w:val="20"/>
                <w:color w:val="auto"/>
              </w:rPr>
            </w:pPr>
            <w:r>
              <w:rPr>
                <w:rFonts w:ascii="Arial" w:cs="Arial" w:eastAsia="Arial" w:hAnsi="Arial"/>
                <w:sz w:val="18"/>
                <w:szCs w:val="18"/>
                <w:color w:val="auto"/>
                <w:w w:val="92"/>
              </w:rPr>
              <w:t>beginning</w:t>
            </w:r>
          </w:p>
        </w:tc>
        <w:tc>
          <w:tcPr>
            <w:tcW w:w="280" w:type="dxa"/>
            <w:vAlign w:val="bottom"/>
          </w:tcPr>
          <w:p>
            <w:pPr>
              <w:spacing w:after="0"/>
              <w:rPr>
                <w:sz w:val="18"/>
                <w:szCs w:val="18"/>
                <w:color w:val="auto"/>
              </w:rPr>
            </w:pPr>
          </w:p>
        </w:tc>
        <w:tc>
          <w:tcPr>
            <w:tcW w:w="1220" w:type="dxa"/>
            <w:vAlign w:val="bottom"/>
          </w:tcPr>
          <w:p>
            <w:pPr>
              <w:jc w:val="center"/>
              <w:ind w:right="330"/>
              <w:spacing w:after="0"/>
              <w:rPr>
                <w:sz w:val="20"/>
                <w:szCs w:val="20"/>
                <w:color w:val="auto"/>
              </w:rPr>
            </w:pPr>
            <w:r>
              <w:rPr>
                <w:rFonts w:ascii="Arial" w:cs="Arial" w:eastAsia="Arial" w:hAnsi="Arial"/>
                <w:sz w:val="18"/>
                <w:szCs w:val="18"/>
                <w:color w:val="auto"/>
                <w:w w:val="89"/>
              </w:rPr>
              <w:t>charged to</w:t>
            </w:r>
          </w:p>
        </w:tc>
        <w:tc>
          <w:tcPr>
            <w:tcW w:w="1440" w:type="dxa"/>
            <w:vAlign w:val="bottom"/>
            <w:gridSpan w:val="2"/>
          </w:tcPr>
          <w:p>
            <w:pPr>
              <w:jc w:val="center"/>
              <w:ind w:right="50"/>
              <w:spacing w:after="0"/>
              <w:rPr>
                <w:sz w:val="20"/>
                <w:szCs w:val="20"/>
                <w:color w:val="auto"/>
              </w:rPr>
            </w:pPr>
            <w:r>
              <w:rPr>
                <w:rFonts w:ascii="Arial" w:cs="Arial" w:eastAsia="Arial" w:hAnsi="Arial"/>
                <w:sz w:val="18"/>
                <w:szCs w:val="18"/>
                <w:color w:val="auto"/>
                <w:w w:val="93"/>
              </w:rPr>
              <w:t>written off, net</w:t>
            </w:r>
          </w:p>
        </w:tc>
        <w:tc>
          <w:tcPr>
            <w:tcW w:w="300" w:type="dxa"/>
            <w:vAlign w:val="bottom"/>
          </w:tcPr>
          <w:p>
            <w:pPr>
              <w:spacing w:after="0"/>
              <w:rPr>
                <w:sz w:val="18"/>
                <w:szCs w:val="18"/>
                <w:color w:val="auto"/>
              </w:rPr>
            </w:pPr>
          </w:p>
        </w:tc>
        <w:tc>
          <w:tcPr>
            <w:tcW w:w="1100" w:type="dxa"/>
            <w:vAlign w:val="bottom"/>
          </w:tcPr>
          <w:p>
            <w:pPr>
              <w:jc w:val="center"/>
              <w:ind w:right="270"/>
              <w:spacing w:after="0"/>
              <w:rPr>
                <w:sz w:val="20"/>
                <w:szCs w:val="20"/>
                <w:color w:val="auto"/>
              </w:rPr>
            </w:pPr>
            <w:r>
              <w:rPr>
                <w:rFonts w:ascii="Arial" w:cs="Arial" w:eastAsia="Arial" w:hAnsi="Arial"/>
                <w:sz w:val="18"/>
                <w:szCs w:val="18"/>
                <w:color w:val="auto"/>
                <w:w w:val="83"/>
              </w:rPr>
              <w:t>at end</w:t>
            </w:r>
          </w:p>
        </w:tc>
      </w:tr>
      <w:tr>
        <w:trPr>
          <w:trHeight w:val="237"/>
        </w:trPr>
        <w:tc>
          <w:tcPr>
            <w:tcW w:w="388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1980" w:type="dxa"/>
            <w:vAlign w:val="bottom"/>
          </w:tcPr>
          <w:p>
            <w:pPr>
              <w:spacing w:after="0"/>
              <w:rPr>
                <w:sz w:val="20"/>
                <w:szCs w:val="20"/>
                <w:color w:val="auto"/>
              </w:rPr>
            </w:pPr>
          </w:p>
        </w:tc>
        <w:tc>
          <w:tcPr>
            <w:tcW w:w="1220" w:type="dxa"/>
            <w:vAlign w:val="bottom"/>
          </w:tcPr>
          <w:p>
            <w:pPr>
              <w:jc w:val="center"/>
              <w:ind w:right="350"/>
              <w:spacing w:after="0"/>
              <w:rPr>
                <w:sz w:val="20"/>
                <w:szCs w:val="20"/>
                <w:color w:val="auto"/>
              </w:rPr>
            </w:pPr>
            <w:r>
              <w:rPr>
                <w:rFonts w:ascii="Arial" w:cs="Arial" w:eastAsia="Arial" w:hAnsi="Arial"/>
                <w:sz w:val="18"/>
                <w:szCs w:val="18"/>
                <w:color w:val="auto"/>
                <w:w w:val="94"/>
              </w:rPr>
              <w:t>of period</w:t>
            </w:r>
          </w:p>
        </w:tc>
        <w:tc>
          <w:tcPr>
            <w:tcW w:w="280" w:type="dxa"/>
            <w:vAlign w:val="bottom"/>
          </w:tcPr>
          <w:p>
            <w:pPr>
              <w:spacing w:after="0"/>
              <w:rPr>
                <w:sz w:val="20"/>
                <w:szCs w:val="20"/>
                <w:color w:val="auto"/>
              </w:rPr>
            </w:pPr>
          </w:p>
        </w:tc>
        <w:tc>
          <w:tcPr>
            <w:tcW w:w="1220" w:type="dxa"/>
            <w:vAlign w:val="bottom"/>
          </w:tcPr>
          <w:p>
            <w:pPr>
              <w:jc w:val="center"/>
              <w:ind w:right="330"/>
              <w:spacing w:after="0"/>
              <w:rPr>
                <w:sz w:val="20"/>
                <w:szCs w:val="20"/>
                <w:color w:val="auto"/>
              </w:rPr>
            </w:pPr>
            <w:r>
              <w:rPr>
                <w:rFonts w:ascii="Arial" w:cs="Arial" w:eastAsia="Arial" w:hAnsi="Arial"/>
                <w:sz w:val="18"/>
                <w:szCs w:val="18"/>
                <w:color w:val="auto"/>
                <w:w w:val="86"/>
              </w:rPr>
              <w:t>earnings</w:t>
            </w:r>
          </w:p>
        </w:tc>
        <w:tc>
          <w:tcPr>
            <w:tcW w:w="1440" w:type="dxa"/>
            <w:vAlign w:val="bottom"/>
            <w:gridSpan w:val="2"/>
          </w:tcPr>
          <w:p>
            <w:pPr>
              <w:jc w:val="center"/>
              <w:ind w:right="50"/>
              <w:spacing w:after="0"/>
              <w:rPr>
                <w:sz w:val="20"/>
                <w:szCs w:val="20"/>
                <w:color w:val="auto"/>
              </w:rPr>
            </w:pPr>
            <w:r>
              <w:rPr>
                <w:rFonts w:ascii="Arial" w:cs="Arial" w:eastAsia="Arial" w:hAnsi="Arial"/>
                <w:sz w:val="18"/>
                <w:szCs w:val="18"/>
                <w:color w:val="auto"/>
                <w:w w:val="91"/>
              </w:rPr>
              <w:t>of recoveries</w:t>
            </w:r>
          </w:p>
        </w:tc>
        <w:tc>
          <w:tcPr>
            <w:tcW w:w="300" w:type="dxa"/>
            <w:vAlign w:val="bottom"/>
          </w:tcPr>
          <w:p>
            <w:pPr>
              <w:spacing w:after="0"/>
              <w:rPr>
                <w:sz w:val="20"/>
                <w:szCs w:val="20"/>
                <w:color w:val="auto"/>
              </w:rPr>
            </w:pPr>
          </w:p>
        </w:tc>
        <w:tc>
          <w:tcPr>
            <w:tcW w:w="1100" w:type="dxa"/>
            <w:vAlign w:val="bottom"/>
          </w:tcPr>
          <w:p>
            <w:pPr>
              <w:jc w:val="center"/>
              <w:ind w:right="270"/>
              <w:spacing w:after="0"/>
              <w:rPr>
                <w:sz w:val="20"/>
                <w:szCs w:val="20"/>
                <w:color w:val="auto"/>
              </w:rPr>
            </w:pPr>
            <w:r>
              <w:rPr>
                <w:rFonts w:ascii="Arial" w:cs="Arial" w:eastAsia="Arial" w:hAnsi="Arial"/>
                <w:sz w:val="18"/>
                <w:szCs w:val="18"/>
                <w:color w:val="auto"/>
                <w:w w:val="94"/>
              </w:rPr>
              <w:t>of period</w:t>
            </w:r>
          </w:p>
        </w:tc>
      </w:tr>
      <w:tr>
        <w:trPr>
          <w:trHeight w:val="223"/>
        </w:trPr>
        <w:tc>
          <w:tcPr>
            <w:tcW w:w="20" w:type="dxa"/>
            <w:vAlign w:val="bottom"/>
          </w:tcPr>
          <w:p>
            <w:pPr>
              <w:spacing w:after="0"/>
              <w:rPr>
                <w:sz w:val="19"/>
                <w:szCs w:val="19"/>
                <w:color w:val="auto"/>
              </w:rPr>
            </w:pPr>
          </w:p>
        </w:tc>
        <w:tc>
          <w:tcPr>
            <w:tcW w:w="386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June 30, 2014</w:t>
            </w:r>
          </w:p>
        </w:tc>
        <w:tc>
          <w:tcPr>
            <w:tcW w:w="1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18,000</w:t>
            </w:r>
          </w:p>
        </w:tc>
        <w:tc>
          <w:tcPr>
            <w:tcW w:w="2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94,000</w:t>
            </w:r>
          </w:p>
        </w:tc>
        <w:tc>
          <w:tcPr>
            <w:tcW w:w="2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rPr>
              <w:t>49,000</w:t>
            </w:r>
          </w:p>
        </w:tc>
        <w:tc>
          <w:tcPr>
            <w:tcW w:w="3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63,000</w:t>
            </w: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30, 2013</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25,000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69,000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76,000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18,000</w:t>
            </w: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June 30, 2012</w:t>
            </w:r>
          </w:p>
        </w:tc>
        <w:tc>
          <w:tcPr>
            <w:tcW w:w="1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113,000</w:t>
            </w:r>
          </w:p>
        </w:tc>
        <w:tc>
          <w:tcPr>
            <w:tcW w:w="2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(46,000)</w:t>
            </w:r>
          </w:p>
        </w:tc>
        <w:tc>
          <w:tcPr>
            <w:tcW w:w="2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rPr>
              <w:t>42,000</w:t>
            </w:r>
          </w:p>
        </w:tc>
        <w:tc>
          <w:tcPr>
            <w:tcW w:w="3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25,000</w:t>
            </w:r>
          </w:p>
        </w:tc>
      </w:tr>
      <w:tr>
        <w:trPr>
          <w:trHeight w:val="418"/>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jc w:val="center"/>
              <w:ind w:right="350"/>
              <w:spacing w:after="0"/>
              <w:rPr>
                <w:sz w:val="20"/>
                <w:szCs w:val="20"/>
                <w:color w:val="auto"/>
              </w:rPr>
            </w:pPr>
            <w:r>
              <w:rPr>
                <w:rFonts w:ascii="Arial" w:cs="Arial" w:eastAsia="Arial" w:hAnsi="Arial"/>
                <w:sz w:val="18"/>
                <w:szCs w:val="18"/>
                <w:color w:val="auto"/>
                <w:w w:val="86"/>
              </w:rPr>
              <w:t>Balance at</w:t>
            </w:r>
          </w:p>
        </w:tc>
        <w:tc>
          <w:tcPr>
            <w:tcW w:w="280" w:type="dxa"/>
            <w:vAlign w:val="bottom"/>
          </w:tcPr>
          <w:p>
            <w:pPr>
              <w:spacing w:after="0"/>
              <w:rPr>
                <w:sz w:val="24"/>
                <w:szCs w:val="24"/>
                <w:color w:val="auto"/>
              </w:rPr>
            </w:pPr>
          </w:p>
        </w:tc>
        <w:tc>
          <w:tcPr>
            <w:tcW w:w="1220" w:type="dxa"/>
            <w:vAlign w:val="bottom"/>
          </w:tcPr>
          <w:p>
            <w:pPr>
              <w:jc w:val="center"/>
              <w:ind w:right="330"/>
              <w:spacing w:after="0"/>
              <w:rPr>
                <w:sz w:val="20"/>
                <w:szCs w:val="20"/>
                <w:color w:val="auto"/>
              </w:rPr>
            </w:pPr>
            <w:r>
              <w:rPr>
                <w:rFonts w:ascii="Arial" w:cs="Arial" w:eastAsia="Arial" w:hAnsi="Arial"/>
                <w:sz w:val="18"/>
                <w:szCs w:val="18"/>
                <w:color w:val="auto"/>
                <w:w w:val="97"/>
              </w:rPr>
              <w:t>Additions</w:t>
            </w:r>
          </w:p>
        </w:tc>
        <w:tc>
          <w:tcPr>
            <w:tcW w:w="1440" w:type="dxa"/>
            <w:vAlign w:val="bottom"/>
            <w:gridSpan w:val="2"/>
          </w:tcPr>
          <w:p>
            <w:pPr>
              <w:jc w:val="center"/>
              <w:ind w:right="50"/>
              <w:spacing w:after="0"/>
              <w:rPr>
                <w:sz w:val="20"/>
                <w:szCs w:val="20"/>
                <w:color w:val="auto"/>
              </w:rPr>
            </w:pPr>
            <w:r>
              <w:rPr>
                <w:rFonts w:ascii="Arial" w:cs="Arial" w:eastAsia="Arial" w:hAnsi="Arial"/>
                <w:sz w:val="18"/>
                <w:szCs w:val="18"/>
                <w:color w:val="auto"/>
                <w:w w:val="90"/>
              </w:rPr>
              <w:t>Deductions,</w:t>
            </w:r>
          </w:p>
        </w:tc>
        <w:tc>
          <w:tcPr>
            <w:tcW w:w="300" w:type="dxa"/>
            <w:vAlign w:val="bottom"/>
          </w:tcPr>
          <w:p>
            <w:pPr>
              <w:spacing w:after="0"/>
              <w:rPr>
                <w:sz w:val="24"/>
                <w:szCs w:val="24"/>
                <w:color w:val="auto"/>
              </w:rPr>
            </w:pPr>
          </w:p>
        </w:tc>
        <w:tc>
          <w:tcPr>
            <w:tcW w:w="1100" w:type="dxa"/>
            <w:vAlign w:val="bottom"/>
          </w:tcPr>
          <w:p>
            <w:pPr>
              <w:jc w:val="center"/>
              <w:ind w:right="270"/>
              <w:spacing w:after="0"/>
              <w:rPr>
                <w:sz w:val="20"/>
                <w:szCs w:val="20"/>
                <w:color w:val="auto"/>
              </w:rPr>
            </w:pPr>
            <w:r>
              <w:rPr>
                <w:rFonts w:ascii="Arial" w:cs="Arial" w:eastAsia="Arial" w:hAnsi="Arial"/>
                <w:sz w:val="18"/>
                <w:szCs w:val="18"/>
                <w:color w:val="auto"/>
                <w:w w:val="89"/>
              </w:rPr>
              <w:t>Balance</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20" w:type="dxa"/>
            <w:vAlign w:val="bottom"/>
          </w:tcPr>
          <w:p>
            <w:pPr>
              <w:jc w:val="center"/>
              <w:ind w:right="370"/>
              <w:spacing w:after="0"/>
              <w:rPr>
                <w:sz w:val="20"/>
                <w:szCs w:val="20"/>
                <w:color w:val="auto"/>
              </w:rPr>
            </w:pPr>
            <w:r>
              <w:rPr>
                <w:rFonts w:ascii="Arial" w:cs="Arial" w:eastAsia="Arial" w:hAnsi="Arial"/>
                <w:sz w:val="18"/>
                <w:szCs w:val="18"/>
                <w:color w:val="auto"/>
                <w:w w:val="92"/>
              </w:rPr>
              <w:t>beginning</w:t>
            </w:r>
          </w:p>
        </w:tc>
        <w:tc>
          <w:tcPr>
            <w:tcW w:w="280" w:type="dxa"/>
            <w:vAlign w:val="bottom"/>
          </w:tcPr>
          <w:p>
            <w:pPr>
              <w:spacing w:after="0"/>
              <w:rPr>
                <w:sz w:val="18"/>
                <w:szCs w:val="18"/>
                <w:color w:val="auto"/>
              </w:rPr>
            </w:pPr>
          </w:p>
        </w:tc>
        <w:tc>
          <w:tcPr>
            <w:tcW w:w="1220" w:type="dxa"/>
            <w:vAlign w:val="bottom"/>
          </w:tcPr>
          <w:p>
            <w:pPr>
              <w:jc w:val="center"/>
              <w:ind w:right="330"/>
              <w:spacing w:after="0"/>
              <w:rPr>
                <w:sz w:val="20"/>
                <w:szCs w:val="20"/>
                <w:color w:val="auto"/>
              </w:rPr>
            </w:pPr>
            <w:r>
              <w:rPr>
                <w:rFonts w:ascii="Arial" w:cs="Arial" w:eastAsia="Arial" w:hAnsi="Arial"/>
                <w:sz w:val="18"/>
                <w:szCs w:val="18"/>
                <w:color w:val="auto"/>
                <w:w w:val="89"/>
              </w:rPr>
              <w:t>charged to</w:t>
            </w:r>
          </w:p>
        </w:tc>
        <w:tc>
          <w:tcPr>
            <w:tcW w:w="1440" w:type="dxa"/>
            <w:vAlign w:val="bottom"/>
            <w:gridSpan w:val="2"/>
          </w:tcPr>
          <w:p>
            <w:pPr>
              <w:jc w:val="center"/>
              <w:ind w:right="50"/>
              <w:spacing w:after="0"/>
              <w:rPr>
                <w:sz w:val="20"/>
                <w:szCs w:val="20"/>
                <w:color w:val="auto"/>
              </w:rPr>
            </w:pPr>
            <w:r>
              <w:rPr>
                <w:rFonts w:ascii="Arial" w:cs="Arial" w:eastAsia="Arial" w:hAnsi="Arial"/>
                <w:sz w:val="18"/>
                <w:szCs w:val="18"/>
                <w:color w:val="auto"/>
                <w:w w:val="87"/>
              </w:rPr>
              <w:t>Shrinkage and</w:t>
            </w:r>
          </w:p>
        </w:tc>
        <w:tc>
          <w:tcPr>
            <w:tcW w:w="300" w:type="dxa"/>
            <w:vAlign w:val="bottom"/>
          </w:tcPr>
          <w:p>
            <w:pPr>
              <w:spacing w:after="0"/>
              <w:rPr>
                <w:sz w:val="18"/>
                <w:szCs w:val="18"/>
                <w:color w:val="auto"/>
              </w:rPr>
            </w:pPr>
          </w:p>
        </w:tc>
        <w:tc>
          <w:tcPr>
            <w:tcW w:w="1100" w:type="dxa"/>
            <w:vAlign w:val="bottom"/>
          </w:tcPr>
          <w:p>
            <w:pPr>
              <w:jc w:val="center"/>
              <w:ind w:right="270"/>
              <w:spacing w:after="0"/>
              <w:rPr>
                <w:sz w:val="20"/>
                <w:szCs w:val="20"/>
                <w:color w:val="auto"/>
              </w:rPr>
            </w:pPr>
            <w:r>
              <w:rPr>
                <w:rFonts w:ascii="Arial" w:cs="Arial" w:eastAsia="Arial" w:hAnsi="Arial"/>
                <w:sz w:val="18"/>
                <w:szCs w:val="18"/>
                <w:color w:val="auto"/>
                <w:w w:val="83"/>
              </w:rPr>
              <w:t>at end</w:t>
            </w:r>
          </w:p>
        </w:tc>
      </w:tr>
      <w:tr>
        <w:trPr>
          <w:trHeight w:val="237"/>
        </w:trPr>
        <w:tc>
          <w:tcPr>
            <w:tcW w:w="388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1980" w:type="dxa"/>
            <w:vAlign w:val="bottom"/>
          </w:tcPr>
          <w:p>
            <w:pPr>
              <w:spacing w:after="0"/>
              <w:rPr>
                <w:sz w:val="20"/>
                <w:szCs w:val="20"/>
                <w:color w:val="auto"/>
              </w:rPr>
            </w:pPr>
          </w:p>
        </w:tc>
        <w:tc>
          <w:tcPr>
            <w:tcW w:w="1220" w:type="dxa"/>
            <w:vAlign w:val="bottom"/>
          </w:tcPr>
          <w:p>
            <w:pPr>
              <w:jc w:val="center"/>
              <w:ind w:right="350"/>
              <w:spacing w:after="0"/>
              <w:rPr>
                <w:sz w:val="20"/>
                <w:szCs w:val="20"/>
                <w:color w:val="auto"/>
              </w:rPr>
            </w:pPr>
            <w:r>
              <w:rPr>
                <w:rFonts w:ascii="Arial" w:cs="Arial" w:eastAsia="Arial" w:hAnsi="Arial"/>
                <w:sz w:val="18"/>
                <w:szCs w:val="18"/>
                <w:color w:val="auto"/>
                <w:w w:val="94"/>
              </w:rPr>
              <w:t>of period</w:t>
            </w:r>
          </w:p>
        </w:tc>
        <w:tc>
          <w:tcPr>
            <w:tcW w:w="280" w:type="dxa"/>
            <w:vAlign w:val="bottom"/>
          </w:tcPr>
          <w:p>
            <w:pPr>
              <w:spacing w:after="0"/>
              <w:rPr>
                <w:sz w:val="20"/>
                <w:szCs w:val="20"/>
                <w:color w:val="auto"/>
              </w:rPr>
            </w:pPr>
          </w:p>
        </w:tc>
        <w:tc>
          <w:tcPr>
            <w:tcW w:w="1220" w:type="dxa"/>
            <w:vAlign w:val="bottom"/>
          </w:tcPr>
          <w:p>
            <w:pPr>
              <w:jc w:val="center"/>
              <w:ind w:right="330"/>
              <w:spacing w:after="0"/>
              <w:rPr>
                <w:sz w:val="20"/>
                <w:szCs w:val="20"/>
                <w:color w:val="auto"/>
              </w:rPr>
            </w:pPr>
            <w:r>
              <w:rPr>
                <w:rFonts w:ascii="Arial" w:cs="Arial" w:eastAsia="Arial" w:hAnsi="Arial"/>
                <w:sz w:val="18"/>
                <w:szCs w:val="18"/>
                <w:color w:val="auto"/>
                <w:w w:val="86"/>
              </w:rPr>
              <w:t>earnings</w:t>
            </w:r>
          </w:p>
        </w:tc>
        <w:tc>
          <w:tcPr>
            <w:tcW w:w="1440" w:type="dxa"/>
            <w:vAlign w:val="bottom"/>
            <w:gridSpan w:val="2"/>
          </w:tcPr>
          <w:p>
            <w:pPr>
              <w:jc w:val="center"/>
              <w:ind w:right="50"/>
              <w:spacing w:after="0"/>
              <w:rPr>
                <w:sz w:val="20"/>
                <w:szCs w:val="20"/>
                <w:color w:val="auto"/>
              </w:rPr>
            </w:pPr>
            <w:r>
              <w:rPr>
                <w:rFonts w:ascii="Arial" w:cs="Arial" w:eastAsia="Arial" w:hAnsi="Arial"/>
                <w:sz w:val="18"/>
                <w:szCs w:val="18"/>
                <w:color w:val="auto"/>
                <w:w w:val="85"/>
              </w:rPr>
              <w:t>obsolescence</w:t>
            </w:r>
          </w:p>
        </w:tc>
        <w:tc>
          <w:tcPr>
            <w:tcW w:w="300" w:type="dxa"/>
            <w:vAlign w:val="bottom"/>
          </w:tcPr>
          <w:p>
            <w:pPr>
              <w:spacing w:after="0"/>
              <w:rPr>
                <w:sz w:val="20"/>
                <w:szCs w:val="20"/>
                <w:color w:val="auto"/>
              </w:rPr>
            </w:pPr>
          </w:p>
        </w:tc>
        <w:tc>
          <w:tcPr>
            <w:tcW w:w="1100" w:type="dxa"/>
            <w:vAlign w:val="bottom"/>
          </w:tcPr>
          <w:p>
            <w:pPr>
              <w:jc w:val="center"/>
              <w:ind w:right="270"/>
              <w:spacing w:after="0"/>
              <w:rPr>
                <w:sz w:val="20"/>
                <w:szCs w:val="20"/>
                <w:color w:val="auto"/>
              </w:rPr>
            </w:pPr>
            <w:r>
              <w:rPr>
                <w:rFonts w:ascii="Arial" w:cs="Arial" w:eastAsia="Arial" w:hAnsi="Arial"/>
                <w:sz w:val="18"/>
                <w:szCs w:val="18"/>
                <w:color w:val="auto"/>
                <w:w w:val="94"/>
              </w:rPr>
              <w:t>of period</w:t>
            </w:r>
          </w:p>
        </w:tc>
      </w:tr>
      <w:tr>
        <w:trPr>
          <w:trHeight w:val="223"/>
        </w:trPr>
        <w:tc>
          <w:tcPr>
            <w:tcW w:w="20" w:type="dxa"/>
            <w:vAlign w:val="bottom"/>
          </w:tcPr>
          <w:p>
            <w:pPr>
              <w:spacing w:after="0"/>
              <w:rPr>
                <w:sz w:val="19"/>
                <w:szCs w:val="19"/>
                <w:color w:val="auto"/>
              </w:rPr>
            </w:pPr>
          </w:p>
        </w:tc>
        <w:tc>
          <w:tcPr>
            <w:tcW w:w="386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June 30, 2014</w:t>
            </w:r>
          </w:p>
        </w:tc>
        <w:tc>
          <w:tcPr>
            <w:tcW w:w="1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727,000</w:t>
            </w:r>
          </w:p>
        </w:tc>
        <w:tc>
          <w:tcPr>
            <w:tcW w:w="2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164,000</w:t>
            </w:r>
          </w:p>
        </w:tc>
        <w:tc>
          <w:tcPr>
            <w:tcW w:w="2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rPr>
              <w:t>126,000</w:t>
            </w:r>
          </w:p>
        </w:tc>
        <w:tc>
          <w:tcPr>
            <w:tcW w:w="3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765,000</w:t>
            </w: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30, 2013</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712,000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135,000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120,000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727,000</w:t>
            </w: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June 30, 2012</w:t>
            </w:r>
          </w:p>
        </w:tc>
        <w:tc>
          <w:tcPr>
            <w:tcW w:w="1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628,000</w:t>
            </w:r>
          </w:p>
        </w:tc>
        <w:tc>
          <w:tcPr>
            <w:tcW w:w="2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136,000</w:t>
            </w:r>
          </w:p>
        </w:tc>
        <w:tc>
          <w:tcPr>
            <w:tcW w:w="2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rPr>
              <w:t>52,000</w:t>
            </w:r>
          </w:p>
        </w:tc>
        <w:tc>
          <w:tcPr>
            <w:tcW w:w="3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712,000</w:t>
            </w:r>
          </w:p>
        </w:tc>
      </w:tr>
      <w:tr>
        <w:trPr>
          <w:trHeight w:val="675"/>
        </w:trPr>
        <w:tc>
          <w:tcPr>
            <w:tcW w:w="20" w:type="dxa"/>
            <w:vAlign w:val="bottom"/>
          </w:tcPr>
          <w:p>
            <w:pPr>
              <w:spacing w:after="0"/>
              <w:rPr>
                <w:sz w:val="24"/>
                <w:szCs w:val="24"/>
                <w:color w:val="auto"/>
              </w:rPr>
            </w:pPr>
          </w:p>
        </w:tc>
        <w:tc>
          <w:tcPr>
            <w:tcW w:w="3860" w:type="dxa"/>
            <w:vAlign w:val="bottom"/>
            <w:tcBorders>
              <w:bottom w:val="single" w:sz="8" w:color="DCDCDC"/>
            </w:tcBorders>
          </w:tcPr>
          <w:p>
            <w:pPr>
              <w:spacing w:after="0"/>
              <w:rPr>
                <w:sz w:val="24"/>
                <w:szCs w:val="24"/>
                <w:color w:val="auto"/>
              </w:rPr>
            </w:pPr>
          </w:p>
        </w:tc>
        <w:tc>
          <w:tcPr>
            <w:tcW w:w="1980" w:type="dxa"/>
            <w:vAlign w:val="bottom"/>
            <w:tcBorders>
              <w:bottom w:val="single" w:sz="8" w:color="DCDCDC"/>
            </w:tcBorders>
          </w:tcPr>
          <w:p>
            <w:pPr>
              <w:jc w:val="right"/>
              <w:spacing w:after="0"/>
              <w:rPr>
                <w:sz w:val="20"/>
                <w:szCs w:val="20"/>
                <w:color w:val="auto"/>
              </w:rPr>
            </w:pPr>
            <w:r>
              <w:rPr>
                <w:rFonts w:ascii="Arial" w:cs="Arial" w:eastAsia="Arial" w:hAnsi="Arial"/>
                <w:sz w:val="18"/>
                <w:szCs w:val="18"/>
                <w:color w:val="auto"/>
              </w:rPr>
              <w:t>54</w:t>
            </w:r>
          </w:p>
        </w:tc>
        <w:tc>
          <w:tcPr>
            <w:tcW w:w="122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122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20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1161"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Section 13 or 15(d) of the Exchange Act, the registrant has duly caused this report to be signed on its behalf by the undersigned, thereunto duly authorized.</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USA TECHNOLOGIES, INC.</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00660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06600"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Stephen P. Herbert, Chairman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and Chief Executive Officer</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Exchange Act,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SIGNATURES</w:t>
            </w:r>
          </w:p>
        </w:tc>
        <w:tc>
          <w:tcPr>
            <w:tcW w:w="36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gridSpan w:val="2"/>
          </w:tcPr>
          <w:p>
            <w:pPr>
              <w:ind w:left="380"/>
              <w:spacing w:after="0"/>
              <w:rPr>
                <w:sz w:val="20"/>
                <w:szCs w:val="20"/>
                <w:color w:val="auto"/>
              </w:rPr>
            </w:pPr>
            <w:r>
              <w:rPr>
                <w:rFonts w:ascii="Arial" w:cs="Arial" w:eastAsia="Arial" w:hAnsi="Arial"/>
                <w:sz w:val="18"/>
                <w:szCs w:val="18"/>
                <w:color w:val="auto"/>
              </w:rPr>
              <w:t>DATE</w:t>
            </w:r>
          </w:p>
        </w:tc>
      </w:tr>
      <w:tr>
        <w:trPr>
          <w:trHeight w:val="27"/>
        </w:trPr>
        <w:tc>
          <w:tcPr>
            <w:tcW w:w="3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0" w:type="dxa"/>
            <w:vAlign w:val="bottom"/>
            <w:shd w:val="clear" w:color="auto" w:fill="000000"/>
          </w:tcPr>
          <w:p>
            <w:pPr>
              <w:spacing w:after="0"/>
              <w:rPr>
                <w:sz w:val="2"/>
                <w:szCs w:val="2"/>
                <w:color w:val="auto"/>
              </w:rPr>
            </w:pPr>
          </w:p>
        </w:tc>
      </w:tr>
      <w:tr>
        <w:trPr>
          <w:trHeight w:val="439"/>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c>
          <w:tcPr>
            <w:tcW w:w="36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4580" w:type="dxa"/>
            <w:vAlign w:val="bottom"/>
            <w:gridSpan w:val="2"/>
          </w:tcPr>
          <w:p>
            <w:pPr>
              <w:ind w:left="380"/>
              <w:spacing w:after="0"/>
              <w:rPr>
                <w:sz w:val="20"/>
                <w:szCs w:val="20"/>
                <w:color w:val="auto"/>
              </w:rPr>
            </w:pPr>
            <w:r>
              <w:rPr>
                <w:rFonts w:ascii="Arial" w:cs="Arial" w:eastAsia="Arial" w:hAnsi="Arial"/>
                <w:sz w:val="18"/>
                <w:szCs w:val="18"/>
                <w:color w:val="auto"/>
              </w:rPr>
              <w:t>September 29, 2014</w:t>
            </w:r>
          </w:p>
        </w:tc>
      </w:tr>
      <w:tr>
        <w:trPr>
          <w:trHeight w:val="202"/>
        </w:trPr>
        <w:tc>
          <w:tcPr>
            <w:tcW w:w="3300" w:type="dxa"/>
            <w:vAlign w:val="bottom"/>
          </w:tcPr>
          <w:p>
            <w:pPr>
              <w:spacing w:after="0" w:line="201" w:lineRule="exact"/>
              <w:rPr>
                <w:sz w:val="20"/>
                <w:szCs w:val="20"/>
                <w:color w:val="auto"/>
              </w:rPr>
            </w:pPr>
            <w:r>
              <w:rPr>
                <w:rFonts w:ascii="Arial" w:cs="Arial" w:eastAsia="Arial" w:hAnsi="Arial"/>
                <w:sz w:val="18"/>
                <w:szCs w:val="18"/>
                <w:color w:val="auto"/>
              </w:rPr>
              <w:t>Stephen P. Herbert</w:t>
            </w:r>
          </w:p>
        </w:tc>
        <w:tc>
          <w:tcPr>
            <w:tcW w:w="36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and Chief Executive Officer</w:t>
            </w:r>
          </w:p>
        </w:tc>
        <w:tc>
          <w:tcPr>
            <w:tcW w:w="380" w:type="dxa"/>
            <w:vAlign w:val="bottom"/>
          </w:tcPr>
          <w:p>
            <w:pPr>
              <w:spacing w:after="0"/>
              <w:rPr>
                <w:sz w:val="17"/>
                <w:szCs w:val="17"/>
                <w:color w:val="auto"/>
              </w:rPr>
            </w:pPr>
          </w:p>
        </w:tc>
        <w:tc>
          <w:tcPr>
            <w:tcW w:w="4200" w:type="dxa"/>
            <w:vAlign w:val="bottom"/>
          </w:tcPr>
          <w:p>
            <w:pPr>
              <w:spacing w:after="0"/>
              <w:rPr>
                <w:sz w:val="17"/>
                <w:szCs w:val="17"/>
                <w:color w:val="auto"/>
              </w:rPr>
            </w:pPr>
          </w:p>
        </w:tc>
      </w:tr>
      <w:tr>
        <w:trPr>
          <w:trHeight w:val="230"/>
        </w:trPr>
        <w:tc>
          <w:tcPr>
            <w:tcW w:w="3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38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439"/>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 DeMedio</w:t>
            </w:r>
          </w:p>
        </w:tc>
        <w:tc>
          <w:tcPr>
            <w:tcW w:w="36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Chief Financial Officer (Principal</w:t>
            </w:r>
          </w:p>
        </w:tc>
        <w:tc>
          <w:tcPr>
            <w:tcW w:w="4580" w:type="dxa"/>
            <w:vAlign w:val="bottom"/>
            <w:gridSpan w:val="2"/>
          </w:tcPr>
          <w:p>
            <w:pPr>
              <w:ind w:left="380"/>
              <w:spacing w:after="0"/>
              <w:rPr>
                <w:sz w:val="20"/>
                <w:szCs w:val="20"/>
                <w:color w:val="auto"/>
              </w:rPr>
            </w:pPr>
            <w:r>
              <w:rPr>
                <w:rFonts w:ascii="Arial" w:cs="Arial" w:eastAsia="Arial" w:hAnsi="Arial"/>
                <w:sz w:val="18"/>
                <w:szCs w:val="18"/>
                <w:color w:val="auto"/>
              </w:rPr>
              <w:t>September 29, 2014</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David M. DeMedio</w:t>
            </w:r>
          </w:p>
        </w:tc>
        <w:tc>
          <w:tcPr>
            <w:tcW w:w="36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Accounting Officer)</w:t>
            </w:r>
          </w:p>
        </w:tc>
        <w:tc>
          <w:tcPr>
            <w:tcW w:w="38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425"/>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Deborah G. Arnold</w:t>
            </w:r>
          </w:p>
        </w:tc>
        <w:tc>
          <w:tcPr>
            <w:tcW w:w="36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Director</w:t>
            </w:r>
          </w:p>
        </w:tc>
        <w:tc>
          <w:tcPr>
            <w:tcW w:w="4580" w:type="dxa"/>
            <w:vAlign w:val="bottom"/>
            <w:gridSpan w:val="2"/>
          </w:tcPr>
          <w:p>
            <w:pPr>
              <w:ind w:left="380"/>
              <w:spacing w:after="0"/>
              <w:rPr>
                <w:sz w:val="20"/>
                <w:szCs w:val="20"/>
                <w:color w:val="auto"/>
              </w:rPr>
            </w:pPr>
            <w:r>
              <w:rPr>
                <w:rFonts w:ascii="Arial" w:cs="Arial" w:eastAsia="Arial" w:hAnsi="Arial"/>
                <w:sz w:val="18"/>
                <w:szCs w:val="18"/>
                <w:color w:val="auto"/>
              </w:rPr>
              <w:t>September 24, 2014</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Deborah G. Arnold</w:t>
            </w:r>
          </w:p>
        </w:tc>
        <w:tc>
          <w:tcPr>
            <w:tcW w:w="3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425"/>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D. Barnhart</w:t>
            </w:r>
          </w:p>
        </w:tc>
        <w:tc>
          <w:tcPr>
            <w:tcW w:w="36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Director</w:t>
            </w:r>
          </w:p>
        </w:tc>
        <w:tc>
          <w:tcPr>
            <w:tcW w:w="4580" w:type="dxa"/>
            <w:vAlign w:val="bottom"/>
            <w:gridSpan w:val="2"/>
          </w:tcPr>
          <w:p>
            <w:pPr>
              <w:ind w:left="380"/>
              <w:spacing w:after="0"/>
              <w:rPr>
                <w:sz w:val="20"/>
                <w:szCs w:val="20"/>
                <w:color w:val="auto"/>
              </w:rPr>
            </w:pPr>
            <w:r>
              <w:rPr>
                <w:rFonts w:ascii="Arial" w:cs="Arial" w:eastAsia="Arial" w:hAnsi="Arial"/>
                <w:sz w:val="18"/>
                <w:szCs w:val="18"/>
                <w:color w:val="auto"/>
              </w:rPr>
              <w:t>September 25, 2014</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Steven D. Barnhart</w:t>
            </w:r>
          </w:p>
        </w:tc>
        <w:tc>
          <w:tcPr>
            <w:tcW w:w="3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425"/>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Brooks</w:t>
            </w:r>
          </w:p>
        </w:tc>
        <w:tc>
          <w:tcPr>
            <w:tcW w:w="36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Director</w:t>
            </w:r>
          </w:p>
        </w:tc>
        <w:tc>
          <w:tcPr>
            <w:tcW w:w="4580" w:type="dxa"/>
            <w:vAlign w:val="bottom"/>
            <w:gridSpan w:val="2"/>
          </w:tcPr>
          <w:p>
            <w:pPr>
              <w:ind w:left="380"/>
              <w:spacing w:after="0"/>
              <w:rPr>
                <w:sz w:val="20"/>
                <w:szCs w:val="20"/>
                <w:color w:val="auto"/>
              </w:rPr>
            </w:pPr>
            <w:r>
              <w:rPr>
                <w:rFonts w:ascii="Arial" w:cs="Arial" w:eastAsia="Arial" w:hAnsi="Arial"/>
                <w:sz w:val="18"/>
                <w:szCs w:val="18"/>
                <w:color w:val="auto"/>
              </w:rPr>
              <w:t>September 26, 2014</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Joel Brooks</w:t>
            </w:r>
          </w:p>
        </w:tc>
        <w:tc>
          <w:tcPr>
            <w:tcW w:w="3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425"/>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Albin F. Moschner</w:t>
            </w:r>
          </w:p>
        </w:tc>
        <w:tc>
          <w:tcPr>
            <w:tcW w:w="36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Director</w:t>
            </w:r>
          </w:p>
        </w:tc>
        <w:tc>
          <w:tcPr>
            <w:tcW w:w="4580" w:type="dxa"/>
            <w:vAlign w:val="bottom"/>
            <w:gridSpan w:val="2"/>
          </w:tcPr>
          <w:p>
            <w:pPr>
              <w:ind w:left="380"/>
              <w:spacing w:after="0"/>
              <w:rPr>
                <w:sz w:val="20"/>
                <w:szCs w:val="20"/>
                <w:color w:val="auto"/>
              </w:rPr>
            </w:pPr>
            <w:r>
              <w:rPr>
                <w:rFonts w:ascii="Arial" w:cs="Arial" w:eastAsia="Arial" w:hAnsi="Arial"/>
                <w:sz w:val="18"/>
                <w:szCs w:val="18"/>
                <w:color w:val="auto"/>
              </w:rPr>
              <w:t>September 26, 2014</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Albin F. Moschner</w:t>
            </w:r>
          </w:p>
        </w:tc>
        <w:tc>
          <w:tcPr>
            <w:tcW w:w="3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425"/>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Reilly, Jr.</w:t>
            </w:r>
          </w:p>
        </w:tc>
        <w:tc>
          <w:tcPr>
            <w:tcW w:w="36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Director</w:t>
            </w:r>
          </w:p>
        </w:tc>
        <w:tc>
          <w:tcPr>
            <w:tcW w:w="4580" w:type="dxa"/>
            <w:vAlign w:val="bottom"/>
            <w:gridSpan w:val="2"/>
          </w:tcPr>
          <w:p>
            <w:pPr>
              <w:ind w:left="380"/>
              <w:spacing w:after="0"/>
              <w:rPr>
                <w:sz w:val="20"/>
                <w:szCs w:val="20"/>
                <w:color w:val="auto"/>
              </w:rPr>
            </w:pPr>
            <w:r>
              <w:rPr>
                <w:rFonts w:ascii="Arial" w:cs="Arial" w:eastAsia="Arial" w:hAnsi="Arial"/>
                <w:sz w:val="18"/>
                <w:szCs w:val="18"/>
                <w:color w:val="auto"/>
              </w:rPr>
              <w:t>September 26, 2014</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William J. Reilly, Jr.</w:t>
            </w:r>
          </w:p>
        </w:tc>
        <w:tc>
          <w:tcPr>
            <w:tcW w:w="3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425"/>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Schoch</w:t>
            </w:r>
          </w:p>
        </w:tc>
        <w:tc>
          <w:tcPr>
            <w:tcW w:w="36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Director</w:t>
            </w:r>
          </w:p>
        </w:tc>
        <w:tc>
          <w:tcPr>
            <w:tcW w:w="4580" w:type="dxa"/>
            <w:vAlign w:val="bottom"/>
            <w:gridSpan w:val="2"/>
          </w:tcPr>
          <w:p>
            <w:pPr>
              <w:ind w:left="380"/>
              <w:spacing w:after="0"/>
              <w:rPr>
                <w:sz w:val="20"/>
                <w:szCs w:val="20"/>
                <w:color w:val="auto"/>
              </w:rPr>
            </w:pPr>
            <w:r>
              <w:rPr>
                <w:rFonts w:ascii="Arial" w:cs="Arial" w:eastAsia="Arial" w:hAnsi="Arial"/>
                <w:sz w:val="18"/>
                <w:szCs w:val="18"/>
                <w:color w:val="auto"/>
              </w:rPr>
              <w:t>September 25, 2014</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William J. Schoch</w:t>
            </w:r>
          </w:p>
        </w:tc>
        <w:tc>
          <w:tcPr>
            <w:tcW w:w="3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661"/>
        </w:trPr>
        <w:tc>
          <w:tcPr>
            <w:tcW w:w="3300" w:type="dxa"/>
            <w:vAlign w:val="bottom"/>
            <w:tcBorders>
              <w:bottom w:val="single" w:sz="8" w:color="DCDCDC"/>
            </w:tcBorders>
          </w:tcPr>
          <w:p>
            <w:pPr>
              <w:spacing w:after="0"/>
              <w:rPr>
                <w:sz w:val="24"/>
                <w:szCs w:val="24"/>
                <w:color w:val="auto"/>
              </w:rPr>
            </w:pPr>
          </w:p>
        </w:tc>
        <w:tc>
          <w:tcPr>
            <w:tcW w:w="3540" w:type="dxa"/>
            <w:vAlign w:val="bottom"/>
            <w:tcBorders>
              <w:bottom w:val="single" w:sz="8" w:color="DCDCDC"/>
            </w:tcBorders>
            <w:gridSpan w:val="2"/>
          </w:tcPr>
          <w:p>
            <w:pPr>
              <w:jc w:val="right"/>
              <w:ind w:right="950"/>
              <w:spacing w:after="0"/>
              <w:rPr>
                <w:sz w:val="20"/>
                <w:szCs w:val="20"/>
                <w:color w:val="auto"/>
              </w:rPr>
            </w:pPr>
            <w:r>
              <w:rPr>
                <w:rFonts w:ascii="Arial" w:cs="Arial" w:eastAsia="Arial" w:hAnsi="Arial"/>
                <w:sz w:val="18"/>
                <w:szCs w:val="18"/>
                <w:color w:val="auto"/>
              </w:rPr>
              <w:t>55</w:t>
            </w:r>
          </w:p>
        </w:tc>
        <w:tc>
          <w:tcPr>
            <w:tcW w:w="380" w:type="dxa"/>
            <w:vAlign w:val="bottom"/>
            <w:tcBorders>
              <w:bottom w:val="single" w:sz="8" w:color="DCDCDC"/>
            </w:tcBorders>
          </w:tcPr>
          <w:p>
            <w:pPr>
              <w:spacing w:after="0"/>
              <w:rPr>
                <w:sz w:val="24"/>
                <w:szCs w:val="24"/>
                <w:color w:val="auto"/>
              </w:rPr>
            </w:pPr>
          </w:p>
        </w:tc>
        <w:tc>
          <w:tcPr>
            <w:tcW w:w="42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22"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10.28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LOAN AND SECURITY AGREEMENT</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Sixth Amendment to Loan and Security Agreement is entered into as of May 15, 2014 (the “Amendment”), by and between AVIDBANK CORPORATE FINANCE, a division of AVIDBANK (“Bank”), and USA TECHNOLOGIES, INC. (“Borrower”).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Borrower and Bank are parties to that certain Loan and Security Agreement dated as of June 21, 2012 and that certain First Amendment to Loan and Security Agreement dated as of January 1, 2013, that certain Second Amendment to Loan &amp; Security Agreement dated as of April 2, 2013, that certain Third Amendment to Loan and Security Agreement dated as of April 11, 2013, that certain Fourth Amendment to Loan and Security Agreement dated as of April 29, 2013 and that certain Fifth Amendment to Loan and Security Agreement dated as of September 26, 2013 (collectively, the “Agreement”). Borrower desires to enter into one or more equipment financing arrangements in the aggregate principal amount of up to $8,000,000, whereby Borrower shall sell certain point of sale equipment (the “Equipment”) and subsequently leaseback such equipment (collectively, the “Sale/Leaseback Transactions”). Bank has agreed to consent to the Sale/Leaseback Transactions and amend the Agreement, in accordance with the terms of this Amendment.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agree as follows:</w:t>
      </w:r>
    </w:p>
    <w:p>
      <w:pPr>
        <w:spacing w:after="0" w:line="252" w:lineRule="exact"/>
        <w:rPr>
          <w:sz w:val="20"/>
          <w:szCs w:val="20"/>
          <w:color w:val="auto"/>
        </w:rPr>
      </w:pPr>
    </w:p>
    <w:p>
      <w:pPr>
        <w:jc w:val="both"/>
        <w:ind w:firstLine="656"/>
        <w:spacing w:after="0" w:line="255" w:lineRule="auto"/>
        <w:tabs>
          <w:tab w:leader="none" w:pos="1408"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Notwithstanding the prohibition set forth in Section 7.1 of the Loan Agreement, Bank hereby consents to the sale and disposition of the Equipment in connection with the Sale/Leaseback Transactions; provided that Borrower provides Bank with the following, in form and substance satisfactory to Bank, in connection with the closing of each Sale/Leaseback Transaction: (i) evidence of Borrower’s receipt of in up-front cash proceeds from the disposition of such Equipment (with a cumulative amount for all Sale/Leaseback Transactions of up to $8,000,000), (ii) promptly (and in any event within two Business Days of entering into such documents), fully executed copies of the definitive documents entered into in connection with the Sale/Leaseback Transactions; and (iii) the drafts of any UCC financing statement that the buyer and lessor of the Equipment contemplates filing prior to such filing taking place (the “UCC-1”).</w:t>
      </w:r>
    </w:p>
    <w:p>
      <w:pPr>
        <w:spacing w:after="0" w:line="216" w:lineRule="exact"/>
        <w:rPr>
          <w:rFonts w:ascii="Arial" w:cs="Arial" w:eastAsia="Arial" w:hAnsi="Arial"/>
          <w:sz w:val="18"/>
          <w:szCs w:val="18"/>
          <w:color w:val="auto"/>
        </w:rPr>
      </w:pPr>
    </w:p>
    <w:p>
      <w:pPr>
        <w:jc w:val="both"/>
        <w:ind w:firstLine="656"/>
        <w:spacing w:after="0" w:line="286" w:lineRule="auto"/>
        <w:tabs>
          <w:tab w:leader="none" w:pos="1388" w:val="left"/>
        </w:tabs>
        <w:numPr>
          <w:ilvl w:val="0"/>
          <w:numId w:val="42"/>
        </w:numPr>
        <w:rPr>
          <w:rFonts w:ascii="Arial" w:cs="Arial" w:eastAsia="Arial" w:hAnsi="Arial"/>
          <w:sz w:val="17"/>
          <w:szCs w:val="17"/>
          <w:color w:val="auto"/>
        </w:rPr>
      </w:pPr>
      <w:r>
        <w:rPr>
          <w:rFonts w:ascii="Arial" w:cs="Arial" w:eastAsia="Arial" w:hAnsi="Arial"/>
          <w:sz w:val="17"/>
          <w:szCs w:val="17"/>
          <w:color w:val="auto"/>
        </w:rPr>
        <w:t>Borrower’s Indebtedness obligations under the lease agreements being entered into with the purchaser of the Equipment (the “Lessor”) as part of the Sale/Leaseback Transactions, on the terms previously disclosed to Bank, are hereby deemed “Permitted Indebtedness” under the Agreement; and any Lien filed against the Equipment by the Lessor as set forth in the UCC-1 constitutes a “Permitted Lien” under the Agreement.</w:t>
      </w:r>
    </w:p>
    <w:p>
      <w:pPr>
        <w:spacing w:after="0" w:line="192" w:lineRule="exact"/>
        <w:rPr>
          <w:rFonts w:ascii="Arial" w:cs="Arial" w:eastAsia="Arial" w:hAnsi="Arial"/>
          <w:sz w:val="17"/>
          <w:szCs w:val="17"/>
          <w:color w:val="auto"/>
        </w:rPr>
      </w:pPr>
    </w:p>
    <w:p>
      <w:pPr>
        <w:jc w:val="both"/>
        <w:ind w:firstLine="656"/>
        <w:spacing w:after="0" w:line="257" w:lineRule="auto"/>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Unless otherwise defined, all initially capitalized terms in this Amendment shall be as defined in the Agreement. The Agreement, as amended hereby, shall be and remain in full force and effect in accordance with its respective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 Borrower ratifies and reaffirms the continuing effectiveness of all agreements entered into in connection with the Agreement.</w:t>
      </w:r>
    </w:p>
    <w:p>
      <w:pPr>
        <w:spacing w:after="0" w:line="215" w:lineRule="exact"/>
        <w:rPr>
          <w:rFonts w:ascii="Arial" w:cs="Arial" w:eastAsia="Arial" w:hAnsi="Arial"/>
          <w:sz w:val="18"/>
          <w:szCs w:val="18"/>
          <w:color w:val="auto"/>
        </w:rPr>
      </w:pPr>
    </w:p>
    <w:p>
      <w:pPr>
        <w:ind w:right="20" w:firstLine="656"/>
        <w:spacing w:after="0" w:line="277" w:lineRule="auto"/>
        <w:tabs>
          <w:tab w:leader="none" w:pos="13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Borrower represents and warrants that the representations and warranties contained in the Agreement are true and correct as of the date of this Amendment, and that no Event of Default has occurred and is continuing.</w:t>
      </w:r>
    </w:p>
    <w:p>
      <w:pPr>
        <w:spacing w:after="0" w:line="197" w:lineRule="exact"/>
        <w:rPr>
          <w:rFonts w:ascii="Arial" w:cs="Arial" w:eastAsia="Arial" w:hAnsi="Arial"/>
          <w:sz w:val="18"/>
          <w:szCs w:val="18"/>
          <w:color w:val="auto"/>
        </w:rPr>
      </w:pPr>
    </w:p>
    <w:p>
      <w:pPr>
        <w:jc w:val="both"/>
        <w:ind w:firstLine="656"/>
        <w:spacing w:after="0" w:line="257" w:lineRule="auto"/>
        <w:tabs>
          <w:tab w:leader="none" w:pos="134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Amendment may be executed in two or more counterparts, each of which shall be deemed an original, but all of which together shall constitute one instrument.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hereof. Notwithstanding the foregoing, Borrower shall deliver all original signed documents no later than ten (10) Business Days following the date of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119" w:name="page120"/>
    <w:bookmarkEnd w:id="119"/>
    <w:p>
      <w:pPr>
        <w:ind w:left="1280" w:hanging="624"/>
        <w:spacing w:after="0"/>
        <w:tabs>
          <w:tab w:leader="none" w:pos="12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 a condition to the effectiveness of this Amendment, Bank shall have received, in form and substance satisfactory to Bank, the following:</w:t>
      </w:r>
    </w:p>
    <w:p>
      <w:pPr>
        <w:spacing w:after="0" w:line="275" w:lineRule="exact"/>
        <w:rPr>
          <w:rFonts w:ascii="Arial" w:cs="Arial" w:eastAsia="Arial" w:hAnsi="Arial"/>
          <w:sz w:val="16"/>
          <w:szCs w:val="16"/>
          <w:color w:val="auto"/>
        </w:rPr>
      </w:pPr>
    </w:p>
    <w:p>
      <w:pPr>
        <w:ind w:left="1980" w:hanging="703"/>
        <w:spacing w:after="0"/>
        <w:tabs>
          <w:tab w:leader="none" w:pos="1980" w:val="left"/>
        </w:tabs>
        <w:numPr>
          <w:ilvl w:val="1"/>
          <w:numId w:val="43"/>
        </w:numPr>
        <w:rPr>
          <w:rFonts w:ascii="Arial" w:cs="Arial" w:eastAsia="Arial" w:hAnsi="Arial"/>
          <w:sz w:val="18"/>
          <w:szCs w:val="18"/>
          <w:b w:val="1"/>
          <w:bCs w:val="1"/>
          <w:color w:val="auto"/>
        </w:rPr>
      </w:pPr>
      <w:r>
        <w:rPr>
          <w:rFonts w:ascii="Arial" w:cs="Arial" w:eastAsia="Arial" w:hAnsi="Arial"/>
          <w:sz w:val="18"/>
          <w:szCs w:val="18"/>
          <w:color w:val="auto"/>
        </w:rPr>
        <w:t>this Amendment, duly executed by Borrower;</w:t>
      </w:r>
    </w:p>
    <w:p>
      <w:pPr>
        <w:spacing w:after="0" w:line="252" w:lineRule="exact"/>
        <w:rPr>
          <w:rFonts w:ascii="Arial" w:cs="Arial" w:eastAsia="Arial" w:hAnsi="Arial"/>
          <w:sz w:val="18"/>
          <w:szCs w:val="18"/>
          <w:b w:val="1"/>
          <w:bCs w:val="1"/>
          <w:color w:val="auto"/>
        </w:rPr>
      </w:pPr>
    </w:p>
    <w:p>
      <w:pPr>
        <w:ind w:left="2000" w:hanging="723"/>
        <w:spacing w:after="0"/>
        <w:tabs>
          <w:tab w:leader="none" w:pos="2000" w:val="left"/>
        </w:tabs>
        <w:numPr>
          <w:ilvl w:val="1"/>
          <w:numId w:val="43"/>
        </w:numPr>
        <w:rPr>
          <w:rFonts w:ascii="Arial" w:cs="Arial" w:eastAsia="Arial" w:hAnsi="Arial"/>
          <w:sz w:val="18"/>
          <w:szCs w:val="18"/>
          <w:b w:val="1"/>
          <w:bCs w:val="1"/>
          <w:color w:val="auto"/>
        </w:rPr>
      </w:pPr>
      <w:r>
        <w:rPr>
          <w:rFonts w:ascii="Arial" w:cs="Arial" w:eastAsia="Arial" w:hAnsi="Arial"/>
          <w:sz w:val="18"/>
          <w:szCs w:val="18"/>
          <w:color w:val="auto"/>
        </w:rPr>
        <w:t>final drafts of the definitive documents to be entered into in connection with the Sale/Leaseback Transaction; and</w:t>
      </w:r>
    </w:p>
    <w:p>
      <w:pPr>
        <w:spacing w:after="0" w:line="252" w:lineRule="exact"/>
        <w:rPr>
          <w:rFonts w:ascii="Arial" w:cs="Arial" w:eastAsia="Arial" w:hAnsi="Arial"/>
          <w:sz w:val="18"/>
          <w:szCs w:val="18"/>
          <w:b w:val="1"/>
          <w:bCs w:val="1"/>
          <w:color w:val="auto"/>
        </w:rPr>
      </w:pPr>
    </w:p>
    <w:p>
      <w:pPr>
        <w:ind w:left="1980" w:hanging="703"/>
        <w:spacing w:after="0"/>
        <w:tabs>
          <w:tab w:leader="none" w:pos="1980" w:val="left"/>
        </w:tabs>
        <w:numPr>
          <w:ilvl w:val="1"/>
          <w:numId w:val="43"/>
        </w:numPr>
        <w:rPr>
          <w:rFonts w:ascii="Arial" w:cs="Arial" w:eastAsia="Arial" w:hAnsi="Arial"/>
          <w:sz w:val="18"/>
          <w:szCs w:val="18"/>
          <w:b w:val="1"/>
          <w:bCs w:val="1"/>
          <w:color w:val="auto"/>
        </w:rPr>
      </w:pPr>
      <w:r>
        <w:rPr>
          <w:rFonts w:ascii="Arial" w:cs="Arial" w:eastAsia="Arial" w:hAnsi="Arial"/>
          <w:sz w:val="18"/>
          <w:szCs w:val="18"/>
          <w:color w:val="auto"/>
        </w:rPr>
        <w:t>an amendment fee equal to $1,000.</w:t>
      </w:r>
    </w:p>
    <w:p>
      <w:pPr>
        <w:spacing w:after="0" w:line="252" w:lineRule="exact"/>
        <w:rPr>
          <w:rFonts w:ascii="Arial" w:cs="Arial" w:eastAsia="Arial" w:hAnsi="Arial"/>
          <w:sz w:val="18"/>
          <w:szCs w:val="18"/>
          <w:b w:val="1"/>
          <w:bCs w:val="1"/>
          <w:color w:val="auto"/>
        </w:rPr>
      </w:pPr>
    </w:p>
    <w:p>
      <w:pPr>
        <w:ind w:left="1420" w:hanging="764"/>
        <w:spacing w:after="0"/>
        <w:tabs>
          <w:tab w:leader="none" w:pos="1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Borrower shall promptly pay all Bank Expenses incurred by Bank in connection with the preparation, negotiation, and execution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Amendment.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color w:val="auto"/>
        </w:rPr>
        <w:t>IN WITNESS WHEREOF, the undersigned have executed this Amendment as of the first date above written.</w:t>
      </w:r>
    </w:p>
    <w:p>
      <w:pPr>
        <w:spacing w:after="0" w:line="24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USA TECHNOLOGIES, INC.</w:t>
      </w:r>
    </w:p>
    <w:p>
      <w:pPr>
        <w:spacing w:after="0" w:line="225" w:lineRule="exact"/>
        <w:rPr>
          <w:sz w:val="20"/>
          <w:szCs w:val="20"/>
          <w:color w:val="auto"/>
        </w:rPr>
      </w:pPr>
    </w:p>
    <w:p>
      <w:pPr>
        <w:ind w:left="5040"/>
        <w:spacing w:after="0"/>
        <w:tabs>
          <w:tab w:leader="none" w:pos="5500" w:val="left"/>
        </w:tabs>
        <w:rPr>
          <w:sz w:val="20"/>
          <w:szCs w:val="20"/>
          <w:color w:val="auto"/>
        </w:rPr>
      </w:pPr>
      <w:r>
        <w:rPr>
          <w:rFonts w:ascii="Arial" w:cs="Arial" w:eastAsia="Arial" w:hAnsi="Arial"/>
          <w:sz w:val="18"/>
          <w:szCs w:val="18"/>
          <w:color w:val="auto"/>
        </w:rPr>
        <w:t>By:</w:t>
        <w:tab/>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14605</wp:posOffset>
            </wp:positionV>
            <wp:extent cx="332740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3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14605</wp:posOffset>
            </wp:positionV>
            <wp:extent cx="332740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AVIDBANK CORPORATE FINANCE,</w:t>
      </w:r>
    </w:p>
    <w:p>
      <w:pPr>
        <w:spacing w:after="0" w:line="3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 division of AVIDBANK</w:t>
      </w:r>
    </w:p>
    <w:p>
      <w:pPr>
        <w:spacing w:after="0" w:line="211" w:lineRule="exact"/>
        <w:rPr>
          <w:sz w:val="20"/>
          <w:szCs w:val="20"/>
          <w:color w:val="auto"/>
        </w:rPr>
      </w:pPr>
    </w:p>
    <w:p>
      <w:pPr>
        <w:ind w:left="5040"/>
        <w:spacing w:after="0"/>
        <w:tabs>
          <w:tab w:leader="none" w:pos="5500" w:val="left"/>
        </w:tabs>
        <w:rPr>
          <w:sz w:val="20"/>
          <w:szCs w:val="20"/>
          <w:color w:val="auto"/>
        </w:rPr>
      </w:pPr>
      <w:r>
        <w:rPr>
          <w:rFonts w:ascii="Arial" w:cs="Arial" w:eastAsia="Arial" w:hAnsi="Arial"/>
          <w:sz w:val="18"/>
          <w:szCs w:val="18"/>
          <w:color w:val="auto"/>
        </w:rPr>
        <w:t>By:</w:t>
        <w:tab/>
        <w:t>/s/ Jeffrey Javier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14605</wp:posOffset>
            </wp:positionV>
            <wp:extent cx="332740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3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14605</wp:posOffset>
            </wp:positionV>
            <wp:extent cx="332740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ectPr>
          <w:pgSz w:w="11900" w:h="16838" w:orient="portrait"/>
          <w:cols w:equalWidth="0" w:num="1">
            <w:col w:w="9559"/>
          </w:cols>
          <w:pgMar w:left="900" w:top="922" w:right="1440"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10.29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SEVENTH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LOAN AND SECURITY AGREEMENT</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Seventh Amendment to Loan and Security Agreement is entered into as of June 17, 2014 (the “Amendment”), by and between AVIDBANK CORPORATE FINANCE, a division of AVIDBANK (“Bank”), and USA TECHNOLOGIES, INC. (“Borrower”).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Borrower and Bank are parties to that certain Loan and Security Agreement dated as of June 21, 2012 and that certain First Amendment to Loan and Security Agreement dated as of January 1, 2013, that certain Second Amendment to Loan &amp; Security Agreement dated as of April 2, 2013, that certain Third Amendment to Loan and Security Agreement dated as of April 11, 2013, that certain Fourth Amendment to Loan and Security Agreement dated as of April 29, 2013, that certain Fifth Amendment to Loan and Security Agreement dated as of September 26, 2013 and that certain Sixth Amendment to Loan and Security Agreement dated as of May 15, 2014 (collectively, the “Agreement”). Borrower and Bank desire to amend the Agreement in accordance with the terms set forth herein.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agree as follows:</w:t>
      </w:r>
    </w:p>
    <w:p>
      <w:pPr>
        <w:spacing w:after="0" w:line="252" w:lineRule="exact"/>
        <w:rPr>
          <w:sz w:val="20"/>
          <w:szCs w:val="20"/>
          <w:color w:val="auto"/>
        </w:rPr>
      </w:pPr>
    </w:p>
    <w:p>
      <w:pPr>
        <w:ind w:left="1280" w:hanging="624"/>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following definitions in Section 1.1 of the Agreement are amended in their entirety to read as follows:</w:t>
      </w:r>
    </w:p>
    <w:p>
      <w:pPr>
        <w:spacing w:after="0" w:line="252" w:lineRule="exact"/>
        <w:rPr>
          <w:sz w:val="20"/>
          <w:szCs w:val="20"/>
          <w:color w:val="auto"/>
        </w:rPr>
      </w:pPr>
    </w:p>
    <w:p>
      <w:pPr>
        <w:jc w:val="both"/>
        <w:ind w:left="1300" w:right="660"/>
        <w:spacing w:after="0" w:line="264" w:lineRule="auto"/>
        <w:rPr>
          <w:sz w:val="20"/>
          <w:szCs w:val="20"/>
          <w:color w:val="auto"/>
        </w:rPr>
      </w:pPr>
      <w:r>
        <w:rPr>
          <w:rFonts w:ascii="Arial" w:cs="Arial" w:eastAsia="Arial" w:hAnsi="Arial"/>
          <w:sz w:val="18"/>
          <w:szCs w:val="18"/>
          <w:color w:val="auto"/>
        </w:rPr>
        <w:t>“Adjusted EBITDA” means net income (loss) before interest income, interest expense, income taxes, depreciation, amortization, rent/lease expense pursuant to Sale/Leaseback Transactions, and change in fair value of warrant liabilities and stock-based compensation expense.</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“Revolving Line” means a Credit Extension of up to Seven Million Dollars ($7,000,000).</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“Revolving Maturity Date” means June 21, 2015.</w:t>
      </w:r>
    </w:p>
    <w:p>
      <w:pPr>
        <w:spacing w:after="0" w:line="252" w:lineRule="exact"/>
        <w:rPr>
          <w:sz w:val="20"/>
          <w:szCs w:val="20"/>
          <w:color w:val="auto"/>
        </w:rPr>
      </w:pPr>
    </w:p>
    <w:p>
      <w:pPr>
        <w:ind w:left="1280" w:hanging="624"/>
        <w:spacing w:after="0"/>
        <w:tabs>
          <w:tab w:leader="none" w:pos="1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Section 6.10 of the Agreement is amended in its entirety to read as follows:</w:t>
      </w:r>
    </w:p>
    <w:p>
      <w:pPr>
        <w:spacing w:after="0" w:line="252" w:lineRule="exact"/>
        <w:rPr>
          <w:sz w:val="20"/>
          <w:szCs w:val="20"/>
          <w:color w:val="auto"/>
        </w:rPr>
      </w:pPr>
    </w:p>
    <w:p>
      <w:pPr>
        <w:jc w:val="both"/>
        <w:ind w:left="1300" w:right="660" w:firstLine="61"/>
        <w:spacing w:after="0" w:line="277" w:lineRule="auto"/>
        <w:rPr>
          <w:sz w:val="20"/>
          <w:szCs w:val="20"/>
          <w:color w:val="auto"/>
        </w:rPr>
      </w:pPr>
      <w:r>
        <w:rPr>
          <w:rFonts w:ascii="Arial" w:cs="Arial" w:eastAsia="Arial" w:hAnsi="Arial"/>
          <w:sz w:val="18"/>
          <w:szCs w:val="18"/>
          <w:color w:val="auto"/>
        </w:rPr>
        <w:t>6.10 Adjusted EBITDA. Borrower shall achieve a minimum Adjusted EBITDA, measured on a quarterly basis, in the following amounts:</w:t>
      </w:r>
    </w:p>
    <w:p>
      <w:pPr>
        <w:spacing w:after="0" w:line="192" w:lineRule="exact"/>
        <w:rPr>
          <w:sz w:val="20"/>
          <w:szCs w:val="20"/>
          <w:color w:val="auto"/>
        </w:rPr>
      </w:pPr>
    </w:p>
    <w:tbl>
      <w:tblPr>
        <w:tblLayout w:type="fixed"/>
        <w:tblInd w:w="2310" w:type="dxa"/>
        <w:tblCellMar>
          <w:top w:w="0" w:type="dxa"/>
          <w:left w:w="0" w:type="dxa"/>
          <w:bottom w:w="0" w:type="dxa"/>
          <w:right w:w="0" w:type="dxa"/>
        </w:tblCellMar>
      </w:tblPr>
      <w:tr>
        <w:trPr>
          <w:trHeight w:val="225"/>
        </w:trPr>
        <w:tc>
          <w:tcPr>
            <w:tcW w:w="424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Fiscal Quarter</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Minimum Adjusted</w:t>
            </w:r>
          </w:p>
        </w:tc>
      </w:tr>
      <w:tr>
        <w:trPr>
          <w:trHeight w:val="258"/>
        </w:trPr>
        <w:tc>
          <w:tcPr>
            <w:tcW w:w="4240" w:type="dxa"/>
            <w:vAlign w:val="bottom"/>
            <w:tcBorders>
              <w:left w:val="single" w:sz="8" w:color="auto"/>
              <w:bottom w:val="single" w:sz="8" w:color="auto"/>
              <w:right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EBITDA</w:t>
            </w:r>
          </w:p>
        </w:tc>
      </w:tr>
      <w:tr>
        <w:trPr>
          <w:trHeight w:val="207"/>
        </w:trPr>
        <w:tc>
          <w:tcPr>
            <w:tcW w:w="4240" w:type="dxa"/>
            <w:vAlign w:val="bottom"/>
            <w:tcBorders>
              <w:left w:val="single" w:sz="8" w:color="auto"/>
              <w:bottom w:val="single" w:sz="8" w:color="auto"/>
              <w:right w:val="single" w:sz="8" w:color="auto"/>
            </w:tcBorders>
          </w:tcPr>
          <w:p>
            <w:pPr>
              <w:ind w:left="180"/>
              <w:spacing w:after="0" w:line="200" w:lineRule="exact"/>
              <w:rPr>
                <w:sz w:val="20"/>
                <w:szCs w:val="20"/>
                <w:color w:val="auto"/>
              </w:rPr>
            </w:pPr>
            <w:r>
              <w:rPr>
                <w:rFonts w:ascii="Arial" w:cs="Arial" w:eastAsia="Arial" w:hAnsi="Arial"/>
                <w:sz w:val="18"/>
                <w:szCs w:val="18"/>
                <w:color w:val="auto"/>
              </w:rPr>
              <w:t>Fiscal quarter ending June 30, 2014:</w:t>
            </w:r>
          </w:p>
        </w:tc>
        <w:tc>
          <w:tcPr>
            <w:tcW w:w="2600" w:type="dxa"/>
            <w:vAlign w:val="bottom"/>
            <w:tcBorders>
              <w:bottom w:val="single" w:sz="8" w:color="auto"/>
              <w:right w:val="single" w:sz="8" w:color="auto"/>
            </w:tcBorders>
          </w:tcPr>
          <w:p>
            <w:pPr>
              <w:jc w:val="center"/>
              <w:spacing w:after="0" w:line="200" w:lineRule="exact"/>
              <w:rPr>
                <w:sz w:val="20"/>
                <w:szCs w:val="20"/>
                <w:color w:val="auto"/>
              </w:rPr>
            </w:pPr>
            <w:r>
              <w:rPr>
                <w:rFonts w:ascii="Arial" w:cs="Arial" w:eastAsia="Arial" w:hAnsi="Arial"/>
                <w:sz w:val="18"/>
                <w:szCs w:val="18"/>
                <w:color w:val="auto"/>
                <w:w w:val="88"/>
              </w:rPr>
              <w:t>$2,200,000</w:t>
            </w:r>
          </w:p>
        </w:tc>
      </w:tr>
      <w:tr>
        <w:trPr>
          <w:trHeight w:val="223"/>
        </w:trPr>
        <w:tc>
          <w:tcPr>
            <w:tcW w:w="42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Fiscal quarter ending September 30, 2014:</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$1,600,000</w:t>
            </w:r>
          </w:p>
        </w:tc>
      </w:tr>
      <w:tr>
        <w:trPr>
          <w:trHeight w:val="223"/>
        </w:trPr>
        <w:tc>
          <w:tcPr>
            <w:tcW w:w="42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Fiscal quarter ending December 31, 2014:</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$1,800,000</w:t>
            </w:r>
          </w:p>
        </w:tc>
      </w:tr>
      <w:tr>
        <w:trPr>
          <w:trHeight w:val="223"/>
        </w:trPr>
        <w:tc>
          <w:tcPr>
            <w:tcW w:w="42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Fiscal quarter ending March 31, 2015:</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$2,100,000</w:t>
            </w:r>
          </w:p>
        </w:tc>
      </w:tr>
      <w:tr>
        <w:trPr>
          <w:trHeight w:val="223"/>
        </w:trPr>
        <w:tc>
          <w:tcPr>
            <w:tcW w:w="42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Fiscal quarter ending June 30, 2015:</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$2,600,000</w:t>
            </w:r>
          </w:p>
        </w:tc>
      </w:tr>
    </w:tbl>
    <w:p>
      <w:pPr>
        <w:spacing w:after="0" w:line="229" w:lineRule="exact"/>
        <w:rPr>
          <w:sz w:val="20"/>
          <w:szCs w:val="20"/>
          <w:color w:val="auto"/>
        </w:rPr>
      </w:pPr>
    </w:p>
    <w:p>
      <w:pPr>
        <w:jc w:val="both"/>
        <w:ind w:left="1300" w:right="640"/>
        <w:spacing w:after="0" w:line="264" w:lineRule="auto"/>
        <w:rPr>
          <w:sz w:val="20"/>
          <w:szCs w:val="20"/>
          <w:color w:val="auto"/>
        </w:rPr>
      </w:pPr>
      <w:r>
        <w:rPr>
          <w:rFonts w:ascii="Arial" w:cs="Arial" w:eastAsia="Arial" w:hAnsi="Arial"/>
          <w:sz w:val="18"/>
          <w:szCs w:val="18"/>
          <w:color w:val="auto"/>
        </w:rPr>
        <w:t>Borrower shall achieve a minimum Adjusted EBITDA for the remaining fiscal quarters in 2015 and beyond in such amounts as may be mutually agreed upon by Borrower and Bank with reference to Borrower’s annual operating projections for such year(s) delivered to Bank in accordance with Section 6.3(f).</w:t>
      </w:r>
    </w:p>
    <w:p>
      <w:pPr>
        <w:spacing w:after="0" w:line="208" w:lineRule="exact"/>
        <w:rPr>
          <w:sz w:val="20"/>
          <w:szCs w:val="20"/>
          <w:color w:val="auto"/>
        </w:rPr>
      </w:pPr>
    </w:p>
    <w:p>
      <w:pPr>
        <w:ind w:left="1280" w:hanging="624"/>
        <w:spacing w:after="0"/>
        <w:tabs>
          <w:tab w:leader="none" w:pos="1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Exhibits B, C and D to the Agreement are replaced in their entirety with Exhibits B, C and D attached hereto.</w:t>
      </w:r>
    </w:p>
    <w:p>
      <w:pPr>
        <w:spacing w:after="0" w:line="252" w:lineRule="exact"/>
        <w:rPr>
          <w:rFonts w:ascii="Arial" w:cs="Arial" w:eastAsia="Arial" w:hAnsi="Arial"/>
          <w:sz w:val="18"/>
          <w:szCs w:val="18"/>
          <w:color w:val="auto"/>
        </w:rPr>
      </w:pPr>
    </w:p>
    <w:p>
      <w:pPr>
        <w:jc w:val="both"/>
        <w:ind w:firstLine="656"/>
        <w:spacing w:after="0" w:line="257" w:lineRule="auto"/>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Unless otherwise defined, all initially capitalized terms in this Amendment shall be as defined in the Agreement. The Agreement, as amended hereby, shall be and remain in full force and effect in accordance with its respective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 Borrower ratifies and reaffirms the continuing effectiveness of all agreements entered into in connection with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122" w:name="page123"/>
    <w:bookmarkEnd w:id="122"/>
    <w:p>
      <w:pPr>
        <w:ind w:right="20" w:firstLine="656"/>
        <w:spacing w:after="0" w:line="277" w:lineRule="auto"/>
        <w:tabs>
          <w:tab w:leader="none" w:pos="13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Borrower represents and warrants that the representations and warranties contained in the Agreement are true and correct as of the date of this Amendment, and that no Event of Default has occurred and is continuing.</w:t>
      </w:r>
    </w:p>
    <w:p>
      <w:pPr>
        <w:spacing w:after="0" w:line="197" w:lineRule="exact"/>
        <w:rPr>
          <w:rFonts w:ascii="Arial" w:cs="Arial" w:eastAsia="Arial" w:hAnsi="Arial"/>
          <w:sz w:val="18"/>
          <w:szCs w:val="18"/>
          <w:color w:val="auto"/>
        </w:rPr>
      </w:pPr>
    </w:p>
    <w:p>
      <w:pPr>
        <w:jc w:val="both"/>
        <w:ind w:firstLine="656"/>
        <w:spacing w:after="0" w:line="257" w:lineRule="auto"/>
        <w:tabs>
          <w:tab w:leader="none" w:pos="134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Amendment may be executed in two or more counterparts, each of which shall be deemed an original, but all of which together shall constitute one instrument.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hereof. Notwithstanding the foregoing, Borrower shall deliver all original signed documents no later than ten (10) Business Days following the date of execution.</w:t>
      </w:r>
    </w:p>
    <w:p>
      <w:pPr>
        <w:spacing w:after="0" w:line="215" w:lineRule="exact"/>
        <w:rPr>
          <w:rFonts w:ascii="Arial" w:cs="Arial" w:eastAsia="Arial" w:hAnsi="Arial"/>
          <w:sz w:val="18"/>
          <w:szCs w:val="18"/>
          <w:color w:val="auto"/>
        </w:rPr>
      </w:pPr>
    </w:p>
    <w:p>
      <w:pPr>
        <w:ind w:left="1280" w:hanging="624"/>
        <w:spacing w:after="0"/>
        <w:tabs>
          <w:tab w:leader="none" w:pos="12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 a condition to the effectiveness of this Amendment, Bank shall have received, in form and substance satisfactory to Bank, the following:</w:t>
      </w:r>
    </w:p>
    <w:p>
      <w:pPr>
        <w:spacing w:after="0" w:line="275" w:lineRule="exact"/>
        <w:rPr>
          <w:rFonts w:ascii="Arial" w:cs="Arial" w:eastAsia="Arial" w:hAnsi="Arial"/>
          <w:sz w:val="16"/>
          <w:szCs w:val="16"/>
          <w:color w:val="auto"/>
        </w:rPr>
      </w:pPr>
    </w:p>
    <w:p>
      <w:pPr>
        <w:ind w:left="2000" w:hanging="695"/>
        <w:spacing w:after="0"/>
        <w:tabs>
          <w:tab w:leader="none" w:pos="2000" w:val="left"/>
        </w:tabs>
        <w:numPr>
          <w:ilvl w:val="1"/>
          <w:numId w:val="47"/>
        </w:numPr>
        <w:rPr>
          <w:rFonts w:ascii="Arial" w:cs="Arial" w:eastAsia="Arial" w:hAnsi="Arial"/>
          <w:sz w:val="18"/>
          <w:szCs w:val="18"/>
          <w:b w:val="1"/>
          <w:bCs w:val="1"/>
          <w:color w:val="auto"/>
        </w:rPr>
      </w:pPr>
      <w:r>
        <w:rPr>
          <w:rFonts w:ascii="Arial" w:cs="Arial" w:eastAsia="Arial" w:hAnsi="Arial"/>
          <w:sz w:val="18"/>
          <w:szCs w:val="18"/>
          <w:color w:val="auto"/>
        </w:rPr>
        <w:t>this Amendment, duly executed by Borrower;</w:t>
      </w:r>
    </w:p>
    <w:p>
      <w:pPr>
        <w:spacing w:after="0" w:line="252" w:lineRule="exact"/>
        <w:rPr>
          <w:rFonts w:ascii="Arial" w:cs="Arial" w:eastAsia="Arial" w:hAnsi="Arial"/>
          <w:sz w:val="18"/>
          <w:szCs w:val="18"/>
          <w:b w:val="1"/>
          <w:bCs w:val="1"/>
          <w:color w:val="auto"/>
        </w:rPr>
      </w:pPr>
    </w:p>
    <w:p>
      <w:pPr>
        <w:ind w:left="2020" w:hanging="715"/>
        <w:spacing w:after="0"/>
        <w:tabs>
          <w:tab w:leader="none" w:pos="2020" w:val="left"/>
        </w:tabs>
        <w:numPr>
          <w:ilvl w:val="1"/>
          <w:numId w:val="47"/>
        </w:numPr>
        <w:rPr>
          <w:rFonts w:ascii="Arial" w:cs="Arial" w:eastAsia="Arial" w:hAnsi="Arial"/>
          <w:sz w:val="18"/>
          <w:szCs w:val="18"/>
          <w:b w:val="1"/>
          <w:bCs w:val="1"/>
          <w:color w:val="auto"/>
        </w:rPr>
      </w:pPr>
      <w:r>
        <w:rPr>
          <w:rFonts w:ascii="Arial" w:cs="Arial" w:eastAsia="Arial" w:hAnsi="Arial"/>
          <w:sz w:val="18"/>
          <w:szCs w:val="18"/>
          <w:color w:val="auto"/>
        </w:rPr>
        <w:t>affirmation of guarantees; and</w:t>
      </w:r>
    </w:p>
    <w:p>
      <w:pPr>
        <w:spacing w:after="0" w:line="252" w:lineRule="exact"/>
        <w:rPr>
          <w:rFonts w:ascii="Arial" w:cs="Arial" w:eastAsia="Arial" w:hAnsi="Arial"/>
          <w:sz w:val="18"/>
          <w:szCs w:val="18"/>
          <w:b w:val="1"/>
          <w:bCs w:val="1"/>
          <w:color w:val="auto"/>
        </w:rPr>
      </w:pPr>
    </w:p>
    <w:p>
      <w:pPr>
        <w:ind w:left="2100" w:hanging="795"/>
        <w:spacing w:after="0"/>
        <w:tabs>
          <w:tab w:leader="none" w:pos="2100" w:val="left"/>
        </w:tabs>
        <w:numPr>
          <w:ilvl w:val="1"/>
          <w:numId w:val="47"/>
        </w:numPr>
        <w:rPr>
          <w:rFonts w:ascii="Arial" w:cs="Arial" w:eastAsia="Arial" w:hAnsi="Arial"/>
          <w:sz w:val="16"/>
          <w:szCs w:val="16"/>
          <w:b w:val="1"/>
          <w:bCs w:val="1"/>
          <w:color w:val="auto"/>
        </w:rPr>
      </w:pPr>
      <w:r>
        <w:rPr>
          <w:rFonts w:ascii="Arial" w:cs="Arial" w:eastAsia="Arial" w:hAnsi="Arial"/>
          <w:sz w:val="16"/>
          <w:szCs w:val="16"/>
          <w:color w:val="auto"/>
        </w:rPr>
        <w:t>payment of an amendment and renewal fee equal to $35,000, plus payment of all Bank Expenses incurred by Bank through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date hereof.</w:t>
      </w:r>
    </w:p>
    <w:p>
      <w:pPr>
        <w:spacing w:after="0" w:line="23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color w:val="auto"/>
        </w:rPr>
        <w:t>IN WITNESS WHEREOF, the undersigned have executed this Amendment as of the first date above written.</w:t>
      </w:r>
    </w:p>
    <w:p>
      <w:pPr>
        <w:spacing w:after="0" w:line="24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USA TECHNOLOGIES, INC.</w:t>
      </w:r>
    </w:p>
    <w:p>
      <w:pPr>
        <w:spacing w:after="0" w:line="225" w:lineRule="exact"/>
        <w:rPr>
          <w:sz w:val="20"/>
          <w:szCs w:val="20"/>
          <w:color w:val="auto"/>
        </w:rPr>
      </w:pPr>
    </w:p>
    <w:p>
      <w:pPr>
        <w:ind w:left="4580"/>
        <w:spacing w:after="0"/>
        <w:tabs>
          <w:tab w:leader="none" w:pos="5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262445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24455" cy="17145"/>
                    </a:xfrm>
                    <a:prstGeom prst="rect">
                      <a:avLst/>
                    </a:prstGeom>
                    <a:noFill/>
                  </pic:spPr>
                </pic:pic>
              </a:graphicData>
            </a:graphic>
          </wp:anchor>
        </w:drawing>
      </w:r>
    </w:p>
    <w:p>
      <w:pPr>
        <w:spacing w:after="0" w:line="2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14605</wp:posOffset>
            </wp:positionV>
            <wp:extent cx="255587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55875" cy="17145"/>
                    </a:xfrm>
                    <a:prstGeom prst="rect">
                      <a:avLst/>
                    </a:prstGeom>
                    <a:noFill/>
                  </pic:spPr>
                </pic:pic>
              </a:graphicData>
            </a:graphic>
          </wp:anchor>
        </w:drawing>
      </w:r>
    </w:p>
    <w:p>
      <w:pPr>
        <w:spacing w:after="0" w:line="2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AVIDBANK CORPORATE FINANCE,</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 division of AVIDBANK</w:t>
      </w:r>
    </w:p>
    <w:p>
      <w:pPr>
        <w:spacing w:after="0" w:line="211" w:lineRule="exact"/>
        <w:rPr>
          <w:sz w:val="20"/>
          <w:szCs w:val="20"/>
          <w:color w:val="auto"/>
        </w:rPr>
      </w:pPr>
    </w:p>
    <w:p>
      <w:pPr>
        <w:ind w:left="4580"/>
        <w:spacing w:after="0"/>
        <w:tabs>
          <w:tab w:leader="none" w:pos="5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Linh Phan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14605</wp:posOffset>
            </wp:positionV>
            <wp:extent cx="26244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24455" cy="17145"/>
                    </a:xfrm>
                    <a:prstGeom prst="rect">
                      <a:avLst/>
                    </a:prstGeom>
                    <a:noFill/>
                  </pic:spPr>
                </pic:pic>
              </a:graphicData>
            </a:graphic>
          </wp:anchor>
        </w:drawing>
      </w:r>
    </w:p>
    <w:p>
      <w:pPr>
        <w:spacing w:after="0" w:line="2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Title: VP Relationship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14605</wp:posOffset>
            </wp:positionV>
            <wp:extent cx="255587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55875" cy="1714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461010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22" w:right="1440"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ADVANCE/PAYDOWN FORM</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Borrower:</w:t>
            </w:r>
          </w:p>
        </w:tc>
        <w:tc>
          <w:tcPr>
            <w:tcW w:w="5340" w:type="dxa"/>
            <w:vAlign w:val="bottom"/>
            <w:tcBorders>
              <w:top w:val="single" w:sz="8" w:color="auto"/>
            </w:tcBorders>
            <w:gridSpan w:val="2"/>
            <w:shd w:val="clear" w:color="auto" w:fill="FFFF99"/>
          </w:tcPr>
          <w:p>
            <w:pPr>
              <w:jc w:val="right"/>
              <w:ind w:right="3390"/>
              <w:spacing w:after="0"/>
              <w:rPr>
                <w:sz w:val="20"/>
                <w:szCs w:val="20"/>
                <w:color w:val="auto"/>
              </w:rPr>
            </w:pPr>
            <w:r>
              <w:rPr>
                <w:rFonts w:ascii="Arial" w:cs="Arial" w:eastAsia="Arial" w:hAnsi="Arial"/>
                <w:sz w:val="18"/>
                <w:szCs w:val="18"/>
                <w:b w:val="1"/>
                <w:bCs w:val="1"/>
                <w:color w:val="auto"/>
                <w:w w:val="91"/>
              </w:rPr>
              <w:t>USA Technologies, Inc.</w:t>
            </w:r>
          </w:p>
        </w:tc>
        <w:tc>
          <w:tcPr>
            <w:tcW w:w="12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Lender:</w:t>
            </w:r>
          </w:p>
        </w:tc>
        <w:tc>
          <w:tcPr>
            <w:tcW w:w="3860" w:type="dxa"/>
            <w:vAlign w:val="bottom"/>
            <w:tcBorders>
              <w:top w:val="single" w:sz="8" w:color="auto"/>
            </w:tcBorders>
          </w:tcPr>
          <w:p>
            <w:pPr>
              <w:ind w:left="320"/>
              <w:spacing w:after="0"/>
              <w:rPr>
                <w:sz w:val="20"/>
                <w:szCs w:val="20"/>
                <w:color w:val="auto"/>
              </w:rPr>
            </w:pPr>
            <w:r>
              <w:rPr>
                <w:rFonts w:ascii="Arial" w:cs="Arial" w:eastAsia="Arial" w:hAnsi="Arial"/>
                <w:sz w:val="18"/>
                <w:szCs w:val="18"/>
                <w:b w:val="1"/>
                <w:bCs w:val="1"/>
                <w:color w:val="auto"/>
              </w:rPr>
              <w:t>Avidbank Corporate Finance</w:t>
            </w:r>
          </w:p>
        </w:tc>
        <w:tc>
          <w:tcPr>
            <w:tcW w:w="0" w:type="dxa"/>
            <w:vAlign w:val="bottom"/>
          </w:tcPr>
          <w:p>
            <w:pPr>
              <w:spacing w:after="0"/>
              <w:rPr>
                <w:sz w:val="1"/>
                <w:szCs w:val="1"/>
                <w:color w:val="auto"/>
              </w:rPr>
            </w:pPr>
          </w:p>
        </w:tc>
      </w:tr>
      <w:tr>
        <w:trPr>
          <w:trHeight w:val="216"/>
        </w:trPr>
        <w:tc>
          <w:tcPr>
            <w:tcW w:w="1840" w:type="dxa"/>
            <w:vAlign w:val="bottom"/>
            <w:gridSpan w:val="2"/>
            <w:vMerge w:val="restart"/>
          </w:tcPr>
          <w:p>
            <w:pPr>
              <w:spacing w:after="0"/>
              <w:rPr>
                <w:sz w:val="20"/>
                <w:szCs w:val="20"/>
                <w:color w:val="auto"/>
              </w:rPr>
            </w:pPr>
            <w:r>
              <w:rPr>
                <w:rFonts w:ascii="Arial" w:cs="Arial" w:eastAsia="Arial" w:hAnsi="Arial"/>
                <w:sz w:val="18"/>
                <w:szCs w:val="18"/>
                <w:color w:val="auto"/>
              </w:rPr>
              <w:t>Commitment Amount:</w:t>
            </w:r>
          </w:p>
        </w:tc>
        <w:tc>
          <w:tcPr>
            <w:tcW w:w="4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60" w:type="dxa"/>
            <w:vAlign w:val="bottom"/>
          </w:tcPr>
          <w:p>
            <w:pPr>
              <w:ind w:left="520"/>
              <w:spacing w:after="0"/>
              <w:rPr>
                <w:sz w:val="20"/>
                <w:szCs w:val="20"/>
                <w:color w:val="auto"/>
              </w:rPr>
            </w:pPr>
            <w:r>
              <w:rPr>
                <w:rFonts w:ascii="Arial" w:cs="Arial" w:eastAsia="Arial" w:hAnsi="Arial"/>
                <w:sz w:val="18"/>
                <w:szCs w:val="18"/>
                <w:b w:val="1"/>
                <w:bCs w:val="1"/>
                <w:color w:val="auto"/>
              </w:rPr>
              <w:t>A Division of Avidbank</w:t>
            </w:r>
          </w:p>
        </w:tc>
        <w:tc>
          <w:tcPr>
            <w:tcW w:w="0" w:type="dxa"/>
            <w:vAlign w:val="bottom"/>
          </w:tcPr>
          <w:p>
            <w:pPr>
              <w:spacing w:after="0"/>
              <w:rPr>
                <w:sz w:val="1"/>
                <w:szCs w:val="1"/>
                <w:color w:val="auto"/>
              </w:rPr>
            </w:pPr>
          </w:p>
        </w:tc>
      </w:tr>
      <w:tr>
        <w:trPr>
          <w:trHeight w:val="223"/>
        </w:trPr>
        <w:tc>
          <w:tcPr>
            <w:tcW w:w="1840" w:type="dxa"/>
            <w:vAlign w:val="bottom"/>
            <w:tcBorders>
              <w:bottom w:val="single" w:sz="8" w:color="auto"/>
            </w:tcBorders>
            <w:gridSpan w:val="2"/>
            <w:vMerge w:val="continue"/>
          </w:tcPr>
          <w:p>
            <w:pPr>
              <w:spacing w:after="0"/>
              <w:rPr>
                <w:sz w:val="19"/>
                <w:szCs w:val="19"/>
                <w:color w:val="auto"/>
              </w:rPr>
            </w:pPr>
          </w:p>
        </w:tc>
        <w:tc>
          <w:tcPr>
            <w:tcW w:w="4440" w:type="dxa"/>
            <w:vAlign w:val="bottom"/>
            <w:tcBorders>
              <w:bottom w:val="single" w:sz="8" w:color="auto"/>
            </w:tcBorders>
            <w:shd w:val="clear" w:color="auto" w:fill="FFFF99"/>
          </w:tcPr>
          <w:p>
            <w:pPr>
              <w:jc w:val="right"/>
              <w:ind w:right="3230"/>
              <w:spacing w:after="0"/>
              <w:rPr>
                <w:sz w:val="20"/>
                <w:szCs w:val="20"/>
                <w:color w:val="auto"/>
              </w:rPr>
            </w:pPr>
            <w:r>
              <w:rPr>
                <w:rFonts w:ascii="Arial" w:cs="Arial" w:eastAsia="Arial" w:hAnsi="Arial"/>
                <w:sz w:val="18"/>
                <w:szCs w:val="18"/>
                <w:color w:val="auto"/>
                <w:w w:val="95"/>
              </w:rPr>
              <w:t>$7,000,000.00</w:t>
            </w:r>
          </w:p>
        </w:tc>
        <w:tc>
          <w:tcPr>
            <w:tcW w:w="128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40" w:type="dxa"/>
            <w:vAlign w:val="bottom"/>
            <w:vMerge w:val="restart"/>
          </w:tcPr>
          <w:p>
            <w:pPr>
              <w:jc w:val="right"/>
              <w:ind w:right="3330"/>
              <w:spacing w:after="0"/>
              <w:rPr>
                <w:sz w:val="20"/>
                <w:szCs w:val="20"/>
                <w:color w:val="auto"/>
              </w:rPr>
            </w:pPr>
            <w:r>
              <w:rPr>
                <w:rFonts w:ascii="Arial" w:cs="Arial" w:eastAsia="Arial" w:hAnsi="Arial"/>
                <w:sz w:val="18"/>
                <w:szCs w:val="18"/>
                <w:b w:val="1"/>
                <w:bCs w:val="1"/>
                <w:color w:val="auto"/>
              </w:rPr>
              <w:t>ADVANCE</w:t>
            </w:r>
          </w:p>
        </w:tc>
        <w:tc>
          <w:tcPr>
            <w:tcW w:w="1280" w:type="dxa"/>
            <w:vAlign w:val="bottom"/>
          </w:tcPr>
          <w:p>
            <w:pPr>
              <w:ind w:left="180"/>
              <w:spacing w:after="0"/>
              <w:rPr>
                <w:sz w:val="20"/>
                <w:szCs w:val="20"/>
                <w:color w:val="auto"/>
              </w:rPr>
            </w:pPr>
            <w:r>
              <w:rPr>
                <w:rFonts w:ascii="Arial" w:cs="Arial" w:eastAsia="Arial" w:hAnsi="Arial"/>
                <w:sz w:val="18"/>
                <w:szCs w:val="18"/>
                <w:color w:val="auto"/>
              </w:rPr>
              <w:t>Tran Code</w:t>
            </w:r>
          </w:p>
        </w:tc>
        <w:tc>
          <w:tcPr>
            <w:tcW w:w="3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4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940" w:hanging="581"/>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Client’s Outstanding Balance on HORIZON</w:t>
      </w:r>
    </w:p>
    <w:tbl>
      <w:tblPr>
        <w:tblLayout w:type="fixed"/>
        <w:tblInd w:w="360" w:type="dxa"/>
        <w:tblCellMar>
          <w:top w:w="0" w:type="dxa"/>
          <w:left w:w="0" w:type="dxa"/>
          <w:bottom w:w="0" w:type="dxa"/>
          <w:right w:w="0" w:type="dxa"/>
        </w:tblCellMar>
      </w:tblPr>
      <w:tr>
        <w:trPr>
          <w:trHeight w:val="230"/>
        </w:trPr>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2</w:t>
            </w:r>
          </w:p>
        </w:tc>
        <w:tc>
          <w:tcPr>
            <w:tcW w:w="3200" w:type="dxa"/>
            <w:vAlign w:val="bottom"/>
          </w:tcPr>
          <w:p>
            <w:pPr>
              <w:ind w:left="240"/>
              <w:spacing w:after="0"/>
              <w:rPr>
                <w:sz w:val="20"/>
                <w:szCs w:val="20"/>
                <w:color w:val="auto"/>
              </w:rPr>
            </w:pPr>
            <w:r>
              <w:rPr>
                <w:rFonts w:ascii="Arial" w:cs="Arial" w:eastAsia="Arial" w:hAnsi="Arial"/>
                <w:sz w:val="18"/>
                <w:szCs w:val="18"/>
                <w:color w:val="auto"/>
              </w:rPr>
              <w:t>Loan number</w:t>
            </w:r>
          </w:p>
        </w:tc>
        <w:tc>
          <w:tcPr>
            <w:tcW w:w="1360" w:type="dxa"/>
            <w:vAlign w:val="bottom"/>
            <w:tcBorders>
              <w:top w:val="single" w:sz="8" w:color="FFFF00"/>
              <w:bottom w:val="single" w:sz="8" w:color="auto"/>
            </w:tcBorders>
            <w:shd w:val="clear" w:color="auto" w:fill="FFFF00"/>
          </w:tcPr>
          <w:p>
            <w:pPr>
              <w:spacing w:after="0"/>
              <w:rPr>
                <w:sz w:val="20"/>
                <w:szCs w:val="20"/>
                <w:color w:val="auto"/>
              </w:rPr>
            </w:pPr>
          </w:p>
        </w:tc>
        <w:tc>
          <w:tcPr>
            <w:tcW w:w="2720" w:type="dxa"/>
            <w:vAlign w:val="bottom"/>
          </w:tcPr>
          <w:p>
            <w:pPr>
              <w:jc w:val="right"/>
              <w:ind w:right="990"/>
              <w:spacing w:after="0"/>
              <w:rPr>
                <w:sz w:val="20"/>
                <w:szCs w:val="20"/>
                <w:color w:val="auto"/>
              </w:rPr>
            </w:pPr>
            <w:r>
              <w:rPr>
                <w:rFonts w:ascii="Arial" w:cs="Arial" w:eastAsia="Arial" w:hAnsi="Arial"/>
                <w:sz w:val="18"/>
                <w:szCs w:val="18"/>
                <w:color w:val="auto"/>
              </w:rPr>
              <w:t>55</w:t>
            </w:r>
          </w:p>
        </w:tc>
        <w:tc>
          <w:tcPr>
            <w:tcW w:w="1260" w:type="dxa"/>
            <w:vAlign w:val="bottom"/>
            <w:tcBorders>
              <w:top w:val="single" w:sz="8" w:color="auto"/>
              <w:bottom w:val="single" w:sz="8" w:color="auto"/>
              <w:right w:val="single" w:sz="8" w:color="FFFF00"/>
            </w:tcBorders>
            <w:shd w:val="clear" w:color="auto" w:fill="FFFF00"/>
          </w:tcPr>
          <w:p>
            <w:pPr>
              <w:spacing w:after="0"/>
              <w:rPr>
                <w:sz w:val="20"/>
                <w:szCs w:val="20"/>
                <w:color w:val="auto"/>
              </w:rPr>
            </w:pPr>
          </w:p>
        </w:tc>
        <w:tc>
          <w:tcPr>
            <w:tcW w:w="40" w:type="dxa"/>
            <w:vAlign w:val="bottom"/>
            <w:tcBorders>
              <w:top w:val="single" w:sz="8" w:color="auto"/>
              <w:bottom w:val="single" w:sz="8" w:color="auto"/>
              <w:right w:val="single" w:sz="8" w:color="FFFF00"/>
            </w:tcBorders>
            <w:shd w:val="clear" w:color="auto" w:fill="FFFF00"/>
          </w:tcPr>
          <w:p>
            <w:pPr>
              <w:spacing w:after="0"/>
              <w:rPr>
                <w:sz w:val="20"/>
                <w:szCs w:val="20"/>
                <w:color w:val="auto"/>
              </w:rPr>
            </w:pPr>
          </w:p>
        </w:tc>
        <w:tc>
          <w:tcPr>
            <w:tcW w:w="1720" w:type="dxa"/>
            <w:vAlign w:val="bottom"/>
            <w:tcBorders>
              <w:top w:val="single" w:sz="8" w:color="auto"/>
              <w:bottom w:val="single" w:sz="8" w:color="auto"/>
              <w:right w:val="single" w:sz="8" w:color="FFFF00"/>
            </w:tcBorders>
            <w:shd w:val="clear" w:color="auto" w:fill="FFFF00"/>
          </w:tcPr>
          <w:p>
            <w:pPr>
              <w:spacing w:after="0"/>
              <w:rPr>
                <w:sz w:val="20"/>
                <w:szCs w:val="20"/>
                <w:color w:val="auto"/>
              </w:rPr>
            </w:pPr>
          </w:p>
        </w:tc>
        <w:tc>
          <w:tcPr>
            <w:tcW w:w="40" w:type="dxa"/>
            <w:vAlign w:val="bottom"/>
            <w:tcBorders>
              <w:top w:val="single" w:sz="8" w:color="auto"/>
              <w:bottom w:val="single" w:sz="8" w:color="auto"/>
              <w:right w:val="single" w:sz="8" w:color="FFFF00"/>
            </w:tcBorders>
            <w:shd w:val="clear" w:color="auto" w:fill="FFFF00"/>
          </w:tcPr>
          <w:p>
            <w:pPr>
              <w:spacing w:after="0"/>
              <w:rPr>
                <w:sz w:val="20"/>
                <w:szCs w:val="20"/>
                <w:color w:val="auto"/>
              </w:rPr>
            </w:pPr>
          </w:p>
        </w:tc>
      </w:tr>
      <w:tr>
        <w:trPr>
          <w:trHeight w:val="223"/>
        </w:trPr>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3</w:t>
            </w:r>
          </w:p>
        </w:tc>
        <w:tc>
          <w:tcPr>
            <w:tcW w:w="3200" w:type="dxa"/>
            <w:vAlign w:val="bottom"/>
          </w:tcPr>
          <w:p>
            <w:pPr>
              <w:ind w:left="240"/>
              <w:spacing w:after="0"/>
              <w:rPr>
                <w:sz w:val="20"/>
                <w:szCs w:val="20"/>
                <w:color w:val="auto"/>
              </w:rPr>
            </w:pPr>
            <w:r>
              <w:rPr>
                <w:rFonts w:ascii="Arial" w:cs="Arial" w:eastAsia="Arial" w:hAnsi="Arial"/>
                <w:sz w:val="18"/>
                <w:szCs w:val="18"/>
                <w:color w:val="auto"/>
              </w:rPr>
              <w:t>Credit to DDA #</w:t>
            </w:r>
          </w:p>
        </w:tc>
        <w:tc>
          <w:tcPr>
            <w:tcW w:w="1360" w:type="dxa"/>
            <w:vAlign w:val="bottom"/>
            <w:tcBorders>
              <w:bottom w:val="single" w:sz="8" w:color="auto"/>
            </w:tcBorders>
            <w:shd w:val="clear" w:color="auto" w:fill="FFFF00"/>
          </w:tcPr>
          <w:p>
            <w:pPr>
              <w:spacing w:after="0"/>
              <w:rPr>
                <w:sz w:val="19"/>
                <w:szCs w:val="19"/>
                <w:color w:val="auto"/>
              </w:rPr>
            </w:pPr>
          </w:p>
        </w:tc>
        <w:tc>
          <w:tcPr>
            <w:tcW w:w="2720" w:type="dxa"/>
            <w:vAlign w:val="bottom"/>
          </w:tcPr>
          <w:p>
            <w:pPr>
              <w:jc w:val="right"/>
              <w:ind w:right="990"/>
              <w:spacing w:after="0"/>
              <w:rPr>
                <w:sz w:val="20"/>
                <w:szCs w:val="20"/>
                <w:color w:val="auto"/>
              </w:rPr>
            </w:pPr>
            <w:r>
              <w:rPr>
                <w:rFonts w:ascii="Arial" w:cs="Arial" w:eastAsia="Arial" w:hAnsi="Arial"/>
                <w:sz w:val="18"/>
                <w:szCs w:val="18"/>
                <w:color w:val="auto"/>
              </w:rPr>
              <w:t>30</w:t>
            </w:r>
          </w:p>
        </w:tc>
        <w:tc>
          <w:tcPr>
            <w:tcW w:w="12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r>
      <w:tr>
        <w:trPr>
          <w:trHeight w:val="253"/>
        </w:trPr>
        <w:tc>
          <w:tcPr>
            <w:tcW w:w="34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5340" w:type="dxa"/>
            <w:vAlign w:val="bottom"/>
            <w:gridSpan w:val="3"/>
          </w:tcPr>
          <w:p>
            <w:pPr>
              <w:spacing w:after="0"/>
              <w:rPr>
                <w:sz w:val="22"/>
                <w:szCs w:val="22"/>
                <w:color w:val="auto"/>
              </w:rPr>
            </w:pPr>
          </w:p>
        </w:tc>
        <w:tc>
          <w:tcPr>
            <w:tcW w:w="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10"/>
        </w:trPr>
        <w:tc>
          <w:tcPr>
            <w:tcW w:w="340" w:type="dxa"/>
            <w:vAlign w:val="bottom"/>
          </w:tcPr>
          <w:p>
            <w:pPr>
              <w:spacing w:after="0"/>
              <w:rPr>
                <w:sz w:val="18"/>
                <w:szCs w:val="18"/>
                <w:color w:val="auto"/>
              </w:rPr>
            </w:pPr>
          </w:p>
        </w:tc>
        <w:tc>
          <w:tcPr>
            <w:tcW w:w="3200" w:type="dxa"/>
            <w:vAlign w:val="bottom"/>
          </w:tcPr>
          <w:p>
            <w:pPr>
              <w:ind w:left="240"/>
              <w:spacing w:after="0"/>
              <w:rPr>
                <w:sz w:val="20"/>
                <w:szCs w:val="20"/>
                <w:color w:val="auto"/>
              </w:rPr>
            </w:pPr>
            <w:r>
              <w:rPr>
                <w:rFonts w:ascii="Arial" w:cs="Arial" w:eastAsia="Arial" w:hAnsi="Arial"/>
                <w:sz w:val="18"/>
                <w:szCs w:val="18"/>
                <w:color w:val="auto"/>
              </w:rPr>
              <w:t>Client’s New Outstanding Balance</w:t>
            </w:r>
          </w:p>
        </w:tc>
        <w:tc>
          <w:tcPr>
            <w:tcW w:w="1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40" w:type="dxa"/>
            <w:vAlign w:val="bottom"/>
            <w:tcBorders>
              <w:top w:val="single" w:sz="8" w:color="auto"/>
              <w:right w:val="single" w:sz="8" w:color="auto"/>
            </w:tcBorders>
          </w:tcPr>
          <w:p>
            <w:pPr>
              <w:spacing w:after="0"/>
              <w:rPr>
                <w:sz w:val="18"/>
                <w:szCs w:val="18"/>
                <w:color w:val="auto"/>
              </w:rPr>
            </w:pPr>
          </w:p>
        </w:tc>
        <w:tc>
          <w:tcPr>
            <w:tcW w:w="1720" w:type="dxa"/>
            <w:vAlign w:val="bottom"/>
            <w:tcBorders>
              <w:top w:val="single" w:sz="8" w:color="auto"/>
              <w:bottom w:val="single" w:sz="8" w:color="auto"/>
              <w:right w:val="single" w:sz="8" w:color="auto"/>
            </w:tcBorders>
          </w:tcPr>
          <w:p>
            <w:pPr>
              <w:jc w:val="right"/>
              <w:spacing w:after="0" w:line="189" w:lineRule="exact"/>
              <w:rPr>
                <w:sz w:val="20"/>
                <w:szCs w:val="20"/>
                <w:color w:val="auto"/>
              </w:rPr>
            </w:pPr>
            <w:r>
              <w:rPr>
                <w:rFonts w:ascii="Arial" w:cs="Arial" w:eastAsia="Arial" w:hAnsi="Arial"/>
                <w:sz w:val="18"/>
                <w:szCs w:val="18"/>
                <w:color w:val="auto"/>
              </w:rPr>
              <w:t>$0.00</w:t>
            </w:r>
          </w:p>
        </w:tc>
        <w:tc>
          <w:tcPr>
            <w:tcW w:w="40" w:type="dxa"/>
            <w:vAlign w:val="bottom"/>
            <w:tcBorders>
              <w:top w:val="single" w:sz="8" w:color="auto"/>
              <w:right w:val="single" w:sz="8" w:color="auto"/>
            </w:tcBorders>
          </w:tcPr>
          <w:p>
            <w:pPr>
              <w:spacing w:after="0"/>
              <w:rPr>
                <w:sz w:val="18"/>
                <w:szCs w:val="18"/>
                <w:color w:val="auto"/>
              </w:rPr>
            </w:pPr>
          </w:p>
        </w:tc>
      </w:tr>
      <w:tr>
        <w:trPr>
          <w:trHeight w:val="21"/>
        </w:trPr>
        <w:tc>
          <w:tcPr>
            <w:tcW w:w="3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PAYDOWN</w:t>
      </w:r>
    </w:p>
    <w:p>
      <w:pPr>
        <w:spacing w:after="0" w:line="40" w:lineRule="exact"/>
        <w:rPr>
          <w:sz w:val="20"/>
          <w:szCs w:val="20"/>
          <w:color w:val="auto"/>
        </w:rPr>
      </w:pPr>
    </w:p>
    <w:p>
      <w:pPr>
        <w:ind w:left="940" w:hanging="581"/>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Client’s Outstanding Balance on HORIZON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-1905</wp:posOffset>
            </wp:positionV>
            <wp:extent cx="19380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38020" cy="171450"/>
                    </a:xfrm>
                    <a:prstGeom prst="rect">
                      <a:avLst/>
                    </a:prstGeom>
                    <a:noFill/>
                  </pic:spPr>
                </pic:pic>
              </a:graphicData>
            </a:graphic>
          </wp:anchor>
        </w:drawing>
      </w:r>
    </w:p>
    <w:p>
      <w:pPr>
        <w:spacing w:after="0" w:line="13" w:lineRule="exact"/>
        <w:rPr>
          <w:sz w:val="20"/>
          <w:szCs w:val="20"/>
          <w:color w:val="auto"/>
        </w:rPr>
      </w:pPr>
    </w:p>
    <w:tbl>
      <w:tblPr>
        <w:tblLayout w:type="fixed"/>
        <w:tblInd w:w="360" w:type="dxa"/>
        <w:tblCellMar>
          <w:top w:w="0" w:type="dxa"/>
          <w:left w:w="0" w:type="dxa"/>
          <w:bottom w:w="0" w:type="dxa"/>
          <w:right w:w="0" w:type="dxa"/>
        </w:tblCellMar>
      </w:tblPr>
      <w:tr>
        <w:trPr>
          <w:trHeight w:val="214"/>
        </w:trPr>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5</w:t>
            </w:r>
          </w:p>
        </w:tc>
        <w:tc>
          <w:tcPr>
            <w:tcW w:w="3200" w:type="dxa"/>
            <w:vAlign w:val="bottom"/>
          </w:tcPr>
          <w:p>
            <w:pPr>
              <w:ind w:left="240"/>
              <w:spacing w:after="0"/>
              <w:rPr>
                <w:sz w:val="20"/>
                <w:szCs w:val="20"/>
                <w:color w:val="auto"/>
              </w:rPr>
            </w:pPr>
            <w:r>
              <w:rPr>
                <w:rFonts w:ascii="Arial" w:cs="Arial" w:eastAsia="Arial" w:hAnsi="Arial"/>
                <w:sz w:val="18"/>
                <w:szCs w:val="18"/>
                <w:color w:val="auto"/>
              </w:rPr>
              <w:t>Debit DDA #</w:t>
            </w:r>
          </w:p>
        </w:tc>
        <w:tc>
          <w:tcPr>
            <w:tcW w:w="1360" w:type="dxa"/>
            <w:vAlign w:val="bottom"/>
            <w:tcBorders>
              <w:bottom w:val="single" w:sz="8" w:color="auto"/>
            </w:tcBorders>
            <w:shd w:val="clear" w:color="auto" w:fill="FFFF00"/>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6</w:t>
            </w:r>
          </w:p>
        </w:tc>
        <w:tc>
          <w:tcPr>
            <w:tcW w:w="3200" w:type="dxa"/>
            <w:vAlign w:val="bottom"/>
          </w:tcPr>
          <w:p>
            <w:pPr>
              <w:ind w:left="240"/>
              <w:spacing w:after="0"/>
              <w:rPr>
                <w:sz w:val="20"/>
                <w:szCs w:val="20"/>
                <w:color w:val="auto"/>
              </w:rPr>
            </w:pPr>
            <w:r>
              <w:rPr>
                <w:rFonts w:ascii="Arial" w:cs="Arial" w:eastAsia="Arial" w:hAnsi="Arial"/>
                <w:sz w:val="18"/>
                <w:szCs w:val="18"/>
                <w:color w:val="auto"/>
              </w:rPr>
              <w:t>Apply to Loan number</w:t>
            </w:r>
          </w:p>
        </w:tc>
        <w:tc>
          <w:tcPr>
            <w:tcW w:w="1360" w:type="dxa"/>
            <w:vAlign w:val="bottom"/>
            <w:tcBorders>
              <w:bottom w:val="single" w:sz="8" w:color="auto"/>
            </w:tcBorders>
            <w:shd w:val="clear" w:color="auto" w:fill="FFFF00"/>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-16510</wp:posOffset>
            </wp:positionV>
            <wp:extent cx="19380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38020" cy="171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135255</wp:posOffset>
            </wp:positionV>
            <wp:extent cx="1942465" cy="2101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42465" cy="210185"/>
                    </a:xfrm>
                    <a:prstGeom prst="rect">
                      <a:avLst/>
                    </a:prstGeom>
                    <a:noFill/>
                  </pic:spPr>
                </pic:pic>
              </a:graphicData>
            </a:graphic>
          </wp:anchor>
        </w:drawing>
      </w:r>
    </w:p>
    <w:p>
      <w:pPr>
        <w:spacing w:after="0" w:line="29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Client’s New Outstanding Balance</w:t>
      </w:r>
    </w:p>
    <w:p>
      <w:pPr>
        <w:spacing w:after="0" w:line="22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Borrowing Base Update</w:t>
      </w:r>
    </w:p>
    <w:p>
      <w:pPr>
        <w:spacing w:after="0" w:line="32" w:lineRule="exact"/>
        <w:rPr>
          <w:sz w:val="20"/>
          <w:szCs w:val="20"/>
          <w:color w:val="auto"/>
        </w:rPr>
      </w:pPr>
    </w:p>
    <w:p>
      <w:pPr>
        <w:ind w:left="940" w:hanging="581"/>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Total Borrowing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0</wp:posOffset>
            </wp:positionV>
            <wp:extent cx="19380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38020" cy="17145"/>
                    </a:xfrm>
                    <a:prstGeom prst="rect">
                      <a:avLst/>
                    </a:prstGeom>
                    <a:noFill/>
                  </pic:spPr>
                </pic:pic>
              </a:graphicData>
            </a:graphic>
          </wp:anchor>
        </w:drawing>
      </w:r>
    </w:p>
    <w:p>
      <w:pPr>
        <w:spacing w:after="0" w:line="17" w:lineRule="exact"/>
        <w:rPr>
          <w:sz w:val="20"/>
          <w:szCs w:val="20"/>
          <w:color w:val="auto"/>
        </w:rPr>
      </w:pPr>
    </w:p>
    <w:p>
      <w:pPr>
        <w:ind w:left="940" w:hanging="581"/>
        <w:spacing w:after="0"/>
        <w:tabs>
          <w:tab w:leader="none" w:pos="9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Less: Present Balance owing on Line of Credit</w:t>
      </w:r>
    </w:p>
    <w:tbl>
      <w:tblPr>
        <w:tblLayout w:type="fixed"/>
        <w:tblInd w:w="36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7240" w:type="dxa"/>
            <w:vAlign w:val="bottom"/>
          </w:tcPr>
          <w:p>
            <w:pPr>
              <w:ind w:left="200"/>
              <w:spacing w:after="0"/>
              <w:rPr>
                <w:sz w:val="20"/>
                <w:szCs w:val="20"/>
                <w:color w:val="auto"/>
              </w:rPr>
            </w:pPr>
            <w:r>
              <w:rPr>
                <w:rFonts w:ascii="Arial" w:cs="Arial" w:eastAsia="Arial" w:hAnsi="Arial"/>
                <w:sz w:val="18"/>
                <w:szCs w:val="18"/>
                <w:color w:val="auto"/>
              </w:rPr>
              <w:t>Less: Issued Letters of Credit</w:t>
            </w:r>
          </w:p>
        </w:tc>
        <w:tc>
          <w:tcPr>
            <w:tcW w:w="3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10</w:t>
            </w:r>
          </w:p>
        </w:tc>
        <w:tc>
          <w:tcPr>
            <w:tcW w:w="7240" w:type="dxa"/>
            <w:vAlign w:val="bottom"/>
          </w:tcPr>
          <w:p>
            <w:pPr>
              <w:ind w:left="200"/>
              <w:spacing w:after="0"/>
              <w:rPr>
                <w:sz w:val="20"/>
                <w:szCs w:val="20"/>
                <w:color w:val="auto"/>
              </w:rPr>
            </w:pPr>
            <w:r>
              <w:rPr>
                <w:rFonts w:ascii="Arial" w:cs="Arial" w:eastAsia="Arial" w:hAnsi="Arial"/>
                <w:sz w:val="18"/>
                <w:szCs w:val="18"/>
                <w:b w:val="1"/>
                <w:bCs w:val="1"/>
                <w:color w:val="auto"/>
              </w:rPr>
              <w:t>Remaining Availability (# 7 minus # 8 &amp; # 9)</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r>
    </w:tbl>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The undersigned represents and warrants that the foregoing is true, complete and correct, and that the information reflected in this Borrowing Base Certificate complies with the representations and warranties set forth in the Loan and Security Agreement between the undersigned and Avidbank Corporate Banking, a Division of Avidbank.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Requested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-1905</wp:posOffset>
            </wp:positionV>
            <wp:extent cx="31299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29915" cy="17145"/>
                    </a:xfrm>
                    <a:prstGeom prst="rect">
                      <a:avLst/>
                    </a:prstGeom>
                    <a:noFill/>
                  </pic:spPr>
                </pic:pic>
              </a:graphicData>
            </a:graphic>
          </wp:anchor>
        </w:drawing>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229"/>
        </w:trPr>
        <w:tc>
          <w:tcPr>
            <w:tcW w:w="1880" w:type="dxa"/>
            <w:vAlign w:val="bottom"/>
          </w:tcPr>
          <w:p>
            <w:pPr>
              <w:spacing w:after="0"/>
              <w:rPr>
                <w:sz w:val="19"/>
                <w:szCs w:val="19"/>
                <w:color w:val="auto"/>
              </w:rPr>
            </w:pPr>
          </w:p>
        </w:tc>
        <w:tc>
          <w:tcPr>
            <w:tcW w:w="6040" w:type="dxa"/>
            <w:vAlign w:val="bottom"/>
          </w:tcPr>
          <w:p>
            <w:pPr>
              <w:jc w:val="center"/>
              <w:ind w:right="2870"/>
              <w:spacing w:after="0"/>
              <w:rPr>
                <w:sz w:val="20"/>
                <w:szCs w:val="20"/>
                <w:color w:val="auto"/>
              </w:rPr>
            </w:pPr>
            <w:r>
              <w:rPr>
                <w:rFonts w:ascii="Arial" w:cs="Arial" w:eastAsia="Arial" w:hAnsi="Arial"/>
                <w:sz w:val="18"/>
                <w:szCs w:val="18"/>
                <w:color w:val="auto"/>
                <w:w w:val="92"/>
              </w:rPr>
              <w:t>Authorized Signer</w:t>
            </w:r>
          </w:p>
        </w:tc>
        <w:tc>
          <w:tcPr>
            <w:tcW w:w="0" w:type="dxa"/>
            <w:vAlign w:val="bottom"/>
          </w:tcPr>
          <w:p>
            <w:pPr>
              <w:spacing w:after="0"/>
              <w:rPr>
                <w:sz w:val="1"/>
                <w:szCs w:val="1"/>
                <w:color w:val="auto"/>
              </w:rPr>
            </w:pPr>
          </w:p>
        </w:tc>
      </w:tr>
      <w:tr>
        <w:trPr>
          <w:trHeight w:val="230"/>
        </w:trPr>
        <w:tc>
          <w:tcPr>
            <w:tcW w:w="1880" w:type="dxa"/>
            <w:vAlign w:val="bottom"/>
          </w:tcPr>
          <w:p>
            <w:pPr>
              <w:ind w:left="320"/>
              <w:spacing w:after="0"/>
              <w:rPr>
                <w:sz w:val="20"/>
                <w:szCs w:val="20"/>
                <w:color w:val="auto"/>
              </w:rPr>
            </w:pPr>
            <w:r>
              <w:rPr>
                <w:rFonts w:ascii="Arial" w:cs="Arial" w:eastAsia="Arial" w:hAnsi="Arial"/>
                <w:sz w:val="18"/>
                <w:szCs w:val="18"/>
                <w:color w:val="auto"/>
              </w:rPr>
              <w:t>Title:</w:t>
            </w:r>
          </w:p>
        </w:tc>
        <w:tc>
          <w:tcPr>
            <w:tcW w:w="6040" w:type="dxa"/>
            <w:vAlign w:val="bottom"/>
            <w:vMerge w:val="restart"/>
          </w:tcPr>
          <w:p>
            <w:pPr>
              <w:jc w:val="center"/>
              <w:ind w:right="2870"/>
              <w:spacing w:after="0"/>
              <w:rPr>
                <w:sz w:val="20"/>
                <w:szCs w:val="20"/>
                <w:color w:val="auto"/>
              </w:rPr>
            </w:pPr>
            <w:r>
              <w:rPr>
                <w:rFonts w:ascii="Arial" w:cs="Arial" w:eastAsia="Arial" w:hAnsi="Arial"/>
                <w:sz w:val="18"/>
                <w:szCs w:val="18"/>
                <w:color w:val="auto"/>
                <w:w w:val="93"/>
              </w:rPr>
              <w:t>Title of Authorized Signer</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6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1880" w:type="dxa"/>
            <w:vAlign w:val="bottom"/>
          </w:tcPr>
          <w:p>
            <w:pPr>
              <w:spacing w:after="0"/>
              <w:rPr>
                <w:sz w:val="20"/>
                <w:szCs w:val="20"/>
                <w:color w:val="auto"/>
              </w:rPr>
            </w:pPr>
            <w:r>
              <w:rPr>
                <w:rFonts w:ascii="Arial" w:cs="Arial" w:eastAsia="Arial" w:hAnsi="Arial"/>
                <w:sz w:val="18"/>
                <w:szCs w:val="18"/>
                <w:color w:val="auto"/>
              </w:rPr>
              <w:t>BANK SECTION</w:t>
            </w:r>
          </w:p>
        </w:tc>
        <w:tc>
          <w:tcPr>
            <w:tcW w:w="6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880" w:type="dxa"/>
            <w:vAlign w:val="bottom"/>
          </w:tcPr>
          <w:p>
            <w:pPr>
              <w:ind w:left="200"/>
              <w:spacing w:after="0"/>
              <w:rPr>
                <w:sz w:val="20"/>
                <w:szCs w:val="20"/>
                <w:color w:val="auto"/>
              </w:rPr>
            </w:pPr>
            <w:r>
              <w:rPr>
                <w:rFonts w:ascii="Arial" w:cs="Arial" w:eastAsia="Arial" w:hAnsi="Arial"/>
                <w:sz w:val="18"/>
                <w:szCs w:val="18"/>
                <w:color w:val="auto"/>
              </w:rPr>
              <w:t>Reviewed by:</w:t>
            </w:r>
          </w:p>
        </w:tc>
        <w:tc>
          <w:tcPr>
            <w:tcW w:w="6040" w:type="dxa"/>
            <w:vAlign w:val="bottom"/>
          </w:tcPr>
          <w:p>
            <w:pPr>
              <w:ind w:left="5060"/>
              <w:spacing w:after="0"/>
              <w:rPr>
                <w:sz w:val="20"/>
                <w:szCs w:val="20"/>
                <w:color w:val="auto"/>
              </w:rPr>
            </w:pPr>
            <w:r>
              <w:rPr>
                <w:rFonts w:ascii="Arial" w:cs="Arial" w:eastAsia="Arial" w:hAnsi="Arial"/>
                <w:sz w:val="18"/>
                <w:szCs w:val="18"/>
                <w:color w:val="auto"/>
                <w:w w:val="90"/>
              </w:rPr>
              <w:t>Approved by:</w:t>
            </w:r>
          </w:p>
        </w:tc>
        <w:tc>
          <w:tcPr>
            <w:tcW w:w="0" w:type="dxa"/>
            <w:vAlign w:val="bottom"/>
          </w:tcPr>
          <w:p>
            <w:pPr>
              <w:spacing w:after="0"/>
              <w:rPr>
                <w:sz w:val="1"/>
                <w:szCs w:val="1"/>
                <w:color w:val="auto"/>
              </w:rPr>
            </w:pPr>
          </w:p>
        </w:tc>
      </w:tr>
      <w:tr>
        <w:trPr>
          <w:trHeight w:val="459"/>
        </w:trPr>
        <w:tc>
          <w:tcPr>
            <w:tcW w:w="1880" w:type="dxa"/>
            <w:vAlign w:val="bottom"/>
          </w:tcPr>
          <w:p>
            <w:pPr>
              <w:ind w:left="200"/>
              <w:spacing w:after="0"/>
              <w:rPr>
                <w:sz w:val="20"/>
                <w:szCs w:val="20"/>
                <w:color w:val="auto"/>
              </w:rPr>
            </w:pPr>
            <w:r>
              <w:rPr>
                <w:rFonts w:ascii="Arial" w:cs="Arial" w:eastAsia="Arial" w:hAnsi="Arial"/>
                <w:sz w:val="18"/>
                <w:szCs w:val="18"/>
                <w:color w:val="auto"/>
              </w:rPr>
              <w:t>Posted by:</w:t>
            </w:r>
          </w:p>
        </w:tc>
        <w:tc>
          <w:tcPr>
            <w:tcW w:w="6040" w:type="dxa"/>
            <w:vAlign w:val="bottom"/>
          </w:tcPr>
          <w:p>
            <w:pPr>
              <w:ind w:left="5060"/>
              <w:spacing w:after="0"/>
              <w:rPr>
                <w:sz w:val="20"/>
                <w:szCs w:val="20"/>
                <w:color w:val="auto"/>
              </w:rPr>
            </w:pPr>
            <w:r>
              <w:rPr>
                <w:rFonts w:ascii="Arial" w:cs="Arial" w:eastAsia="Arial" w:hAnsi="Arial"/>
                <w:sz w:val="18"/>
                <w:szCs w:val="18"/>
                <w:color w:val="auto"/>
              </w:rPr>
              <w:t>Call back: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-1200150</wp:posOffset>
            </wp:positionV>
            <wp:extent cx="283019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3019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-753745</wp:posOffset>
            </wp:positionV>
            <wp:extent cx="7246620" cy="10636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063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737235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EXHIBIT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BORROWING BASE CERTIFICATE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Borrower: USA TECHNOLOGIES, INC.</w:t>
            </w:r>
          </w:p>
        </w:tc>
        <w:tc>
          <w:tcPr>
            <w:tcW w:w="42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Lender: Avidbank Corporate Finance,</w:t>
            </w:r>
          </w:p>
        </w:tc>
      </w:tr>
      <w:tr>
        <w:trPr>
          <w:trHeight w:val="216"/>
        </w:trPr>
        <w:tc>
          <w:tcPr>
            <w:tcW w:w="1040" w:type="dxa"/>
            <w:vAlign w:val="bottom"/>
          </w:tcPr>
          <w:p>
            <w:pPr>
              <w:spacing w:after="0"/>
              <w:rPr>
                <w:sz w:val="18"/>
                <w:szCs w:val="18"/>
                <w:color w:val="auto"/>
              </w:rPr>
            </w:pPr>
          </w:p>
        </w:tc>
        <w:tc>
          <w:tcPr>
            <w:tcW w:w="6100" w:type="dxa"/>
            <w:vAlign w:val="bottom"/>
          </w:tcPr>
          <w:p>
            <w:pPr>
              <w:ind w:left="100"/>
              <w:spacing w:after="0"/>
              <w:rPr>
                <w:sz w:val="20"/>
                <w:szCs w:val="20"/>
                <w:color w:val="auto"/>
              </w:rPr>
            </w:pPr>
            <w:r>
              <w:rPr>
                <w:rFonts w:ascii="Arial" w:cs="Arial" w:eastAsia="Arial" w:hAnsi="Arial"/>
                <w:sz w:val="18"/>
                <w:szCs w:val="18"/>
                <w:color w:val="auto"/>
              </w:rPr>
              <w:t>a division of Avidbank</w:t>
            </w:r>
          </w:p>
        </w:tc>
        <w:tc>
          <w:tcPr>
            <w:tcW w:w="4280" w:type="dxa"/>
            <w:vAlign w:val="bottom"/>
          </w:tcPr>
          <w:p>
            <w:pPr>
              <w:spacing w:after="0"/>
              <w:rPr>
                <w:sz w:val="18"/>
                <w:szCs w:val="18"/>
                <w:color w:val="auto"/>
              </w:rPr>
            </w:pPr>
          </w:p>
        </w:tc>
      </w:tr>
      <w:tr>
        <w:trPr>
          <w:trHeight w:val="237"/>
        </w:trPr>
        <w:tc>
          <w:tcPr>
            <w:tcW w:w="7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Commitment Amount: $7,000,000</w:t>
            </w:r>
          </w:p>
        </w:tc>
        <w:tc>
          <w:tcPr>
            <w:tcW w:w="4280" w:type="dxa"/>
            <w:vAlign w:val="bottom"/>
            <w:tcBorders>
              <w:bottom w:val="single" w:sz="8" w:color="auto"/>
            </w:tcBorders>
          </w:tcPr>
          <w:p>
            <w:pPr>
              <w:spacing w:after="0"/>
              <w:rPr>
                <w:sz w:val="20"/>
                <w:szCs w:val="20"/>
                <w:color w:val="auto"/>
              </w:rPr>
            </w:pPr>
          </w:p>
        </w:tc>
      </w:tr>
      <w:tr>
        <w:trPr>
          <w:trHeight w:val="661"/>
        </w:trPr>
        <w:tc>
          <w:tcPr>
            <w:tcW w:w="7140" w:type="dxa"/>
            <w:vAlign w:val="bottom"/>
            <w:gridSpan w:val="2"/>
          </w:tcPr>
          <w:p>
            <w:pPr>
              <w:spacing w:after="0"/>
              <w:rPr>
                <w:sz w:val="20"/>
                <w:szCs w:val="20"/>
                <w:color w:val="auto"/>
              </w:rPr>
            </w:pPr>
            <w:r>
              <w:rPr>
                <w:rFonts w:ascii="Arial" w:cs="Arial" w:eastAsia="Arial" w:hAnsi="Arial"/>
                <w:sz w:val="18"/>
                <w:szCs w:val="18"/>
                <w:color w:val="auto"/>
              </w:rPr>
              <w:t>REVENUES FROM NON-INVOICED ACCOUNTS RECEIVABLES</w:t>
            </w:r>
          </w:p>
        </w:tc>
        <w:tc>
          <w:tcPr>
            <w:tcW w:w="4280" w:type="dxa"/>
            <w:vAlign w:val="bottom"/>
          </w:tcPr>
          <w:p>
            <w:pPr>
              <w:spacing w:after="0"/>
              <w:rPr>
                <w:sz w:val="24"/>
                <w:szCs w:val="24"/>
                <w:color w:val="auto"/>
              </w:rPr>
            </w:pPr>
          </w:p>
        </w:tc>
      </w:tr>
      <w:tr>
        <w:trPr>
          <w:trHeight w:val="216"/>
        </w:trPr>
        <w:tc>
          <w:tcPr>
            <w:tcW w:w="104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6100" w:type="dxa"/>
            <w:vAlign w:val="bottom"/>
          </w:tcPr>
          <w:p>
            <w:pPr>
              <w:ind w:left="240"/>
              <w:spacing w:after="0"/>
              <w:rPr>
                <w:sz w:val="20"/>
                <w:szCs w:val="20"/>
                <w:color w:val="auto"/>
              </w:rPr>
            </w:pPr>
            <w:r>
              <w:rPr>
                <w:rFonts w:ascii="Arial" w:cs="Arial" w:eastAsia="Arial" w:hAnsi="Arial"/>
                <w:sz w:val="18"/>
                <w:szCs w:val="18"/>
                <w:color w:val="auto"/>
                <w:w w:val="96"/>
              </w:rPr>
              <w:t>Prior three-months networking service fees/transaction processing revenues</w:t>
            </w:r>
          </w:p>
        </w:tc>
        <w:tc>
          <w:tcPr>
            <w:tcW w:w="4280" w:type="dxa"/>
            <w:vAlign w:val="bottom"/>
          </w:tcPr>
          <w:p>
            <w:pPr>
              <w:ind w:left="2460"/>
              <w:spacing w:after="0"/>
              <w:rPr>
                <w:sz w:val="20"/>
                <w:szCs w:val="20"/>
                <w:color w:val="auto"/>
              </w:rPr>
            </w:pPr>
            <w:r>
              <w:rPr>
                <w:rFonts w:ascii="Arial" w:cs="Arial" w:eastAsia="Arial" w:hAnsi="Arial"/>
                <w:sz w:val="18"/>
                <w:szCs w:val="18"/>
                <w:color w:val="auto"/>
              </w:rPr>
              <w:t>$___________</w:t>
            </w:r>
          </w:p>
        </w:tc>
      </w:tr>
      <w:tr>
        <w:trPr>
          <w:trHeight w:val="216"/>
        </w:trPr>
        <w:tc>
          <w:tcPr>
            <w:tcW w:w="104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6100" w:type="dxa"/>
            <w:vAlign w:val="bottom"/>
          </w:tcPr>
          <w:p>
            <w:pPr>
              <w:ind w:left="240"/>
              <w:spacing w:after="0"/>
              <w:rPr>
                <w:sz w:val="20"/>
                <w:szCs w:val="20"/>
                <w:color w:val="auto"/>
              </w:rPr>
            </w:pPr>
            <w:r>
              <w:rPr>
                <w:rFonts w:ascii="Arial" w:cs="Arial" w:eastAsia="Arial" w:hAnsi="Arial"/>
                <w:sz w:val="18"/>
                <w:szCs w:val="18"/>
                <w:color w:val="auto"/>
              </w:rPr>
              <w:t>Adjustments to Revenues, if any</w:t>
            </w:r>
          </w:p>
        </w:tc>
        <w:tc>
          <w:tcPr>
            <w:tcW w:w="4280" w:type="dxa"/>
            <w:vAlign w:val="bottom"/>
          </w:tcPr>
          <w:p>
            <w:pPr>
              <w:ind w:left="2460"/>
              <w:spacing w:after="0"/>
              <w:rPr>
                <w:sz w:val="20"/>
                <w:szCs w:val="20"/>
                <w:color w:val="auto"/>
              </w:rPr>
            </w:pPr>
            <w:r>
              <w:rPr>
                <w:rFonts w:ascii="Arial" w:cs="Arial" w:eastAsia="Arial" w:hAnsi="Arial"/>
                <w:sz w:val="18"/>
                <w:szCs w:val="18"/>
                <w:color w:val="auto"/>
              </w:rPr>
              <w:t>$___________</w:t>
            </w:r>
          </w:p>
        </w:tc>
      </w:tr>
      <w:tr>
        <w:trPr>
          <w:trHeight w:val="216"/>
        </w:trPr>
        <w:tc>
          <w:tcPr>
            <w:tcW w:w="104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6100" w:type="dxa"/>
            <w:vAlign w:val="bottom"/>
          </w:tcPr>
          <w:p>
            <w:pPr>
              <w:ind w:left="240"/>
              <w:spacing w:after="0"/>
              <w:rPr>
                <w:sz w:val="20"/>
                <w:szCs w:val="20"/>
                <w:color w:val="auto"/>
              </w:rPr>
            </w:pPr>
            <w:r>
              <w:rPr>
                <w:rFonts w:ascii="Arial" w:cs="Arial" w:eastAsia="Arial" w:hAnsi="Arial"/>
                <w:sz w:val="18"/>
                <w:szCs w:val="18"/>
                <w:color w:val="auto"/>
              </w:rPr>
              <w:t>Total Processing Revenues (#1 minus #2)</w:t>
            </w:r>
          </w:p>
        </w:tc>
        <w:tc>
          <w:tcPr>
            <w:tcW w:w="4280" w:type="dxa"/>
            <w:vAlign w:val="bottom"/>
          </w:tcPr>
          <w:p>
            <w:pPr>
              <w:ind w:left="2460"/>
              <w:spacing w:after="0"/>
              <w:rPr>
                <w:sz w:val="20"/>
                <w:szCs w:val="20"/>
                <w:color w:val="auto"/>
              </w:rPr>
            </w:pPr>
            <w:r>
              <w:rPr>
                <w:rFonts w:ascii="Arial" w:cs="Arial" w:eastAsia="Arial" w:hAnsi="Arial"/>
                <w:sz w:val="18"/>
                <w:szCs w:val="18"/>
                <w:color w:val="auto"/>
              </w:rPr>
              <w:t>$___________</w:t>
            </w:r>
          </w:p>
        </w:tc>
      </w:tr>
      <w:tr>
        <w:trPr>
          <w:trHeight w:val="230"/>
        </w:trPr>
        <w:tc>
          <w:tcPr>
            <w:tcW w:w="104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6100" w:type="dxa"/>
            <w:vAlign w:val="bottom"/>
          </w:tcPr>
          <w:p>
            <w:pPr>
              <w:ind w:left="240"/>
              <w:spacing w:after="0"/>
              <w:rPr>
                <w:sz w:val="20"/>
                <w:szCs w:val="20"/>
                <w:color w:val="auto"/>
              </w:rPr>
            </w:pPr>
            <w:r>
              <w:rPr>
                <w:rFonts w:ascii="Arial" w:cs="Arial" w:eastAsia="Arial" w:hAnsi="Arial"/>
                <w:sz w:val="18"/>
                <w:szCs w:val="18"/>
                <w:color w:val="auto"/>
              </w:rPr>
              <w:t>Loan Value of Processing Revenues (80% of #3)</w:t>
            </w:r>
          </w:p>
        </w:tc>
        <w:tc>
          <w:tcPr>
            <w:tcW w:w="4280" w:type="dxa"/>
            <w:vAlign w:val="bottom"/>
          </w:tcPr>
          <w:p>
            <w:pPr>
              <w:ind w:left="2460"/>
              <w:spacing w:after="0"/>
              <w:rPr>
                <w:sz w:val="20"/>
                <w:szCs w:val="20"/>
                <w:color w:val="auto"/>
              </w:rPr>
            </w:pPr>
            <w:r>
              <w:rPr>
                <w:rFonts w:ascii="Arial" w:cs="Arial" w:eastAsia="Arial" w:hAnsi="Arial"/>
                <w:sz w:val="18"/>
                <w:szCs w:val="18"/>
                <w:color w:val="auto"/>
              </w:rPr>
              <w:t>$___________</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BALANCES</w:t>
            </w:r>
          </w:p>
        </w:tc>
        <w:tc>
          <w:tcPr>
            <w:tcW w:w="610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16"/>
        </w:trPr>
        <w:tc>
          <w:tcPr>
            <w:tcW w:w="104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6100" w:type="dxa"/>
            <w:vAlign w:val="bottom"/>
          </w:tcPr>
          <w:p>
            <w:pPr>
              <w:ind w:left="240"/>
              <w:spacing w:after="0"/>
              <w:rPr>
                <w:sz w:val="20"/>
                <w:szCs w:val="20"/>
                <w:color w:val="auto"/>
              </w:rPr>
            </w:pPr>
            <w:r>
              <w:rPr>
                <w:rFonts w:ascii="Arial" w:cs="Arial" w:eastAsia="Arial" w:hAnsi="Arial"/>
                <w:sz w:val="18"/>
                <w:szCs w:val="18"/>
                <w:color w:val="auto"/>
              </w:rPr>
              <w:t>Maximum Loan Amount</w:t>
            </w:r>
          </w:p>
        </w:tc>
        <w:tc>
          <w:tcPr>
            <w:tcW w:w="4280" w:type="dxa"/>
            <w:vAlign w:val="bottom"/>
          </w:tcPr>
          <w:p>
            <w:pPr>
              <w:ind w:left="2460"/>
              <w:spacing w:after="0"/>
              <w:rPr>
                <w:sz w:val="20"/>
                <w:szCs w:val="20"/>
                <w:color w:val="auto"/>
              </w:rPr>
            </w:pPr>
            <w:r>
              <w:rPr>
                <w:rFonts w:ascii="Arial" w:cs="Arial" w:eastAsia="Arial" w:hAnsi="Arial"/>
                <w:sz w:val="18"/>
                <w:szCs w:val="18"/>
                <w:color w:val="auto"/>
              </w:rPr>
              <w:t>$7,000,000</w:t>
            </w:r>
          </w:p>
        </w:tc>
      </w:tr>
      <w:tr>
        <w:trPr>
          <w:trHeight w:val="216"/>
        </w:trPr>
        <w:tc>
          <w:tcPr>
            <w:tcW w:w="104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6100" w:type="dxa"/>
            <w:vAlign w:val="bottom"/>
          </w:tcPr>
          <w:p>
            <w:pPr>
              <w:ind w:left="240"/>
              <w:spacing w:after="0"/>
              <w:rPr>
                <w:sz w:val="20"/>
                <w:szCs w:val="20"/>
                <w:color w:val="auto"/>
              </w:rPr>
            </w:pPr>
            <w:r>
              <w:rPr>
                <w:rFonts w:ascii="Arial" w:cs="Arial" w:eastAsia="Arial" w:hAnsi="Arial"/>
                <w:sz w:val="18"/>
                <w:szCs w:val="18"/>
                <w:color w:val="auto"/>
              </w:rPr>
              <w:t>Total Funds Available [Lesser of #4 or (#5)]</w:t>
            </w:r>
          </w:p>
        </w:tc>
        <w:tc>
          <w:tcPr>
            <w:tcW w:w="4280" w:type="dxa"/>
            <w:vAlign w:val="bottom"/>
          </w:tcPr>
          <w:p>
            <w:pPr>
              <w:ind w:left="2460"/>
              <w:spacing w:after="0"/>
              <w:rPr>
                <w:sz w:val="20"/>
                <w:szCs w:val="20"/>
                <w:color w:val="auto"/>
              </w:rPr>
            </w:pPr>
            <w:r>
              <w:rPr>
                <w:rFonts w:ascii="Arial" w:cs="Arial" w:eastAsia="Arial" w:hAnsi="Arial"/>
                <w:sz w:val="18"/>
                <w:szCs w:val="18"/>
                <w:color w:val="auto"/>
              </w:rPr>
              <w:t>$___________</w:t>
            </w:r>
          </w:p>
        </w:tc>
      </w:tr>
      <w:tr>
        <w:trPr>
          <w:trHeight w:val="216"/>
        </w:trPr>
        <w:tc>
          <w:tcPr>
            <w:tcW w:w="104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6100" w:type="dxa"/>
            <w:vAlign w:val="bottom"/>
          </w:tcPr>
          <w:p>
            <w:pPr>
              <w:ind w:left="240"/>
              <w:spacing w:after="0"/>
              <w:rPr>
                <w:sz w:val="20"/>
                <w:szCs w:val="20"/>
                <w:color w:val="auto"/>
              </w:rPr>
            </w:pPr>
            <w:r>
              <w:rPr>
                <w:rFonts w:ascii="Arial" w:cs="Arial" w:eastAsia="Arial" w:hAnsi="Arial"/>
                <w:sz w:val="18"/>
                <w:szCs w:val="18"/>
                <w:color w:val="auto"/>
              </w:rPr>
              <w:t>Present balance owing on Revolving Line</w:t>
            </w:r>
          </w:p>
        </w:tc>
        <w:tc>
          <w:tcPr>
            <w:tcW w:w="4280" w:type="dxa"/>
            <w:vAlign w:val="bottom"/>
          </w:tcPr>
          <w:p>
            <w:pPr>
              <w:ind w:left="2460"/>
              <w:spacing w:after="0"/>
              <w:rPr>
                <w:sz w:val="20"/>
                <w:szCs w:val="20"/>
                <w:color w:val="auto"/>
              </w:rPr>
            </w:pPr>
            <w:r>
              <w:rPr>
                <w:rFonts w:ascii="Arial" w:cs="Arial" w:eastAsia="Arial" w:hAnsi="Arial"/>
                <w:sz w:val="18"/>
                <w:szCs w:val="18"/>
                <w:color w:val="auto"/>
              </w:rPr>
              <w:t>$___________</w:t>
            </w:r>
          </w:p>
        </w:tc>
      </w:tr>
      <w:tr>
        <w:trPr>
          <w:trHeight w:val="230"/>
        </w:trPr>
        <w:tc>
          <w:tcPr>
            <w:tcW w:w="104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6100" w:type="dxa"/>
            <w:vAlign w:val="bottom"/>
          </w:tcPr>
          <w:p>
            <w:pPr>
              <w:ind w:left="240"/>
              <w:spacing w:after="0"/>
              <w:rPr>
                <w:sz w:val="20"/>
                <w:szCs w:val="20"/>
                <w:color w:val="auto"/>
              </w:rPr>
            </w:pPr>
            <w:r>
              <w:rPr>
                <w:rFonts w:ascii="Arial" w:cs="Arial" w:eastAsia="Arial" w:hAnsi="Arial"/>
                <w:sz w:val="18"/>
                <w:szCs w:val="18"/>
                <w:color w:val="auto"/>
              </w:rPr>
              <w:t>AVAILABLE BORROWING / RESERVE POSITION (#6 minus #7)</w:t>
            </w:r>
          </w:p>
        </w:tc>
        <w:tc>
          <w:tcPr>
            <w:tcW w:w="4280" w:type="dxa"/>
            <w:vAlign w:val="bottom"/>
          </w:tcPr>
          <w:p>
            <w:pPr>
              <w:ind w:left="2460"/>
              <w:spacing w:after="0"/>
              <w:rPr>
                <w:sz w:val="20"/>
                <w:szCs w:val="20"/>
                <w:color w:val="auto"/>
              </w:rPr>
            </w:pPr>
            <w:r>
              <w:rPr>
                <w:rFonts w:ascii="Arial" w:cs="Arial" w:eastAsia="Arial" w:hAnsi="Arial"/>
                <w:sz w:val="18"/>
                <w:szCs w:val="18"/>
                <w:color w:val="auto"/>
              </w:rPr>
              <w:t>$___________</w:t>
            </w: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The undersigned represents and warrants that the foregoing is true, complete and correct, and that the information reflected in this Borrowing Base Certificate complies with the representations and warranties set forth in the Loan and Security Agreement between the undersigned and Avidbank Corporate Finance, a division of Avidbank.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USA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14605</wp:posOffset>
            </wp:positionV>
            <wp:extent cx="216090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60905" cy="1714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Authorized 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COMPLIANCE CERTIFICATE</w:t>
      </w:r>
    </w:p>
    <w:p>
      <w:pPr>
        <w:sectPr>
          <w:pgSz w:w="11900" w:h="16838" w:orient="portrait"/>
          <w:cols w:equalWidth="0" w:num="1">
            <w:col w:w="11420"/>
          </w:cols>
          <w:pgMar w:left="240" w:top="891" w:right="239" w:bottom="913"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AVIDBANK CORPORATE FINANCE, A DIVISION OF AVIDBANK</w:t>
      </w:r>
    </w:p>
    <w:p>
      <w:pPr>
        <w:spacing w:after="0" w:line="200" w:lineRule="exact"/>
        <w:rPr>
          <w:sz w:val="20"/>
          <w:szCs w:val="20"/>
          <w:color w:val="auto"/>
        </w:rPr>
      </w:pPr>
    </w:p>
    <w:p>
      <w:pPr>
        <w:sectPr>
          <w:pgSz w:w="11900" w:h="16838" w:orient="portrait"/>
          <w:cols w:equalWidth="0" w:num="2">
            <w:col w:w="580" w:space="720"/>
            <w:col w:w="10120"/>
          </w:cols>
          <w:pgMar w:left="240" w:top="891" w:right="239" w:bottom="913"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FROM:</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USA TECHNOLOGIES, INC.</w:t>
      </w:r>
    </w:p>
    <w:p>
      <w:pPr>
        <w:spacing w:after="0" w:line="200" w:lineRule="exact"/>
        <w:rPr>
          <w:sz w:val="20"/>
          <w:szCs w:val="20"/>
          <w:color w:val="auto"/>
        </w:rPr>
      </w:pPr>
    </w:p>
    <w:p>
      <w:pPr>
        <w:sectPr>
          <w:pgSz w:w="11900" w:h="16838" w:orient="portrait"/>
          <w:cols w:equalWidth="0" w:num="2">
            <w:col w:w="580" w:space="720"/>
            <w:col w:w="10120"/>
          </w:cols>
          <w:pgMar w:left="240" w:top="891" w:right="239" w:bottom="913" w:gutter="0" w:footer="0" w:header="0"/>
          <w:type w:val="continuous"/>
        </w:sectPr>
      </w:pPr>
    </w:p>
    <w:p>
      <w:pPr>
        <w:spacing w:after="0" w:line="64"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The undersigned authorized officer of USA TECHNOLOGIES, INC. hereby certifies that in accordance with the terms and conditions of the Loan and Security Agreement between Borrower and Bank (the “Agreement”), (i) Borrower is in complete compliance for the period ending _______________</w:t>
      </w:r>
    </w:p>
    <w:p>
      <w:pPr>
        <w:spacing w:after="0" w:line="254" w:lineRule="auto"/>
        <w:rPr>
          <w:sz w:val="20"/>
          <w:szCs w:val="20"/>
          <w:color w:val="auto"/>
        </w:rPr>
      </w:pPr>
      <w:r>
        <w:rPr>
          <w:rFonts w:ascii="Arial" w:cs="Arial" w:eastAsia="Arial" w:hAnsi="Arial"/>
          <w:sz w:val="18"/>
          <w:szCs w:val="18"/>
          <w:color w:val="auto"/>
        </w:rPr>
        <w:t>with all required covenants except as noted below and (ii) all representations and warranties of Borrower stated in the Agreement are true and correct as of the date hereof. Attached herewith are the required documents supporting the above certification. The officer further certifies that these are prepared in accordance with Generally Accepted Accounting Principles (GAAP) and are consistently applied from one period to the next except as explained in an accompanying letter or footnotes.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100" w:type="dxa"/>
            <w:vAlign w:val="bottom"/>
            <w:gridSpan w:val="9"/>
          </w:tcPr>
          <w:p>
            <w:pPr>
              <w:ind w:left="1160"/>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520" w:type="dxa"/>
            <w:vAlign w:val="bottom"/>
            <w:gridSpan w:val="2"/>
          </w:tcPr>
          <w:p>
            <w:pPr>
              <w:spacing w:after="0"/>
              <w:rPr>
                <w:sz w:val="20"/>
                <w:szCs w:val="20"/>
                <w:color w:val="auto"/>
              </w:rPr>
            </w:pPr>
            <w:r>
              <w:rPr>
                <w:rFonts w:ascii="Arial" w:cs="Arial" w:eastAsia="Arial" w:hAnsi="Arial"/>
                <w:sz w:val="18"/>
                <w:szCs w:val="18"/>
                <w:b w:val="1"/>
                <w:bCs w:val="1"/>
                <w:color w:val="auto"/>
                <w:w w:val="86"/>
              </w:rPr>
              <w:t>Reporting Covenant</w:t>
            </w:r>
          </w:p>
        </w:tc>
        <w:tc>
          <w:tcPr>
            <w:tcW w:w="3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4"/>
          </w:tcPr>
          <w:p>
            <w:pPr>
              <w:spacing w:after="0"/>
              <w:rPr>
                <w:sz w:val="20"/>
                <w:szCs w:val="20"/>
                <w:color w:val="auto"/>
              </w:rPr>
            </w:pPr>
            <w:r>
              <w:rPr>
                <w:rFonts w:ascii="Arial" w:cs="Arial" w:eastAsia="Arial" w:hAnsi="Arial"/>
                <w:sz w:val="18"/>
                <w:szCs w:val="18"/>
                <w:b w:val="1"/>
                <w:bCs w:val="1"/>
                <w:color w:val="auto"/>
              </w:rPr>
              <w:t>Required</w:t>
            </w: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8"/>
                <w:szCs w:val="18"/>
                <w:b w:val="1"/>
                <w:bCs w:val="1"/>
                <w:color w:val="auto"/>
                <w:w w:val="96"/>
              </w:rPr>
              <w:t>Complies</w:t>
            </w:r>
          </w:p>
        </w:tc>
        <w:tc>
          <w:tcPr>
            <w:tcW w:w="0" w:type="dxa"/>
            <w:vAlign w:val="bottom"/>
          </w:tcPr>
          <w:p>
            <w:pPr>
              <w:spacing w:after="0"/>
              <w:rPr>
                <w:sz w:val="1"/>
                <w:szCs w:val="1"/>
                <w:color w:val="auto"/>
              </w:rPr>
            </w:pPr>
          </w:p>
        </w:tc>
      </w:tr>
      <w:tr>
        <w:trPr>
          <w:trHeight w:val="20"/>
        </w:trPr>
        <w:tc>
          <w:tcPr>
            <w:tcW w:w="1520" w:type="dxa"/>
            <w:vAlign w:val="bottom"/>
            <w:gridSpan w:val="2"/>
            <w:shd w:val="clear" w:color="auto" w:fill="000000"/>
          </w:tcPr>
          <w:p>
            <w:pPr>
              <w:spacing w:after="0" w:line="20" w:lineRule="exact"/>
              <w:rPr>
                <w:sz w:val="1"/>
                <w:szCs w:val="1"/>
                <w:color w:val="auto"/>
              </w:rPr>
            </w:pPr>
          </w:p>
        </w:tc>
        <w:tc>
          <w:tcPr>
            <w:tcW w:w="3580" w:type="dxa"/>
            <w:vAlign w:val="bottom"/>
            <w:tcBorders>
              <w:lef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100" w:type="dxa"/>
            <w:vAlign w:val="bottom"/>
            <w:gridSpan w:val="3"/>
          </w:tcPr>
          <w:p>
            <w:pPr>
              <w:spacing w:after="0"/>
              <w:rPr>
                <w:sz w:val="20"/>
                <w:szCs w:val="20"/>
                <w:color w:val="auto"/>
              </w:rPr>
            </w:pPr>
            <w:r>
              <w:rPr>
                <w:rFonts w:ascii="Arial" w:cs="Arial" w:eastAsia="Arial" w:hAnsi="Arial"/>
                <w:sz w:val="18"/>
                <w:szCs w:val="18"/>
                <w:color w:val="auto"/>
              </w:rPr>
              <w:t>Schedule of Revenue Proceeds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4"/>
          </w:tcPr>
          <w:p>
            <w:pPr>
              <w:spacing w:after="0"/>
              <w:rPr>
                <w:sz w:val="20"/>
                <w:szCs w:val="20"/>
                <w:color w:val="auto"/>
              </w:rPr>
            </w:pPr>
            <w:r>
              <w:rPr>
                <w:rFonts w:ascii="Arial" w:cs="Arial" w:eastAsia="Arial" w:hAnsi="Arial"/>
                <w:sz w:val="18"/>
                <w:szCs w:val="18"/>
                <w:color w:val="auto"/>
              </w:rPr>
              <w:t>Weekly</w:t>
            </w: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Yes</w:t>
            </w:r>
          </w:p>
        </w:tc>
        <w:tc>
          <w:tcPr>
            <w:tcW w:w="520" w:type="dxa"/>
            <w:vAlign w:val="bottom"/>
            <w:gridSpan w:val="3"/>
          </w:tcPr>
          <w:p>
            <w:pPr>
              <w:ind w:left="300"/>
              <w:spacing w:after="0"/>
              <w:rPr>
                <w:sz w:val="20"/>
                <w:szCs w:val="20"/>
                <w:color w:val="auto"/>
              </w:rPr>
            </w:pPr>
            <w:r>
              <w:rPr>
                <w:rFonts w:ascii="Arial" w:cs="Arial" w:eastAsia="Arial" w:hAnsi="Arial"/>
                <w:sz w:val="18"/>
                <w:szCs w:val="18"/>
                <w:color w:val="auto"/>
                <w:w w:val="78"/>
              </w:rPr>
              <w:t>No</w:t>
            </w: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rPr>
              <w:t>Transaction Report of Cash Disbursements &amp; Collections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4"/>
          </w:tcPr>
          <w:p>
            <w:pPr>
              <w:spacing w:after="0"/>
              <w:rPr>
                <w:sz w:val="20"/>
                <w:szCs w:val="20"/>
                <w:color w:val="auto"/>
              </w:rPr>
            </w:pPr>
            <w:r>
              <w:rPr>
                <w:rFonts w:ascii="Arial" w:cs="Arial" w:eastAsia="Arial" w:hAnsi="Arial"/>
                <w:sz w:val="18"/>
                <w:szCs w:val="18"/>
                <w:color w:val="auto"/>
              </w:rPr>
              <w:t>Weekly</w:t>
            </w: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Yes</w:t>
            </w:r>
          </w:p>
        </w:tc>
        <w:tc>
          <w:tcPr>
            <w:tcW w:w="520" w:type="dxa"/>
            <w:vAlign w:val="bottom"/>
            <w:gridSpan w:val="3"/>
          </w:tcPr>
          <w:p>
            <w:pPr>
              <w:ind w:left="300"/>
              <w:spacing w:after="0"/>
              <w:rPr>
                <w:sz w:val="20"/>
                <w:szCs w:val="20"/>
                <w:color w:val="auto"/>
              </w:rPr>
            </w:pPr>
            <w:r>
              <w:rPr>
                <w:rFonts w:ascii="Arial" w:cs="Arial" w:eastAsia="Arial" w:hAnsi="Arial"/>
                <w:sz w:val="18"/>
                <w:szCs w:val="18"/>
                <w:color w:val="auto"/>
                <w:w w:val="78"/>
              </w:rPr>
              <w:t>No</w:t>
            </w: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rPr>
              <w:t>A/R &amp; A/P Agings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4"/>
          </w:tcPr>
          <w:p>
            <w:pPr>
              <w:spacing w:after="0"/>
              <w:rPr>
                <w:sz w:val="20"/>
                <w:szCs w:val="20"/>
                <w:color w:val="auto"/>
              </w:rPr>
            </w:pPr>
            <w:r>
              <w:rPr>
                <w:rFonts w:ascii="Arial" w:cs="Arial" w:eastAsia="Arial" w:hAnsi="Arial"/>
                <w:sz w:val="18"/>
                <w:szCs w:val="18"/>
                <w:color w:val="auto"/>
              </w:rPr>
              <w:t>Monthly within 20 days</w:t>
            </w: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Yes</w:t>
            </w:r>
          </w:p>
        </w:tc>
        <w:tc>
          <w:tcPr>
            <w:tcW w:w="520" w:type="dxa"/>
            <w:vAlign w:val="bottom"/>
            <w:gridSpan w:val="3"/>
          </w:tcPr>
          <w:p>
            <w:pPr>
              <w:ind w:left="300"/>
              <w:spacing w:after="0"/>
              <w:rPr>
                <w:sz w:val="20"/>
                <w:szCs w:val="20"/>
                <w:color w:val="auto"/>
              </w:rPr>
            </w:pPr>
            <w:r>
              <w:rPr>
                <w:rFonts w:ascii="Arial" w:cs="Arial" w:eastAsia="Arial" w:hAnsi="Arial"/>
                <w:sz w:val="18"/>
                <w:szCs w:val="18"/>
                <w:color w:val="auto"/>
                <w:w w:val="78"/>
              </w:rPr>
              <w:t>No</w:t>
            </w: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rPr>
              <w:t>Borrowing Base Certificate and Compliance Certificate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4"/>
          </w:tcPr>
          <w:p>
            <w:pPr>
              <w:spacing w:after="0"/>
              <w:rPr>
                <w:sz w:val="20"/>
                <w:szCs w:val="20"/>
                <w:color w:val="auto"/>
              </w:rPr>
            </w:pPr>
            <w:r>
              <w:rPr>
                <w:rFonts w:ascii="Arial" w:cs="Arial" w:eastAsia="Arial" w:hAnsi="Arial"/>
                <w:sz w:val="18"/>
                <w:szCs w:val="18"/>
                <w:color w:val="auto"/>
              </w:rPr>
              <w:t>Monthly within 20 days</w:t>
            </w: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rPr>
              <w:t>Monthly statements from JPMorgan Chase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6"/>
          </w:tcPr>
          <w:p>
            <w:pPr>
              <w:spacing w:after="0"/>
              <w:rPr>
                <w:sz w:val="20"/>
                <w:szCs w:val="20"/>
                <w:color w:val="auto"/>
              </w:rPr>
            </w:pPr>
            <w:r>
              <w:rPr>
                <w:rFonts w:ascii="Arial" w:cs="Arial" w:eastAsia="Arial" w:hAnsi="Arial"/>
                <w:sz w:val="18"/>
                <w:szCs w:val="18"/>
                <w:color w:val="auto"/>
              </w:rPr>
              <w:t>Monthly within 5 days of receipt</w:t>
            </w: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Yes</w:t>
            </w:r>
          </w:p>
        </w:tc>
        <w:tc>
          <w:tcPr>
            <w:tcW w:w="520" w:type="dxa"/>
            <w:vAlign w:val="bottom"/>
            <w:gridSpan w:val="3"/>
          </w:tcPr>
          <w:p>
            <w:pPr>
              <w:ind w:left="300"/>
              <w:spacing w:after="0"/>
              <w:rPr>
                <w:sz w:val="20"/>
                <w:szCs w:val="20"/>
                <w:color w:val="auto"/>
              </w:rPr>
            </w:pPr>
            <w:r>
              <w:rPr>
                <w:rFonts w:ascii="Arial" w:cs="Arial" w:eastAsia="Arial" w:hAnsi="Arial"/>
                <w:sz w:val="18"/>
                <w:szCs w:val="18"/>
                <w:color w:val="auto"/>
                <w:w w:val="78"/>
              </w:rPr>
              <w:t>No</w:t>
            </w: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rPr>
              <w:t>Monthly financial statements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4"/>
          </w:tcPr>
          <w:p>
            <w:pPr>
              <w:spacing w:after="0"/>
              <w:rPr>
                <w:sz w:val="20"/>
                <w:szCs w:val="20"/>
                <w:color w:val="auto"/>
              </w:rPr>
            </w:pPr>
            <w:r>
              <w:rPr>
                <w:rFonts w:ascii="Arial" w:cs="Arial" w:eastAsia="Arial" w:hAnsi="Arial"/>
                <w:sz w:val="18"/>
                <w:szCs w:val="18"/>
                <w:color w:val="auto"/>
              </w:rPr>
              <w:t>Monthly within 20 days</w:t>
            </w: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Yes</w:t>
            </w:r>
          </w:p>
        </w:tc>
        <w:tc>
          <w:tcPr>
            <w:tcW w:w="520" w:type="dxa"/>
            <w:vAlign w:val="bottom"/>
            <w:gridSpan w:val="3"/>
          </w:tcPr>
          <w:p>
            <w:pPr>
              <w:ind w:left="300"/>
              <w:spacing w:after="0"/>
              <w:rPr>
                <w:sz w:val="20"/>
                <w:szCs w:val="20"/>
                <w:color w:val="auto"/>
              </w:rPr>
            </w:pPr>
            <w:r>
              <w:rPr>
                <w:rFonts w:ascii="Arial" w:cs="Arial" w:eastAsia="Arial" w:hAnsi="Arial"/>
                <w:sz w:val="18"/>
                <w:szCs w:val="18"/>
                <w:color w:val="auto"/>
                <w:w w:val="78"/>
              </w:rPr>
              <w:t>No</w:t>
            </w: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rPr>
              <w:t>Annual financial statements (CPA Audited)</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4"/>
          </w:tcPr>
          <w:p>
            <w:pPr>
              <w:spacing w:after="0"/>
              <w:rPr>
                <w:sz w:val="20"/>
                <w:szCs w:val="20"/>
                <w:color w:val="auto"/>
              </w:rPr>
            </w:pPr>
            <w:r>
              <w:rPr>
                <w:rFonts w:ascii="Arial" w:cs="Arial" w:eastAsia="Arial" w:hAnsi="Arial"/>
                <w:sz w:val="18"/>
                <w:szCs w:val="18"/>
                <w:color w:val="auto"/>
              </w:rPr>
              <w:t>FYE within 120 days</w:t>
            </w: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Yes</w:t>
            </w:r>
          </w:p>
        </w:tc>
        <w:tc>
          <w:tcPr>
            <w:tcW w:w="520" w:type="dxa"/>
            <w:vAlign w:val="bottom"/>
            <w:gridSpan w:val="3"/>
          </w:tcPr>
          <w:p>
            <w:pPr>
              <w:ind w:left="300"/>
              <w:spacing w:after="0"/>
              <w:rPr>
                <w:sz w:val="20"/>
                <w:szCs w:val="20"/>
                <w:color w:val="auto"/>
              </w:rPr>
            </w:pPr>
            <w:r>
              <w:rPr>
                <w:rFonts w:ascii="Arial" w:cs="Arial" w:eastAsia="Arial" w:hAnsi="Arial"/>
                <w:sz w:val="18"/>
                <w:szCs w:val="18"/>
                <w:color w:val="auto"/>
                <w:w w:val="78"/>
              </w:rPr>
              <w:t>No</w:t>
            </w: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rPr>
              <w:t>Annual Projections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6"/>
          </w:tcPr>
          <w:p>
            <w:pPr>
              <w:spacing w:after="0"/>
              <w:rPr>
                <w:sz w:val="20"/>
                <w:szCs w:val="20"/>
                <w:color w:val="auto"/>
              </w:rPr>
            </w:pPr>
            <w:r>
              <w:rPr>
                <w:rFonts w:ascii="Arial" w:cs="Arial" w:eastAsia="Arial" w:hAnsi="Arial"/>
                <w:sz w:val="18"/>
                <w:szCs w:val="18"/>
                <w:color w:val="auto"/>
              </w:rPr>
              <w:t>within 30 days of Fiscal Year beginning</w:t>
            </w: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Yes</w:t>
            </w:r>
          </w:p>
        </w:tc>
        <w:tc>
          <w:tcPr>
            <w:tcW w:w="520" w:type="dxa"/>
            <w:vAlign w:val="bottom"/>
            <w:gridSpan w:val="3"/>
          </w:tcPr>
          <w:p>
            <w:pPr>
              <w:ind w:left="300"/>
              <w:spacing w:after="0"/>
              <w:rPr>
                <w:sz w:val="20"/>
                <w:szCs w:val="20"/>
                <w:color w:val="auto"/>
              </w:rPr>
            </w:pPr>
            <w:r>
              <w:rPr>
                <w:rFonts w:ascii="Arial" w:cs="Arial" w:eastAsia="Arial" w:hAnsi="Arial"/>
                <w:sz w:val="18"/>
                <w:szCs w:val="18"/>
                <w:color w:val="auto"/>
                <w:w w:val="78"/>
              </w:rPr>
              <w:t>No</w:t>
            </w: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rPr>
              <w:t>10K and 10Q</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4"/>
          </w:tcPr>
          <w:p>
            <w:pPr>
              <w:spacing w:after="0"/>
              <w:rPr>
                <w:sz w:val="20"/>
                <w:szCs w:val="20"/>
                <w:color w:val="auto"/>
              </w:rPr>
            </w:pPr>
            <w:r>
              <w:rPr>
                <w:rFonts w:ascii="Arial" w:cs="Arial" w:eastAsia="Arial" w:hAnsi="Arial"/>
                <w:sz w:val="18"/>
                <w:szCs w:val="18"/>
                <w:color w:val="auto"/>
              </w:rPr>
              <w:t>(as applicable)</w:t>
            </w: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Yes</w:t>
            </w:r>
          </w:p>
        </w:tc>
        <w:tc>
          <w:tcPr>
            <w:tcW w:w="520" w:type="dxa"/>
            <w:vAlign w:val="bottom"/>
            <w:gridSpan w:val="3"/>
          </w:tcPr>
          <w:p>
            <w:pPr>
              <w:ind w:left="300"/>
              <w:spacing w:after="0"/>
              <w:rPr>
                <w:sz w:val="20"/>
                <w:szCs w:val="20"/>
                <w:color w:val="auto"/>
              </w:rPr>
            </w:pPr>
            <w:r>
              <w:rPr>
                <w:rFonts w:ascii="Arial" w:cs="Arial" w:eastAsia="Arial" w:hAnsi="Arial"/>
                <w:sz w:val="18"/>
                <w:szCs w:val="18"/>
                <w:color w:val="auto"/>
                <w:w w:val="78"/>
              </w:rPr>
              <w:t>No</w:t>
            </w: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rPr>
              <w:t>A/R Audit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4"/>
          </w:tcPr>
          <w:p>
            <w:pPr>
              <w:spacing w:after="0"/>
              <w:rPr>
                <w:sz w:val="20"/>
                <w:szCs w:val="20"/>
                <w:color w:val="auto"/>
              </w:rPr>
            </w:pPr>
            <w:r>
              <w:rPr>
                <w:rFonts w:ascii="Arial" w:cs="Arial" w:eastAsia="Arial" w:hAnsi="Arial"/>
                <w:sz w:val="18"/>
                <w:szCs w:val="18"/>
                <w:color w:val="auto"/>
              </w:rPr>
              <w:t>Semi-Annual</w:t>
            </w: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Yes</w:t>
            </w:r>
          </w:p>
        </w:tc>
        <w:tc>
          <w:tcPr>
            <w:tcW w:w="520" w:type="dxa"/>
            <w:vAlign w:val="bottom"/>
            <w:gridSpan w:val="3"/>
          </w:tcPr>
          <w:p>
            <w:pPr>
              <w:ind w:left="300"/>
              <w:spacing w:after="0"/>
              <w:rPr>
                <w:sz w:val="20"/>
                <w:szCs w:val="20"/>
                <w:color w:val="auto"/>
              </w:rPr>
            </w:pPr>
            <w:r>
              <w:rPr>
                <w:rFonts w:ascii="Arial" w:cs="Arial" w:eastAsia="Arial" w:hAnsi="Arial"/>
                <w:sz w:val="18"/>
                <w:szCs w:val="18"/>
                <w:color w:val="auto"/>
                <w:w w:val="78"/>
              </w:rPr>
              <w:t>No</w:t>
            </w:r>
          </w:p>
        </w:tc>
        <w:tc>
          <w:tcPr>
            <w:tcW w:w="0" w:type="dxa"/>
            <w:vAlign w:val="bottom"/>
          </w:tcPr>
          <w:p>
            <w:pPr>
              <w:spacing w:after="0"/>
              <w:rPr>
                <w:sz w:val="1"/>
                <w:szCs w:val="1"/>
                <w:color w:val="auto"/>
              </w:rPr>
            </w:pPr>
          </w:p>
        </w:tc>
      </w:tr>
      <w:tr>
        <w:trPr>
          <w:trHeight w:val="230"/>
        </w:trPr>
        <w:tc>
          <w:tcPr>
            <w:tcW w:w="5100" w:type="dxa"/>
            <w:vAlign w:val="bottom"/>
            <w:gridSpan w:val="3"/>
          </w:tcPr>
          <w:p>
            <w:pPr>
              <w:spacing w:after="0"/>
              <w:rPr>
                <w:sz w:val="20"/>
                <w:szCs w:val="20"/>
                <w:color w:val="auto"/>
              </w:rPr>
            </w:pPr>
            <w:r>
              <w:rPr>
                <w:rFonts w:ascii="Arial" w:cs="Arial" w:eastAsia="Arial" w:hAnsi="Arial"/>
                <w:sz w:val="18"/>
                <w:szCs w:val="18"/>
                <w:color w:val="auto"/>
              </w:rPr>
              <w:t>IP Notices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0" w:type="dxa"/>
            <w:vAlign w:val="bottom"/>
            <w:gridSpan w:val="6"/>
          </w:tcPr>
          <w:p>
            <w:pPr>
              <w:spacing w:after="0"/>
              <w:rPr>
                <w:sz w:val="20"/>
                <w:szCs w:val="20"/>
                <w:color w:val="auto"/>
              </w:rPr>
            </w:pPr>
            <w:r>
              <w:rPr>
                <w:rFonts w:ascii="Arial" w:cs="Arial" w:eastAsia="Arial" w:hAnsi="Arial"/>
                <w:sz w:val="18"/>
                <w:szCs w:val="18"/>
                <w:color w:val="auto"/>
              </w:rPr>
              <w:t>As required under Section 6.11</w:t>
            </w: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Yes</w:t>
            </w:r>
          </w:p>
        </w:tc>
        <w:tc>
          <w:tcPr>
            <w:tcW w:w="520" w:type="dxa"/>
            <w:vAlign w:val="bottom"/>
            <w:gridSpan w:val="3"/>
          </w:tcPr>
          <w:p>
            <w:pPr>
              <w:ind w:left="300"/>
              <w:spacing w:after="0"/>
              <w:rPr>
                <w:sz w:val="20"/>
                <w:szCs w:val="20"/>
                <w:color w:val="auto"/>
              </w:rPr>
            </w:pPr>
            <w:r>
              <w:rPr>
                <w:rFonts w:ascii="Arial" w:cs="Arial" w:eastAsia="Arial" w:hAnsi="Arial"/>
                <w:sz w:val="18"/>
                <w:szCs w:val="18"/>
                <w:color w:val="auto"/>
                <w:w w:val="78"/>
              </w:rPr>
              <w:t>No</w:t>
            </w:r>
          </w:p>
        </w:tc>
        <w:tc>
          <w:tcPr>
            <w:tcW w:w="0" w:type="dxa"/>
            <w:vAlign w:val="bottom"/>
          </w:tcPr>
          <w:p>
            <w:pPr>
              <w:spacing w:after="0"/>
              <w:rPr>
                <w:sz w:val="1"/>
                <w:szCs w:val="1"/>
                <w:color w:val="auto"/>
              </w:rPr>
            </w:pPr>
          </w:p>
        </w:tc>
      </w:tr>
      <w:tr>
        <w:trPr>
          <w:trHeight w:val="392"/>
        </w:trPr>
        <w:tc>
          <w:tcPr>
            <w:tcW w:w="1520" w:type="dxa"/>
            <w:vAlign w:val="bottom"/>
            <w:gridSpan w:val="2"/>
          </w:tcPr>
          <w:p>
            <w:pPr>
              <w:spacing w:after="0"/>
              <w:rPr>
                <w:sz w:val="20"/>
                <w:szCs w:val="20"/>
                <w:color w:val="auto"/>
              </w:rPr>
            </w:pPr>
            <w:r>
              <w:rPr>
                <w:rFonts w:ascii="Arial" w:cs="Arial" w:eastAsia="Arial" w:hAnsi="Arial"/>
                <w:sz w:val="18"/>
                <w:szCs w:val="18"/>
                <w:b w:val="1"/>
                <w:bCs w:val="1"/>
                <w:color w:val="auto"/>
                <w:w w:val="89"/>
              </w:rPr>
              <w:t>Financial Covenant</w:t>
            </w:r>
          </w:p>
        </w:tc>
        <w:tc>
          <w:tcPr>
            <w:tcW w:w="3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4"/>
          </w:tcPr>
          <w:p>
            <w:pPr>
              <w:spacing w:after="0"/>
              <w:rPr>
                <w:sz w:val="20"/>
                <w:szCs w:val="20"/>
                <w:color w:val="auto"/>
              </w:rPr>
            </w:pPr>
            <w:r>
              <w:rPr>
                <w:rFonts w:ascii="Arial" w:cs="Arial" w:eastAsia="Arial" w:hAnsi="Arial"/>
                <w:sz w:val="18"/>
                <w:szCs w:val="18"/>
                <w:b w:val="1"/>
                <w:bCs w:val="1"/>
                <w:color w:val="auto"/>
              </w:rPr>
              <w:t>Required</w:t>
            </w:r>
          </w:p>
        </w:tc>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Actual</w:t>
            </w:r>
          </w:p>
        </w:tc>
        <w:tc>
          <w:tcPr>
            <w:tcW w:w="98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8"/>
                <w:szCs w:val="18"/>
                <w:b w:val="1"/>
                <w:bCs w:val="1"/>
                <w:color w:val="auto"/>
                <w:w w:val="96"/>
              </w:rPr>
              <w:t>Complies</w:t>
            </w:r>
          </w:p>
        </w:tc>
        <w:tc>
          <w:tcPr>
            <w:tcW w:w="0" w:type="dxa"/>
            <w:vAlign w:val="bottom"/>
          </w:tcPr>
          <w:p>
            <w:pPr>
              <w:spacing w:after="0"/>
              <w:rPr>
                <w:sz w:val="1"/>
                <w:szCs w:val="1"/>
                <w:color w:val="auto"/>
              </w:rPr>
            </w:pPr>
          </w:p>
        </w:tc>
      </w:tr>
      <w:tr>
        <w:trPr>
          <w:trHeight w:val="20"/>
        </w:trPr>
        <w:tc>
          <w:tcPr>
            <w:tcW w:w="1520" w:type="dxa"/>
            <w:vAlign w:val="bottom"/>
            <w:gridSpan w:val="2"/>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00" w:type="dxa"/>
            <w:vAlign w:val="bottom"/>
            <w:gridSpan w:val="3"/>
          </w:tcPr>
          <w:p>
            <w:pPr>
              <w:spacing w:after="0"/>
              <w:rPr>
                <w:sz w:val="20"/>
                <w:szCs w:val="20"/>
                <w:color w:val="auto"/>
              </w:rPr>
            </w:pPr>
            <w:r>
              <w:rPr>
                <w:rFonts w:ascii="Arial" w:cs="Arial" w:eastAsia="Arial" w:hAnsi="Arial"/>
                <w:sz w:val="18"/>
                <w:szCs w:val="18"/>
                <w:color w:val="auto"/>
              </w:rPr>
              <w:t>RML for month ended _______________</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$__________</w:t>
            </w: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Yes</w:t>
            </w:r>
          </w:p>
        </w:tc>
        <w:tc>
          <w:tcPr>
            <w:tcW w:w="520" w:type="dxa"/>
            <w:vAlign w:val="bottom"/>
            <w:gridSpan w:val="3"/>
          </w:tcPr>
          <w:p>
            <w:pPr>
              <w:ind w:left="300"/>
              <w:spacing w:after="0"/>
              <w:rPr>
                <w:sz w:val="20"/>
                <w:szCs w:val="20"/>
                <w:color w:val="auto"/>
              </w:rPr>
            </w:pPr>
            <w:r>
              <w:rPr>
                <w:rFonts w:ascii="Arial" w:cs="Arial" w:eastAsia="Arial" w:hAnsi="Arial"/>
                <w:sz w:val="18"/>
                <w:szCs w:val="18"/>
                <w:color w:val="auto"/>
                <w:w w:val="78"/>
              </w:rPr>
              <w:t>No</w:t>
            </w:r>
          </w:p>
        </w:tc>
        <w:tc>
          <w:tcPr>
            <w:tcW w:w="0" w:type="dxa"/>
            <w:vAlign w:val="bottom"/>
          </w:tcPr>
          <w:p>
            <w:pPr>
              <w:spacing w:after="0"/>
              <w:rPr>
                <w:sz w:val="1"/>
                <w:szCs w:val="1"/>
                <w:color w:val="auto"/>
              </w:rPr>
            </w:pPr>
          </w:p>
        </w:tc>
      </w:tr>
      <w:tr>
        <w:trPr>
          <w:trHeight w:val="432"/>
        </w:trPr>
        <w:tc>
          <w:tcPr>
            <w:tcW w:w="5100" w:type="dxa"/>
            <w:vAlign w:val="bottom"/>
            <w:gridSpan w:val="3"/>
          </w:tcPr>
          <w:p>
            <w:pPr>
              <w:spacing w:after="0"/>
              <w:rPr>
                <w:sz w:val="20"/>
                <w:szCs w:val="20"/>
                <w:color w:val="auto"/>
              </w:rPr>
            </w:pPr>
            <w:r>
              <w:rPr>
                <w:rFonts w:ascii="Arial" w:cs="Arial" w:eastAsia="Arial" w:hAnsi="Arial"/>
                <w:sz w:val="18"/>
                <w:szCs w:val="18"/>
                <w:color w:val="auto"/>
              </w:rPr>
              <w:t>When RML is negative, Minimum Liquidity of at least:</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4"/>
          </w:tcPr>
          <w:p>
            <w:pPr>
              <w:spacing w:after="0"/>
              <w:rPr>
                <w:sz w:val="20"/>
                <w:szCs w:val="20"/>
                <w:color w:val="auto"/>
              </w:rPr>
            </w:pPr>
            <w:r>
              <w:rPr>
                <w:rFonts w:ascii="Arial" w:cs="Arial" w:eastAsia="Arial" w:hAnsi="Arial"/>
                <w:sz w:val="18"/>
                <w:szCs w:val="18"/>
                <w:color w:val="auto"/>
              </w:rPr>
              <w:t>6 months RML</w:t>
            </w:r>
          </w:p>
        </w:tc>
        <w:tc>
          <w:tcPr>
            <w:tcW w:w="1840" w:type="dxa"/>
            <w:vAlign w:val="bottom"/>
            <w:gridSpan w:val="2"/>
          </w:tcPr>
          <w:p>
            <w:pPr>
              <w:spacing w:after="0"/>
              <w:rPr>
                <w:sz w:val="20"/>
                <w:szCs w:val="20"/>
                <w:color w:val="auto"/>
              </w:rPr>
            </w:pPr>
            <w:r>
              <w:rPr>
                <w:rFonts w:ascii="Arial" w:cs="Arial" w:eastAsia="Arial" w:hAnsi="Arial"/>
                <w:sz w:val="18"/>
                <w:szCs w:val="18"/>
                <w:color w:val="auto"/>
              </w:rPr>
              <w:t>$__________</w:t>
            </w: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Yes</w:t>
            </w:r>
          </w:p>
        </w:tc>
        <w:tc>
          <w:tcPr>
            <w:tcW w:w="520" w:type="dxa"/>
            <w:vAlign w:val="bottom"/>
            <w:gridSpan w:val="3"/>
          </w:tcPr>
          <w:p>
            <w:pPr>
              <w:ind w:left="300"/>
              <w:spacing w:after="0"/>
              <w:rPr>
                <w:sz w:val="20"/>
                <w:szCs w:val="20"/>
                <w:color w:val="auto"/>
              </w:rPr>
            </w:pPr>
            <w:r>
              <w:rPr>
                <w:rFonts w:ascii="Arial" w:cs="Arial" w:eastAsia="Arial" w:hAnsi="Arial"/>
                <w:sz w:val="18"/>
                <w:szCs w:val="18"/>
                <w:color w:val="auto"/>
                <w:w w:val="78"/>
              </w:rPr>
              <w:t>No</w:t>
            </w:r>
          </w:p>
        </w:tc>
        <w:tc>
          <w:tcPr>
            <w:tcW w:w="0" w:type="dxa"/>
            <w:vAlign w:val="bottom"/>
          </w:tcPr>
          <w:p>
            <w:pPr>
              <w:spacing w:after="0"/>
              <w:rPr>
                <w:sz w:val="1"/>
                <w:szCs w:val="1"/>
                <w:color w:val="auto"/>
              </w:rPr>
            </w:pPr>
          </w:p>
        </w:tc>
      </w:tr>
      <w:tr>
        <w:trPr>
          <w:trHeight w:val="432"/>
        </w:trPr>
        <w:tc>
          <w:tcPr>
            <w:tcW w:w="5820" w:type="dxa"/>
            <w:vAlign w:val="bottom"/>
            <w:gridSpan w:val="5"/>
          </w:tcPr>
          <w:p>
            <w:pPr>
              <w:spacing w:after="0"/>
              <w:rPr>
                <w:sz w:val="20"/>
                <w:szCs w:val="20"/>
                <w:color w:val="auto"/>
              </w:rPr>
            </w:pPr>
            <w:r>
              <w:rPr>
                <w:rFonts w:ascii="Arial" w:cs="Arial" w:eastAsia="Arial" w:hAnsi="Arial"/>
                <w:sz w:val="18"/>
                <w:szCs w:val="18"/>
                <w:color w:val="auto"/>
                <w:w w:val="94"/>
              </w:rPr>
              <w:t>When RML is positive, ratio of Current Assets to Current Liabilities of at least:</w:t>
            </w:r>
          </w:p>
        </w:tc>
        <w:tc>
          <w:tcPr>
            <w:tcW w:w="1960" w:type="dxa"/>
            <w:vAlign w:val="bottom"/>
            <w:gridSpan w:val="4"/>
          </w:tcPr>
          <w:p>
            <w:pPr>
              <w:spacing w:after="0"/>
              <w:rPr>
                <w:sz w:val="20"/>
                <w:szCs w:val="20"/>
                <w:color w:val="auto"/>
              </w:rPr>
            </w:pPr>
            <w:r>
              <w:rPr>
                <w:rFonts w:ascii="Arial" w:cs="Arial" w:eastAsia="Arial" w:hAnsi="Arial"/>
                <w:sz w:val="18"/>
                <w:szCs w:val="18"/>
                <w:color w:val="auto"/>
              </w:rPr>
              <w:t>1.00 to 1.00</w:t>
            </w:r>
          </w:p>
        </w:tc>
        <w:tc>
          <w:tcPr>
            <w:tcW w:w="1840" w:type="dxa"/>
            <w:vAlign w:val="bottom"/>
            <w:gridSpan w:val="2"/>
          </w:tcPr>
          <w:p>
            <w:pPr>
              <w:spacing w:after="0"/>
              <w:rPr>
                <w:sz w:val="20"/>
                <w:szCs w:val="20"/>
                <w:color w:val="auto"/>
              </w:rPr>
            </w:pPr>
            <w:r>
              <w:rPr>
                <w:rFonts w:ascii="Arial" w:cs="Arial" w:eastAsia="Arial" w:hAnsi="Arial"/>
                <w:sz w:val="18"/>
                <w:szCs w:val="18"/>
                <w:color w:val="auto"/>
              </w:rPr>
              <w:t>________ : 1.00</w:t>
            </w: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Yes</w:t>
            </w:r>
          </w:p>
        </w:tc>
        <w:tc>
          <w:tcPr>
            <w:tcW w:w="520" w:type="dxa"/>
            <w:vAlign w:val="bottom"/>
            <w:gridSpan w:val="3"/>
          </w:tcPr>
          <w:p>
            <w:pPr>
              <w:ind w:left="300"/>
              <w:spacing w:after="0"/>
              <w:rPr>
                <w:sz w:val="20"/>
                <w:szCs w:val="20"/>
                <w:color w:val="auto"/>
              </w:rPr>
            </w:pPr>
            <w:r>
              <w:rPr>
                <w:rFonts w:ascii="Arial" w:cs="Arial" w:eastAsia="Arial" w:hAnsi="Arial"/>
                <w:sz w:val="18"/>
                <w:szCs w:val="18"/>
                <w:color w:val="auto"/>
                <w:w w:val="78"/>
              </w:rPr>
              <w:t>No</w:t>
            </w:r>
          </w:p>
        </w:tc>
        <w:tc>
          <w:tcPr>
            <w:tcW w:w="0" w:type="dxa"/>
            <w:vAlign w:val="bottom"/>
          </w:tcPr>
          <w:p>
            <w:pPr>
              <w:spacing w:after="0"/>
              <w:rPr>
                <w:sz w:val="1"/>
                <w:szCs w:val="1"/>
                <w:color w:val="auto"/>
              </w:rPr>
            </w:pPr>
          </w:p>
        </w:tc>
      </w:tr>
      <w:tr>
        <w:trPr>
          <w:trHeight w:val="418"/>
        </w:trPr>
        <w:tc>
          <w:tcPr>
            <w:tcW w:w="5100" w:type="dxa"/>
            <w:vAlign w:val="bottom"/>
            <w:gridSpan w:val="3"/>
          </w:tcPr>
          <w:p>
            <w:pPr>
              <w:spacing w:after="0"/>
              <w:rPr>
                <w:sz w:val="20"/>
                <w:szCs w:val="20"/>
                <w:color w:val="auto"/>
              </w:rPr>
            </w:pPr>
            <w:r>
              <w:rPr>
                <w:rFonts w:ascii="Arial" w:cs="Arial" w:eastAsia="Arial" w:hAnsi="Arial"/>
                <w:sz w:val="18"/>
                <w:szCs w:val="18"/>
                <w:color w:val="auto"/>
              </w:rPr>
              <w:t>Minimum Adjusted EBITDA for quarters ending:</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80"/>
              <w:spacing w:after="0"/>
              <w:rPr>
                <w:sz w:val="20"/>
                <w:szCs w:val="20"/>
                <w:color w:val="auto"/>
              </w:rPr>
            </w:pPr>
            <w:r>
              <w:rPr>
                <w:rFonts w:ascii="Arial" w:cs="Arial" w:eastAsia="Arial" w:hAnsi="Arial"/>
                <w:sz w:val="18"/>
                <w:szCs w:val="18"/>
                <w:color w:val="auto"/>
              </w:rPr>
              <w:t>June 30, 2014:</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4"/>
          </w:tcPr>
          <w:p>
            <w:pPr>
              <w:spacing w:after="0"/>
              <w:rPr>
                <w:sz w:val="20"/>
                <w:szCs w:val="20"/>
                <w:color w:val="auto"/>
              </w:rPr>
            </w:pPr>
            <w:r>
              <w:rPr>
                <w:rFonts w:ascii="Arial" w:cs="Arial" w:eastAsia="Arial" w:hAnsi="Arial"/>
                <w:sz w:val="18"/>
                <w:szCs w:val="18"/>
                <w:color w:val="auto"/>
              </w:rPr>
              <w:t>$2,200,000</w:t>
            </w:r>
          </w:p>
        </w:tc>
        <w:tc>
          <w:tcPr>
            <w:tcW w:w="1840" w:type="dxa"/>
            <w:vAlign w:val="bottom"/>
            <w:gridSpan w:val="2"/>
          </w:tcPr>
          <w:p>
            <w:pPr>
              <w:spacing w:after="0"/>
              <w:rPr>
                <w:sz w:val="20"/>
                <w:szCs w:val="20"/>
                <w:color w:val="auto"/>
              </w:rPr>
            </w:pPr>
            <w:r>
              <w:rPr>
                <w:rFonts w:ascii="Arial" w:cs="Arial" w:eastAsia="Arial" w:hAnsi="Arial"/>
                <w:sz w:val="18"/>
                <w:szCs w:val="18"/>
                <w:color w:val="auto"/>
              </w:rPr>
              <w:t>$__________</w:t>
            </w: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Yes</w:t>
            </w:r>
          </w:p>
        </w:tc>
        <w:tc>
          <w:tcPr>
            <w:tcW w:w="520" w:type="dxa"/>
            <w:vAlign w:val="bottom"/>
            <w:gridSpan w:val="3"/>
          </w:tcPr>
          <w:p>
            <w:pPr>
              <w:ind w:left="300"/>
              <w:spacing w:after="0"/>
              <w:rPr>
                <w:sz w:val="20"/>
                <w:szCs w:val="20"/>
                <w:color w:val="auto"/>
              </w:rPr>
            </w:pPr>
            <w:r>
              <w:rPr>
                <w:rFonts w:ascii="Arial" w:cs="Arial" w:eastAsia="Arial" w:hAnsi="Arial"/>
                <w:sz w:val="18"/>
                <w:szCs w:val="18"/>
                <w:color w:val="auto"/>
                <w:w w:val="78"/>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80"/>
              <w:spacing w:after="0"/>
              <w:rPr>
                <w:sz w:val="20"/>
                <w:szCs w:val="20"/>
                <w:color w:val="auto"/>
              </w:rPr>
            </w:pPr>
            <w:r>
              <w:rPr>
                <w:rFonts w:ascii="Arial" w:cs="Arial" w:eastAsia="Arial" w:hAnsi="Arial"/>
                <w:sz w:val="18"/>
                <w:szCs w:val="18"/>
                <w:color w:val="auto"/>
              </w:rPr>
              <w:t>September 30, 2014:</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4"/>
          </w:tcPr>
          <w:p>
            <w:pPr>
              <w:spacing w:after="0"/>
              <w:rPr>
                <w:sz w:val="20"/>
                <w:szCs w:val="20"/>
                <w:color w:val="auto"/>
              </w:rPr>
            </w:pPr>
            <w:r>
              <w:rPr>
                <w:rFonts w:ascii="Arial" w:cs="Arial" w:eastAsia="Arial" w:hAnsi="Arial"/>
                <w:sz w:val="18"/>
                <w:szCs w:val="18"/>
                <w:color w:val="auto"/>
              </w:rPr>
              <w:t>$1,600,000</w:t>
            </w:r>
          </w:p>
        </w:tc>
        <w:tc>
          <w:tcPr>
            <w:tcW w:w="1840" w:type="dxa"/>
            <w:vAlign w:val="bottom"/>
            <w:gridSpan w:val="2"/>
          </w:tcPr>
          <w:p>
            <w:pPr>
              <w:spacing w:after="0"/>
              <w:rPr>
                <w:sz w:val="20"/>
                <w:szCs w:val="20"/>
                <w:color w:val="auto"/>
              </w:rPr>
            </w:pPr>
            <w:r>
              <w:rPr>
                <w:rFonts w:ascii="Arial" w:cs="Arial" w:eastAsia="Arial" w:hAnsi="Arial"/>
                <w:sz w:val="18"/>
                <w:szCs w:val="18"/>
                <w:color w:val="auto"/>
              </w:rPr>
              <w:t>$__________</w:t>
            </w: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Yes</w:t>
            </w:r>
          </w:p>
        </w:tc>
        <w:tc>
          <w:tcPr>
            <w:tcW w:w="520" w:type="dxa"/>
            <w:vAlign w:val="bottom"/>
            <w:gridSpan w:val="3"/>
          </w:tcPr>
          <w:p>
            <w:pPr>
              <w:ind w:left="300"/>
              <w:spacing w:after="0"/>
              <w:rPr>
                <w:sz w:val="20"/>
                <w:szCs w:val="20"/>
                <w:color w:val="auto"/>
              </w:rPr>
            </w:pPr>
            <w:r>
              <w:rPr>
                <w:rFonts w:ascii="Arial" w:cs="Arial" w:eastAsia="Arial" w:hAnsi="Arial"/>
                <w:sz w:val="18"/>
                <w:szCs w:val="18"/>
                <w:color w:val="auto"/>
                <w:w w:val="78"/>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80"/>
              <w:spacing w:after="0"/>
              <w:rPr>
                <w:sz w:val="20"/>
                <w:szCs w:val="20"/>
                <w:color w:val="auto"/>
              </w:rPr>
            </w:pPr>
            <w:r>
              <w:rPr>
                <w:rFonts w:ascii="Arial" w:cs="Arial" w:eastAsia="Arial" w:hAnsi="Arial"/>
                <w:sz w:val="18"/>
                <w:szCs w:val="18"/>
                <w:color w:val="auto"/>
              </w:rPr>
              <w:t>December 31, 2014:</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4"/>
          </w:tcPr>
          <w:p>
            <w:pPr>
              <w:spacing w:after="0"/>
              <w:rPr>
                <w:sz w:val="20"/>
                <w:szCs w:val="20"/>
                <w:color w:val="auto"/>
              </w:rPr>
            </w:pPr>
            <w:r>
              <w:rPr>
                <w:rFonts w:ascii="Arial" w:cs="Arial" w:eastAsia="Arial" w:hAnsi="Arial"/>
                <w:sz w:val="18"/>
                <w:szCs w:val="18"/>
                <w:color w:val="auto"/>
              </w:rPr>
              <w:t>$1,800,000</w:t>
            </w:r>
          </w:p>
        </w:tc>
        <w:tc>
          <w:tcPr>
            <w:tcW w:w="1840" w:type="dxa"/>
            <w:vAlign w:val="bottom"/>
            <w:gridSpan w:val="2"/>
          </w:tcPr>
          <w:p>
            <w:pPr>
              <w:spacing w:after="0"/>
              <w:rPr>
                <w:sz w:val="20"/>
                <w:szCs w:val="20"/>
                <w:color w:val="auto"/>
              </w:rPr>
            </w:pPr>
            <w:r>
              <w:rPr>
                <w:rFonts w:ascii="Arial" w:cs="Arial" w:eastAsia="Arial" w:hAnsi="Arial"/>
                <w:sz w:val="18"/>
                <w:szCs w:val="18"/>
                <w:color w:val="auto"/>
              </w:rPr>
              <w:t>$__________</w:t>
            </w: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Yes</w:t>
            </w:r>
          </w:p>
        </w:tc>
        <w:tc>
          <w:tcPr>
            <w:tcW w:w="520" w:type="dxa"/>
            <w:vAlign w:val="bottom"/>
            <w:gridSpan w:val="3"/>
          </w:tcPr>
          <w:p>
            <w:pPr>
              <w:ind w:left="300"/>
              <w:spacing w:after="0"/>
              <w:rPr>
                <w:sz w:val="20"/>
                <w:szCs w:val="20"/>
                <w:color w:val="auto"/>
              </w:rPr>
            </w:pPr>
            <w:r>
              <w:rPr>
                <w:rFonts w:ascii="Arial" w:cs="Arial" w:eastAsia="Arial" w:hAnsi="Arial"/>
                <w:sz w:val="18"/>
                <w:szCs w:val="18"/>
                <w:color w:val="auto"/>
                <w:w w:val="78"/>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80"/>
              <w:spacing w:after="0"/>
              <w:rPr>
                <w:sz w:val="20"/>
                <w:szCs w:val="20"/>
                <w:color w:val="auto"/>
              </w:rPr>
            </w:pPr>
            <w:r>
              <w:rPr>
                <w:rFonts w:ascii="Arial" w:cs="Arial" w:eastAsia="Arial" w:hAnsi="Arial"/>
                <w:sz w:val="18"/>
                <w:szCs w:val="18"/>
                <w:color w:val="auto"/>
              </w:rPr>
              <w:t>March 31, 2015: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4"/>
          </w:tcPr>
          <w:p>
            <w:pPr>
              <w:spacing w:after="0"/>
              <w:rPr>
                <w:sz w:val="20"/>
                <w:szCs w:val="20"/>
                <w:color w:val="auto"/>
              </w:rPr>
            </w:pPr>
            <w:r>
              <w:rPr>
                <w:rFonts w:ascii="Arial" w:cs="Arial" w:eastAsia="Arial" w:hAnsi="Arial"/>
                <w:sz w:val="18"/>
                <w:szCs w:val="18"/>
                <w:color w:val="auto"/>
              </w:rPr>
              <w:t>$2,100,000</w:t>
            </w:r>
          </w:p>
        </w:tc>
        <w:tc>
          <w:tcPr>
            <w:tcW w:w="1840" w:type="dxa"/>
            <w:vAlign w:val="bottom"/>
            <w:gridSpan w:val="2"/>
          </w:tcPr>
          <w:p>
            <w:pPr>
              <w:spacing w:after="0"/>
              <w:rPr>
                <w:sz w:val="20"/>
                <w:szCs w:val="20"/>
                <w:color w:val="auto"/>
              </w:rPr>
            </w:pPr>
            <w:r>
              <w:rPr>
                <w:rFonts w:ascii="Arial" w:cs="Arial" w:eastAsia="Arial" w:hAnsi="Arial"/>
                <w:sz w:val="18"/>
                <w:szCs w:val="18"/>
                <w:color w:val="auto"/>
              </w:rPr>
              <w:t>$__________</w:t>
            </w: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Yes</w:t>
            </w:r>
          </w:p>
        </w:tc>
        <w:tc>
          <w:tcPr>
            <w:tcW w:w="520" w:type="dxa"/>
            <w:vAlign w:val="bottom"/>
            <w:gridSpan w:val="3"/>
          </w:tcPr>
          <w:p>
            <w:pPr>
              <w:ind w:left="300"/>
              <w:spacing w:after="0"/>
              <w:rPr>
                <w:sz w:val="20"/>
                <w:szCs w:val="20"/>
                <w:color w:val="auto"/>
              </w:rPr>
            </w:pPr>
            <w:r>
              <w:rPr>
                <w:rFonts w:ascii="Arial" w:cs="Arial" w:eastAsia="Arial" w:hAnsi="Arial"/>
                <w:sz w:val="18"/>
                <w:szCs w:val="18"/>
                <w:color w:val="auto"/>
                <w:w w:val="78"/>
              </w:rPr>
              <w:t>No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gridSpan w:val="2"/>
          </w:tcPr>
          <w:p>
            <w:pPr>
              <w:ind w:left="480"/>
              <w:spacing w:after="0"/>
              <w:rPr>
                <w:sz w:val="20"/>
                <w:szCs w:val="20"/>
                <w:color w:val="auto"/>
              </w:rPr>
            </w:pPr>
            <w:r>
              <w:rPr>
                <w:rFonts w:ascii="Arial" w:cs="Arial" w:eastAsia="Arial" w:hAnsi="Arial"/>
                <w:sz w:val="18"/>
                <w:szCs w:val="18"/>
                <w:color w:val="auto"/>
              </w:rPr>
              <w:t>June 30, 2015:</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4"/>
          </w:tcPr>
          <w:p>
            <w:pPr>
              <w:spacing w:after="0"/>
              <w:rPr>
                <w:sz w:val="20"/>
                <w:szCs w:val="20"/>
                <w:color w:val="auto"/>
              </w:rPr>
            </w:pPr>
            <w:r>
              <w:rPr>
                <w:rFonts w:ascii="Arial" w:cs="Arial" w:eastAsia="Arial" w:hAnsi="Arial"/>
                <w:sz w:val="18"/>
                <w:szCs w:val="18"/>
                <w:color w:val="auto"/>
              </w:rPr>
              <w:t>$2,600,000</w:t>
            </w:r>
          </w:p>
        </w:tc>
        <w:tc>
          <w:tcPr>
            <w:tcW w:w="1840" w:type="dxa"/>
            <w:vAlign w:val="bottom"/>
            <w:gridSpan w:val="2"/>
          </w:tcPr>
          <w:p>
            <w:pPr>
              <w:spacing w:after="0"/>
              <w:rPr>
                <w:sz w:val="20"/>
                <w:szCs w:val="20"/>
                <w:color w:val="auto"/>
              </w:rPr>
            </w:pPr>
            <w:r>
              <w:rPr>
                <w:rFonts w:ascii="Arial" w:cs="Arial" w:eastAsia="Arial" w:hAnsi="Arial"/>
                <w:sz w:val="18"/>
                <w:szCs w:val="18"/>
                <w:color w:val="auto"/>
              </w:rPr>
              <w:t>$__________</w:t>
            </w: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Yes</w:t>
            </w:r>
          </w:p>
        </w:tc>
        <w:tc>
          <w:tcPr>
            <w:tcW w:w="520" w:type="dxa"/>
            <w:vAlign w:val="bottom"/>
            <w:gridSpan w:val="3"/>
          </w:tcPr>
          <w:p>
            <w:pPr>
              <w:ind w:left="300"/>
              <w:spacing w:after="0"/>
              <w:rPr>
                <w:sz w:val="20"/>
                <w:szCs w:val="20"/>
                <w:color w:val="auto"/>
              </w:rPr>
            </w:pPr>
            <w:r>
              <w:rPr>
                <w:rFonts w:ascii="Arial" w:cs="Arial" w:eastAsia="Arial" w:hAnsi="Arial"/>
                <w:sz w:val="18"/>
                <w:szCs w:val="18"/>
                <w:color w:val="auto"/>
                <w:w w:val="78"/>
              </w:rPr>
              <w:t>No</w:t>
            </w:r>
          </w:p>
        </w:tc>
        <w:tc>
          <w:tcPr>
            <w:tcW w:w="0" w:type="dxa"/>
            <w:vAlign w:val="bottom"/>
          </w:tcPr>
          <w:p>
            <w:pPr>
              <w:spacing w:after="0"/>
              <w:rPr>
                <w:sz w:val="1"/>
                <w:szCs w:val="1"/>
                <w:color w:val="auto"/>
              </w:rPr>
            </w:pPr>
          </w:p>
        </w:tc>
      </w:tr>
      <w:tr>
        <w:trPr>
          <w:trHeight w:val="250"/>
        </w:trPr>
        <w:tc>
          <w:tcPr>
            <w:tcW w:w="51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Comments Regarding Exceptions: </w:t>
            </w:r>
            <w:r>
              <w:rPr>
                <w:rFonts w:ascii="Arial" w:cs="Arial" w:eastAsia="Arial" w:hAnsi="Arial"/>
                <w:sz w:val="18"/>
                <w:szCs w:val="18"/>
                <w:color w:val="auto"/>
              </w:rPr>
              <w:t>See Attached.</w:t>
            </w:r>
          </w:p>
        </w:tc>
        <w:tc>
          <w:tcPr>
            <w:tcW w:w="5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100" w:type="dxa"/>
            <w:vAlign w:val="bottom"/>
            <w:gridSpan w:val="3"/>
            <w:vMerge w:val="continue"/>
          </w:tcPr>
          <w:p>
            <w:pPr>
              <w:spacing w:after="0"/>
              <w:rPr>
                <w:sz w:val="16"/>
                <w:szCs w:val="16"/>
                <w:color w:val="auto"/>
              </w:rPr>
            </w:pPr>
          </w:p>
        </w:tc>
        <w:tc>
          <w:tcPr>
            <w:tcW w:w="2680" w:type="dxa"/>
            <w:vAlign w:val="bottom"/>
            <w:tcBorders>
              <w:left w:val="single" w:sz="8" w:color="auto"/>
            </w:tcBorders>
            <w:gridSpan w:val="6"/>
            <w:vMerge w:val="restart"/>
          </w:tcPr>
          <w:p>
            <w:pPr>
              <w:ind w:left="120"/>
              <w:spacing w:after="0"/>
              <w:rPr>
                <w:sz w:val="20"/>
                <w:szCs w:val="20"/>
                <w:color w:val="auto"/>
              </w:rPr>
            </w:pPr>
            <w:r>
              <w:rPr>
                <w:rFonts w:ascii="Arial" w:cs="Arial" w:eastAsia="Arial" w:hAnsi="Arial"/>
                <w:sz w:val="18"/>
                <w:szCs w:val="18"/>
                <w:b w:val="1"/>
                <w:bCs w:val="1"/>
                <w:color w:val="auto"/>
              </w:rPr>
              <w:t>BANK USE ONLY</w:t>
            </w: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3580" w:type="dxa"/>
            <w:vAlign w:val="bottom"/>
          </w:tcPr>
          <w:p>
            <w:pPr>
              <w:spacing w:after="0"/>
              <w:rPr>
                <w:sz w:val="5"/>
                <w:szCs w:val="5"/>
                <w:color w:val="auto"/>
              </w:rPr>
            </w:pPr>
          </w:p>
        </w:tc>
        <w:tc>
          <w:tcPr>
            <w:tcW w:w="2680" w:type="dxa"/>
            <w:vAlign w:val="bottom"/>
            <w:tcBorders>
              <w:left w:val="single" w:sz="8" w:color="auto"/>
            </w:tcBorders>
            <w:gridSpan w:val="6"/>
            <w:vMerge w:val="continue"/>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680" w:type="dxa"/>
            <w:vAlign w:val="bottom"/>
            <w:tcBorders>
              <w:left w:val="single" w:sz="8" w:color="auto"/>
            </w:tcBorders>
            <w:gridSpan w:val="6"/>
          </w:tcPr>
          <w:p>
            <w:pPr>
              <w:ind w:left="100"/>
              <w:spacing w:after="0"/>
              <w:rPr>
                <w:sz w:val="20"/>
                <w:szCs w:val="20"/>
                <w:color w:val="auto"/>
              </w:rPr>
            </w:pPr>
            <w:r>
              <w:rPr>
                <w:rFonts w:ascii="Arial" w:cs="Arial" w:eastAsia="Arial" w:hAnsi="Arial"/>
                <w:sz w:val="18"/>
                <w:szCs w:val="18"/>
                <w:color w:val="auto"/>
              </w:rPr>
              <w:t>Received</w:t>
            </w: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100" w:type="dxa"/>
            <w:vAlign w:val="bottom"/>
            <w:gridSpan w:val="3"/>
            <w:vMerge w:val="restart"/>
          </w:tcPr>
          <w:p>
            <w:pPr>
              <w:spacing w:after="0"/>
              <w:rPr>
                <w:sz w:val="20"/>
                <w:szCs w:val="20"/>
                <w:color w:val="auto"/>
              </w:rPr>
            </w:pPr>
            <w:r>
              <w:rPr>
                <w:rFonts w:ascii="Arial" w:cs="Arial" w:eastAsia="Arial" w:hAnsi="Arial"/>
                <w:sz w:val="18"/>
                <w:szCs w:val="18"/>
                <w:color w:val="auto"/>
              </w:rPr>
              <w:t>Sincerely,</w:t>
            </w:r>
          </w:p>
        </w:tc>
        <w:tc>
          <w:tcPr>
            <w:tcW w:w="720" w:type="dxa"/>
            <w:vAlign w:val="bottom"/>
            <w:tcBorders>
              <w:left w:val="single" w:sz="8" w:color="auto"/>
            </w:tcBorders>
            <w:gridSpan w:val="2"/>
          </w:tcPr>
          <w:p>
            <w:pPr>
              <w:ind w:left="100"/>
              <w:spacing w:after="0" w:line="203" w:lineRule="exact"/>
              <w:rPr>
                <w:sz w:val="20"/>
                <w:szCs w:val="20"/>
                <w:color w:val="auto"/>
              </w:rPr>
            </w:pPr>
            <w:r>
              <w:rPr>
                <w:rFonts w:ascii="Arial" w:cs="Arial" w:eastAsia="Arial" w:hAnsi="Arial"/>
                <w:sz w:val="18"/>
                <w:szCs w:val="18"/>
                <w:color w:val="auto"/>
              </w:rPr>
              <w:t>by: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gridSpan w:val="3"/>
            <w:vMerge w:val="continue"/>
          </w:tcPr>
          <w:p>
            <w:pPr>
              <w:spacing w:after="0"/>
              <w:rPr>
                <w:sz w:val="20"/>
                <w:szCs w:val="20"/>
                <w:color w:val="auto"/>
              </w:rPr>
            </w:pPr>
          </w:p>
        </w:tc>
        <w:tc>
          <w:tcPr>
            <w:tcW w:w="56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gridSpan w:val="3"/>
          </w:tcPr>
          <w:p>
            <w:pPr>
              <w:ind w:left="780"/>
              <w:spacing w:after="0"/>
              <w:rPr>
                <w:sz w:val="20"/>
                <w:szCs w:val="20"/>
                <w:color w:val="auto"/>
              </w:rPr>
            </w:pPr>
            <w:r>
              <w:rPr>
                <w:rFonts w:ascii="Arial" w:cs="Arial" w:eastAsia="Arial" w:hAnsi="Arial"/>
                <w:sz w:val="18"/>
                <w:szCs w:val="18"/>
                <w:color w:val="auto"/>
              </w:rPr>
              <w:t>AUTHORIZED SIGNER</w:t>
            </w: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Date:</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680" w:type="dxa"/>
            <w:vAlign w:val="bottom"/>
            <w:tcBorders>
              <w:left w:val="single" w:sz="8" w:color="auto"/>
            </w:tcBorders>
            <w:gridSpan w:val="6"/>
          </w:tcPr>
          <w:p>
            <w:pPr>
              <w:ind w:left="100"/>
              <w:spacing w:after="0"/>
              <w:rPr>
                <w:sz w:val="20"/>
                <w:szCs w:val="20"/>
                <w:color w:val="auto"/>
              </w:rPr>
            </w:pPr>
            <w:r>
              <w:rPr>
                <w:rFonts w:ascii="Arial" w:cs="Arial" w:eastAsia="Arial" w:hAnsi="Arial"/>
                <w:sz w:val="18"/>
                <w:szCs w:val="18"/>
                <w:color w:val="auto"/>
              </w:rPr>
              <w:t>Verified:</w:t>
            </w: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w:t>
            </w:r>
          </w:p>
        </w:tc>
        <w:tc>
          <w:tcPr>
            <w:tcW w:w="56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080" w:type="dxa"/>
            <w:vAlign w:val="bottom"/>
            <w:tcBorders>
              <w:top w:val="single" w:sz="8" w:color="auto"/>
            </w:tcBorders>
            <w:gridSpan w:val="3"/>
          </w:tcPr>
          <w:p>
            <w:pPr>
              <w:ind w:left="780"/>
              <w:spacing w:after="0"/>
              <w:rPr>
                <w:sz w:val="20"/>
                <w:szCs w:val="20"/>
                <w:color w:val="auto"/>
              </w:rPr>
            </w:pPr>
            <w:r>
              <w:rPr>
                <w:rFonts w:ascii="Arial" w:cs="Arial" w:eastAsia="Arial" w:hAnsi="Arial"/>
                <w:sz w:val="18"/>
                <w:szCs w:val="18"/>
                <w:color w:val="auto"/>
              </w:rPr>
              <w:t>AUTHORIZED SIGNER</w:t>
            </w: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5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Date:</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TITLE</w:t>
            </w:r>
          </w:p>
        </w:tc>
        <w:tc>
          <w:tcPr>
            <w:tcW w:w="2680" w:type="dxa"/>
            <w:vAlign w:val="bottom"/>
            <w:tcBorders>
              <w:left w:val="single" w:sz="8" w:color="auto"/>
            </w:tcBorders>
            <w:gridSpan w:val="6"/>
            <w:vMerge w:val="restart"/>
          </w:tcPr>
          <w:p>
            <w:pPr>
              <w:ind w:left="100"/>
              <w:spacing w:after="0"/>
              <w:rPr>
                <w:sz w:val="20"/>
                <w:szCs w:val="20"/>
                <w:color w:val="auto"/>
              </w:rPr>
            </w:pPr>
            <w:r>
              <w:rPr>
                <w:rFonts w:ascii="Arial" w:cs="Arial" w:eastAsia="Arial" w:hAnsi="Arial"/>
                <w:sz w:val="18"/>
                <w:szCs w:val="18"/>
                <w:color w:val="auto"/>
              </w:rPr>
              <w:t>Compliance Status</w:t>
            </w:r>
          </w:p>
        </w:tc>
        <w:tc>
          <w:tcPr>
            <w:tcW w:w="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80" w:type="dxa"/>
            <w:vAlign w:val="bottom"/>
            <w:gridSpan w:val="2"/>
            <w:vMerge w:val="restart"/>
          </w:tcPr>
          <w:p>
            <w:pPr>
              <w:ind w:left="440"/>
              <w:spacing w:after="0"/>
              <w:rPr>
                <w:sz w:val="20"/>
                <w:szCs w:val="20"/>
                <w:color w:val="auto"/>
              </w:rPr>
            </w:pPr>
            <w:r>
              <w:rPr>
                <w:rFonts w:ascii="Arial" w:cs="Arial" w:eastAsia="Arial" w:hAnsi="Arial"/>
                <w:sz w:val="18"/>
                <w:szCs w:val="18"/>
                <w:color w:val="auto"/>
              </w:rPr>
              <w:t>Yes</w:t>
            </w:r>
          </w:p>
        </w:tc>
        <w:tc>
          <w:tcPr>
            <w:tcW w:w="520" w:type="dxa"/>
            <w:vAlign w:val="bottom"/>
            <w:tcBorders>
              <w:right w:val="single" w:sz="8" w:color="auto"/>
            </w:tcBorders>
            <w:gridSpan w:val="3"/>
            <w:vMerge w:val="restart"/>
          </w:tcPr>
          <w:p>
            <w:pPr>
              <w:ind w:left="1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680" w:type="dxa"/>
            <w:vAlign w:val="bottom"/>
            <w:tcBorders>
              <w:left w:val="single" w:sz="8" w:color="auto"/>
            </w:tcBorders>
            <w:gridSpan w:val="6"/>
            <w:vMerge w:val="continue"/>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520" w:type="dxa"/>
            <w:vAlign w:val="bottom"/>
            <w:tcBorders>
              <w:right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tcPr>
          <w:p>
            <w:pPr>
              <w:spacing w:after="0"/>
              <w:rPr>
                <w:sz w:val="19"/>
                <w:szCs w:val="19"/>
                <w:color w:val="auto"/>
              </w:rPr>
            </w:pPr>
          </w:p>
        </w:tc>
        <w:tc>
          <w:tcPr>
            <w:tcW w:w="560" w:type="dxa"/>
            <w:vAlign w:val="bottom"/>
            <w:tcBorders>
              <w:lef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3"/>
          </w:tcPr>
          <w:p>
            <w:pPr>
              <w:spacing w:after="0"/>
              <w:rPr>
                <w:sz w:val="20"/>
                <w:szCs w:val="20"/>
                <w:color w:val="auto"/>
              </w:rPr>
            </w:pPr>
            <w:r>
              <w:rPr>
                <w:rFonts w:ascii="Arial" w:cs="Arial" w:eastAsia="Arial" w:hAnsi="Arial"/>
                <w:sz w:val="18"/>
                <w:szCs w:val="18"/>
                <w:color w:val="auto"/>
              </w:rPr>
              <w:t>DATE</w:t>
            </w:r>
          </w:p>
        </w:tc>
        <w:tc>
          <w:tcPr>
            <w:tcW w:w="560" w:type="dxa"/>
            <w:vAlign w:val="bottom"/>
            <w:tcBorders>
              <w:left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500" w:type="dxa"/>
            <w:vAlign w:val="bottom"/>
            <w:tcBorders>
              <w:bottom w:val="single" w:sz="8" w:color="DCDCDC"/>
            </w:tcBorders>
          </w:tcPr>
          <w:p>
            <w:pPr>
              <w:spacing w:after="0"/>
              <w:rPr>
                <w:sz w:val="24"/>
                <w:szCs w:val="24"/>
                <w:color w:val="auto"/>
              </w:rPr>
            </w:pPr>
          </w:p>
        </w:tc>
        <w:tc>
          <w:tcPr>
            <w:tcW w:w="358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1240" w:type="dxa"/>
            <w:vAlign w:val="bottom"/>
            <w:tcBorders>
              <w:bottom w:val="single" w:sz="8" w:color="DCDCDC"/>
            </w:tcBorders>
          </w:tcPr>
          <w:p>
            <w:pPr>
              <w:spacing w:after="0"/>
              <w:rPr>
                <w:sz w:val="24"/>
                <w:szCs w:val="24"/>
                <w:color w:val="auto"/>
              </w:rPr>
            </w:pPr>
          </w:p>
        </w:tc>
        <w:tc>
          <w:tcPr>
            <w:tcW w:w="500" w:type="dxa"/>
            <w:vAlign w:val="bottom"/>
            <w:tcBorders>
              <w:bottom w:val="single" w:sz="8" w:color="DCDCDC"/>
            </w:tcBorders>
          </w:tcPr>
          <w:p>
            <w:pPr>
              <w:spacing w:after="0"/>
              <w:rPr>
                <w:sz w:val="24"/>
                <w:szCs w:val="24"/>
                <w:color w:val="auto"/>
              </w:rPr>
            </w:pPr>
          </w:p>
        </w:tc>
        <w:tc>
          <w:tcPr>
            <w:tcW w:w="134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40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1" w:right="239" w:bottom="913" w:gutter="0" w:footer="0" w:header="0"/>
          <w:type w:val="continuous"/>
        </w:sectPr>
      </w:pPr>
    </w:p>
    <w:bookmarkStart w:id="127" w:name="page128"/>
    <w:bookmarkEnd w:id="127"/>
    <w:p>
      <w:pPr>
        <w:ind w:left="103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10.30</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EIGHTH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LOAN AND SECURITY AGREEMENT</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Eighth Amendment to Loan and Security Agreement is entered into as of June 30, 2014 (the “Amendment”), by and between AVIDBANK CORPORATE FINANCE, a division of AVIDBANK (“Bank”), and USA TECHNOLOGIES, INC. (“Borrower”).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Borrower and Bank are parties to that certain Loan and Security Agreement dated as of June 21, 2012 and that certain First Amendment to Loan and Security Agreement dated as of January 1, 2013, that certain Second Amendment to Loan &amp; Security Agreement dated as of April 2, 2013, that certain Third Amendment to Loan and Security Agreement dated as of April 11, 2013, that certain Fourth Amendment to Loan and Security Agreement dated as of April 29, 2013, that certain Fifth Amendment to Loan and Security Agreement dated as of September 26, 2013, that certain Sixth Amendment to Loan and Security Agreement dated as of May 15, 2014, and that certain Seventh Amendment to Loan and Security Agreement is entered into as of June 17, 2014 (collectively, the “Agreement”). Borrower and Bank desire to amend the Agreement in accordance with the terms set forth herein.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agree as follows:</w:t>
      </w:r>
    </w:p>
    <w:p>
      <w:pPr>
        <w:spacing w:after="0" w:line="225" w:lineRule="exact"/>
        <w:rPr>
          <w:sz w:val="20"/>
          <w:szCs w:val="20"/>
          <w:color w:val="auto"/>
        </w:rPr>
      </w:pPr>
    </w:p>
    <w:p>
      <w:pPr>
        <w:jc w:val="both"/>
        <w:ind w:firstLine="656"/>
        <w:spacing w:after="0" w:line="279" w:lineRule="auto"/>
        <w:tabs>
          <w:tab w:leader="none" w:pos="1053" w:val="left"/>
        </w:tabs>
        <w:numPr>
          <w:ilvl w:val="0"/>
          <w:numId w:val="52"/>
        </w:numPr>
        <w:rPr>
          <w:rFonts w:ascii="Arial" w:cs="Arial" w:eastAsia="Arial" w:hAnsi="Arial"/>
          <w:sz w:val="17"/>
          <w:szCs w:val="17"/>
          <w:color w:val="auto"/>
        </w:rPr>
      </w:pPr>
      <w:r>
        <w:rPr>
          <w:rFonts w:ascii="Arial" w:cs="Arial" w:eastAsia="Arial" w:hAnsi="Arial"/>
          <w:sz w:val="17"/>
          <w:szCs w:val="17"/>
          <w:color w:val="auto"/>
        </w:rPr>
        <w:t>Borrower acknowledges that there are existing and uncured Events of Default arising from Borrower’s failure to comply with Section 6.9 of the Agreement for the period ended May 31, 2014 (the “Covenant Default”). Subject to the conditions contained herein and performance by Borrower of all of the terms of the Agreement after the date hereof, Bank waives the Covenant Default. Bank does not waive Borrower’s obligations under such section after the date hereof, and Bank does not waive any other failure by Borrower to perform its Obligations under the Loan Documents.</w:t>
      </w:r>
    </w:p>
    <w:p>
      <w:pPr>
        <w:spacing w:after="0" w:line="171" w:lineRule="exact"/>
        <w:rPr>
          <w:rFonts w:ascii="Arial" w:cs="Arial" w:eastAsia="Arial" w:hAnsi="Arial"/>
          <w:sz w:val="17"/>
          <w:szCs w:val="17"/>
          <w:color w:val="auto"/>
        </w:rPr>
      </w:pPr>
    </w:p>
    <w:p>
      <w:pPr>
        <w:ind w:left="1060" w:hanging="404"/>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Section 6.4 of the Agreement is amended and restated in its entirety to read as follows:</w:t>
      </w:r>
    </w:p>
    <w:p>
      <w:pPr>
        <w:spacing w:after="0" w:line="225" w:lineRule="exact"/>
        <w:rPr>
          <w:sz w:val="20"/>
          <w:szCs w:val="20"/>
          <w:color w:val="auto"/>
        </w:rPr>
      </w:pPr>
    </w:p>
    <w:p>
      <w:pPr>
        <w:ind w:left="1080" w:right="100"/>
        <w:spacing w:after="0" w:line="312" w:lineRule="auto"/>
        <w:rPr>
          <w:sz w:val="20"/>
          <w:szCs w:val="20"/>
          <w:color w:val="auto"/>
        </w:rPr>
      </w:pPr>
      <w:r>
        <w:rPr>
          <w:rFonts w:ascii="Arial" w:cs="Arial" w:eastAsia="Arial" w:hAnsi="Arial"/>
          <w:sz w:val="16"/>
          <w:szCs w:val="16"/>
          <w:color w:val="auto"/>
        </w:rPr>
        <w:t>6.4 Audits. Bank shall have a right from time to time hereafter to audit Borrower’s Accounts and appraise Collateral at Borrower’s expense, provided that such audits will be conducted no more often than every six (6) months (during May and November of each calendar year, unless such other schedule may be agreed to by Bank and Borrower) unless an Event of Default has occurred and is continuing.</w:t>
      </w:r>
    </w:p>
    <w:p>
      <w:pPr>
        <w:spacing w:after="0" w:line="147" w:lineRule="exact"/>
        <w:rPr>
          <w:sz w:val="20"/>
          <w:szCs w:val="20"/>
          <w:color w:val="auto"/>
        </w:rPr>
      </w:pPr>
    </w:p>
    <w:p>
      <w:pPr>
        <w:ind w:left="1100" w:hanging="444"/>
        <w:spacing w:after="0"/>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Section 6.10 of the Agreement is amended in its entirety to read as follows:</w:t>
      </w:r>
    </w:p>
    <w:p>
      <w:pPr>
        <w:spacing w:after="0" w:line="22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7"/>
          <w:szCs w:val="17"/>
          <w:color w:val="auto"/>
        </w:rPr>
        <w:t>6.10 Adjusted EBITDA. Borrower shall achieve a minimum Adjusted EBITDA, measured on a quarterly basis, in the following amounts:</w:t>
      </w:r>
    </w:p>
    <w:p>
      <w:pPr>
        <w:spacing w:after="0" w:line="231" w:lineRule="exact"/>
        <w:rPr>
          <w:sz w:val="20"/>
          <w:szCs w:val="20"/>
          <w:color w:val="auto"/>
        </w:rPr>
      </w:pPr>
    </w:p>
    <w:tbl>
      <w:tblPr>
        <w:tblLayout w:type="fixed"/>
        <w:tblInd w:w="1450" w:type="dxa"/>
        <w:tblCellMar>
          <w:top w:w="0" w:type="dxa"/>
          <w:left w:w="0" w:type="dxa"/>
          <w:bottom w:w="0" w:type="dxa"/>
          <w:right w:w="0" w:type="dxa"/>
        </w:tblCellMar>
      </w:tblPr>
      <w:tr>
        <w:trPr>
          <w:trHeight w:val="230"/>
        </w:trPr>
        <w:tc>
          <w:tcPr>
            <w:tcW w:w="53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Fiscal Quarter</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Minimum Adjusted EBITDA</w:t>
            </w:r>
          </w:p>
        </w:tc>
      </w:tr>
      <w:tr>
        <w:trPr>
          <w:trHeight w:val="210"/>
        </w:trPr>
        <w:tc>
          <w:tcPr>
            <w:tcW w:w="53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Fiscal quarter ending June 30, 2014:</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$1,250,000</w:t>
            </w:r>
          </w:p>
        </w:tc>
      </w:tr>
      <w:tr>
        <w:trPr>
          <w:trHeight w:val="210"/>
        </w:trPr>
        <w:tc>
          <w:tcPr>
            <w:tcW w:w="53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Fiscal quarter ending September 30, 2014:</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$1,600,000</w:t>
            </w:r>
          </w:p>
        </w:tc>
      </w:tr>
      <w:tr>
        <w:trPr>
          <w:trHeight w:val="210"/>
        </w:trPr>
        <w:tc>
          <w:tcPr>
            <w:tcW w:w="53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Fiscal quarter ending December 31, 2014:</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$1,800,000</w:t>
            </w:r>
          </w:p>
        </w:tc>
      </w:tr>
      <w:tr>
        <w:trPr>
          <w:trHeight w:val="210"/>
        </w:trPr>
        <w:tc>
          <w:tcPr>
            <w:tcW w:w="53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Fiscal quarter ending March 31, 2015:</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$2,100,000</w:t>
            </w:r>
          </w:p>
        </w:tc>
      </w:tr>
      <w:tr>
        <w:trPr>
          <w:trHeight w:val="210"/>
        </w:trPr>
        <w:tc>
          <w:tcPr>
            <w:tcW w:w="53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Fiscal quarter ending June 30, 2015:</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$2,600,000</w:t>
            </w:r>
          </w:p>
        </w:tc>
      </w:tr>
    </w:tbl>
    <w:p>
      <w:pPr>
        <w:spacing w:after="0" w:line="202" w:lineRule="exact"/>
        <w:rPr>
          <w:sz w:val="20"/>
          <w:szCs w:val="20"/>
          <w:color w:val="auto"/>
        </w:rPr>
      </w:pPr>
    </w:p>
    <w:p>
      <w:pPr>
        <w:ind w:left="1080" w:right="160"/>
        <w:spacing w:after="0" w:line="264" w:lineRule="auto"/>
        <w:rPr>
          <w:sz w:val="20"/>
          <w:szCs w:val="20"/>
          <w:color w:val="auto"/>
        </w:rPr>
      </w:pPr>
      <w:r>
        <w:rPr>
          <w:rFonts w:ascii="Arial" w:cs="Arial" w:eastAsia="Arial" w:hAnsi="Arial"/>
          <w:sz w:val="18"/>
          <w:szCs w:val="18"/>
          <w:color w:val="auto"/>
        </w:rPr>
        <w:t>Borrower shall achieve a minimum Adjusted EBITDA for the remaining fiscal quarters in 2015 and beyond in such amounts as may be mutually agreed upon by Borrower and Bank with reference to Borrower’s annual operating projections for such year(s) delivered to Bank in accordance with Section 6.3(f).</w:t>
      </w:r>
    </w:p>
    <w:p>
      <w:pPr>
        <w:spacing w:after="0" w:line="181" w:lineRule="exact"/>
        <w:rPr>
          <w:sz w:val="20"/>
          <w:szCs w:val="20"/>
          <w:color w:val="auto"/>
        </w:rPr>
      </w:pPr>
    </w:p>
    <w:p>
      <w:pPr>
        <w:ind w:left="1100" w:hanging="444"/>
        <w:spacing w:after="0"/>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Exhibit D to the Agreement is replaced in its entirety with Exhibit D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02" w:right="239" w:bottom="1440" w:gutter="0" w:footer="0" w:header="0"/>
        </w:sectPr>
      </w:pPr>
    </w:p>
    <w:bookmarkStart w:id="128" w:name="page129"/>
    <w:bookmarkEnd w:id="128"/>
    <w:p>
      <w:pPr>
        <w:jc w:val="both"/>
        <w:ind w:left="-656" w:firstLine="656"/>
        <w:spacing w:after="0" w:line="257" w:lineRule="auto"/>
        <w:tabs>
          <w:tab w:leader="none" w:pos="466"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Unless otherwise defined, all initially capitalized terms in this Amendment shall be as defined in the Agreement. The Agreement, as amended hereby, shall be and remain in full force and effect in accordance with its respective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 Borrower ratifies and reaffirms the continuing effectiveness of all agreements entered into in connection with the Agreement.</w:t>
      </w:r>
    </w:p>
    <w:p>
      <w:pPr>
        <w:spacing w:after="0" w:line="188" w:lineRule="exact"/>
        <w:rPr>
          <w:rFonts w:ascii="Arial" w:cs="Arial" w:eastAsia="Arial" w:hAnsi="Arial"/>
          <w:sz w:val="18"/>
          <w:szCs w:val="18"/>
          <w:color w:val="auto"/>
        </w:rPr>
      </w:pPr>
    </w:p>
    <w:p>
      <w:pPr>
        <w:ind w:left="-656" w:firstLine="656"/>
        <w:spacing w:after="0" w:line="277" w:lineRule="auto"/>
        <w:tabs>
          <w:tab w:leader="none" w:pos="461" w:val="left"/>
        </w:tabs>
        <w:numPr>
          <w:ilvl w:val="0"/>
          <w:numId w:val="55"/>
        </w:numPr>
        <w:rPr>
          <w:rFonts w:ascii="Arial" w:cs="Arial" w:eastAsia="Arial" w:hAnsi="Arial"/>
          <w:sz w:val="18"/>
          <w:szCs w:val="18"/>
          <w:color w:val="auto"/>
        </w:rPr>
      </w:pPr>
      <w:r>
        <w:rPr>
          <w:rFonts w:ascii="Arial" w:cs="Arial" w:eastAsia="Arial" w:hAnsi="Arial"/>
          <w:sz w:val="18"/>
          <w:szCs w:val="18"/>
          <w:color w:val="auto"/>
        </w:rPr>
        <w:t>Borrower represents and warrants that the representations and warranties contained in the Agreement are true and correct as of the date of this Amendment, and that no Event of Default (other than the Covenant Defaults) has occurred and is continuing.</w:t>
      </w:r>
    </w:p>
    <w:p>
      <w:pPr>
        <w:spacing w:after="0" w:line="170" w:lineRule="exact"/>
        <w:rPr>
          <w:rFonts w:ascii="Arial" w:cs="Arial" w:eastAsia="Arial" w:hAnsi="Arial"/>
          <w:sz w:val="18"/>
          <w:szCs w:val="18"/>
          <w:color w:val="auto"/>
        </w:rPr>
      </w:pPr>
    </w:p>
    <w:p>
      <w:pPr>
        <w:jc w:val="both"/>
        <w:ind w:left="-656" w:firstLine="656"/>
        <w:spacing w:after="0" w:line="257" w:lineRule="auto"/>
        <w:tabs>
          <w:tab w:leader="none" w:pos="53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Amendment may be executed in two or more counterparts, each of which shall be deemed an original, but all of which together shall constitute one instrument.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hereof. Notwithstanding the foregoing, Borrower shall deliver all original signed documents no later than ten (10) Business Days following the date of execution.</w:t>
      </w:r>
    </w:p>
    <w:p>
      <w:pPr>
        <w:spacing w:after="0" w:line="188" w:lineRule="exact"/>
        <w:rPr>
          <w:rFonts w:ascii="Arial" w:cs="Arial" w:eastAsia="Arial" w:hAnsi="Arial"/>
          <w:sz w:val="18"/>
          <w:szCs w:val="18"/>
          <w:color w:val="auto"/>
        </w:rPr>
      </w:pPr>
    </w:p>
    <w:p>
      <w:pPr>
        <w:ind w:left="444" w:hanging="444"/>
        <w:spacing w:after="0"/>
        <w:tabs>
          <w:tab w:leader="none" w:pos="444" w:val="left"/>
        </w:tabs>
        <w:numPr>
          <w:ilvl w:val="0"/>
          <w:numId w:val="55"/>
        </w:numPr>
        <w:rPr>
          <w:rFonts w:ascii="Arial" w:cs="Arial" w:eastAsia="Arial" w:hAnsi="Arial"/>
          <w:sz w:val="16"/>
          <w:szCs w:val="16"/>
          <w:color w:val="auto"/>
        </w:rPr>
      </w:pPr>
      <w:r>
        <w:rPr>
          <w:rFonts w:ascii="Arial" w:cs="Arial" w:eastAsia="Arial" w:hAnsi="Arial"/>
          <w:sz w:val="16"/>
          <w:szCs w:val="16"/>
          <w:color w:val="auto"/>
        </w:rPr>
        <w:t>As a condition to the effectiveness of this Amendment, Bank shall have received, in form and substance satisfactory to Bank, the following:</w:t>
      </w:r>
    </w:p>
    <w:p>
      <w:pPr>
        <w:spacing w:after="0" w:line="248" w:lineRule="exact"/>
        <w:rPr>
          <w:rFonts w:ascii="Arial" w:cs="Arial" w:eastAsia="Arial" w:hAnsi="Arial"/>
          <w:sz w:val="16"/>
          <w:szCs w:val="16"/>
          <w:color w:val="auto"/>
        </w:rPr>
      </w:pPr>
    </w:p>
    <w:p>
      <w:pPr>
        <w:ind w:left="864" w:hanging="432"/>
        <w:spacing w:after="0"/>
        <w:tabs>
          <w:tab w:leader="none" w:pos="864" w:val="left"/>
        </w:tabs>
        <w:numPr>
          <w:ilvl w:val="1"/>
          <w:numId w:val="55"/>
        </w:numPr>
        <w:rPr>
          <w:rFonts w:ascii="Arial" w:cs="Arial" w:eastAsia="Arial" w:hAnsi="Arial"/>
          <w:sz w:val="18"/>
          <w:szCs w:val="18"/>
          <w:b w:val="1"/>
          <w:bCs w:val="1"/>
          <w:color w:val="auto"/>
        </w:rPr>
      </w:pPr>
      <w:r>
        <w:rPr>
          <w:rFonts w:ascii="Arial" w:cs="Arial" w:eastAsia="Arial" w:hAnsi="Arial"/>
          <w:sz w:val="18"/>
          <w:szCs w:val="18"/>
          <w:color w:val="auto"/>
        </w:rPr>
        <w:t>this Amendment, duly executed by Borrower; and</w:t>
      </w:r>
    </w:p>
    <w:p>
      <w:pPr>
        <w:spacing w:after="0" w:line="225" w:lineRule="exact"/>
        <w:rPr>
          <w:rFonts w:ascii="Arial" w:cs="Arial" w:eastAsia="Arial" w:hAnsi="Arial"/>
          <w:sz w:val="18"/>
          <w:szCs w:val="18"/>
          <w:b w:val="1"/>
          <w:bCs w:val="1"/>
          <w:color w:val="auto"/>
        </w:rPr>
      </w:pPr>
    </w:p>
    <w:p>
      <w:pPr>
        <w:ind w:left="884" w:hanging="452"/>
        <w:spacing w:after="0"/>
        <w:tabs>
          <w:tab w:leader="none" w:pos="884" w:val="left"/>
        </w:tabs>
        <w:numPr>
          <w:ilvl w:val="1"/>
          <w:numId w:val="55"/>
        </w:numPr>
        <w:rPr>
          <w:rFonts w:ascii="Arial" w:cs="Arial" w:eastAsia="Arial" w:hAnsi="Arial"/>
          <w:sz w:val="17"/>
          <w:szCs w:val="17"/>
          <w:b w:val="1"/>
          <w:bCs w:val="1"/>
          <w:color w:val="auto"/>
        </w:rPr>
      </w:pPr>
      <w:r>
        <w:rPr>
          <w:rFonts w:ascii="Arial" w:cs="Arial" w:eastAsia="Arial" w:hAnsi="Arial"/>
          <w:sz w:val="17"/>
          <w:szCs w:val="17"/>
          <w:color w:val="auto"/>
        </w:rPr>
        <w:t>payment of an amendment fee equal to $1,000, plus payment of all Bank Expenses incurred by Bank through the date hereof.</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504"/>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SIGNATURE PAGE FOLLOWS</w:t>
      </w:r>
      <w:r>
        <w:rPr>
          <w:rFonts w:ascii="Arial" w:cs="Arial" w:eastAsia="Arial" w:hAnsi="Arial"/>
          <w:sz w:val="18"/>
          <w:szCs w:val="18"/>
          <w:color w:val="auto"/>
        </w:rPr>
        <w:t>]</w:t>
      </w:r>
    </w:p>
    <w:p>
      <w:pPr>
        <w:sectPr>
          <w:pgSz w:w="11900" w:h="16838" w:orient="portrait"/>
          <w:cols w:equalWidth="0" w:num="1">
            <w:col w:w="10764"/>
          </w:cols>
          <w:pgMar w:left="896" w:top="908" w:right="239" w:bottom="1440" w:gutter="0" w:footer="0" w:header="0"/>
        </w:sectPr>
      </w:pPr>
    </w:p>
    <w:bookmarkStart w:id="129" w:name="page130"/>
    <w:bookmarkEnd w:id="129"/>
    <w:p>
      <w:pPr>
        <w:spacing w:after="0"/>
        <w:rPr>
          <w:sz w:val="20"/>
          <w:szCs w:val="20"/>
          <w:color w:val="auto"/>
        </w:rPr>
      </w:pPr>
      <w:r>
        <w:rPr>
          <w:rFonts w:ascii="Arial" w:cs="Arial" w:eastAsia="Arial" w:hAnsi="Arial"/>
          <w:sz w:val="16"/>
          <w:szCs w:val="16"/>
          <w:color w:val="auto"/>
        </w:rPr>
        <w:t>IN WITNESS WHEREOF, the undersigned have executed this Amendment as of the first date above written.</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USA TECHNOLOGIES, INC.</w:t>
      </w:r>
    </w:p>
    <w:p>
      <w:pPr>
        <w:spacing w:after="0" w:line="225" w:lineRule="exact"/>
        <w:rPr>
          <w:sz w:val="20"/>
          <w:szCs w:val="20"/>
          <w:color w:val="auto"/>
        </w:rPr>
      </w:pPr>
    </w:p>
    <w:p>
      <w:pPr>
        <w:ind w:left="5060"/>
        <w:spacing w:after="0"/>
        <w:tabs>
          <w:tab w:leader="none" w:pos="5500" w:val="left"/>
        </w:tabs>
        <w:rPr>
          <w:sz w:val="20"/>
          <w:szCs w:val="20"/>
          <w:color w:val="auto"/>
        </w:rPr>
      </w:pPr>
      <w:r>
        <w:rPr>
          <w:rFonts w:ascii="Arial" w:cs="Arial" w:eastAsia="Arial" w:hAnsi="Arial"/>
          <w:sz w:val="18"/>
          <w:szCs w:val="18"/>
          <w:color w:val="auto"/>
        </w:rPr>
        <w:t>By:</w:t>
        <w:tab/>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14605</wp:posOffset>
            </wp:positionV>
            <wp:extent cx="33274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14605</wp:posOffset>
            </wp:positionV>
            <wp:extent cx="33274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AVIDBANK CORPORATE FINANCE,</w:t>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 division of AVIDBANK</w:t>
      </w:r>
    </w:p>
    <w:p>
      <w:pPr>
        <w:spacing w:after="0" w:line="211" w:lineRule="exact"/>
        <w:rPr>
          <w:sz w:val="20"/>
          <w:szCs w:val="20"/>
          <w:color w:val="auto"/>
        </w:rPr>
      </w:pPr>
    </w:p>
    <w:p>
      <w:pPr>
        <w:ind w:left="5060"/>
        <w:spacing w:after="0"/>
        <w:tabs>
          <w:tab w:leader="none" w:pos="5500" w:val="left"/>
        </w:tabs>
        <w:rPr>
          <w:sz w:val="20"/>
          <w:szCs w:val="20"/>
          <w:color w:val="auto"/>
        </w:rPr>
      </w:pPr>
      <w:r>
        <w:rPr>
          <w:rFonts w:ascii="Arial" w:cs="Arial" w:eastAsia="Arial" w:hAnsi="Arial"/>
          <w:sz w:val="18"/>
          <w:szCs w:val="18"/>
          <w:color w:val="auto"/>
        </w:rPr>
        <w:t>By:</w:t>
        <w:tab/>
        <w:t>/s/ Jeffrey Javier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14605</wp:posOffset>
            </wp:positionV>
            <wp:extent cx="33274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14605</wp:posOffset>
            </wp:positionV>
            <wp:extent cx="33274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ectPr>
          <w:pgSz w:w="11900" w:h="16838" w:orient="portrait"/>
          <w:cols w:equalWidth="0" w:num="1">
            <w:col w:w="9559"/>
          </w:cols>
          <w:pgMar w:left="900" w:top="909" w:right="1440"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EXHIBIT 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COMPLIANCE CERTIFICATE</w:t>
      </w:r>
    </w:p>
    <w:p>
      <w:pPr>
        <w:sectPr>
          <w:pgSz w:w="11900" w:h="16838" w:orient="portrait"/>
          <w:cols w:equalWidth="0" w:num="1">
            <w:col w:w="11440"/>
          </w:cols>
          <w:pgMar w:left="240" w:top="904" w:right="21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AVIDBANK CORPORATE FINANCE, A DIVISION OF AVIDBANK</w:t>
      </w:r>
    </w:p>
    <w:p>
      <w:pPr>
        <w:spacing w:after="0" w:line="75" w:lineRule="exact"/>
        <w:rPr>
          <w:sz w:val="20"/>
          <w:szCs w:val="20"/>
          <w:color w:val="auto"/>
        </w:rPr>
      </w:pPr>
    </w:p>
    <w:p>
      <w:pPr>
        <w:sectPr>
          <w:pgSz w:w="11900" w:h="16838" w:orient="portrait"/>
          <w:cols w:equalWidth="0" w:num="2">
            <w:col w:w="580" w:space="720"/>
            <w:col w:w="10140"/>
          </w:cols>
          <w:pgMar w:left="240" w:top="904" w:right="219" w:bottom="1440" w:gutter="0" w:footer="0" w:header="0"/>
          <w:type w:val="continuous"/>
        </w:sectPr>
      </w:pPr>
    </w:p>
    <w:p>
      <w:pPr>
        <w:spacing w:after="0"/>
        <w:rPr>
          <w:sz w:val="20"/>
          <w:szCs w:val="20"/>
          <w:color w:val="auto"/>
        </w:rPr>
      </w:pPr>
      <w:r>
        <w:rPr>
          <w:rFonts w:ascii="Arial" w:cs="Arial" w:eastAsia="Arial" w:hAnsi="Arial"/>
          <w:sz w:val="17"/>
          <w:szCs w:val="17"/>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USA TECHNOLOGIES, INC.</w:t>
      </w:r>
    </w:p>
    <w:p>
      <w:pPr>
        <w:spacing w:after="0" w:line="200" w:lineRule="exact"/>
        <w:rPr>
          <w:sz w:val="20"/>
          <w:szCs w:val="20"/>
          <w:color w:val="auto"/>
        </w:rPr>
      </w:pPr>
    </w:p>
    <w:p>
      <w:pPr>
        <w:sectPr>
          <w:pgSz w:w="11900" w:h="16838" w:orient="portrait"/>
          <w:cols w:equalWidth="0" w:num="2">
            <w:col w:w="580" w:space="720"/>
            <w:col w:w="10140"/>
          </w:cols>
          <w:pgMar w:left="240" w:top="904" w:right="219" w:bottom="1440" w:gutter="0" w:footer="0" w:header="0"/>
          <w:type w:val="continuous"/>
        </w:sectPr>
      </w:pPr>
    </w:p>
    <w:p>
      <w:pPr>
        <w:spacing w:after="0" w:line="37"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The undersigned authorized officer of USA TECHNOLOGIES, INC. hereby certifies that in accordance with the terms and conditions of the Loan and Security Agreement between Borrower and Bank (the “Agreement”), (i) Borrower is in complete compliance for the period ending _______________</w:t>
      </w:r>
    </w:p>
    <w:p>
      <w:pPr>
        <w:ind w:right="20"/>
        <w:spacing w:after="0" w:line="254" w:lineRule="auto"/>
        <w:rPr>
          <w:sz w:val="20"/>
          <w:szCs w:val="20"/>
          <w:color w:val="auto"/>
        </w:rPr>
      </w:pPr>
      <w:r>
        <w:rPr>
          <w:rFonts w:ascii="Arial" w:cs="Arial" w:eastAsia="Arial" w:hAnsi="Arial"/>
          <w:sz w:val="18"/>
          <w:szCs w:val="18"/>
          <w:color w:val="auto"/>
        </w:rPr>
        <w:t>with all required covenants except as noted below and (ii) all representations and warranties of Borrower stated in the Agreement are true and correct as of the date hereof. Attached herewith are the required documents supporting the above certification. The officer further certifies that these are prepared in accordance with Generally Accepted Accounting Principles (GAAP) and are consistently applied from one period to the next except as explained in an accompanying letter or footnotes.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0" w:type="dxa"/>
            <w:vAlign w:val="bottom"/>
            <w:gridSpan w:val="8"/>
          </w:tcPr>
          <w:p>
            <w:pPr>
              <w:ind w:left="960"/>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Reporting Covenant</w:t>
            </w:r>
          </w:p>
        </w:tc>
        <w:tc>
          <w:tcPr>
            <w:tcW w:w="3900" w:type="dxa"/>
            <w:vAlign w:val="bottom"/>
            <w:gridSpan w:val="2"/>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Required</w:t>
            </w: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Complies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rPr>
              <w:t>Schedule of Revenue Proceeds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Weekly</w:t>
            </w: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Yes</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rPr>
              <w:t>Transaction Report of Cash Disbursements &amp; Collections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Weekly</w:t>
            </w: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Yes</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rPr>
              <w:t>A/R &amp; A/P Agings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4"/>
          </w:tcPr>
          <w:p>
            <w:pPr>
              <w:spacing w:after="0"/>
              <w:rPr>
                <w:sz w:val="20"/>
                <w:szCs w:val="20"/>
                <w:color w:val="auto"/>
              </w:rPr>
            </w:pPr>
            <w:r>
              <w:rPr>
                <w:rFonts w:ascii="Arial" w:cs="Arial" w:eastAsia="Arial" w:hAnsi="Arial"/>
                <w:sz w:val="18"/>
                <w:szCs w:val="18"/>
                <w:color w:val="auto"/>
              </w:rPr>
              <w:t>Monthly within 20 days</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Yes</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rPr>
              <w:t>Borrowing Base Certificate and Compliance Certificate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4"/>
          </w:tcPr>
          <w:p>
            <w:pPr>
              <w:spacing w:after="0"/>
              <w:rPr>
                <w:sz w:val="20"/>
                <w:szCs w:val="20"/>
                <w:color w:val="auto"/>
              </w:rPr>
            </w:pPr>
            <w:r>
              <w:rPr>
                <w:rFonts w:ascii="Arial" w:cs="Arial" w:eastAsia="Arial" w:hAnsi="Arial"/>
                <w:sz w:val="18"/>
                <w:szCs w:val="18"/>
                <w:color w:val="auto"/>
              </w:rPr>
              <w:t>Monthly within 20 days</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rPr>
              <w:t>Monthly statements from JPMorgan Chase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4"/>
          </w:tcPr>
          <w:p>
            <w:pPr>
              <w:spacing w:after="0"/>
              <w:rPr>
                <w:sz w:val="20"/>
                <w:szCs w:val="20"/>
                <w:color w:val="auto"/>
              </w:rPr>
            </w:pPr>
            <w:r>
              <w:rPr>
                <w:rFonts w:ascii="Arial" w:cs="Arial" w:eastAsia="Arial" w:hAnsi="Arial"/>
                <w:sz w:val="18"/>
                <w:szCs w:val="18"/>
                <w:color w:val="auto"/>
              </w:rPr>
              <w:t>Monthly within 5 days of receipt</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Yes</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rPr>
              <w:t>Monthly financial statements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4"/>
          </w:tcPr>
          <w:p>
            <w:pPr>
              <w:spacing w:after="0"/>
              <w:rPr>
                <w:sz w:val="20"/>
                <w:szCs w:val="20"/>
                <w:color w:val="auto"/>
              </w:rPr>
            </w:pPr>
            <w:r>
              <w:rPr>
                <w:rFonts w:ascii="Arial" w:cs="Arial" w:eastAsia="Arial" w:hAnsi="Arial"/>
                <w:sz w:val="18"/>
                <w:szCs w:val="18"/>
                <w:color w:val="auto"/>
              </w:rPr>
              <w:t>Monthly within 20 days</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Yes</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rPr>
              <w:t>Annual financial statements (CPA Audited)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4"/>
          </w:tcPr>
          <w:p>
            <w:pPr>
              <w:spacing w:after="0"/>
              <w:rPr>
                <w:sz w:val="20"/>
                <w:szCs w:val="20"/>
                <w:color w:val="auto"/>
              </w:rPr>
            </w:pPr>
            <w:r>
              <w:rPr>
                <w:rFonts w:ascii="Arial" w:cs="Arial" w:eastAsia="Arial" w:hAnsi="Arial"/>
                <w:sz w:val="18"/>
                <w:szCs w:val="18"/>
                <w:color w:val="auto"/>
              </w:rPr>
              <w:t>FYE within 120 days</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Yes</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rPr>
              <w:t>Annual Projections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4"/>
          </w:tcPr>
          <w:p>
            <w:pPr>
              <w:spacing w:after="0"/>
              <w:rPr>
                <w:sz w:val="20"/>
                <w:szCs w:val="20"/>
                <w:color w:val="auto"/>
              </w:rPr>
            </w:pPr>
            <w:r>
              <w:rPr>
                <w:rFonts w:ascii="Arial" w:cs="Arial" w:eastAsia="Arial" w:hAnsi="Arial"/>
                <w:sz w:val="18"/>
                <w:szCs w:val="18"/>
                <w:color w:val="auto"/>
              </w:rPr>
              <w:t>within 30 days of Fiscal Year beginning</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Yes</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rPr>
              <w:t>10K and 10Q</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(as applicable)</w:t>
            </w: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Yes</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rPr>
              <w:t>A/R Audit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Semi-Annual</w:t>
            </w: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Yes</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rPr>
              <w:t>IP Notices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gridSpan w:val="4"/>
          </w:tcPr>
          <w:p>
            <w:pPr>
              <w:spacing w:after="0"/>
              <w:rPr>
                <w:sz w:val="20"/>
                <w:szCs w:val="20"/>
                <w:color w:val="auto"/>
              </w:rPr>
            </w:pPr>
            <w:r>
              <w:rPr>
                <w:rFonts w:ascii="Arial" w:cs="Arial" w:eastAsia="Arial" w:hAnsi="Arial"/>
                <w:sz w:val="18"/>
                <w:szCs w:val="18"/>
                <w:color w:val="auto"/>
              </w:rPr>
              <w:t>As required under Section 6.11</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Yes</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392"/>
        </w:trPr>
        <w:tc>
          <w:tcPr>
            <w:tcW w:w="100" w:type="dxa"/>
            <w:vAlign w:val="bottom"/>
          </w:tcPr>
          <w:p>
            <w:pPr>
              <w:spacing w:after="0"/>
              <w:rPr>
                <w:sz w:val="24"/>
                <w:szCs w:val="24"/>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Financial Covenant</w:t>
            </w:r>
          </w:p>
        </w:tc>
        <w:tc>
          <w:tcPr>
            <w:tcW w:w="3960" w:type="dxa"/>
            <w:vAlign w:val="bottom"/>
            <w:gridSpan w:val="3"/>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Required</w:t>
            </w:r>
          </w:p>
        </w:tc>
        <w:tc>
          <w:tcPr>
            <w:tcW w:w="780" w:type="dxa"/>
            <w:vAlign w:val="bottom"/>
          </w:tcPr>
          <w:p>
            <w:pPr>
              <w:spacing w:after="0"/>
              <w:rPr>
                <w:sz w:val="24"/>
                <w:szCs w:val="2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Actual</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Complies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00" w:type="dxa"/>
            <w:vAlign w:val="bottom"/>
          </w:tcPr>
          <w:p>
            <w:pPr>
              <w:spacing w:after="0"/>
              <w:rPr>
                <w:sz w:val="24"/>
                <w:szCs w:val="24"/>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rPr>
              <w:t>RML for month ended _______________</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$__________</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Yes</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rPr>
              <w:t>When RML is negative, Minimum Liquidity of at least: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6 months RML</w:t>
            </w:r>
          </w:p>
        </w:tc>
        <w:tc>
          <w:tcPr>
            <w:tcW w:w="1660" w:type="dxa"/>
            <w:vAlign w:val="bottom"/>
            <w:gridSpan w:val="2"/>
          </w:tcPr>
          <w:p>
            <w:pPr>
              <w:spacing w:after="0"/>
              <w:rPr>
                <w:sz w:val="20"/>
                <w:szCs w:val="20"/>
                <w:color w:val="auto"/>
              </w:rPr>
            </w:pPr>
            <w:r>
              <w:rPr>
                <w:rFonts w:ascii="Arial" w:cs="Arial" w:eastAsia="Arial" w:hAnsi="Arial"/>
                <w:sz w:val="18"/>
                <w:szCs w:val="18"/>
                <w:color w:val="auto"/>
              </w:rPr>
              <w:t>$__________</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Yes</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7020" w:type="dxa"/>
            <w:vAlign w:val="bottom"/>
            <w:gridSpan w:val="7"/>
          </w:tcPr>
          <w:p>
            <w:pPr>
              <w:spacing w:after="0"/>
              <w:rPr>
                <w:sz w:val="20"/>
                <w:szCs w:val="20"/>
                <w:color w:val="auto"/>
              </w:rPr>
            </w:pPr>
            <w:r>
              <w:rPr>
                <w:rFonts w:ascii="Arial" w:cs="Arial" w:eastAsia="Arial" w:hAnsi="Arial"/>
                <w:sz w:val="18"/>
                <w:szCs w:val="18"/>
                <w:color w:val="auto"/>
              </w:rPr>
              <w:t>When RML is positive, ratio of Current Assets to Current Liabilities of at least:</w:t>
            </w:r>
          </w:p>
        </w:tc>
        <w:tc>
          <w:tcPr>
            <w:tcW w:w="1500" w:type="dxa"/>
            <w:vAlign w:val="bottom"/>
            <w:gridSpan w:val="2"/>
          </w:tcPr>
          <w:p>
            <w:pPr>
              <w:spacing w:after="0"/>
              <w:rPr>
                <w:sz w:val="20"/>
                <w:szCs w:val="20"/>
                <w:color w:val="auto"/>
              </w:rPr>
            </w:pPr>
            <w:r>
              <w:rPr>
                <w:rFonts w:ascii="Arial" w:cs="Arial" w:eastAsia="Arial" w:hAnsi="Arial"/>
                <w:sz w:val="18"/>
                <w:szCs w:val="18"/>
                <w:color w:val="auto"/>
              </w:rPr>
              <w:t>1.00 to 1.00</w:t>
            </w:r>
          </w:p>
        </w:tc>
        <w:tc>
          <w:tcPr>
            <w:tcW w:w="1660" w:type="dxa"/>
            <w:vAlign w:val="bottom"/>
            <w:gridSpan w:val="2"/>
          </w:tcPr>
          <w:p>
            <w:pPr>
              <w:spacing w:after="0"/>
              <w:rPr>
                <w:sz w:val="20"/>
                <w:szCs w:val="20"/>
                <w:color w:val="auto"/>
              </w:rPr>
            </w:pPr>
            <w:r>
              <w:rPr>
                <w:rFonts w:ascii="Arial" w:cs="Arial" w:eastAsia="Arial" w:hAnsi="Arial"/>
                <w:sz w:val="18"/>
                <w:szCs w:val="18"/>
                <w:color w:val="auto"/>
              </w:rPr>
              <w:t>________ : 1.00</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Yes</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rPr>
              <w:t>Minimum Adjusted EBITDA for quarters ending:</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20" w:type="dxa"/>
            <w:vAlign w:val="bottom"/>
            <w:gridSpan w:val="4"/>
          </w:tcPr>
          <w:p>
            <w:pPr>
              <w:ind w:left="240"/>
              <w:spacing w:after="0"/>
              <w:rPr>
                <w:sz w:val="20"/>
                <w:szCs w:val="20"/>
                <w:color w:val="auto"/>
              </w:rPr>
            </w:pPr>
            <w:r>
              <w:rPr>
                <w:rFonts w:ascii="Arial" w:cs="Arial" w:eastAsia="Arial" w:hAnsi="Arial"/>
                <w:sz w:val="18"/>
                <w:szCs w:val="18"/>
                <w:color w:val="auto"/>
              </w:rPr>
              <w:t>June 30, 2014:</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$1,250,000</w:t>
            </w:r>
          </w:p>
        </w:tc>
        <w:tc>
          <w:tcPr>
            <w:tcW w:w="1660" w:type="dxa"/>
            <w:vAlign w:val="bottom"/>
            <w:gridSpan w:val="2"/>
          </w:tcPr>
          <w:p>
            <w:pPr>
              <w:spacing w:after="0"/>
              <w:rPr>
                <w:sz w:val="20"/>
                <w:szCs w:val="20"/>
                <w:color w:val="auto"/>
              </w:rPr>
            </w:pPr>
            <w:r>
              <w:rPr>
                <w:rFonts w:ascii="Arial" w:cs="Arial" w:eastAsia="Arial" w:hAnsi="Arial"/>
                <w:sz w:val="18"/>
                <w:szCs w:val="18"/>
                <w:color w:val="auto"/>
              </w:rPr>
              <w:t>$__________</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Yes</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20" w:type="dxa"/>
            <w:vAlign w:val="bottom"/>
            <w:gridSpan w:val="4"/>
          </w:tcPr>
          <w:p>
            <w:pPr>
              <w:ind w:left="240"/>
              <w:spacing w:after="0"/>
              <w:rPr>
                <w:sz w:val="20"/>
                <w:szCs w:val="20"/>
                <w:color w:val="auto"/>
              </w:rPr>
            </w:pPr>
            <w:r>
              <w:rPr>
                <w:rFonts w:ascii="Arial" w:cs="Arial" w:eastAsia="Arial" w:hAnsi="Arial"/>
                <w:sz w:val="18"/>
                <w:szCs w:val="18"/>
                <w:color w:val="auto"/>
              </w:rPr>
              <w:t>September 30, 2014:</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$1,600,000</w:t>
            </w:r>
          </w:p>
        </w:tc>
        <w:tc>
          <w:tcPr>
            <w:tcW w:w="1660" w:type="dxa"/>
            <w:vAlign w:val="bottom"/>
            <w:gridSpan w:val="2"/>
          </w:tcPr>
          <w:p>
            <w:pPr>
              <w:spacing w:after="0"/>
              <w:rPr>
                <w:sz w:val="20"/>
                <w:szCs w:val="20"/>
                <w:color w:val="auto"/>
              </w:rPr>
            </w:pPr>
            <w:r>
              <w:rPr>
                <w:rFonts w:ascii="Arial" w:cs="Arial" w:eastAsia="Arial" w:hAnsi="Arial"/>
                <w:sz w:val="18"/>
                <w:szCs w:val="18"/>
                <w:color w:val="auto"/>
              </w:rPr>
              <w:t>$__________</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Yes</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20" w:type="dxa"/>
            <w:vAlign w:val="bottom"/>
            <w:gridSpan w:val="4"/>
          </w:tcPr>
          <w:p>
            <w:pPr>
              <w:ind w:left="240"/>
              <w:spacing w:after="0"/>
              <w:rPr>
                <w:sz w:val="20"/>
                <w:szCs w:val="20"/>
                <w:color w:val="auto"/>
              </w:rPr>
            </w:pPr>
            <w:r>
              <w:rPr>
                <w:rFonts w:ascii="Arial" w:cs="Arial" w:eastAsia="Arial" w:hAnsi="Arial"/>
                <w:sz w:val="18"/>
                <w:szCs w:val="18"/>
                <w:color w:val="auto"/>
              </w:rPr>
              <w:t>December 31, 2014:</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$1,800,000</w:t>
            </w:r>
          </w:p>
        </w:tc>
        <w:tc>
          <w:tcPr>
            <w:tcW w:w="1660" w:type="dxa"/>
            <w:vAlign w:val="bottom"/>
            <w:gridSpan w:val="2"/>
          </w:tcPr>
          <w:p>
            <w:pPr>
              <w:spacing w:after="0"/>
              <w:rPr>
                <w:sz w:val="20"/>
                <w:szCs w:val="20"/>
                <w:color w:val="auto"/>
              </w:rPr>
            </w:pPr>
            <w:r>
              <w:rPr>
                <w:rFonts w:ascii="Arial" w:cs="Arial" w:eastAsia="Arial" w:hAnsi="Arial"/>
                <w:sz w:val="18"/>
                <w:szCs w:val="18"/>
                <w:color w:val="auto"/>
              </w:rPr>
              <w:t>$__________</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Yes</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20" w:type="dxa"/>
            <w:vAlign w:val="bottom"/>
            <w:gridSpan w:val="4"/>
          </w:tcPr>
          <w:p>
            <w:pPr>
              <w:ind w:left="240"/>
              <w:spacing w:after="0"/>
              <w:rPr>
                <w:sz w:val="20"/>
                <w:szCs w:val="20"/>
                <w:color w:val="auto"/>
              </w:rPr>
            </w:pPr>
            <w:r>
              <w:rPr>
                <w:rFonts w:ascii="Arial" w:cs="Arial" w:eastAsia="Arial" w:hAnsi="Arial"/>
                <w:sz w:val="18"/>
                <w:szCs w:val="18"/>
                <w:color w:val="auto"/>
              </w:rPr>
              <w:t>March 31, 2015:</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$2,100,000</w:t>
            </w:r>
          </w:p>
        </w:tc>
        <w:tc>
          <w:tcPr>
            <w:tcW w:w="1660" w:type="dxa"/>
            <w:vAlign w:val="bottom"/>
            <w:gridSpan w:val="2"/>
          </w:tcPr>
          <w:p>
            <w:pPr>
              <w:spacing w:after="0"/>
              <w:rPr>
                <w:sz w:val="20"/>
                <w:szCs w:val="20"/>
                <w:color w:val="auto"/>
              </w:rPr>
            </w:pPr>
            <w:r>
              <w:rPr>
                <w:rFonts w:ascii="Arial" w:cs="Arial" w:eastAsia="Arial" w:hAnsi="Arial"/>
                <w:sz w:val="18"/>
                <w:szCs w:val="18"/>
                <w:color w:val="auto"/>
              </w:rPr>
              <w:t>$__________</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Yes</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20" w:type="dxa"/>
            <w:vAlign w:val="bottom"/>
            <w:gridSpan w:val="4"/>
          </w:tcPr>
          <w:p>
            <w:pPr>
              <w:ind w:left="240"/>
              <w:spacing w:after="0"/>
              <w:rPr>
                <w:sz w:val="20"/>
                <w:szCs w:val="20"/>
                <w:color w:val="auto"/>
              </w:rPr>
            </w:pPr>
            <w:r>
              <w:rPr>
                <w:rFonts w:ascii="Arial" w:cs="Arial" w:eastAsia="Arial" w:hAnsi="Arial"/>
                <w:sz w:val="18"/>
                <w:szCs w:val="18"/>
                <w:color w:val="auto"/>
              </w:rPr>
              <w:t>June 30, 2015:</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$2,600,000</w:t>
            </w:r>
          </w:p>
        </w:tc>
        <w:tc>
          <w:tcPr>
            <w:tcW w:w="1660" w:type="dxa"/>
            <w:vAlign w:val="bottom"/>
            <w:gridSpan w:val="2"/>
          </w:tcPr>
          <w:p>
            <w:pPr>
              <w:spacing w:after="0"/>
              <w:rPr>
                <w:sz w:val="20"/>
                <w:szCs w:val="20"/>
                <w:color w:val="auto"/>
              </w:rPr>
            </w:pPr>
            <w:r>
              <w:rPr>
                <w:rFonts w:ascii="Arial" w:cs="Arial" w:eastAsia="Arial" w:hAnsi="Arial"/>
                <w:sz w:val="18"/>
                <w:szCs w:val="18"/>
                <w:color w:val="auto"/>
              </w:rPr>
              <w:t>$__________</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Yes</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558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 xml:space="preserve">Comments Regarding Exceptions: </w:t>
            </w:r>
            <w:r>
              <w:rPr>
                <w:rFonts w:ascii="Arial" w:cs="Arial" w:eastAsia="Arial" w:hAnsi="Arial"/>
                <w:sz w:val="18"/>
                <w:szCs w:val="18"/>
                <w:color w:val="auto"/>
              </w:rPr>
              <w:t>See Attached.</w:t>
            </w: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80" w:type="dxa"/>
            <w:vAlign w:val="bottom"/>
            <w:gridSpan w:val="6"/>
            <w:vMerge w:val="continue"/>
          </w:tcPr>
          <w:p>
            <w:pPr>
              <w:spacing w:after="0"/>
              <w:rPr>
                <w:sz w:val="21"/>
                <w:szCs w:val="21"/>
                <w:color w:val="auto"/>
              </w:rPr>
            </w:pPr>
          </w:p>
        </w:tc>
        <w:tc>
          <w:tcPr>
            <w:tcW w:w="3040" w:type="dxa"/>
            <w:vAlign w:val="bottom"/>
            <w:tcBorders>
              <w:left w:val="single" w:sz="8" w:color="auto"/>
            </w:tcBorders>
            <w:gridSpan w:val="4"/>
            <w:vMerge w:val="restart"/>
          </w:tcPr>
          <w:p>
            <w:pPr>
              <w:ind w:left="100"/>
              <w:spacing w:after="0"/>
              <w:rPr>
                <w:sz w:val="20"/>
                <w:szCs w:val="20"/>
                <w:color w:val="auto"/>
              </w:rPr>
            </w:pPr>
            <w:r>
              <w:rPr>
                <w:rFonts w:ascii="Arial" w:cs="Arial" w:eastAsia="Arial" w:hAnsi="Arial"/>
                <w:sz w:val="18"/>
                <w:szCs w:val="18"/>
                <w:b w:val="1"/>
                <w:bCs w:val="1"/>
                <w:color w:val="auto"/>
              </w:rPr>
              <w:t>BANK USE ONLY</w:t>
            </w: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040" w:type="dxa"/>
            <w:vAlign w:val="bottom"/>
            <w:tcBorders>
              <w:left w:val="single" w:sz="8" w:color="auto"/>
            </w:tcBorders>
            <w:gridSpan w:val="4"/>
            <w:vMerge w:val="continue"/>
          </w:tcPr>
          <w:p>
            <w:pPr>
              <w:spacing w:after="0"/>
              <w:rPr>
                <w:sz w:val="4"/>
                <w:szCs w:val="4"/>
                <w:color w:val="auto"/>
              </w:rPr>
            </w:pPr>
          </w:p>
        </w:tc>
        <w:tc>
          <w:tcPr>
            <w:tcW w:w="5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20" w:type="dxa"/>
            <w:vAlign w:val="bottom"/>
            <w:gridSpan w:val="4"/>
            <w:vMerge w:val="restart"/>
          </w:tcPr>
          <w:p>
            <w:pPr>
              <w:spacing w:after="0"/>
              <w:rPr>
                <w:sz w:val="20"/>
                <w:szCs w:val="20"/>
                <w:color w:val="auto"/>
              </w:rPr>
            </w:pPr>
            <w:r>
              <w:rPr>
                <w:rFonts w:ascii="Arial" w:cs="Arial" w:eastAsia="Arial" w:hAnsi="Arial"/>
                <w:sz w:val="18"/>
                <w:szCs w:val="18"/>
                <w:color w:val="auto"/>
              </w:rPr>
              <w:t>Sincerely,</w:t>
            </w:r>
          </w:p>
        </w:tc>
        <w:tc>
          <w:tcPr>
            <w:tcW w:w="14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Received by:</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20" w:type="dxa"/>
            <w:vAlign w:val="bottom"/>
            <w:gridSpan w:val="4"/>
            <w:vMerge w:val="continue"/>
          </w:tcPr>
          <w:p>
            <w:pPr>
              <w:spacing w:after="0"/>
              <w:rPr>
                <w:sz w:val="19"/>
                <w:szCs w:val="19"/>
                <w:color w:val="auto"/>
              </w:rPr>
            </w:pPr>
          </w:p>
        </w:tc>
        <w:tc>
          <w:tcPr>
            <w:tcW w:w="1540" w:type="dxa"/>
            <w:vAlign w:val="bottom"/>
            <w:tcBorders>
              <w:lef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Date:</w:t>
            </w:r>
          </w:p>
        </w:tc>
        <w:tc>
          <w:tcPr>
            <w:tcW w:w="3160" w:type="dxa"/>
            <w:vAlign w:val="bottom"/>
            <w:gridSpan w:val="4"/>
          </w:tcPr>
          <w:p>
            <w:pPr>
              <w:ind w:left="460"/>
              <w:spacing w:after="0"/>
              <w:rPr>
                <w:sz w:val="20"/>
                <w:szCs w:val="20"/>
                <w:color w:val="auto"/>
              </w:rPr>
            </w:pPr>
            <w:r>
              <w:rPr>
                <w:rFonts w:ascii="Arial" w:cs="Arial" w:eastAsia="Arial" w:hAnsi="Arial"/>
                <w:sz w:val="18"/>
                <w:szCs w:val="18"/>
                <w:color w:val="auto"/>
              </w:rPr>
              <w:t>AUTHORIZED SIGNER</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tcBorders>
              <w:left w:val="single" w:sz="8" w:color="auto"/>
            </w:tcBorders>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tcPr>
          <w:p>
            <w:pPr>
              <w:spacing w:after="0"/>
              <w:rPr>
                <w:sz w:val="13"/>
                <w:szCs w:val="13"/>
                <w:color w:val="auto"/>
              </w:rPr>
            </w:pPr>
          </w:p>
        </w:tc>
        <w:tc>
          <w:tcPr>
            <w:tcW w:w="1200" w:type="dxa"/>
            <w:vAlign w:val="bottom"/>
          </w:tcPr>
          <w:p>
            <w:pPr>
              <w:spacing w:after="0"/>
              <w:rPr>
                <w:sz w:val="13"/>
                <w:szCs w:val="13"/>
                <w:color w:val="auto"/>
              </w:rPr>
            </w:pPr>
          </w:p>
        </w:tc>
        <w:tc>
          <w:tcPr>
            <w:tcW w:w="1440" w:type="dxa"/>
            <w:vAlign w:val="bottom"/>
            <w:tcBorders>
              <w:left w:val="single" w:sz="8" w:color="auto"/>
            </w:tcBorders>
          </w:tcPr>
          <w:p>
            <w:pPr>
              <w:ind w:left="100"/>
              <w:spacing w:after="0" w:line="156" w:lineRule="exact"/>
              <w:rPr>
                <w:sz w:val="20"/>
                <w:szCs w:val="20"/>
                <w:color w:val="auto"/>
              </w:rPr>
            </w:pPr>
            <w:r>
              <w:rPr>
                <w:rFonts w:ascii="Arial" w:cs="Arial" w:eastAsia="Arial" w:hAnsi="Arial"/>
                <w:sz w:val="18"/>
                <w:szCs w:val="18"/>
                <w:color w:val="auto"/>
              </w:rPr>
              <w:t>Verified:</w:t>
            </w: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8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420" w:type="dxa"/>
            <w:vAlign w:val="bottom"/>
            <w:gridSpan w:val="4"/>
            <w:vMerge w:val="restart"/>
          </w:tcPr>
          <w:p>
            <w:pPr>
              <w:spacing w:after="0"/>
              <w:rPr>
                <w:sz w:val="20"/>
                <w:szCs w:val="20"/>
                <w:color w:val="auto"/>
              </w:rPr>
            </w:pPr>
            <w:r>
              <w:rPr>
                <w:rFonts w:ascii="Arial" w:cs="Arial" w:eastAsia="Arial" w:hAnsi="Arial"/>
                <w:sz w:val="18"/>
                <w:szCs w:val="18"/>
                <w:color w:val="auto"/>
              </w:rPr>
              <w:t>SIGNATURE</w:t>
            </w:r>
          </w:p>
        </w:tc>
        <w:tc>
          <w:tcPr>
            <w:tcW w:w="144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10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5420" w:type="dxa"/>
            <w:vAlign w:val="bottom"/>
            <w:gridSpan w:val="4"/>
            <w:vMerge w:val="continue"/>
          </w:tcPr>
          <w:p>
            <w:pPr>
              <w:spacing w:after="0"/>
              <w:rPr>
                <w:sz w:val="19"/>
                <w:szCs w:val="19"/>
                <w:color w:val="auto"/>
              </w:rPr>
            </w:pPr>
          </w:p>
        </w:tc>
        <w:tc>
          <w:tcPr>
            <w:tcW w:w="14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gridSpan w:val="4"/>
          </w:tcPr>
          <w:p>
            <w:pPr>
              <w:ind w:left="460"/>
              <w:spacing w:after="0"/>
              <w:rPr>
                <w:sz w:val="20"/>
                <w:szCs w:val="20"/>
                <w:color w:val="auto"/>
              </w:rPr>
            </w:pPr>
            <w:r>
              <w:rPr>
                <w:rFonts w:ascii="Arial" w:cs="Arial" w:eastAsia="Arial" w:hAnsi="Arial"/>
                <w:sz w:val="18"/>
                <w:szCs w:val="18"/>
                <w:color w:val="auto"/>
              </w:rPr>
              <w:t>AUTHORIZED SIGNER</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color w:val="auto"/>
              </w:rPr>
              <w:t>Date:</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420" w:type="dxa"/>
            <w:vAlign w:val="bottom"/>
            <w:gridSpan w:val="4"/>
            <w:vMerge w:val="restart"/>
          </w:tcPr>
          <w:p>
            <w:pPr>
              <w:spacing w:after="0"/>
              <w:rPr>
                <w:sz w:val="20"/>
                <w:szCs w:val="20"/>
                <w:color w:val="auto"/>
              </w:rPr>
            </w:pPr>
            <w:r>
              <w:rPr>
                <w:rFonts w:ascii="Arial" w:cs="Arial" w:eastAsia="Arial" w:hAnsi="Arial"/>
                <w:sz w:val="18"/>
                <w:szCs w:val="18"/>
                <w:color w:val="auto"/>
              </w:rPr>
              <w:t>TITLE</w:t>
            </w:r>
          </w:p>
        </w:tc>
        <w:tc>
          <w:tcPr>
            <w:tcW w:w="144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0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5420" w:type="dxa"/>
            <w:vAlign w:val="bottom"/>
            <w:gridSpan w:val="4"/>
            <w:vMerge w:val="continue"/>
          </w:tcPr>
          <w:p>
            <w:pPr>
              <w:spacing w:after="0"/>
              <w:rPr>
                <w:sz w:val="17"/>
                <w:szCs w:val="17"/>
                <w:color w:val="auto"/>
              </w:rPr>
            </w:pPr>
          </w:p>
        </w:tc>
        <w:tc>
          <w:tcPr>
            <w:tcW w:w="1540" w:type="dxa"/>
            <w:vAlign w:val="bottom"/>
            <w:tcBorders>
              <w:lef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w w:val="93"/>
              </w:rPr>
              <w:t>Compliance Status</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vMerge w:val="restart"/>
          </w:tcPr>
          <w:p>
            <w:pPr>
              <w:ind w:left="780"/>
              <w:spacing w:after="0"/>
              <w:rPr>
                <w:sz w:val="20"/>
                <w:szCs w:val="20"/>
                <w:color w:val="auto"/>
              </w:rPr>
            </w:pPr>
            <w:r>
              <w:rPr>
                <w:rFonts w:ascii="Arial" w:cs="Arial" w:eastAsia="Arial" w:hAnsi="Arial"/>
                <w:sz w:val="18"/>
                <w:szCs w:val="18"/>
                <w:color w:val="auto"/>
              </w:rPr>
              <w:t>Yes</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Borders>
              <w:right w:val="single" w:sz="8" w:color="auto"/>
            </w:tcBorders>
            <w:gridSpan w:val="2"/>
            <w:vMerge w:val="restart"/>
          </w:tcPr>
          <w:p>
            <w:pPr>
              <w:ind w:left="2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392"/>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Borders>
              <w:left w:val="single" w:sz="8" w:color="auto"/>
            </w:tcBorders>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Borders>
              <w:right w:val="single" w:sz="8" w:color="auto"/>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20" w:type="dxa"/>
            <w:vAlign w:val="bottom"/>
            <w:gridSpan w:val="4"/>
          </w:tcPr>
          <w:p>
            <w:pPr>
              <w:spacing w:after="0"/>
              <w:rPr>
                <w:sz w:val="20"/>
                <w:szCs w:val="20"/>
                <w:color w:val="auto"/>
              </w:rPr>
            </w:pPr>
            <w:r>
              <w:rPr>
                <w:rFonts w:ascii="Arial" w:cs="Arial" w:eastAsia="Arial" w:hAnsi="Arial"/>
                <w:sz w:val="18"/>
                <w:szCs w:val="18"/>
                <w:color w:val="auto"/>
              </w:rPr>
              <w:t>DATE</w:t>
            </w:r>
          </w:p>
        </w:tc>
        <w:tc>
          <w:tcPr>
            <w:tcW w:w="14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904" w:right="219" w:bottom="1440" w:gutter="0" w:footer="0" w:header="0"/>
          <w:type w:val="continuous"/>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10.31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Varilease Finance,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6340 South 3000 East,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 84121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www.varilease.com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801.733.8100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801.733.8900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MASTER LEASE AGREEMENT</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MASTER LEASE AGREEMENT (“Master Agreement”) made as of April 30, 2014, between VARILEASE FINANCE, INC., a Michigan corporation, having its chief executive offices at 6340 South 3000 East, Suite 400, Salt Lake City, UT 84121 (“Lessor”) and USA TECHNOLOGIES, INC., a Pennsylvania corporation, having its chief executive offices at 100 Deerfield Lane, Suite 140, Malvern, PA 19355 (“Lessee”).</w:t>
      </w:r>
    </w:p>
    <w:p>
      <w:pPr>
        <w:spacing w:after="0" w:line="189" w:lineRule="exact"/>
        <w:rPr>
          <w:sz w:val="20"/>
          <w:szCs w:val="20"/>
          <w:color w:val="auto"/>
        </w:rPr>
      </w:pPr>
    </w:p>
    <w:p>
      <w:pPr>
        <w:ind w:left="640" w:hanging="632"/>
        <w:spacing w:after="0"/>
        <w:tabs>
          <w:tab w:leader="none" w:pos="6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LEASE</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the terms and conditions of this Master Agreement, Lessor shall lease to Lessee, and Lessee shall hire from Lessor, the items of personal property described in the Schedule(s) (collectively the “Equipment”, and individually an “Item”) which shall incorporate this Master Agreement. Subject to Section 16(a)(viii), each Schedule shall constitute a separate and independent lease and contractual obligation of Lessee. The term “Lease” shall refer to an individual Schedule that incorporates this Master Agreement. In the event of a conflict between this Master Agreement and any Schedule, the language of the Schedule shall prevail. The Lease shall be effective upon execution by Lessor at its offices.</w:t>
      </w:r>
    </w:p>
    <w:p>
      <w:pPr>
        <w:spacing w:after="0" w:line="214" w:lineRule="exact"/>
        <w:rPr>
          <w:sz w:val="20"/>
          <w:szCs w:val="20"/>
          <w:color w:val="auto"/>
        </w:rPr>
      </w:pPr>
    </w:p>
    <w:p>
      <w:pPr>
        <w:ind w:left="640" w:hanging="632"/>
        <w:spacing w:after="0"/>
        <w:tabs>
          <w:tab w:leader="none" w:pos="6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27" w:lineRule="exact"/>
        <w:rPr>
          <w:sz w:val="20"/>
          <w:szCs w:val="20"/>
          <w:color w:val="auto"/>
        </w:rPr>
      </w:pPr>
    </w:p>
    <w:p>
      <w:pPr>
        <w:jc w:val="both"/>
        <w:ind w:firstLine="8"/>
        <w:spacing w:after="0" w:line="252" w:lineRule="auto"/>
        <w:tabs>
          <w:tab w:leader="none" w:pos="25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term of the Lease may be comprised of a Progress Funding Term, Installation Term and Base Term. The Progress Funding Term for each Item, if applicable, shall commence on the date the Authorization for Progress Payment (“Authorization”) is executed and shall end on the date specified on the Installation Certificate (the “Installation Date”). The Installation Term shall commence on the Installation Date, and terminate on the first day of the calendar quarter following the Installation Date (the “Base Term Commencement Date”). The Base Term of the Lease shall begin on the Base Term Commencement Date, and shall, subject to Section 19(b), end on the last day of the last month of the Base Term. The date of installation for any Item shall be the earlier of either (i) the Installation Date, or (ii) if Lessee does not, for any reason, sign an Installation Certificate the date shall be the date Lessee received the Equipment.</w:t>
      </w:r>
    </w:p>
    <w:p>
      <w:pPr>
        <w:spacing w:after="0" w:line="220" w:lineRule="exact"/>
        <w:rPr>
          <w:rFonts w:ascii="Arial" w:cs="Arial" w:eastAsia="Arial" w:hAnsi="Arial"/>
          <w:sz w:val="18"/>
          <w:szCs w:val="18"/>
          <w:color w:val="auto"/>
        </w:rPr>
      </w:pPr>
    </w:p>
    <w:p>
      <w:pPr>
        <w:jc w:val="both"/>
        <w:ind w:firstLine="8"/>
        <w:spacing w:after="0" w:line="285" w:lineRule="auto"/>
        <w:tabs>
          <w:tab w:leader="none" w:pos="261"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 the event Lessee requests, for its benefit, that Lessor advance payments to supplier(s) or manufacturer(s) of the Equipment (collectively “Supplier(s)”) during the period prior to Lessee’s delivery of the Installation Certificate and make progress payments to such Supplier(s) or otherwise reimburse Lessee for deposits, if any, made to such Supplier(s) (all such Lessor payments and reimbursements collectively referred to as “Progress Payments”), Lessor may, in its sole discretion, accommodate such requests by Lessee, and make such Progress Payments pursuant to the terms provided for in this Section 2(b). Lessee shall pay to Lessor a daily pro rata rental fee (“Rental Fee”) from the date of execution of the Authorization for each Item of Equipment through the Installation Date calculated by multiplying the Base Lease Rate Factor specified in the applicable Schedule times the amount of such Progress Payment divided by 30. This Rental Fee will be billed monthly to Lessee. If all of the Equipment to be included in the applicable Schedule is not accepted by Lessee within 90 days of the date of Lessor’s execution of the applicable Schedule (the “Funding Cut-Off Date”), Lessor may, at its sole option, pursue any one of the following options: (i) commence the term of any Schedule (using the Funding Cut-Off Date as the Installation Date) based on the portion of the Equipment that has been delivered to Lessee and paid for by Lessor as of the Funding Cut-Off Date; (ii) extend the Progress Funding Term and establish a new Funding Cut-Off Date; or (iii) demand that the Lessee pay to Lessor a total amount equal to all Progress Payments paid to Supplier(s) on behalf of Lessee, plus all pro rata rentals, taxes, late fees and other payments which are due and owing under this Master Agreement. Should such demand be made by Lessor, Lessee hereby unconditionally agrees to reimburse said amounts to Lessor in full within three (3) business days of said demand, and upon receipt of said payment in full, Lessor shall release Lessee from further payment obligations under the applicable Schedule. Lessor hereby reserves the right to terminate the Progress Funding Term at any time if Lessor determines, at Lessor’s sole discretion, that there has been a material adverse change in Lessee’s financial condition, at which time Lessor may elect either (i), (ii), or (iii) above. Notwithstanding anything to the contrary in the Lease, for purposes of this Section 2(b)(iii), in the event such demand for reimbursement is made by Lessor and Lessee fails to reimburse Lessor in accordance with the terms herein, such failure shall automatically constitute an Event of Default, Lessee shall waive any right to cure or remedy the default as otherwise provided in Section 16(a), and Lessor shall be entitled to pursue all of its available remedies under the Lease.</w:t>
      </w:r>
    </w:p>
    <w:p>
      <w:pPr>
        <w:spacing w:after="0" w:line="194" w:lineRule="exact"/>
        <w:rPr>
          <w:sz w:val="20"/>
          <w:szCs w:val="20"/>
          <w:color w:val="auto"/>
        </w:rPr>
      </w:pPr>
    </w:p>
    <w:p>
      <w:pPr>
        <w:ind w:left="640" w:hanging="632"/>
        <w:spacing w:after="0"/>
        <w:tabs>
          <w:tab w:leader="none" w:pos="6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RENTAL</w:t>
      </w:r>
    </w:p>
    <w:p>
      <w:pPr>
        <w:spacing w:after="0" w:line="27" w:lineRule="exact"/>
        <w:rPr>
          <w:sz w:val="20"/>
          <w:szCs w:val="20"/>
          <w:color w:val="auto"/>
        </w:rPr>
      </w:pPr>
    </w:p>
    <w:p>
      <w:pPr>
        <w:jc w:val="both"/>
        <w:ind w:firstLine="8"/>
        <w:spacing w:after="0" w:line="290" w:lineRule="auto"/>
        <w:tabs>
          <w:tab w:leader="none" w:pos="252"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rental amount payable to Lessor by Lessee for the Equipment will be as set forth on the Schedule (“Base Monthly Rental”). As rent for Equipment, Lessee shall pay Lessor in immediately available funds and in advance on the Base Term Commencement Date and on the first day of each calendar month during the Base Term of the Lease the Base Monthly Rental, and upon receipt of an invoice, an amount equal to 1/30th of the Base Monthly Rental for each Item times the number of days which will elapse from the date such Item was installed to the Base Term Commencement Date of the Lease. Each remittance from Lessee to Lessor shall contain information as to the Lease for which payment is made. In the event of a partial installation of less than all the Equipment prior to the Base Term Commencement Date, Lessee shall pay pro rata rental for such Items of Equipment upon receipt of invoice for same.</w:t>
      </w:r>
    </w:p>
    <w:p>
      <w:pPr>
        <w:spacing w:after="0" w:line="191" w:lineRule="exact"/>
        <w:rPr>
          <w:rFonts w:ascii="Arial" w:cs="Arial" w:eastAsia="Arial" w:hAnsi="Arial"/>
          <w:sz w:val="16"/>
          <w:szCs w:val="16"/>
          <w:color w:val="auto"/>
        </w:rPr>
      </w:pPr>
    </w:p>
    <w:p>
      <w:pPr>
        <w:jc w:val="both"/>
        <w:ind w:firstLine="8"/>
        <w:spacing w:after="0" w:line="259" w:lineRule="auto"/>
        <w:tabs>
          <w:tab w:leader="none" w:pos="276"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any payment of rent or other amount due under a Lease which is past due, interest shall accrue at the rate of 2% per month, from the date such payment was due until payment is received by Lessor, or if such rate shall exceed the maximum rate of interest allowed by law, then at such maximum rate. SUBJECT TO THE PROVISIONS OF SECTION 19(b), THIS IS A NON-CANCELABLE, NON-TERMINABLE LEASE OF EQUIPMENT FOR THE ENTIRE LEASE TERM AS PROVIDED IN EACH SCHEDULE HERETO.</w:t>
      </w:r>
    </w:p>
    <w:p>
      <w:pPr>
        <w:spacing w:after="0" w:line="210" w:lineRule="exact"/>
        <w:rPr>
          <w:sz w:val="20"/>
          <w:szCs w:val="20"/>
          <w:color w:val="auto"/>
        </w:rPr>
      </w:pPr>
    </w:p>
    <w:p>
      <w:pPr>
        <w:ind w:left="640" w:hanging="632"/>
        <w:spacing w:after="0"/>
        <w:tabs>
          <w:tab w:leader="none" w:pos="6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Lessee shall immediately reimburse Lessor for (or pay directly, but only if instructed by Lessor) all taxes, fees, and assessments that may be imposed by any taxing authority on the Equipment, on its purchase, ownership, delivery, possession, operation, rental, return to Lessor or its purchase by Lessee (collectively, Taxes); provided, however, that Lessee shall not be liable for any such Taxes (whether imposed by the United States of America or by any other domestic or foreign taxing authority) imposed on or measured by Lessor’s net income or tax preference items. Lessee’s obligation includes, but is not limited to, the obligation to pay all license and registration fees, recycling fees, and all sales, use, personal property, recordation and other taxes and governmental charges, together with any penalties, fines and interest thereon, that may be imposed during the Base Term and any extension or renewal term of the applicable Schedule, including reasonable administrative costs incurred by Lessor in connection with the set-up, revisions, reporting, filing and payment of any taxes due hereunder or in connection with the Equipment. Lessor shall report and file any and all Taxes and shall invoice Lessee for same. Lessee shall promptly reimburse Lessor for all Taxes and hold Lessor harmless with respect to any non-payment thereof.</w:t>
      </w:r>
    </w:p>
    <w:p>
      <w:pPr>
        <w:sectPr>
          <w:pgSz w:w="11900" w:h="16838" w:orient="portrait"/>
          <w:cols w:equalWidth="0" w:num="1">
            <w:col w:w="11420"/>
          </w:cols>
          <w:pgMar w:left="240" w:top="256" w:right="239" w:bottom="0" w:gutter="0" w:footer="0" w:header="0"/>
        </w:sectPr>
      </w:pPr>
    </w:p>
    <w:bookmarkStart w:id="132" w:name="page133"/>
    <w:bookmarkEnd w:id="132"/>
    <w:p>
      <w:pPr>
        <w:jc w:val="both"/>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ind w:left="640" w:hanging="632"/>
        <w:spacing w:after="0"/>
        <w:tabs>
          <w:tab w:leader="none" w:pos="6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NET LEASE</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Lease is a net lease, it being the intention of the parties that all costs, expenses and liabilities associated with the Equipment or its lease shall be borne by Lessee. Lessee’s agreement to pay all obligations under the Lease, including but not limited to Base Monthly Rental, is absolute and unconditional and such agreement is for the benefit of Lessor and its Assignee(s). Lessee’s obligations shall not be subject to any abatement, deferment, reduction, setoff, defense, counterclaim or recoupment for any reason whatsoever. Except as may be otherwise expressly provided in the Lease, it shall not terminate, nor shall the obligations of Lessee be affected by reason of any defect in or damage to, or any loss or destruction of, or obsolescence of, the Equipment or any Item from any cause whatsoever, or the interference with its use by any private person, corporation or governmental authority, or as a result of any war, riot, insurrection or an Act of God. It is the express intention of Lessor and Lessee that all rent and other sums payable by Lessee under the Lease shall be, and continue to be, payable in all events throughout the term of the Lease. The Lease shall be binding upon the Lessee, its successors and permitted assigns and shall inure to the benefit of Lessor and its Assignee(s).</w:t>
      </w:r>
    </w:p>
    <w:p>
      <w:pPr>
        <w:spacing w:after="0" w:line="205" w:lineRule="exact"/>
        <w:rPr>
          <w:sz w:val="20"/>
          <w:szCs w:val="20"/>
          <w:color w:val="auto"/>
        </w:rPr>
      </w:pPr>
    </w:p>
    <w:p>
      <w:pPr>
        <w:ind w:left="640" w:hanging="632"/>
        <w:spacing w:after="0"/>
        <w:tabs>
          <w:tab w:leader="none" w:pos="6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INSTALLATION, RETURN AND USE OF EQUIPMENT</w:t>
      </w:r>
    </w:p>
    <w:p>
      <w:pPr>
        <w:spacing w:after="0" w:line="27" w:lineRule="exact"/>
        <w:rPr>
          <w:sz w:val="20"/>
          <w:szCs w:val="20"/>
          <w:color w:val="auto"/>
        </w:rPr>
      </w:pPr>
    </w:p>
    <w:p>
      <w:pPr>
        <w:jc w:val="both"/>
        <w:ind w:firstLine="8"/>
        <w:spacing w:after="0" w:line="271" w:lineRule="auto"/>
        <w:tabs>
          <w:tab w:leader="none" w:pos="322" w:val="left"/>
        </w:tabs>
        <w:numPr>
          <w:ilvl w:val="0"/>
          <w:numId w:val="64"/>
        </w:numPr>
        <w:rPr>
          <w:rFonts w:ascii="Arial" w:cs="Arial" w:eastAsia="Arial" w:hAnsi="Arial"/>
          <w:sz w:val="17"/>
          <w:szCs w:val="17"/>
          <w:color w:val="auto"/>
        </w:rPr>
      </w:pPr>
      <w:r>
        <w:rPr>
          <w:rFonts w:ascii="Arial" w:cs="Arial" w:eastAsia="Arial" w:hAnsi="Arial"/>
          <w:sz w:val="17"/>
          <w:szCs w:val="17"/>
          <w:color w:val="auto"/>
        </w:rPr>
        <w:t>Upon delivery of the Equipment to Lessee, Lessee shall pay all transportation, installation, rigging, packing and insurance charges with respect to the Equipment. In the case of a sale and leaseback transaction, Lessee shall, upon the request of Lessor, certify the date the Equipment was first put into use. Lessee will provide the required electric current and a suitable place of installation for the Equipment with all appropriate facilities as specified by the manufacturer. No cards, tapes, disks, data cells or other input/output and storage media may be used by Lessee to operate any Item unless it meets the specifications of the manufacturer. Lessee agrees that it will not install, or permit the installation of, the Equipment without Lessor’s consent.</w:t>
      </w:r>
    </w:p>
    <w:p>
      <w:pPr>
        <w:spacing w:after="0" w:line="205" w:lineRule="exact"/>
        <w:rPr>
          <w:rFonts w:ascii="Arial" w:cs="Arial" w:eastAsia="Arial" w:hAnsi="Arial"/>
          <w:sz w:val="17"/>
          <w:szCs w:val="17"/>
          <w:color w:val="auto"/>
        </w:rPr>
      </w:pPr>
    </w:p>
    <w:p>
      <w:pPr>
        <w:jc w:val="both"/>
        <w:ind w:firstLine="8"/>
        <w:spacing w:after="0" w:line="255" w:lineRule="auto"/>
        <w:tabs>
          <w:tab w:leader="none" w:pos="311"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Provided that no Event of Default shall have occurred, Lessee shall, at all times during the term of the Lease, be entitled to unlimited use and enjoyment of the Equipment. Lessee will at all times keep the Equipment in its sole possession and control. The Equipment shall not be moved from the location stated in the Schedule without the prior written consent of Lessor and in no event shall the Equipment be moved outside the continental, contiguous United States. Lessee will comply with all laws, regulations, and ordinances, and all applicable requirements of the manufacturer of the Equipment that apply to the physical possession, use, operation, condition, and maintenance of the Equipment. Lessee agrees to obtain all permits and licenses necessary for the operation of the Equipment.</w:t>
      </w:r>
    </w:p>
    <w:p>
      <w:pPr>
        <w:spacing w:after="0" w:line="220" w:lineRule="exact"/>
        <w:rPr>
          <w:rFonts w:ascii="Arial" w:cs="Arial" w:eastAsia="Arial" w:hAnsi="Arial"/>
          <w:sz w:val="18"/>
          <w:szCs w:val="18"/>
          <w:color w:val="auto"/>
        </w:rPr>
      </w:pPr>
    </w:p>
    <w:p>
      <w:pPr>
        <w:jc w:val="both"/>
        <w:ind w:firstLine="8"/>
        <w:spacing w:after="0" w:line="270" w:lineRule="auto"/>
        <w:tabs>
          <w:tab w:leader="none" w:pos="316" w:val="left"/>
        </w:tabs>
        <w:numPr>
          <w:ilvl w:val="0"/>
          <w:numId w:val="64"/>
        </w:numPr>
        <w:rPr>
          <w:rFonts w:ascii="Arial" w:cs="Arial" w:eastAsia="Arial" w:hAnsi="Arial"/>
          <w:sz w:val="17"/>
          <w:szCs w:val="17"/>
          <w:color w:val="auto"/>
        </w:rPr>
      </w:pPr>
      <w:r>
        <w:rPr>
          <w:rFonts w:ascii="Arial" w:cs="Arial" w:eastAsia="Arial" w:hAnsi="Arial"/>
          <w:sz w:val="17"/>
          <w:szCs w:val="17"/>
          <w:color w:val="auto"/>
        </w:rPr>
        <w:t>Lessee shall not without the prior written consent of Lessor, affix or install any accessory, feature, equipment or device to the Equipment or make any improvement, upgrade, modification, alteration or addition to the Equipment (any such accessory, feature, equipment, device or improvement, upgrade, modification, alteration or addition affixed or installed is an “Improvement”). Title to all Improvements shall, without further act, upon the making, affixing or installation of such Improvement, vest solely in Lessor, except such Improvements as may be readily removed without causing material damage to the Equipment and without in any way affecting or impairing the originally intended function, value or use of the Equipment. Removal of the Improvement shall be performed by the manufacturer, at the sole expense of Lessee. Provided the Equipment is returned to Lessor in the condition required by the Lease, including, but not limited to coverage under the manufacturer’s standard maintenance contract, title to the Improvement shall vest in the Lessee upon removal. Any Improvement not removed from the Equipment prior to return shall at Lessor’s option remain the property of Lessor and shall be certified for maintenance by the manufacturer, at Lessee’s expense.</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Lessee shall notify Lessor in writing no less than sixty (60) days prior to the desired installation date of the type of Improvement Lessee desires to obtain. Lessor may, at any time within ten (10) days after receipt of the notice offer to provide the Improvement to Lessee upon terms and conditions to be mutually agreed upon. Lessee shall notify Lessor of any third party offers and shall lease the Improvement from Lessor if Lessor meets the terms of the third party offer.</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Lessee leases an Improvement from Lessor, such lease shall be under a separate Schedule, the Improvement shall not be placed in service by Lessee prior to acquisition by Lessor, and Lessee shall execute and deliver any document necessary to vest title to such Improvement in Lessor.</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term of the Lease and any renewal term, Lessee shall cause all Improvements to be maintained, at Lessee’s expense, in accordance with the requirements of Section 7. Unless otherwise agreed to by Lessor, upon the expiration or earlier termination of the term of the Lease, any Improvement shall be de-installed and removed from the Equipment by the manufacturer, at Lessee’s expense. If the Improvement is removed, the Equipment shall be restored to its unmodified condition and shall be certified for maintenance by the manufacturer, at Lessee’s expense.</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event an Improvement is provided to Lessee by a party other than Lessor, Lessee shall cause such party to execute and deliver to Lessor such documents as shall be required by Lessor to protect the interests of Lessor and any Assignee in the Equipment, this Master Agreement and any Schedule.</w:t>
      </w:r>
    </w:p>
    <w:p>
      <w:pPr>
        <w:spacing w:after="0" w:line="151" w:lineRule="exact"/>
        <w:rPr>
          <w:sz w:val="20"/>
          <w:szCs w:val="20"/>
          <w:color w:val="auto"/>
        </w:rPr>
      </w:pPr>
    </w:p>
    <w:p>
      <w:pPr>
        <w:jc w:val="both"/>
        <w:ind w:firstLine="8"/>
        <w:spacing w:after="0" w:line="289" w:lineRule="auto"/>
        <w:tabs>
          <w:tab w:leader="none" w:pos="289" w:val="left"/>
        </w:tabs>
        <w:numPr>
          <w:ilvl w:val="0"/>
          <w:numId w:val="65"/>
        </w:numPr>
        <w:rPr>
          <w:rFonts w:ascii="Arial" w:cs="Arial" w:eastAsia="Arial" w:hAnsi="Arial"/>
          <w:sz w:val="16"/>
          <w:szCs w:val="16"/>
          <w:color w:val="auto"/>
        </w:rPr>
      </w:pPr>
      <w:r>
        <w:rPr>
          <w:rFonts w:ascii="Arial" w:cs="Arial" w:eastAsia="Arial" w:hAnsi="Arial"/>
          <w:sz w:val="16"/>
          <w:szCs w:val="16"/>
          <w:color w:val="auto"/>
        </w:rPr>
        <w:t>Subject to Section 19(b), Lessee shall, at the termination of the Lease, at its expense, cause the Equipment to be decontaminated and remove all proprietary data from any and all memory storage devices from the Equipment, by the manufacturer or other entity approved by Lessor, in accordance with manufacturer specifications and all applicable laws, rules and regulations, if any (and provide to Lessor documentation verifying such decontamination and proprietary data removal), de-install, pack and return the Equipment to Lessor at such location within the continental United States as shall be designated by Lessor in the same operating order, repair, condition and appearance as of the date the Equipment was installed, reasonable wear and tear excepted, with all current engineering changes prescribed by the manufacturer of the Equipment or a maintenance contractor approved by Lessor (the “Maintenance Organization”) incorporated in the Equipment. Subject to Section 19(b), until the return of the Equipment to Lessor, Lessee shall be obligated to pay the Base Monthly Rental and all other sums due under the Lease. Upon redelivery to Lessor, Lessee shall arrange and pay for such repairs (if any) as are necessary for the manufacturer of the Equipment to accept the Equipment under a maintenance contract at its then standard rates.</w:t>
      </w:r>
    </w:p>
    <w:p>
      <w:pPr>
        <w:spacing w:after="0" w:line="193" w:lineRule="exact"/>
        <w:rPr>
          <w:rFonts w:ascii="Arial" w:cs="Arial" w:eastAsia="Arial" w:hAnsi="Arial"/>
          <w:sz w:val="16"/>
          <w:szCs w:val="16"/>
          <w:color w:val="auto"/>
        </w:rPr>
      </w:pPr>
    </w:p>
    <w:p>
      <w:pPr>
        <w:jc w:val="both"/>
        <w:ind w:firstLine="8"/>
        <w:spacing w:after="0" w:line="272" w:lineRule="auto"/>
        <w:tabs>
          <w:tab w:leader="none" w:pos="258" w:val="left"/>
        </w:tabs>
        <w:numPr>
          <w:ilvl w:val="0"/>
          <w:numId w:val="65"/>
        </w:numPr>
        <w:rPr>
          <w:rFonts w:ascii="Arial" w:cs="Arial" w:eastAsia="Arial" w:hAnsi="Arial"/>
          <w:sz w:val="17"/>
          <w:szCs w:val="17"/>
          <w:color w:val="auto"/>
        </w:rPr>
      </w:pPr>
      <w:r>
        <w:rPr>
          <w:rFonts w:ascii="Arial" w:cs="Arial" w:eastAsia="Arial" w:hAnsi="Arial"/>
          <w:sz w:val="17"/>
          <w:szCs w:val="17"/>
          <w:color w:val="auto"/>
        </w:rPr>
        <w:t>Lessee shall comply with all material present and future federal, state, regional and municipal laws, statutes, ordinances, regulations, rules, judicial and similar requirements of all federal, state, regional and municipal governmental agencies, bodies or officials or other governmental entities with legal authority pertaining to the protection of human or wildlife health and safety or the environment, including, without limitation, any such laws, statutes, ordinances, regulations, rules, judicial and administrative orders and decrees, permits, licenses, approvals, authorizations and similar requirements regulating or relating to Hazardous Materials (defined below) or to the generation, use, storage, release, presence, disposal, transport, or handling of any other substance, oil, oil byproducts, gas element, or material which has the potential to pollute, contaminate or harm any land, subsurface area, water source or watercourse, air or other natural resource, hereinafter referred to as “Environmental Laws”.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0" w:gutter="0" w:footer="0" w:header="0"/>
        </w:sectPr>
      </w:pPr>
    </w:p>
    <w:bookmarkStart w:id="134" w:name="page135"/>
    <w:bookmarkEnd w:id="134"/>
    <w:p>
      <w:pPr>
        <w:jc w:val="both"/>
        <w:spacing w:after="0" w:line="279" w:lineRule="auto"/>
        <w:rPr>
          <w:sz w:val="20"/>
          <w:szCs w:val="20"/>
          <w:color w:val="auto"/>
        </w:rPr>
      </w:pPr>
      <w:r>
        <w:rPr>
          <w:rFonts w:ascii="Arial" w:cs="Arial" w:eastAsia="Arial" w:hAnsi="Arial"/>
          <w:sz w:val="17"/>
          <w:szCs w:val="17"/>
          <w:color w:val="auto"/>
        </w:rPr>
        <w:t>“Hazardous Materials” is defined as any hazardous or toxic substance, material or waste that is or becomes regulated under any applicable local, state or federal law, including, but not limited to, those substances, materials, and waste listed in the United States Department of Transportation Hazardous Materials Table (49 CFR 172.101) or defined by the Environmental Protection Agency (“EPA”) as “any material that poses a threat to human health and/or the environment. Typical Hazardous substances are toxic, corrosive, ignitable, explosive, or chemically reactive”.</w:t>
      </w:r>
    </w:p>
    <w:p>
      <w:pPr>
        <w:spacing w:after="0" w:line="194" w:lineRule="exact"/>
        <w:rPr>
          <w:sz w:val="20"/>
          <w:szCs w:val="20"/>
          <w:color w:val="auto"/>
        </w:rPr>
      </w:pPr>
    </w:p>
    <w:p>
      <w:pPr>
        <w:ind w:left="640" w:hanging="632"/>
        <w:spacing w:after="0"/>
        <w:tabs>
          <w:tab w:leader="none" w:pos="6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MAINTENANCE AND REPAIRS</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Lessee shall, during the term of the Lease, maintain in full force and effect a contract with the manufacturer of the Equipment or Maintenance Organization covering at least prime shift maintenance of the Equipment. Lessee upon request shall furnish Lessor with a copy of such maintenance contract as amended or supplemented. During the term of the Lease, Lessee shall, at its expense, keep the Equipment in good working order, repair, appearance and condition and make all necessary adjustments, repairs and replacements, all of which shall become the property of Lessor. Lessee shall not use or permit the use of the Equipment for any purpose for which, the Equipment is not designed or intended.</w:t>
      </w:r>
    </w:p>
    <w:p>
      <w:pPr>
        <w:spacing w:after="0" w:line="202" w:lineRule="exact"/>
        <w:rPr>
          <w:sz w:val="20"/>
          <w:szCs w:val="20"/>
          <w:color w:val="auto"/>
        </w:rPr>
      </w:pPr>
    </w:p>
    <w:p>
      <w:pPr>
        <w:ind w:left="640" w:hanging="632"/>
        <w:spacing w:after="0"/>
        <w:tabs>
          <w:tab w:leader="none" w:pos="6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OWNERSHIP, LIENS AND INSPECTIONS</w:t>
      </w:r>
    </w:p>
    <w:p>
      <w:pPr>
        <w:spacing w:after="0" w:line="27" w:lineRule="exact"/>
        <w:rPr>
          <w:sz w:val="20"/>
          <w:szCs w:val="20"/>
          <w:color w:val="auto"/>
        </w:rPr>
      </w:pPr>
    </w:p>
    <w:p>
      <w:pPr>
        <w:jc w:val="both"/>
        <w:ind w:firstLine="8"/>
        <w:spacing w:after="0" w:line="253" w:lineRule="auto"/>
        <w:tabs>
          <w:tab w:leader="none" w:pos="249"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Lessee shall keep the Equipment free from any marking or labeling which might be interpreted as a claim of ownership by Lessee or any party other than Lessor and its Assignee(s), and shall affix and maintain tags, decals or plates furnished by Lessor on the Equipment indicating ownership and title to the Equipment in Lessor or its Assignee(s). Upon reasonable notice to Lessee, Lessor or its agents shall have access to the Equipment and Lessee’s books and records with respect to the Lease and the Equipment at reasonable times for the purpose of inspection and for any other purposes contemplated by the Lease, subject to the reasonable security requirements of Lessee.</w:t>
      </w:r>
    </w:p>
    <w:p>
      <w:pPr>
        <w:spacing w:after="0" w:line="218" w:lineRule="exact"/>
        <w:rPr>
          <w:rFonts w:ascii="Arial" w:cs="Arial" w:eastAsia="Arial" w:hAnsi="Arial"/>
          <w:sz w:val="18"/>
          <w:szCs w:val="18"/>
          <w:color w:val="auto"/>
        </w:rPr>
      </w:pPr>
    </w:p>
    <w:p>
      <w:pPr>
        <w:jc w:val="both"/>
        <w:ind w:firstLine="8"/>
        <w:spacing w:after="0" w:line="297" w:lineRule="auto"/>
        <w:tabs>
          <w:tab w:leader="none" w:pos="264" w:val="left"/>
        </w:tabs>
        <w:numPr>
          <w:ilvl w:val="0"/>
          <w:numId w:val="68"/>
        </w:numPr>
        <w:rPr>
          <w:rFonts w:ascii="Arial" w:cs="Arial" w:eastAsia="Arial" w:hAnsi="Arial"/>
          <w:sz w:val="16"/>
          <w:szCs w:val="16"/>
          <w:color w:val="auto"/>
        </w:rPr>
      </w:pPr>
      <w:r>
        <w:rPr>
          <w:rFonts w:ascii="Arial" w:cs="Arial" w:eastAsia="Arial" w:hAnsi="Arial"/>
          <w:sz w:val="16"/>
          <w:szCs w:val="16"/>
          <w:color w:val="auto"/>
        </w:rPr>
        <w:t>Lessee shall execute and deliver such instruments, including Uniform Commercial Code financing statements, as are required to be filed to evidence the interest of Lessor and its Assignee(s) in the Equipment or the Lease. Lessee has no interest in the Equipment except as expressly set forth in the Lease, and that interest is a lease-hold interest. Lessor and Lessee agree, and Lessee represents for the benefit of Lessor and its Assignee(s) that the Lease is intended to be a “finance lease” and not a “lease intended as security ” as those terms are used in the Uniform Commercial Code; and that the Lease is intended to be a “true lease” as the term is commonly used under the Internal Revenue Code of 1986, as amended.</w:t>
      </w:r>
    </w:p>
    <w:p>
      <w:pPr>
        <w:spacing w:after="0" w:line="185" w:lineRule="exact"/>
        <w:rPr>
          <w:rFonts w:ascii="Arial" w:cs="Arial" w:eastAsia="Arial" w:hAnsi="Arial"/>
          <w:sz w:val="16"/>
          <w:szCs w:val="16"/>
          <w:color w:val="auto"/>
        </w:rPr>
      </w:pPr>
    </w:p>
    <w:p>
      <w:pPr>
        <w:jc w:val="both"/>
        <w:ind w:firstLine="8"/>
        <w:spacing w:after="0" w:line="255" w:lineRule="auto"/>
        <w:tabs>
          <w:tab w:leader="none" w:pos="323"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LESSEE SHALL KEEP THE LEASE, THE EQUIPMENT AND ANY IMPROVEMENTS FREE AND CLEAR OF ALL LIENS AND ENCUMBRANCES OF WHATSOEVER KIND (EXCEPT THOSE CREATED BY LESSOR) AND LESSEE SHALL NOT ASSIGN THE LEASE OR ANY OF ITS RIGHTS UNDER THE LEASE OR SUBLEASE ANY OF THE EQUIPMENT OR GRANT ANY RIGHTS TO THE EQUIPMENT WITHOUT THE PRIOR WRITTEN CONSENT OF LESSOR. No permitted assignment or sublease shall relieve Lessee of any of its obligations under the Lease and Lessee agrees to pay all costs and expenses Lessor may incur in connection with such sublease or assignment. Lessee grants to Lessor the right of first refusal on any sublease or other grant of Lessee’s rights to the Equipment.</w:t>
      </w:r>
    </w:p>
    <w:p>
      <w:pPr>
        <w:spacing w:after="0" w:line="189" w:lineRule="exact"/>
        <w:rPr>
          <w:sz w:val="20"/>
          <w:szCs w:val="20"/>
          <w:color w:val="auto"/>
        </w:rPr>
      </w:pPr>
    </w:p>
    <w:p>
      <w:pPr>
        <w:jc w:val="both"/>
        <w:ind w:firstLine="8"/>
        <w:spacing w:after="0" w:line="254" w:lineRule="auto"/>
        <w:tabs>
          <w:tab w:leader="none" w:pos="724"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DISCLAIMER OF WARRANTIES</w:t>
      </w:r>
      <w:r>
        <w:rPr>
          <w:rFonts w:ascii="Arial" w:cs="Arial" w:eastAsia="Arial" w:hAnsi="Arial"/>
          <w:sz w:val="18"/>
          <w:szCs w:val="18"/>
          <w:color w:val="auto"/>
        </w:rPr>
        <w:t>(a) LESSOR LEASES THE EQUIPMENT “AS IS,” AND BEING NEITHER THE MANUFACTURER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EQUIPMENT NOR THE AGENT OF EITHER THE MANUFACTURER OR SELLER, LESSOR DISCLAIMS ANY REPRESENTATION OR WARRANTY OF ANY KIND, EXPRESS OR IMPLIED, WITH RESPECT TO THE CONDITION OR PERFORMANCE OF THE EQUIPMENT, ITS MERCHANTABILITY OR FITNESS FOR A PARTICULAR PURPOSE OR WITH RESPECT TO PATENT INFRINGEMENTS OR THE LIKE. LESSOR SHALL HAVE NO LIABILITY TO LESSEE OR ANY OTHER PERSON FOR ANY CLAIM, LOSS OR DAMAGE OF ANY KIND OR NATURE WHATSOEVER, NOR SHALL THERE BE ANY ABATEMENT OF RENTAL FOR ANY REASON INCLUDING CLAIMS ARISING OUT OF OR IN CONNECTION WITH (i) THE DEFICIENCY OR INADEQUACY OF THE EQUIPMENT FOR ANY PURPOSE, WHETHER OR NOT KNOWN OR DISCLOSED TO LESSOR, (ii) ANY DEFICIENCY OR DEFECT IN THE EQUIPMENT, (iii) THE USE OR PERFORMANCE OF THE EQUIPMENT, OR (iv) ANY LOSS OF BUSINESS OR OTHER CONSEQUENTIAL LOSS OR DAMAGE, WHETHER OR NOT RESULTING FROM ANY OF THE FOREGOING.</w:t>
      </w:r>
    </w:p>
    <w:p>
      <w:pPr>
        <w:spacing w:after="0" w:line="217" w:lineRule="exact"/>
        <w:rPr>
          <w:sz w:val="20"/>
          <w:szCs w:val="20"/>
          <w:color w:val="auto"/>
        </w:rPr>
      </w:pPr>
    </w:p>
    <w:p>
      <w:pPr>
        <w:jc w:val="both"/>
        <w:ind w:firstLine="8"/>
        <w:spacing w:after="0" w:line="279" w:lineRule="auto"/>
        <w:tabs>
          <w:tab w:leader="none" w:pos="267" w:val="left"/>
        </w:tabs>
        <w:numPr>
          <w:ilvl w:val="0"/>
          <w:numId w:val="70"/>
        </w:numPr>
        <w:rPr>
          <w:rFonts w:ascii="Arial" w:cs="Arial" w:eastAsia="Arial" w:hAnsi="Arial"/>
          <w:sz w:val="17"/>
          <w:szCs w:val="17"/>
          <w:color w:val="auto"/>
        </w:rPr>
      </w:pPr>
      <w:r>
        <w:rPr>
          <w:rFonts w:ascii="Arial" w:cs="Arial" w:eastAsia="Arial" w:hAnsi="Arial"/>
          <w:sz w:val="17"/>
          <w:szCs w:val="17"/>
          <w:color w:val="auto"/>
        </w:rPr>
        <w:t>For the term of the Lease, Lessor assigns to Lessee (to the extent possible), and Lessee may have the benefit of, any and all manufacturer’s warranties, service agreements and patent indemnities, if any, with respect to the Equipment; provided, however, that Lessee’s sole remedy for the breach of any such warranty, indemnification or service agreement shall be against the manufacturer of the Equipment and not against Lessor, nor shall any such breach have any effect whatsoever on the rights and obligations of Lessor or Lessee with respect to the Lease.</w:t>
      </w:r>
    </w:p>
    <w:p>
      <w:pPr>
        <w:spacing w:after="0" w:line="198" w:lineRule="exact"/>
        <w:rPr>
          <w:rFonts w:ascii="Arial" w:cs="Arial" w:eastAsia="Arial" w:hAnsi="Arial"/>
          <w:sz w:val="17"/>
          <w:szCs w:val="17"/>
          <w:color w:val="auto"/>
        </w:rPr>
      </w:pPr>
    </w:p>
    <w:p>
      <w:pPr>
        <w:jc w:val="both"/>
        <w:ind w:firstLine="8"/>
        <w:spacing w:after="0" w:line="286" w:lineRule="auto"/>
        <w:tabs>
          <w:tab w:leader="none" w:pos="2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NO REPRESENTATIONS OR WARRANTIES OF THE MANUFACTURER OR DISTRIBUTOR OF THE EQUIPMENT, OR ANY OTHER THIRD PARTY, CAN BIND LESSOR, AND LESSEE ACKNOWLEDGES AND AGREES THAT LESSOR SHALL HAVE NO OBLIGATIONS WITH RESPECT TO THE EQUIPMENT EXCEPT AS SPECIFICALLY SET FORTH HEREIN OR OTHER DOCUMENT EXECUTED BY LESSOR.</w:t>
      </w:r>
    </w:p>
    <w:p>
      <w:pPr>
        <w:spacing w:after="0" w:line="189" w:lineRule="exact"/>
        <w:rPr>
          <w:sz w:val="20"/>
          <w:szCs w:val="20"/>
          <w:color w:val="auto"/>
        </w:rPr>
      </w:pPr>
    </w:p>
    <w:p>
      <w:pPr>
        <w:ind w:left="640" w:hanging="632"/>
        <w:spacing w:after="0"/>
        <w:tabs>
          <w:tab w:leader="none" w:pos="6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27" w:lineRule="exact"/>
        <w:rPr>
          <w:sz w:val="20"/>
          <w:szCs w:val="20"/>
          <w:color w:val="auto"/>
        </w:rPr>
      </w:pPr>
    </w:p>
    <w:p>
      <w:pPr>
        <w:jc w:val="both"/>
        <w:ind w:firstLine="8"/>
        <w:spacing w:after="0" w:line="252" w:lineRule="auto"/>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Lessee acknowledges and understands that Lessor may assign to a successor, financing lender and/or purchaser (the “Assignee”), all or any part of the Lessor’s right, title and interest in and to the Lease and the Equipment and Lessee hereby consents to such assignment(s). In the event Lessor transfers or assigns, or retransfers or reassigns, to an Assignee all or part of Lessor’s interest in the Lease, the Equipment or any sums payable under the Lease (including any extension rentals, purchase sums or new schedule rentals which may become due at the end of the Base Term), whether as collateral security for loans or advances made or to be made to Lessor by such Assignee or otherwise, Lessee covenants that, upon receipt of notice of any such transfer or assignment and instructions from Lessor,</w:t>
      </w:r>
    </w:p>
    <w:p>
      <w:pPr>
        <w:spacing w:after="0" w:line="221" w:lineRule="exact"/>
        <w:rPr>
          <w:rFonts w:ascii="Arial" w:cs="Arial" w:eastAsia="Arial" w:hAnsi="Arial"/>
          <w:sz w:val="18"/>
          <w:szCs w:val="18"/>
          <w:color w:val="auto"/>
        </w:rPr>
      </w:pPr>
    </w:p>
    <w:p>
      <w:pPr>
        <w:jc w:val="both"/>
        <w:ind w:firstLine="494"/>
        <w:spacing w:after="0" w:line="264" w:lineRule="auto"/>
        <w:tabs>
          <w:tab w:leader="none" w:pos="711" w:val="left"/>
        </w:tabs>
        <w:numPr>
          <w:ilvl w:val="1"/>
          <w:numId w:val="72"/>
        </w:numPr>
        <w:rPr>
          <w:rFonts w:ascii="Arial" w:cs="Arial" w:eastAsia="Arial" w:hAnsi="Arial"/>
          <w:sz w:val="18"/>
          <w:szCs w:val="18"/>
          <w:color w:val="auto"/>
        </w:rPr>
      </w:pPr>
      <w:r>
        <w:rPr>
          <w:rFonts w:ascii="Arial" w:cs="Arial" w:eastAsia="Arial" w:hAnsi="Arial"/>
          <w:sz w:val="18"/>
          <w:szCs w:val="18"/>
          <w:color w:val="auto"/>
        </w:rPr>
        <w:t>Lessee shall, if so instructed, pay and perform its obligations under the Lease to the Assignee (or to any other party designated by Assignee), and shall not assign the Lease or any of its rights under the Lease or permit the Lease to be amended, modified, or terminated without the prior written consent of Assignee; and</w:t>
      </w:r>
    </w:p>
    <w:p>
      <w:pPr>
        <w:spacing w:after="0" w:line="208" w:lineRule="exact"/>
        <w:rPr>
          <w:rFonts w:ascii="Arial" w:cs="Arial" w:eastAsia="Arial" w:hAnsi="Arial"/>
          <w:sz w:val="18"/>
          <w:szCs w:val="18"/>
          <w:color w:val="auto"/>
        </w:rPr>
      </w:pPr>
    </w:p>
    <w:p>
      <w:pPr>
        <w:jc w:val="both"/>
        <w:ind w:firstLine="494"/>
        <w:spacing w:after="0" w:line="276" w:lineRule="auto"/>
        <w:tabs>
          <w:tab w:leader="none" w:pos="759" w:val="left"/>
        </w:tabs>
        <w:numPr>
          <w:ilvl w:val="1"/>
          <w:numId w:val="72"/>
        </w:numPr>
        <w:rPr>
          <w:rFonts w:ascii="Arial" w:cs="Arial" w:eastAsia="Arial" w:hAnsi="Arial"/>
          <w:sz w:val="17"/>
          <w:szCs w:val="17"/>
          <w:color w:val="auto"/>
        </w:rPr>
      </w:pPr>
      <w:r>
        <w:rPr>
          <w:rFonts w:ascii="Arial" w:cs="Arial" w:eastAsia="Arial" w:hAnsi="Arial"/>
          <w:sz w:val="17"/>
          <w:szCs w:val="17"/>
          <w:color w:val="auto"/>
        </w:rPr>
        <w:t>Lessee’s obligations under the Lease with respect to Assignee shall be absolute and unconditional and not be subject to any abatement, reduction, recoupment, defense, offset or counterclaim for any reason, alleged or proven, including, but not limited to, defect in the Equipment, the condition, design, operation or fitness for use of the Equipment or any loss or destruction or obsolescence of the Equipment or any part, the prohibition of or other restrictions against Lessee’s use of the Equipment, the interference with such use by any person or entity, any failure by Lessor to perform any of its obligations contained in the Lease, any insolvency or bankruptcy of Lessor, or for any other cause; and</w:t>
      </w:r>
    </w:p>
    <w:p>
      <w:pPr>
        <w:sectPr>
          <w:pgSz w:w="11900" w:h="16838" w:orient="portrait"/>
          <w:cols w:equalWidth="0" w:num="1">
            <w:col w:w="11420"/>
          </w:cols>
          <w:pgMar w:left="240" w:top="922" w:right="239" w:bottom="155" w:gutter="0" w:footer="0" w:header="0"/>
        </w:sectPr>
      </w:pPr>
    </w:p>
    <w:bookmarkStart w:id="135" w:name="page136"/>
    <w:bookmarkEnd w:id="135"/>
    <w:p>
      <w:pPr>
        <w:ind w:left="-20" w:firstLine="494"/>
        <w:spacing w:after="0" w:line="277" w:lineRule="auto"/>
        <w:tabs>
          <w:tab w:leader="none" w:pos="791"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Lessee shall, upon request of Lessor, submit documents and certificates as may be reasonably required by Assignee to secure and complete such transfer or assignment, including but not limited to the documents set forth in Section 15(c) of this Master Agreement.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125" w:right="259" w:bottom="1440" w:gutter="0" w:footer="0" w:header="0"/>
        </w:sectPr>
      </w:pPr>
    </w:p>
    <w:bookmarkStart w:id="136" w:name="page137"/>
    <w:bookmarkEnd w:id="136"/>
    <w:p>
      <w:pPr>
        <w:ind w:left="800" w:hanging="306"/>
        <w:spacing w:after="0"/>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Lessee shall deliver to Assignee copies of any notices which are required under the Lease to be sent to Lessor; and</w:t>
      </w:r>
    </w:p>
    <w:p>
      <w:pPr>
        <w:spacing w:after="0" w:line="252" w:lineRule="exact"/>
        <w:rPr>
          <w:rFonts w:ascii="Arial" w:cs="Arial" w:eastAsia="Arial" w:hAnsi="Arial"/>
          <w:sz w:val="18"/>
          <w:szCs w:val="18"/>
          <w:color w:val="auto"/>
        </w:rPr>
      </w:pPr>
    </w:p>
    <w:p>
      <w:pPr>
        <w:jc w:val="both"/>
        <w:ind w:firstLine="494"/>
        <w:spacing w:after="0" w:line="264" w:lineRule="auto"/>
        <w:tabs>
          <w:tab w:leader="none" w:pos="792"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Lessee shall, if requested, restate to Assignee the representations, warranties and covenants contained in the Lease (upon which Lessee acknowledges Assignee may rely) and shall make such other representations, warranties and covenants to Assignee as may be reasonably required to give effect to the assignment.</w:t>
      </w:r>
    </w:p>
    <w:p>
      <w:pPr>
        <w:spacing w:after="0" w:line="208" w:lineRule="exact"/>
        <w:rPr>
          <w:sz w:val="20"/>
          <w:szCs w:val="20"/>
          <w:color w:val="auto"/>
        </w:rPr>
      </w:pPr>
    </w:p>
    <w:p>
      <w:pPr>
        <w:jc w:val="both"/>
        <w:ind w:firstLine="8"/>
        <w:spacing w:after="0" w:line="279" w:lineRule="auto"/>
        <w:tabs>
          <w:tab w:leader="none" w:pos="278" w:val="left"/>
        </w:tabs>
        <w:numPr>
          <w:ilvl w:val="0"/>
          <w:numId w:val="75"/>
        </w:numPr>
        <w:rPr>
          <w:rFonts w:ascii="Arial" w:cs="Arial" w:eastAsia="Arial" w:hAnsi="Arial"/>
          <w:sz w:val="17"/>
          <w:szCs w:val="17"/>
          <w:color w:val="auto"/>
        </w:rPr>
      </w:pPr>
      <w:r>
        <w:rPr>
          <w:rFonts w:ascii="Arial" w:cs="Arial" w:eastAsia="Arial" w:hAnsi="Arial"/>
          <w:sz w:val="17"/>
          <w:szCs w:val="17"/>
          <w:color w:val="auto"/>
        </w:rPr>
        <w:t>Lessor shall not make an assignment or transfer to any Assignee who shall not agree that, so long as Lessee is not in default under the Lease, such Assignee shall take no action to interfere with Lessee’s quiet enjoyment and use of the Equipment in accordance with the terms of the Lease. No such assignment or conveyance shall relieve Lessor of its obligations under the Lease and Lessee agrees it shall not look to any Assignee to perform any of Lessor’s obligations under the Lease. No such assignment shall increase Lessee’s obligations nor decrease Lessee’s rights hereunder.</w:t>
      </w:r>
    </w:p>
    <w:p>
      <w:pPr>
        <w:spacing w:after="0" w:line="194" w:lineRule="exact"/>
        <w:rPr>
          <w:sz w:val="20"/>
          <w:szCs w:val="20"/>
          <w:color w:val="auto"/>
        </w:rPr>
      </w:pPr>
    </w:p>
    <w:p>
      <w:pPr>
        <w:ind w:left="620" w:hanging="612"/>
        <w:spacing w:after="0"/>
        <w:tabs>
          <w:tab w:leader="none" w:pos="6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QUIET ENJOYMENT</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Lessor covenants that so long as Lessee is not in default under a Lease, Lessor shall take no action to interfere with Lessee’s possession and use of the Equipment subject to and in accordance with the provisions of the Lease.</w:t>
      </w:r>
    </w:p>
    <w:p>
      <w:pPr>
        <w:spacing w:after="0" w:line="207" w:lineRule="exact"/>
        <w:rPr>
          <w:sz w:val="20"/>
          <w:szCs w:val="20"/>
          <w:color w:val="auto"/>
        </w:rPr>
      </w:pPr>
    </w:p>
    <w:p>
      <w:pPr>
        <w:ind w:left="640" w:hanging="632"/>
        <w:spacing w:after="0"/>
        <w:tabs>
          <w:tab w:leader="none" w:pos="6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Except for the gross negligence or willful misconduct of Lessor or Assignee, Lessee shall and does agree to indemnify, protect, defend, save and keep harmless Lessor and its Assignee(s) from and against any and all liabilities, obligations, losses, damages, penalties, claims, actions, suits, costs, or expenses of any kind and nature whatsoever, including but not limited to attorney’s fees (including without limitation attorney’s fees in connection with the enforcement of this indemnification) which may be imposed upon, incurred by or asserted against Lessor or its Assignee(s) in any way relating to or arising out of the manufacture, ownership, possession, use, condition, operation, accident in connection with the Equipment (including, without limitation, those claims based on latent and other defects, whether or not discoverable, or claims based on strict liability, or any claim for patent, trademark or copyright infringement, or claims for any damages to any person or property, any costs associated with, or any fines caused by violation of any Environmental Laws) or Lessee’s failure to protect or remove proprietary data from memory storage devices. Lessor’s and its Assignee’s rights arising from this Section shall survive the expiration or other termination of the Lease. Nothing in this Section shall limit or waive any right of Lessee to proceed against the manufacturer of the Equipment.</w:t>
      </w:r>
    </w:p>
    <w:p>
      <w:pPr>
        <w:spacing w:after="0" w:line="189" w:lineRule="exact"/>
        <w:rPr>
          <w:sz w:val="20"/>
          <w:szCs w:val="20"/>
          <w:color w:val="auto"/>
        </w:rPr>
      </w:pPr>
    </w:p>
    <w:p>
      <w:pPr>
        <w:ind w:left="640" w:hanging="632"/>
        <w:spacing w:after="0"/>
        <w:tabs>
          <w:tab w:leader="none" w:pos="6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RISK OF LOSS</w:t>
      </w:r>
    </w:p>
    <w:p>
      <w:pPr>
        <w:spacing w:after="0" w:line="27" w:lineRule="exact"/>
        <w:rPr>
          <w:sz w:val="20"/>
          <w:szCs w:val="20"/>
          <w:color w:val="auto"/>
        </w:rPr>
      </w:pPr>
    </w:p>
    <w:p>
      <w:pPr>
        <w:ind w:firstLine="8"/>
        <w:spacing w:after="0" w:line="290" w:lineRule="auto"/>
        <w:tabs>
          <w:tab w:leader="none" w:pos="249" w:val="left"/>
        </w:tabs>
        <w:numPr>
          <w:ilvl w:val="0"/>
          <w:numId w:val="79"/>
        </w:numPr>
        <w:rPr>
          <w:rFonts w:ascii="Arial" w:cs="Arial" w:eastAsia="Arial" w:hAnsi="Arial"/>
          <w:sz w:val="17"/>
          <w:szCs w:val="17"/>
          <w:color w:val="auto"/>
        </w:rPr>
      </w:pPr>
      <w:r>
        <w:rPr>
          <w:rFonts w:ascii="Arial" w:cs="Arial" w:eastAsia="Arial" w:hAnsi="Arial"/>
          <w:sz w:val="17"/>
          <w:szCs w:val="17"/>
          <w:color w:val="auto"/>
        </w:rPr>
        <w:t>Lessee assumes and shall bear the entire risk of loss and damage, whether or not insured against, of the Equipment from any and every cause whatsoever, and damage caused by the Equipment to the environment, any person or property, as of the date the Equipment is delivered to Lessee.</w:t>
      </w:r>
    </w:p>
    <w:p>
      <w:pPr>
        <w:spacing w:after="0" w:line="188" w:lineRule="exact"/>
        <w:rPr>
          <w:rFonts w:ascii="Arial" w:cs="Arial" w:eastAsia="Arial" w:hAnsi="Arial"/>
          <w:sz w:val="17"/>
          <w:szCs w:val="17"/>
          <w:color w:val="auto"/>
        </w:rPr>
      </w:pPr>
    </w:p>
    <w:p>
      <w:pPr>
        <w:jc w:val="both"/>
        <w:ind w:firstLine="8"/>
        <w:spacing w:after="0" w:line="270" w:lineRule="auto"/>
        <w:tabs>
          <w:tab w:leader="none" w:pos="255"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 the event of loss or damage of any kind to any Item, Lessee shall use all reasonable efforts to place the Item in good repair, condition and working order to the reasonable satisfaction of Lessor within sixty (60) days of such loss or damage, unless the Lessor, in its sole discretion, determines in writing within twenty (20) days of receiving notice from the Lessee of such damage that such Item has been irreparably damaged, in which case Lessee shall, within ten (10) days of the Lessor’s determination of irreparable loss, make its election to either pay Lessor the Stipulated Loss Value for the irreparably damaged Item or replace the irreparably damaged Item, all as provided in this Section. The Stipulated Loss Value will start at 110% of Lessor’s original equipment cost and decline by 1.25% per month during the Base Term and will not decline any further after the expiration of the Base Term. To the extent that the Item is damaged but not irreparably damaged and if Lessee is entitled, pursuant to the insurance coverage, to obtain proceeds from such insurance for the repair of the Item, Lessee (provided no Event of Default has occurred under the Lease) may arrange for the disbursement of such proceeds to the manufacturer or other entity approved by Lessor to perform the repairs to pay the cost of repair. However, Lessee’s obligation to timely repair the damaged Item is not contingent upon receipt of such insurance proceeds.</w:t>
      </w:r>
    </w:p>
    <w:p>
      <w:pPr>
        <w:spacing w:after="0" w:line="204" w:lineRule="exact"/>
        <w:rPr>
          <w:rFonts w:ascii="Arial" w:cs="Arial" w:eastAsia="Arial" w:hAnsi="Arial"/>
          <w:sz w:val="17"/>
          <w:szCs w:val="17"/>
          <w:color w:val="auto"/>
        </w:rPr>
      </w:pPr>
    </w:p>
    <w:p>
      <w:pPr>
        <w:jc w:val="both"/>
        <w:ind w:firstLine="8"/>
        <w:spacing w:after="0" w:line="253" w:lineRule="auto"/>
        <w:tabs>
          <w:tab w:leader="none" w:pos="246"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event that Lessee elects to pay Lessor the Stipulated Loss Value for the irreparably damaged Item, Lessee shall (i) pay such amount (computed as of the first day of the month following the determination of the irreparable damage by the Lessor) to Lessor on the first day of the month following the election by Lessee as provided in (b) above, (ii) pay all Base Monthly Rental for the Item up to the date that the Stipulated Loss Value is paid to Lessor; and (iii) arrange with the applicable insurance company (with the consent of Lessor) for the disposition of the irreparably damaged Item. If not all the Equipment is irreparably damaged, the Value for Calculation of Stipulated Loss Value (“Value”) as set forth on the Schedule for the irreparably damaged Item shall be multiplied by the applicable Stipulated Loss Value percentage to compute the Stipulated Loss Value for such irreparably damaged Item, and the Base Monthly Rental for the undamaged Equipment remaining due (after payment of the Stipulated Loss Value for the irreparably damaged Item) shall be that amount resulting from multiplying the original Base Monthly Rental by the ratio of the Value of the undamaged Equipment divided by the Value for all the Equipment prior to the damage.</w:t>
      </w:r>
    </w:p>
    <w:p>
      <w:pPr>
        <w:spacing w:after="0" w:line="224" w:lineRule="exact"/>
        <w:rPr>
          <w:rFonts w:ascii="Arial" w:cs="Arial" w:eastAsia="Arial" w:hAnsi="Arial"/>
          <w:sz w:val="18"/>
          <w:szCs w:val="18"/>
          <w:color w:val="auto"/>
        </w:rPr>
      </w:pPr>
    </w:p>
    <w:p>
      <w:pPr>
        <w:jc w:val="both"/>
        <w:ind w:firstLine="8"/>
        <w:spacing w:after="0" w:line="270" w:lineRule="auto"/>
        <w:tabs>
          <w:tab w:leader="none" w:pos="264"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Lessee elects to replace the irreparably damaged Item, Lessee shall continue all payments under the Lease without interruption, as if no such damage, loss or destruction had occurred, and shall replace such irreparably damaged Item, paying all such costs, associated with the replacement, and Lessee shall be entitled to insurance proceeds up to the amount expended by Lessee in effecting the replacement. Lessee shall within twenty (20) days following the date of determination of irreparable damage by the Lessor, effect the replacement by replacing the irreparably damaged Item with a “Replacement Item” so that Lessor has good, marketable and unencumbered title to such Replacement Item. The Replacement Item shall have a fair market value equal to or greater than the Item replaced, and anticipated to have a fair market value at the expiration of the Base Term equal to the fair market value that the replaced Item would have had at the end of the Base Term, and be the same manufacture, model and type and of at least equal capacity to the Item for which the replacement is being made. Upon delivery, such Replacement Item shall become subject to all of the terms and conditions of the Lease and, for the avoidance of doubt, ownership of such Replacement Item shall immediately vest in Lessor free and clear of all claims, liens and encumbrances. Lessee shall execute all instruments or documents necessary to effect the foregoing.</w:t>
      </w:r>
    </w:p>
    <w:p>
      <w:pPr>
        <w:spacing w:after="0" w:line="204" w:lineRule="exact"/>
        <w:rPr>
          <w:rFonts w:ascii="Arial" w:cs="Arial" w:eastAsia="Arial" w:hAnsi="Arial"/>
          <w:sz w:val="17"/>
          <w:szCs w:val="17"/>
          <w:color w:val="auto"/>
        </w:rPr>
      </w:pPr>
    </w:p>
    <w:p>
      <w:pPr>
        <w:jc w:val="both"/>
        <w:ind w:firstLine="8"/>
        <w:spacing w:after="0" w:line="257" w:lineRule="auto"/>
        <w:tabs>
          <w:tab w:leader="none" w:pos="2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For purposes of this Section 13, the term “fair market value” shall mean the price of the Equipment delivered and installed at Lessee’s location that would be obtained in an arm’s-length transaction between an informed and willing buyer-lessee under no compulsion to buy or lease and an informed and willing seller-lessor under no compulsion to sell or lease. If Lessor and Lessee are unable to agree upon fair market value, such value shall be determined, at Lessee’s expense, in accordance with the foregoing definition, by three independent appraisers, one to be appointed by Lessee, one to be appointed by Lessor and the third to be appointed by the first two.</w:t>
      </w:r>
    </w:p>
    <w:p>
      <w:pPr>
        <w:spacing w:after="0" w:line="211" w:lineRule="exact"/>
        <w:rPr>
          <w:sz w:val="20"/>
          <w:szCs w:val="20"/>
          <w:color w:val="auto"/>
        </w:rPr>
      </w:pPr>
    </w:p>
    <w:p>
      <w:pPr>
        <w:ind w:left="640" w:hanging="632"/>
        <w:spacing w:after="0"/>
        <w:tabs>
          <w:tab w:leader="none" w:pos="6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7"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During the term of the Lease, Lessee, at its own expense, shall maintain in regard to the Equipment all risk insurance (in an amount not less than the Stipulated Loss Value) and comprehensive public liability insurance, in amounts and with carriers reasonably satisfactory to Lessor. Any such insurance</w:t>
      </w:r>
    </w:p>
    <w:p>
      <w:pPr>
        <w:sectPr>
          <w:pgSz w:w="11900" w:h="16838" w:orient="portrait"/>
          <w:cols w:equalWidth="0" w:num="1">
            <w:col w:w="11420"/>
          </w:cols>
          <w:pgMar w:left="240" w:top="922" w:right="239" w:bottom="0" w:gutter="0" w:footer="0" w:header="0"/>
        </w:sectPr>
      </w:pPr>
    </w:p>
    <w:bookmarkStart w:id="137" w:name="page138"/>
    <w:bookmarkEnd w:id="137"/>
    <w:p>
      <w:pPr>
        <w:jc w:val="both"/>
        <w:spacing w:after="0" w:line="259" w:lineRule="auto"/>
        <w:rPr>
          <w:sz w:val="20"/>
          <w:szCs w:val="20"/>
          <w:color w:val="auto"/>
        </w:rPr>
      </w:pPr>
      <w:r>
        <w:rPr>
          <w:rFonts w:ascii="Arial" w:cs="Arial" w:eastAsia="Arial" w:hAnsi="Arial"/>
          <w:sz w:val="18"/>
          <w:szCs w:val="18"/>
          <w:color w:val="auto"/>
        </w:rPr>
        <w:t>shall name Lessor and the Assignee(s) as additional insured and, as for the all risk insurance, loss payees as their interests may appear. All such insurance shall provide that it may not be terminated, canceled or altered without at least thirty (30) days’ prior written notice to Lessor and its Assignee(s). Coverage afforded to Lessor shall not be rescinded, impaired, or invalidated by any act or neglect of Lessee. Lessee agrees to supply to Lessor, upon request, evidence of such insurance.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8" w:name="page139"/>
    <w:bookmarkEnd w:id="138"/>
    <w:p>
      <w:pPr>
        <w:ind w:left="632" w:hanging="632"/>
        <w:spacing w:after="0"/>
        <w:tabs>
          <w:tab w:leader="none" w:pos="63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LESSEE; FINANCIAL STATEMENTS</w:t>
      </w:r>
    </w:p>
    <w:p>
      <w:pPr>
        <w:spacing w:after="0" w:line="27" w:lineRule="exact"/>
        <w:rPr>
          <w:sz w:val="20"/>
          <w:szCs w:val="20"/>
          <w:color w:val="auto"/>
        </w:rPr>
      </w:pPr>
    </w:p>
    <w:p>
      <w:pPr>
        <w:jc w:val="both"/>
        <w:ind w:left="-8" w:firstLine="8"/>
        <w:spacing w:after="0" w:line="284" w:lineRule="auto"/>
        <w:tabs>
          <w:tab w:leader="none" w:pos="2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Lessee represents and warrants to Lessor and its Assignee(s) (i) that the execution, delivery and performance of this Master Agreement and the Lease was duly authorized and that upon execution of this Master Agreement and the Lease by Lessee and Lessor, this Master Agreement and the Lease will be in full force and effect and constitute a valid legal and binding obligation of Lessee, and enforceable against Lessee in accordance with their respective terms; (ii) the Equipment is accurately described in the Lease and all documents of Lessee relating to the Lease; (iii) that Lessee is in good standing in the jurisdiction of its incorporation and/or organization and in any jurisdiction in which any of the Equipment is located; (iv) that no consent or approval of, giving of notice to, registration with, or taking of any other action in respect of, any state, federal or other government authority or agency is required with respect to the execution, delivery and performance by the Lessee of this Master Agreement or the Lease or, if any such approval, notice, registration or action is required, it has been obtained; (v) that the entering into and performance of this Master Agreement and the Lease will not violate any judgment, order, law or regulation applicable to Lessee or any provision of Lessee’s Articles of Incorporation, Bylaws, Articles of Organization and/or Operating Agreements or result in any breach of, or constitute a default under, or result in the creation of any lien, charge, security interest or other encumbrance upon any assets of Lessee or upon the Equipment pursuant to any instrument to which Lessee is a party or by which it or its property may be bound; (vi) there are no actions, suits or proceedings pending, or to the knowledge of Lessee, threatened, before any court or administrative agency, arbitrator or governmental body which will, if determined adversely to Lessee, materially adversely affect its ability to perform its obligations under the Lease or any related agreement to which it is a party; (vii) that aside from this Master Agreement and the Lease there are no additional agreements between Lessee and Lessor relating to the Equipment, and (viii) that any and all financial statements and other information with respect to Lessee supplied to Lessor at the time of execution of the Lease and any amendment, are true and complete. The foregoing representations and warranties shall survive the execution and delivery of the Lease and any amendments hereto and shall upon the written request of Lessor, be made to Lessor’s Assignee(s).</w:t>
      </w:r>
    </w:p>
    <w:p>
      <w:pPr>
        <w:spacing w:after="0" w:line="201" w:lineRule="exact"/>
        <w:rPr>
          <w:rFonts w:ascii="Arial" w:cs="Arial" w:eastAsia="Arial" w:hAnsi="Arial"/>
          <w:sz w:val="16"/>
          <w:szCs w:val="16"/>
          <w:color w:val="auto"/>
        </w:rPr>
      </w:pPr>
    </w:p>
    <w:p>
      <w:pPr>
        <w:jc w:val="both"/>
        <w:ind w:left="-8" w:firstLine="8"/>
        <w:spacing w:after="0" w:line="290" w:lineRule="auto"/>
        <w:tabs>
          <w:tab w:leader="none" w:pos="251" w:val="left"/>
        </w:tabs>
        <w:numPr>
          <w:ilvl w:val="0"/>
          <w:numId w:val="82"/>
        </w:numPr>
        <w:rPr>
          <w:rFonts w:ascii="Arial" w:cs="Arial" w:eastAsia="Arial" w:hAnsi="Arial"/>
          <w:sz w:val="16"/>
          <w:szCs w:val="16"/>
          <w:color w:val="auto"/>
        </w:rPr>
      </w:pPr>
      <w:r>
        <w:rPr>
          <w:rFonts w:ascii="Arial" w:cs="Arial" w:eastAsia="Arial" w:hAnsi="Arial"/>
          <w:sz w:val="16"/>
          <w:szCs w:val="16"/>
          <w:color w:val="auto"/>
        </w:rPr>
        <w:t>Prior to and during the term of the Lease, Lessee will furnish Lessor with Lessee’s annual audited financial statements no later than ninety (90) days after its fiscal year end, and a copy of its quarterly unaudited financial statements within forty-five (45) days after the end of each fiscal quarter. If Lessee is a subsidiary of another company, Lessee shall supply such company’s financial statements and guarantees as are reasonably acceptable to Lessor. Lessor’s obligations to perform under any Lease is subject to the condition that the financial statements furnished to Lessor by Lessee present the financial condition and results of operations of Lessee and its affiliated corporations and/or companies, if any, and any guarantor of Lessee’s obligations under any Lease, as of the date of such financial statements, and that since the date of such statements there have been no material adverse changes in the assets or liabilities, the financial condition or other condition which in Lessor’s or Assignee(s) sole discretion are deemed to be materially adverse. Lessee shall also provide Lessor with such other statements concerning the Lease and the condition of the Equipment as Lessor may from time to time request.</w:t>
      </w:r>
    </w:p>
    <w:p>
      <w:pPr>
        <w:spacing w:after="0" w:line="193" w:lineRule="exact"/>
        <w:rPr>
          <w:rFonts w:ascii="Arial" w:cs="Arial" w:eastAsia="Arial" w:hAnsi="Arial"/>
          <w:sz w:val="16"/>
          <w:szCs w:val="16"/>
          <w:color w:val="auto"/>
        </w:rPr>
      </w:pPr>
    </w:p>
    <w:p>
      <w:pPr>
        <w:jc w:val="both"/>
        <w:ind w:left="-8" w:firstLine="8"/>
        <w:spacing w:after="0" w:line="290" w:lineRule="auto"/>
        <w:tabs>
          <w:tab w:leader="none" w:pos="249" w:val="left"/>
        </w:tabs>
        <w:numPr>
          <w:ilvl w:val="0"/>
          <w:numId w:val="82"/>
        </w:numPr>
        <w:rPr>
          <w:rFonts w:ascii="Arial" w:cs="Arial" w:eastAsia="Arial" w:hAnsi="Arial"/>
          <w:sz w:val="16"/>
          <w:szCs w:val="16"/>
          <w:color w:val="auto"/>
        </w:rPr>
      </w:pPr>
      <w:r>
        <w:rPr>
          <w:rFonts w:ascii="Arial" w:cs="Arial" w:eastAsia="Arial" w:hAnsi="Arial"/>
          <w:sz w:val="16"/>
          <w:szCs w:val="16"/>
          <w:color w:val="auto"/>
        </w:rPr>
        <w:t>Upon Lessor’s request, Lessee shall, with respect to each Lease, deliver to Lessor (i) a certificate of a secretarial officer of Lessee certifying the bylaw, resolution (specific or general) or corporate action authorizing the transactions contemplated in the Lease; (ii) an incumbency certificate certifying that the person signing this Master Agreement and the Lease holds the office the person purports to hold and has authority to sign on behalf of Lessee; (iii) an opinion of Lessee’s counsel with respect to the representations in Section 15(a); (iv) an agreement with Lessor’s Assignee with regard to any assignment as referred to in Section 10; (v) the purchase documents if Lessee has sold or assigned its interest in the Equipment to Lessor; (vi) an insurance certificate evidencing the insurance provided by Lessee pursuant to Section 14; and (vii) an Installation Certificate duly executed by Lessee. Failure by Lessee to deliver any of these documents when due shall operate, at Lessor’s option, to continue the Installation Term for the Lease thus delaying the Base Term Commencement Date, or to increase the Base Monthly Rental to recover costs incurred by Lessor consequent to the delay or the termination of the Lease as provided in Section 16.</w:t>
      </w:r>
    </w:p>
    <w:p>
      <w:pPr>
        <w:spacing w:after="0" w:line="189" w:lineRule="exact"/>
        <w:rPr>
          <w:sz w:val="20"/>
          <w:szCs w:val="20"/>
          <w:color w:val="auto"/>
        </w:rPr>
      </w:pPr>
    </w:p>
    <w:p>
      <w:pPr>
        <w:ind w:left="632" w:hanging="632"/>
        <w:spacing w:after="0"/>
        <w:tabs>
          <w:tab w:leader="none" w:pos="63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DEFAULT, REMEDIES</w:t>
      </w:r>
    </w:p>
    <w:p>
      <w:pPr>
        <w:spacing w:after="0" w:line="27" w:lineRule="exact"/>
        <w:rPr>
          <w:sz w:val="20"/>
          <w:szCs w:val="20"/>
          <w:color w:val="auto"/>
        </w:rPr>
      </w:pPr>
    </w:p>
    <w:p>
      <w:pPr>
        <w:ind w:left="252" w:hanging="252"/>
        <w:spacing w:after="0"/>
        <w:tabs>
          <w:tab w:leader="none" w:pos="2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following shall be deemed “Events of Default” under the Lease:</w:t>
      </w:r>
    </w:p>
    <w:p>
      <w:pPr>
        <w:spacing w:after="0" w:line="237" w:lineRule="exact"/>
        <w:rPr>
          <w:rFonts w:ascii="Arial" w:cs="Arial" w:eastAsia="Arial" w:hAnsi="Arial"/>
          <w:sz w:val="18"/>
          <w:szCs w:val="18"/>
          <w:color w:val="auto"/>
        </w:rPr>
      </w:pPr>
    </w:p>
    <w:p>
      <w:pPr>
        <w:ind w:left="-8" w:firstLine="494"/>
        <w:spacing w:after="0" w:line="277" w:lineRule="auto"/>
        <w:tabs>
          <w:tab w:leader="none" w:pos="697" w:val="left"/>
        </w:tabs>
        <w:numPr>
          <w:ilvl w:val="1"/>
          <w:numId w:val="84"/>
        </w:numPr>
        <w:rPr>
          <w:rFonts w:ascii="Arial" w:cs="Arial" w:eastAsia="Arial" w:hAnsi="Arial"/>
          <w:sz w:val="18"/>
          <w:szCs w:val="18"/>
          <w:color w:val="auto"/>
        </w:rPr>
      </w:pPr>
      <w:r>
        <w:rPr>
          <w:rFonts w:ascii="Arial" w:cs="Arial" w:eastAsia="Arial" w:hAnsi="Arial"/>
          <w:sz w:val="18"/>
          <w:szCs w:val="18"/>
          <w:color w:val="auto"/>
        </w:rPr>
        <w:t>Lessee fails to pay any installment of rent or other charge or amount due under the Lease when the same becomes due and payable and such failure continues for ten (10) days after its due date; or</w:t>
      </w:r>
    </w:p>
    <w:p>
      <w:pPr>
        <w:spacing w:after="0" w:line="197" w:lineRule="exact"/>
        <w:rPr>
          <w:rFonts w:ascii="Arial" w:cs="Arial" w:eastAsia="Arial" w:hAnsi="Arial"/>
          <w:sz w:val="18"/>
          <w:szCs w:val="18"/>
          <w:color w:val="auto"/>
        </w:rPr>
      </w:pPr>
    </w:p>
    <w:p>
      <w:pPr>
        <w:ind w:left="-8" w:firstLine="494"/>
        <w:spacing w:after="0" w:line="277" w:lineRule="auto"/>
        <w:tabs>
          <w:tab w:leader="none" w:pos="743" w:val="left"/>
        </w:tabs>
        <w:numPr>
          <w:ilvl w:val="1"/>
          <w:numId w:val="84"/>
        </w:numPr>
        <w:rPr>
          <w:rFonts w:ascii="Arial" w:cs="Arial" w:eastAsia="Arial" w:hAnsi="Arial"/>
          <w:sz w:val="18"/>
          <w:szCs w:val="18"/>
          <w:color w:val="auto"/>
        </w:rPr>
      </w:pPr>
      <w:r>
        <w:rPr>
          <w:rFonts w:ascii="Arial" w:cs="Arial" w:eastAsia="Arial" w:hAnsi="Arial"/>
          <w:sz w:val="18"/>
          <w:szCs w:val="18"/>
          <w:color w:val="auto"/>
        </w:rPr>
        <w:t>Except as expressly permitted in the Lease, Lessee attempts to remove, sell, encumber, assign or sublease or fails to insure any of the Equipment, or fails to deliver any documents required of Lessee under the Lease; or</w:t>
      </w:r>
    </w:p>
    <w:p>
      <w:pPr>
        <w:spacing w:after="0" w:line="197" w:lineRule="exact"/>
        <w:rPr>
          <w:rFonts w:ascii="Arial" w:cs="Arial" w:eastAsia="Arial" w:hAnsi="Arial"/>
          <w:sz w:val="18"/>
          <w:szCs w:val="18"/>
          <w:color w:val="auto"/>
        </w:rPr>
      </w:pPr>
    </w:p>
    <w:p>
      <w:pPr>
        <w:ind w:left="-8" w:firstLine="494"/>
        <w:spacing w:after="0" w:line="277" w:lineRule="auto"/>
        <w:tabs>
          <w:tab w:leader="none" w:pos="799"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representation or warranty made by Lessee or Lessee’s guarantor in the Lease or any document supplied in connection with the Lease or any financial statement is misleading or materially inaccurate; or</w:t>
      </w:r>
    </w:p>
    <w:p>
      <w:pPr>
        <w:spacing w:after="0" w:line="197" w:lineRule="exact"/>
        <w:rPr>
          <w:rFonts w:ascii="Arial" w:cs="Arial" w:eastAsia="Arial" w:hAnsi="Arial"/>
          <w:sz w:val="18"/>
          <w:szCs w:val="18"/>
          <w:color w:val="auto"/>
        </w:rPr>
      </w:pPr>
    </w:p>
    <w:p>
      <w:pPr>
        <w:ind w:left="-8" w:firstLine="494"/>
        <w:spacing w:after="0" w:line="277" w:lineRule="auto"/>
        <w:tabs>
          <w:tab w:leader="none" w:pos="805" w:val="left"/>
        </w:tabs>
        <w:numPr>
          <w:ilvl w:val="1"/>
          <w:numId w:val="84"/>
        </w:numPr>
        <w:rPr>
          <w:rFonts w:ascii="Arial" w:cs="Arial" w:eastAsia="Arial" w:hAnsi="Arial"/>
          <w:sz w:val="18"/>
          <w:szCs w:val="18"/>
          <w:color w:val="auto"/>
        </w:rPr>
      </w:pPr>
      <w:r>
        <w:rPr>
          <w:rFonts w:ascii="Arial" w:cs="Arial" w:eastAsia="Arial" w:hAnsi="Arial"/>
          <w:sz w:val="18"/>
          <w:szCs w:val="18"/>
          <w:color w:val="auto"/>
        </w:rPr>
        <w:t>Lessee fails to observe or perform any of the other obligations required to be observed by Lessee under the Lease and such failure continues uncured for ten (10) days after written notice thereof has been delivered to Lessee by Lessor ; or</w:t>
      </w:r>
    </w:p>
    <w:p>
      <w:pPr>
        <w:spacing w:after="0" w:line="197" w:lineRule="exact"/>
        <w:rPr>
          <w:rFonts w:ascii="Arial" w:cs="Arial" w:eastAsia="Arial" w:hAnsi="Arial"/>
          <w:sz w:val="18"/>
          <w:szCs w:val="18"/>
          <w:color w:val="auto"/>
        </w:rPr>
      </w:pPr>
    </w:p>
    <w:p>
      <w:pPr>
        <w:jc w:val="both"/>
        <w:ind w:left="-8" w:firstLine="494"/>
        <w:spacing w:after="0" w:line="255" w:lineRule="auto"/>
        <w:tabs>
          <w:tab w:leader="none" w:pos="754" w:val="left"/>
        </w:tabs>
        <w:numPr>
          <w:ilvl w:val="1"/>
          <w:numId w:val="84"/>
        </w:numPr>
        <w:rPr>
          <w:rFonts w:ascii="Arial" w:cs="Arial" w:eastAsia="Arial" w:hAnsi="Arial"/>
          <w:sz w:val="18"/>
          <w:szCs w:val="18"/>
          <w:color w:val="auto"/>
        </w:rPr>
      </w:pPr>
      <w:r>
        <w:rPr>
          <w:rFonts w:ascii="Arial" w:cs="Arial" w:eastAsia="Arial" w:hAnsi="Arial"/>
          <w:sz w:val="18"/>
          <w:szCs w:val="18"/>
          <w:color w:val="auto"/>
        </w:rPr>
        <w:t>Lessee or Lessee’s guarantor ceases doing business as a going concern; makes an assignment for the benefit of creditors; admits in writing its inability to pay its debts as they become due; files a voluntary petition in bankruptcy; is adjudicated a bankrupt or an insolvent; files a petition seeking for itself any reorganization, arrangement, composition, readjustment, liquidation, dissolution or similar arrangement under any present or future statute, law or regulation or files an answer admitting or fails to deny the material allegations of a petition filed against it in any such proceeding; consents to or acquiesces in the appointment of a trustee, receiver, or liquidator for it or of all or any substantial part of its assets or properties, or if it or its trustee, receiver, liquidator or shareholders shall take any action to effect its dissolution or liquidation;</w:t>
      </w:r>
    </w:p>
    <w:p>
      <w:pPr>
        <w:spacing w:after="0" w:line="220" w:lineRule="exact"/>
        <w:rPr>
          <w:rFonts w:ascii="Arial" w:cs="Arial" w:eastAsia="Arial" w:hAnsi="Arial"/>
          <w:sz w:val="18"/>
          <w:szCs w:val="18"/>
          <w:color w:val="auto"/>
        </w:rPr>
      </w:pPr>
    </w:p>
    <w:p>
      <w:pPr>
        <w:jc w:val="both"/>
        <w:ind w:left="-8" w:firstLine="494"/>
        <w:spacing w:after="0" w:line="279" w:lineRule="auto"/>
        <w:tabs>
          <w:tab w:leader="none" w:pos="794" w:val="left"/>
        </w:tabs>
        <w:numPr>
          <w:ilvl w:val="1"/>
          <w:numId w:val="84"/>
        </w:numPr>
        <w:rPr>
          <w:rFonts w:ascii="Arial" w:cs="Arial" w:eastAsia="Arial" w:hAnsi="Arial"/>
          <w:sz w:val="17"/>
          <w:szCs w:val="17"/>
          <w:color w:val="auto"/>
        </w:rPr>
      </w:pPr>
      <w:r>
        <w:rPr>
          <w:rFonts w:ascii="Arial" w:cs="Arial" w:eastAsia="Arial" w:hAnsi="Arial"/>
          <w:sz w:val="17"/>
          <w:szCs w:val="17"/>
          <w:color w:val="auto"/>
        </w:rPr>
        <w:t>If within thirty (30) days after the commencement of any proceedings against Lessee or Lessee’s guarantor seeking reorganization, arrangement, composition, readjustment, liquidation, dissolution or similar relief under any present or future statute, law or regulation, such proceedings shall not have been dismissed, or if within thirty (30) days after the appointment (with or without Lessee’s or Lessee’s guarantor’s consent) of any trustee, receiver or liquidator of it or all of or any substantial part of its respective assets and properties, such appointment shall not be vacated;</w:t>
      </w:r>
    </w:p>
    <w:p>
      <w:pPr>
        <w:spacing w:after="0" w:line="198" w:lineRule="exact"/>
        <w:rPr>
          <w:rFonts w:ascii="Arial" w:cs="Arial" w:eastAsia="Arial" w:hAnsi="Arial"/>
          <w:sz w:val="17"/>
          <w:szCs w:val="17"/>
          <w:color w:val="auto"/>
        </w:rPr>
      </w:pPr>
    </w:p>
    <w:p>
      <w:pPr>
        <w:jc w:val="both"/>
        <w:ind w:left="-8" w:firstLine="494"/>
        <w:spacing w:after="0" w:line="264" w:lineRule="auto"/>
        <w:tabs>
          <w:tab w:leader="none" w:pos="836" w:val="left"/>
        </w:tabs>
        <w:numPr>
          <w:ilvl w:val="1"/>
          <w:numId w:val="84"/>
        </w:numPr>
        <w:rPr>
          <w:rFonts w:ascii="Arial" w:cs="Arial" w:eastAsia="Arial" w:hAnsi="Arial"/>
          <w:sz w:val="18"/>
          <w:szCs w:val="18"/>
          <w:color w:val="auto"/>
        </w:rPr>
      </w:pPr>
      <w:r>
        <w:rPr>
          <w:rFonts w:ascii="Arial" w:cs="Arial" w:eastAsia="Arial" w:hAnsi="Arial"/>
          <w:sz w:val="18"/>
          <w:szCs w:val="18"/>
          <w:color w:val="auto"/>
        </w:rPr>
        <w:t>Lessee or any guarantor of Lessee shall suffer an adverse change in its financial condition after the date hereof as determined by Lessor in its sole discretion, or there shall occur a substantial change in ownership of the outstanding stock of the Lessee, any subsidiary of Lessee or a substantial change in its board of directors, members or partners;</w:t>
      </w:r>
    </w:p>
    <w:p>
      <w:pPr>
        <w:spacing w:after="0" w:line="181" w:lineRule="exact"/>
        <w:rPr>
          <w:rFonts w:ascii="Arial" w:cs="Arial" w:eastAsia="Arial" w:hAnsi="Arial"/>
          <w:sz w:val="18"/>
          <w:szCs w:val="18"/>
          <w:color w:val="auto"/>
        </w:rPr>
      </w:pPr>
    </w:p>
    <w:p>
      <w:pPr>
        <w:jc w:val="both"/>
        <w:ind w:left="-8" w:firstLine="494"/>
        <w:spacing w:after="0" w:line="312" w:lineRule="auto"/>
        <w:tabs>
          <w:tab w:leader="none" w:pos="887" w:val="left"/>
        </w:tabs>
        <w:numPr>
          <w:ilvl w:val="1"/>
          <w:numId w:val="84"/>
        </w:numPr>
        <w:rPr>
          <w:rFonts w:ascii="Arial" w:cs="Arial" w:eastAsia="Arial" w:hAnsi="Arial"/>
          <w:sz w:val="16"/>
          <w:szCs w:val="16"/>
          <w:color w:val="auto"/>
        </w:rPr>
      </w:pPr>
      <w:r>
        <w:rPr>
          <w:rFonts w:ascii="Arial" w:cs="Arial" w:eastAsia="Arial" w:hAnsi="Arial"/>
          <w:sz w:val="16"/>
          <w:szCs w:val="16"/>
          <w:color w:val="auto"/>
        </w:rPr>
        <w:t>Lessee shall be in default of any other Schedule or agreement executed with Lessor or under any agreement with any other party that in Lessor’s sole opinion is a material agreement; or shall fail to sign and deliver to Lessor any document reasonably requested by Lessor in connection with this Master Agreement or shall fail to do anything reasonably determined by Lessor to be necessary or desirable to effectuate the transaction contemplated by this Master</w:t>
      </w:r>
    </w:p>
    <w:p>
      <w:pPr>
        <w:sectPr>
          <w:pgSz w:w="11900" w:h="16838" w:orient="portrait"/>
          <w:cols w:equalWidth="0" w:num="1">
            <w:col w:w="11412"/>
          </w:cols>
          <w:pgMar w:left="248" w:top="918" w:right="239" w:bottom="0" w:gutter="0" w:footer="0" w:header="0"/>
        </w:sectPr>
      </w:pPr>
    </w:p>
    <w:bookmarkStart w:id="139" w:name="page140"/>
    <w:bookmarkEnd w:id="139"/>
    <w:p>
      <w:pPr>
        <w:spacing w:after="0" w:line="277" w:lineRule="auto"/>
        <w:rPr>
          <w:sz w:val="20"/>
          <w:szCs w:val="20"/>
          <w:color w:val="auto"/>
        </w:rPr>
      </w:pPr>
      <w:r>
        <w:rPr>
          <w:rFonts w:ascii="Arial" w:cs="Arial" w:eastAsia="Arial" w:hAnsi="Arial"/>
          <w:sz w:val="18"/>
          <w:szCs w:val="18"/>
          <w:color w:val="auto"/>
        </w:rPr>
        <w:t>Agreement or to protect Lessor’s rights and interest in this Master Agreement and Equipment; or shall fail to provide financial statements to Lessor as provided for in Section 15 (b) hereof.</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0" w:name="page141"/>
    <w:bookmarkEnd w:id="140"/>
    <w:p>
      <w:pPr>
        <w:ind w:left="800" w:hanging="306"/>
        <w:spacing w:after="0"/>
        <w:tabs>
          <w:tab w:leader="none" w:pos="8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Lessee breaches any license or other agreement for software relating to the Equipment.</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Failure of Lessee to promptly execute and deliver to Lessor any document required under Section 10 of this Master Agreement.</w:t>
      </w:r>
    </w:p>
    <w:p>
      <w:pPr>
        <w:spacing w:after="0" w:line="252" w:lineRule="exact"/>
        <w:rPr>
          <w:rFonts w:ascii="Arial" w:cs="Arial" w:eastAsia="Arial" w:hAnsi="Arial"/>
          <w:sz w:val="18"/>
          <w:szCs w:val="18"/>
          <w:color w:val="auto"/>
        </w:rPr>
      </w:pPr>
    </w:p>
    <w:p>
      <w:pPr>
        <w:jc w:val="both"/>
        <w:ind w:firstLine="8"/>
        <w:spacing w:after="0" w:line="282" w:lineRule="auto"/>
        <w:tabs>
          <w:tab w:leader="none" w:pos="285" w:val="left"/>
        </w:tabs>
        <w:numPr>
          <w:ilvl w:val="0"/>
          <w:numId w:val="86"/>
        </w:numPr>
        <w:rPr>
          <w:rFonts w:ascii="Arial" w:cs="Arial" w:eastAsia="Arial" w:hAnsi="Arial"/>
          <w:sz w:val="16"/>
          <w:szCs w:val="16"/>
          <w:color w:val="auto"/>
        </w:rPr>
      </w:pPr>
      <w:r>
        <w:rPr>
          <w:rFonts w:ascii="Arial" w:cs="Arial" w:eastAsia="Arial" w:hAnsi="Arial"/>
          <w:sz w:val="16"/>
          <w:szCs w:val="16"/>
          <w:color w:val="auto"/>
        </w:rPr>
        <w:t>Lessee shall immediately notify Lessor of the occurrence of an Event of Default or any event that would become an Event of Default. Upon the happening of any Event of Default, Lessor may declare the Lessee to be in default. Upon a declaration of default, Lessor may immediately apply the Security Deposits (as defined and set forth in Section 18) to any one or more of the obligations of Lessee to Lessor, including unpaid rent, fees, costs, charges, expenses and/or the Stipulated Loss Value or as otherwise provided for in any Schedule to this Master Agreement. The application of the Security Deposits shall not be in lieu of, but shall be in addition to all other remedies available to Lessor under the Master Agreement and applicable law. Lessee authorizes Lessor at any time thereafter, with or without terminating the Lease, to enter any premises where the Equipment may be and take possession of the Equipment. Lessee shall, upon such declaration of default, without further demand, immediately pay Lessor an amount which is equal to (i) any unpaid amount due on or before Lessor declared the Lease to be in default, plus (ii) as liquidated damages for loss of a bargain and not as a penalty, an amount equal to the Stipulated Loss Value for the Equipment computed as of the date the last Base Monthly Rental payment was due prior to the date Lessor declared the Lease to be in default, together with interest, as provided herein, plus (iii) all attorney and court costs incurred by Lessor relating to the enforcement of its rights under the Lease. After an Event of Default, at the request of Lessor and to the extent requested by Lessor, Lessee shall immediately comply with the provisions of Section 6(d) and Lessor may sell the Equipment at private or public sale, in bulk or in parcels, with or without notice, without having the Equipment present at the place of sale; or Lessor may lease, otherwise dispose of or keep idle all or part of the Equipment, subject, however, to its obligation to mitigate damages. The proceeds of sale, lease or other disposition, if any, of the Equipment shall be applied: (1) to all Lessor’s costs, charges and expenses incurred in taking, removing, holding, repairing and selling, leasing or otherwise disposing of the Equipment including actual attorney fees; then (2) to the extent not previously paid by Lessee, to pay Lessor the Stipulated Loss Value for the Equipment and all other sums owed by Lessee under the Lease, including any unpaid rent which accrued to the date Lessor declared the Lease to be in default and indemnities then remaining unpaid under the Lease; then</w:t>
      </w:r>
    </w:p>
    <w:p>
      <w:pPr>
        <w:spacing w:after="0" w:line="12" w:lineRule="exact"/>
        <w:rPr>
          <w:rFonts w:ascii="Arial" w:cs="Arial" w:eastAsia="Arial" w:hAnsi="Arial"/>
          <w:sz w:val="16"/>
          <w:szCs w:val="16"/>
          <w:color w:val="auto"/>
        </w:rPr>
      </w:pPr>
    </w:p>
    <w:p>
      <w:pPr>
        <w:jc w:val="both"/>
        <w:spacing w:after="0" w:line="290" w:lineRule="auto"/>
        <w:rPr>
          <w:rFonts w:ascii="Arial" w:cs="Arial" w:eastAsia="Arial" w:hAnsi="Arial"/>
          <w:sz w:val="16"/>
          <w:szCs w:val="16"/>
          <w:color w:val="auto"/>
        </w:rPr>
      </w:pPr>
      <w:r>
        <w:rPr>
          <w:rFonts w:ascii="Arial" w:cs="Arial" w:eastAsia="Arial" w:hAnsi="Arial"/>
          <w:sz w:val="16"/>
          <w:szCs w:val="16"/>
          <w:color w:val="auto"/>
        </w:rPr>
        <w:t>(3) to reimburse to Lessee Stipulated Loss Value previously paid by Lessee as liquidated damages; and (4) any surplus shall be retained by Lessor. Lessee shall pay any deficiency in (1) and (2) immediately. If Lessee breaches Section 19(l) of this Master Agreement with regard to Software (as hereinafter defined), Lessee shall be liable to Lessor for additional damages in an amount equal to the original purchase price paid by Lessor for the Software, and in addition, at Lessor’s option, Lessor shall be entitled to injunctive and other equitable relief. The exercise of any of the foregoing remedies by Lessor shall not constitute a termination of the Lease unless Lessor so notifies Lessee in writing. Lessor may also proceed by appropriate court action, either at law or in equity to enforce performance by Lessee of the applicable covenants of the Lease or to recover damages for the breach of the Lease.</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Upon the happening of an Event of Default by Lessee with regard to Software under Section 19(l) of this Lease, Lessor may elect any of the following remedies: (i) by notice to Lessee, declare any License agreement with respect to Software terminated, in which event the right and License of Lessee to use the Software shall immediately terminate and Lessee shall thereupon cease all use of the Software and return all copies thereof to Lessor or original Licensor; (ii) have access to and disable the Software by any means deemed necessary by Lessor, for which purposes Lessee hereby expressly consents to such access and disablement, promises to take no action that would prevent or interfere with Lessor’s ability to perform such access and disablement, and waives and releases any and all claims that it has or might otherwise have for any and all losses, damages, expenses, or other detriment that it might suffer as a result of such access and disablement. Lessee agrees that the detriment that Lessor will suffer as a result of a breach by Lessee of the obligations contained in this Master Agreement cannot be adequately compensated by monetary damages, and therefore Lessor shall be entitled to injunctive and other equitable relief to enforce the provisions of this paragraph. LESSEE AGREES THAT LESSOR SHALL HAVE NO DUTY TO MITIGATE LESSOR’S DAMAGES UNDER ANY SCHEDULE BY TAKING LEGAL ACTION TO RECOVER THE SOFTWARE FROM LESSEE OR ANY THIRD PARTY, OR TO DISPOSE OF THE SOFTWARE BY SALE, RE-LEASE OR OTHERWISE.</w:t>
      </w:r>
    </w:p>
    <w:p>
      <w:pPr>
        <w:spacing w:after="0" w:line="210" w:lineRule="exact"/>
        <w:rPr>
          <w:sz w:val="20"/>
          <w:szCs w:val="20"/>
          <w:color w:val="auto"/>
        </w:rPr>
      </w:pPr>
    </w:p>
    <w:p>
      <w:pPr>
        <w:jc w:val="both"/>
        <w:ind w:firstLine="8"/>
        <w:spacing w:after="0" w:line="255" w:lineRule="auto"/>
        <w:tabs>
          <w:tab w:leader="none" w:pos="28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waiver by Lessor of any breach of any obligation of Lessee shall not be deemed a waiver of any future breach of the same or any other obligation. The subsequent acceptance of rental payments under the Lease by Lessor shall not be deemed a waiver of any such prior existing breach at the time of acceptance of such rental payments. The rights afforded Lessor under Section 16 shall be cumulative and concurrent and shall be in addition to every other right or remedy provided for the Lease or now or later existing in law (including as appropriate all the rights of a secured party or lessor under the Uniform Commercial Code) or in equity and Lessor’s exercise or attempted exercise of such rights or remedies shall not preclude the simultaneous or later exercise of any or all other rights or remedies.</w:t>
      </w:r>
    </w:p>
    <w:p>
      <w:pPr>
        <w:spacing w:after="0" w:line="220" w:lineRule="exact"/>
        <w:rPr>
          <w:rFonts w:ascii="Arial" w:cs="Arial" w:eastAsia="Arial" w:hAnsi="Arial"/>
          <w:sz w:val="18"/>
          <w:szCs w:val="18"/>
          <w:color w:val="auto"/>
        </w:rPr>
      </w:pPr>
    </w:p>
    <w:p>
      <w:pPr>
        <w:ind w:firstLine="8"/>
        <w:spacing w:after="0" w:line="308" w:lineRule="auto"/>
        <w:tabs>
          <w:tab w:leader="none" w:pos="262"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 the event Lessee shall fail to perform any of its obligations under the Lease, then Lessor may perform the same, but shall not be obligated to do so, at the cost and expense of Lessee. In any such event, Lessee shall promptly reimburse Lessor for any such costs and expenses incurred by Lessor.</w:t>
      </w:r>
    </w:p>
    <w:p>
      <w:pPr>
        <w:spacing w:after="0" w:line="170" w:lineRule="exact"/>
        <w:rPr>
          <w:sz w:val="20"/>
          <w:szCs w:val="20"/>
          <w:color w:val="auto"/>
        </w:rPr>
      </w:pPr>
    </w:p>
    <w:p>
      <w:pPr>
        <w:ind w:left="640" w:hanging="632"/>
        <w:spacing w:after="0"/>
        <w:tabs>
          <w:tab w:leader="none" w:pos="6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LESSOR’S TAX BENEFITS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Lessee acknowledges that Lessor shall be entitled to claim all tax benefits, credits and deductions related to the Equipment for federal income tax purposes including, without limitation: (i) deductions on Lessor’s cost of the Equipment for each of its tax years during the term of the Lease under any method of depreciation or other cost recovery formula permitted by the Internal Revenue Code of 1986, as amended (hereinafter called the “Code”), and (ii) interest deductions as permitted by the Code on the aggregate interest paid to any Assignee (hereinafter collectively “Lessor’s Tax Benefits”). Except as specifically required or permitted under the Lease or Master Agreement, Lessee agrees to take no intentional action inconsistent (including the voluntary substitution of Equipment) with the foregoing.</w:t>
      </w:r>
    </w:p>
    <w:p>
      <w:pPr>
        <w:spacing w:after="0" w:line="217" w:lineRule="exact"/>
        <w:rPr>
          <w:sz w:val="20"/>
          <w:szCs w:val="20"/>
          <w:color w:val="auto"/>
        </w:rPr>
      </w:pPr>
    </w:p>
    <w:p>
      <w:pPr>
        <w:ind w:left="640" w:hanging="632"/>
        <w:spacing w:after="0"/>
        <w:tabs>
          <w:tab w:leader="none" w:pos="6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SECURITY DEPOSIT</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Lessor acknowledges receipt of the security deposit(s) identified on each of the Schedules to this Master Agreement or otherwise provided to Lessor (the “Security Deposits”). Lessee hereby grants to Lessor a security interest in each of the Security Deposits, to secure all obligations of Lessee under this Master Agreement and all Schedules hereto, including but not limited to, all payment obligations and all other obligations of Lessee to Lessor for which Lessee is now or may in the future become liable. Lessee authorizes Lessor to file all financing statements, amendments to financing statements and other documents as may be required, if any, with any public filing agency in any jurisdiction, to advise of Lessor’s interest in the Security Deposits. Lessee agrees to execute such additional documents or instruments as may be deemed advisable or necessary by Lessor in order to maintain and continue such security interest.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478" w:gutter="0" w:footer="0" w:header="0"/>
        </w:sectPr>
      </w:pPr>
    </w:p>
    <w:bookmarkStart w:id="141" w:name="page142"/>
    <w:bookmarkEnd w:id="141"/>
    <w:p>
      <w:pPr>
        <w:ind w:left="640" w:hanging="632"/>
        <w:spacing w:after="0"/>
        <w:tabs>
          <w:tab w:leader="none" w:pos="6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ind w:left="260" w:hanging="252"/>
        <w:spacing w:after="0"/>
        <w:tabs>
          <w:tab w:leader="none" w:pos="2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Lease shall be deemed to have been made and delivered in the State of Michigan and shall be governed in all respects by the laws of such State.</w:t>
      </w:r>
    </w:p>
    <w:p>
      <w:pPr>
        <w:spacing w:after="0" w:line="32" w:lineRule="exact"/>
        <w:rPr>
          <w:rFonts w:ascii="Arial" w:cs="Arial" w:eastAsia="Arial" w:hAnsi="Arial"/>
          <w:sz w:val="16"/>
          <w:szCs w:val="16"/>
          <w:color w:val="auto"/>
        </w:rPr>
      </w:pPr>
    </w:p>
    <w:p>
      <w:pPr>
        <w:jc w:val="both"/>
        <w:spacing w:after="0" w:line="251" w:lineRule="auto"/>
        <w:rPr>
          <w:rFonts w:ascii="Arial" w:cs="Arial" w:eastAsia="Arial" w:hAnsi="Arial"/>
          <w:sz w:val="16"/>
          <w:szCs w:val="16"/>
          <w:color w:val="auto"/>
        </w:rPr>
      </w:pPr>
      <w:r>
        <w:rPr>
          <w:rFonts w:ascii="Arial" w:cs="Arial" w:eastAsia="Arial" w:hAnsi="Arial"/>
          <w:sz w:val="18"/>
          <w:szCs w:val="18"/>
          <w:color w:val="auto"/>
        </w:rPr>
        <w:t>LESSEE AGREES TO SUBMIT TO THE JURISDICTION OF THE STATE AND/OR FEDERAL COURTS IN THE STATE OF MICHIGAN IN ALL MATTERS RELATING TO THE LEASE, THE EQUIPMENT, AND THE CONDUCT OF THE RELATIONSHIP BETWEEN LESSOR AND LESSEE. THE PARTIES HERETO AGREE THAT IN THE EVENT OF AN ALLEGED BREACH OF THIS MASTER AGREEMENT OR ANY DOCUMENTS RELATING THERETO BY EITHER PARTY, OR ANY CONTROVERSIES ARISE BETWEEN THE PARTIES RELATING TO THIS MASTER AGREEMENT OR ANY DOCUMENTS RELATING THERETO, SUCH CONTROVERSIES SHALL BE TRIED BY A JUDGE ALONE BEFORE THE FEDERAL OR STATE COURTS IN OAKLAND COUNTY, MICHIGAN. THE PARTIES, HAVING HAD THE OPPORTUNITY TO CONSULT WITH INDEPENDENT COUNSEL OF THEIR OWN CHOOSING, HEREBY KNOWINGLY AND VOLUNTARILY CONSENT TO MICHIGAN JURISDICTION AS SET FORTH HEREIN AND WAIVE THEIR RIGHTS TO A TRIAL BY JURY IN ANY MATTER RELATING TO THIS MASTER AGREEMENT OR ANY DOCUMENTS RELATED THERETO.</w:t>
      </w:r>
    </w:p>
    <w:p>
      <w:pPr>
        <w:spacing w:after="0" w:line="225" w:lineRule="exact"/>
        <w:rPr>
          <w:rFonts w:ascii="Arial" w:cs="Arial" w:eastAsia="Arial" w:hAnsi="Arial"/>
          <w:sz w:val="16"/>
          <w:szCs w:val="16"/>
          <w:color w:val="auto"/>
        </w:rPr>
      </w:pPr>
    </w:p>
    <w:p>
      <w:pPr>
        <w:jc w:val="both"/>
        <w:ind w:firstLine="8"/>
        <w:spacing w:after="0" w:line="267" w:lineRule="auto"/>
        <w:tabs>
          <w:tab w:leader="none" w:pos="2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Provided no Event of Default has occurred and is continuing, and provided no Event of Default or event which with the giving of notice or lapse of time, or both, would constitute an Event of Default has occurred and is continuing, upon the completion of the Base Term of any Schedule, Lessee shall, upon giving one hundred eighty (180) days prior written notice to Lessor by certified mail, elect one of the following options: (i) purchase all, but not less than all, of the Items of Equipment on the applicable Schedule for a price to be agreed upon by both Lessor and any applicable Assignee and Lessee, (ii) extend the Schedule for all, but not less than all, of the Items of Equipment on the applicable Schedule for an additional twelve (12) months at the Base Monthly Rental then in effect, or (iii) return all, but not less than all of the Items of Equipment on the applicable Schedule to Lessor at Lessee’s expense to a destination within the Continental United States as directed by Lessor, provided that for option (iii) to apply, Lessee shall have paid all late charges, interest, taxes, penalties due under the Lease, Lessee agrees to pay to Lessor an additional per diem rent (“Hold Over Rent”) in an amount equal to one hundred twenty five percent (125%) of the Base Monthly Rental then in effect divided by thirty (30) until all Items of Equipment are received by Lessor, Lessee shall have complied with Sections 6 (a), (b), (c) and Section 7 hereof, and Lessee shall immediately pay to Lessor a Terminal Rental Adjustment Cost (“TRAC”) in an amount equal to subsection (ii) above. Provided that Lessee selects option (iii), Lessor shall use its best efforts to remarket the Equipment and remit to Lessee any amount collected by Lessor less its reasonable remarketing costs which shall include, without limitation, costs of repossession, reconfiguration, de-installation and installation, refurbishment, storage, and freight charges and legal fees, whether in house or to third parties. With respect to option (i) and option (iii), both Lessor and Lessee shall have absolute and sole discretion regarding the terms and conditions of the agreement to the purchase price of the Equipment. In the event that Lessor and Lessee have not agreed to either option (i) or option (iii) by the conclusion of the Base Term, or if Lessee fails to provide notice of its election via certified mail at least one hundred eighty (180) days prior to the termination of the Base Term, then option (ii) shall automatically apply at the end of the Base Term.</w:t>
      </w:r>
    </w:p>
    <w:p>
      <w:pPr>
        <w:spacing w:after="0" w:line="192" w:lineRule="exact"/>
        <w:rPr>
          <w:rFonts w:ascii="Arial" w:cs="Arial" w:eastAsia="Arial" w:hAnsi="Arial"/>
          <w:sz w:val="17"/>
          <w:szCs w:val="17"/>
          <w:color w:val="auto"/>
        </w:rPr>
      </w:pPr>
    </w:p>
    <w:p>
      <w:pPr>
        <w:jc w:val="both"/>
        <w:ind w:firstLine="8"/>
        <w:spacing w:after="0" w:line="273" w:lineRule="auto"/>
        <w:tabs>
          <w:tab w:leader="none" w:pos="247"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This Master Agreement and the Lease constitute the entire and only agreement between Lessee and Lessor with respect to the lease of the Equipment, and the parties have only those rights and have incurred only those obligations as specifically set forth herein. The covenants, conditions, terms and provisions may not be waived or modified orally and shall supersede all previous proposals, both oral and written, negotiations, representations, commitments or agreements between the parties. The Lease may not be amended or discharged except by a subsequent written agreement entered into by duly authorized representatives of Lessor and Lessee. A photocopy or facsimile or scanned reproduction of an original signature of a party to this Agreement shall bind that party to the terms, conditions and covenants of the Agreement as if it were the original.</w:t>
      </w:r>
    </w:p>
    <w:p>
      <w:pPr>
        <w:spacing w:after="0" w:line="205"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SPH</w:t>
      </w:r>
    </w:p>
    <w:p>
      <w:pPr>
        <w:spacing w:after="0" w:line="32"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LESSEE INITIALS</w:t>
      </w:r>
    </w:p>
    <w:p>
      <w:pPr>
        <w:spacing w:after="0" w:line="256" w:lineRule="exact"/>
        <w:rPr>
          <w:sz w:val="20"/>
          <w:szCs w:val="20"/>
          <w:color w:val="auto"/>
        </w:rPr>
      </w:pPr>
    </w:p>
    <w:p>
      <w:pPr>
        <w:jc w:val="both"/>
        <w:ind w:firstLine="8"/>
        <w:spacing w:after="0" w:line="264" w:lineRule="auto"/>
        <w:tabs>
          <w:tab w:leader="none" w:pos="266"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notices, consents or requests desired or required to be given under the Lease shall be in writing and shall be delivered in person or sent by certified mail, return, receipt requested, or by courier service to the address of the other party set forth in the introduction of this Master Agreement or to such other address as such party shall have designated by proper notice.</w:t>
      </w:r>
    </w:p>
    <w:p>
      <w:pPr>
        <w:spacing w:after="0" w:line="208" w:lineRule="exact"/>
        <w:rPr>
          <w:rFonts w:ascii="Arial" w:cs="Arial" w:eastAsia="Arial" w:hAnsi="Arial"/>
          <w:sz w:val="18"/>
          <w:szCs w:val="18"/>
          <w:color w:val="auto"/>
        </w:rPr>
      </w:pPr>
    </w:p>
    <w:p>
      <w:pPr>
        <w:jc w:val="both"/>
        <w:ind w:firstLine="8"/>
        <w:spacing w:after="0" w:line="264" w:lineRule="auto"/>
        <w:tabs>
          <w:tab w:leader="none" w:pos="25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Schedule shall be executed with one original. To the extent, if any, that a Schedule constitutes chattel paper (as such term is defined in the Uniform Commercial Code) a security interest in the Schedule may only be created through the transfer or possession of the Schedule marked “Original”. This Master Agreement, in the form of a photocopy, is Exhibit A to the Schedule and is not chattel paper by itself.</w:t>
      </w:r>
    </w:p>
    <w:p>
      <w:pPr>
        <w:spacing w:after="0" w:line="208" w:lineRule="exact"/>
        <w:rPr>
          <w:rFonts w:ascii="Arial" w:cs="Arial" w:eastAsia="Arial" w:hAnsi="Arial"/>
          <w:sz w:val="18"/>
          <w:szCs w:val="18"/>
          <w:color w:val="auto"/>
        </w:rPr>
      </w:pPr>
    </w:p>
    <w:p>
      <w:pPr>
        <w:ind w:left="240" w:hanging="232"/>
        <w:spacing w:after="0"/>
        <w:tabs>
          <w:tab w:leader="none" w:pos="2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Section headings are for convenience only and shall not be construed as part of the Lease.</w:t>
      </w:r>
    </w:p>
    <w:p>
      <w:pPr>
        <w:spacing w:after="0" w:line="252" w:lineRule="exact"/>
        <w:rPr>
          <w:rFonts w:ascii="Arial" w:cs="Arial" w:eastAsia="Arial" w:hAnsi="Arial"/>
          <w:sz w:val="18"/>
          <w:szCs w:val="18"/>
          <w:color w:val="auto"/>
        </w:rPr>
      </w:pPr>
    </w:p>
    <w:p>
      <w:pPr>
        <w:jc w:val="both"/>
        <w:ind w:firstLine="8"/>
        <w:spacing w:after="0" w:line="264" w:lineRule="auto"/>
        <w:tabs>
          <w:tab w:leader="none" w:pos="257" w:val="left"/>
        </w:tabs>
        <w:numPr>
          <w:ilvl w:val="0"/>
          <w:numId w:val="92"/>
        </w:numPr>
        <w:rPr>
          <w:rFonts w:ascii="Arial" w:cs="Arial" w:eastAsia="Arial" w:hAnsi="Arial"/>
          <w:sz w:val="18"/>
          <w:szCs w:val="18"/>
          <w:color w:val="auto"/>
        </w:rPr>
      </w:pPr>
      <w:r>
        <w:rPr>
          <w:rFonts w:ascii="Arial" w:cs="Arial" w:eastAsia="Arial" w:hAnsi="Arial"/>
          <w:sz w:val="18"/>
          <w:szCs w:val="18"/>
          <w:color w:val="auto"/>
        </w:rPr>
        <w:t>It is expressly understood that all of the Equipment shall be and remain personal property, notwithstanding the manner in which the same may be attached or affixed to realty, and, upon Lessor’s request, Lessee shall secure from its mortgagee, landlord or owner of the premises a waiver in form and substance reasonably satisfactory to Lessor.</w:t>
      </w:r>
    </w:p>
    <w:p>
      <w:pPr>
        <w:spacing w:after="0" w:line="208" w:lineRule="exact"/>
        <w:rPr>
          <w:rFonts w:ascii="Arial" w:cs="Arial" w:eastAsia="Arial" w:hAnsi="Arial"/>
          <w:sz w:val="18"/>
          <w:szCs w:val="18"/>
          <w:color w:val="auto"/>
        </w:rPr>
      </w:pPr>
    </w:p>
    <w:p>
      <w:pPr>
        <w:jc w:val="both"/>
        <w:ind w:firstLine="8"/>
        <w:spacing w:after="0" w:line="257" w:lineRule="auto"/>
        <w:tabs>
          <w:tab w:leader="none" w:pos="259" w:val="left"/>
        </w:tabs>
        <w:numPr>
          <w:ilvl w:val="0"/>
          <w:numId w:val="92"/>
        </w:numPr>
        <w:rPr>
          <w:rFonts w:ascii="Arial" w:cs="Arial" w:eastAsia="Arial" w:hAnsi="Arial"/>
          <w:sz w:val="18"/>
          <w:szCs w:val="18"/>
          <w:color w:val="auto"/>
        </w:rPr>
      </w:pPr>
      <w:r>
        <w:rPr>
          <w:rFonts w:ascii="Arial" w:cs="Arial" w:eastAsia="Arial" w:hAnsi="Arial"/>
          <w:sz w:val="18"/>
          <w:szCs w:val="18"/>
          <w:color w:val="auto"/>
        </w:rPr>
        <w:t>Lessor may upon written notice to Lessee advise Lessee that certain Items supplied to Lessee are leased to Lessor and supplied to Lessee under the Lease as a sublease. Lessee agrees to execute and deliver such acknowledgements and assignments in connection with such a Lease as are reasonably required. If, at any time during the term of the Lease, Lessor’s right to lease such Equipment expires, Lessor may remove such Equipment from Lessee’s premises and shall promptly provide identical substitute Equipment. All expenses of such substitution, including de-installation, installation and transportation expenses, shall be borne by Lessor.</w:t>
      </w:r>
    </w:p>
    <w:p>
      <w:pPr>
        <w:spacing w:after="0" w:line="215" w:lineRule="exact"/>
        <w:rPr>
          <w:rFonts w:ascii="Arial" w:cs="Arial" w:eastAsia="Arial" w:hAnsi="Arial"/>
          <w:sz w:val="18"/>
          <w:szCs w:val="18"/>
          <w:color w:val="auto"/>
        </w:rPr>
      </w:pPr>
    </w:p>
    <w:p>
      <w:pPr>
        <w:jc w:val="both"/>
        <w:ind w:firstLine="8"/>
        <w:spacing w:after="0" w:line="264" w:lineRule="auto"/>
        <w:tabs>
          <w:tab w:leader="none" w:pos="232"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Prior to the delivery of any Item, the obligations of Lessor hereunder shall be suspended to the extent that it is hindered or prevented from complying therewith because of: labor disturbances, including strikes and lockouts; acts of God; fires; storms; accidents; failure to deliver any Item; governmental regulations or interferences or any cause whatsoever not within the sole control of Lessor.</w:t>
      </w:r>
    </w:p>
    <w:p>
      <w:pPr>
        <w:spacing w:after="0" w:line="208" w:lineRule="exact"/>
        <w:rPr>
          <w:rFonts w:ascii="Arial" w:cs="Arial" w:eastAsia="Arial" w:hAnsi="Arial"/>
          <w:sz w:val="18"/>
          <w:szCs w:val="18"/>
          <w:color w:val="auto"/>
        </w:rPr>
      </w:pPr>
    </w:p>
    <w:p>
      <w:pPr>
        <w:jc w:val="both"/>
        <w:ind w:firstLine="8"/>
        <w:spacing w:after="0" w:line="264" w:lineRule="auto"/>
        <w:tabs>
          <w:tab w:leader="none" w:pos="234" w:val="left"/>
        </w:tabs>
        <w:numPr>
          <w:ilvl w:val="0"/>
          <w:numId w:val="92"/>
        </w:numPr>
        <w:rPr>
          <w:rFonts w:ascii="Arial" w:cs="Arial" w:eastAsia="Arial" w:hAnsi="Arial"/>
          <w:sz w:val="18"/>
          <w:szCs w:val="18"/>
          <w:color w:val="auto"/>
        </w:rPr>
      </w:pPr>
      <w:r>
        <w:rPr>
          <w:rFonts w:ascii="Arial" w:cs="Arial" w:eastAsia="Arial" w:hAnsi="Arial"/>
          <w:sz w:val="18"/>
          <w:szCs w:val="18"/>
          <w:color w:val="auto"/>
        </w:rPr>
        <w:t>Lessee hereby acknowledges and agrees that it has had a full and fair opportunity to read each of the terms and conditions of this Master Agreement, specifically Sections 2, 16 and 19, and that Lessee fully understands the terms and conditions herein, having had the opportunity to consult with an attorney of its own choosing prior to executing this Master Agreement and any related documents.</w:t>
      </w:r>
    </w:p>
    <w:p>
      <w:pPr>
        <w:spacing w:after="0" w:line="208"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SPH</w:t>
      </w:r>
    </w:p>
    <w:p>
      <w:pPr>
        <w:spacing w:after="0" w:line="32"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LESSEE INITIALS</w:t>
      </w:r>
    </w:p>
    <w:p>
      <w:pPr>
        <w:sectPr>
          <w:pgSz w:w="11900" w:h="16838" w:orient="portrait"/>
          <w:cols w:equalWidth="0" w:num="1">
            <w:col w:w="11420"/>
          </w:cols>
          <w:pgMar w:left="240" w:top="918" w:right="239" w:bottom="0" w:gutter="0" w:footer="0" w:header="0"/>
        </w:sectPr>
      </w:pPr>
    </w:p>
    <w:bookmarkStart w:id="142" w:name="page143"/>
    <w:bookmarkEnd w:id="142"/>
    <w:p>
      <w:pPr>
        <w:ind w:right="20" w:firstLine="8"/>
        <w:spacing w:after="0" w:line="308" w:lineRule="auto"/>
        <w:tabs>
          <w:tab w:leader="none" w:pos="257"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provision of this Master Agreement or any Schedule prohibited by or unlawful or unenforceable under any applicable law of any jurisdiction shall be ineffective as to such jurisdiction without invalidating the remaining provisions of this Master Agreement and such Schedule.</w:t>
      </w:r>
    </w:p>
    <w:p>
      <w:pPr>
        <w:ind w:left="240" w:hanging="232"/>
        <w:spacing w:after="0"/>
        <w:tabs>
          <w:tab w:leader="none" w:pos="2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the event the Equipment includes software (which Lessee agrees shall include all documentation, later versions, updates, upgrades, and modifications)</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(herein “Software”), the following shall apply: (i) Lessee shall possess and use the Software in accordance with the terms and conditions of any license agreement (“License”) entered into with the owner/vendor of such Software and shall not breach the License (at Lessor’s request, Lessee</w:t>
      </w:r>
    </w:p>
    <w:p>
      <w:pPr>
        <w:jc w:val="both"/>
        <w:spacing w:after="0" w:line="288" w:lineRule="auto"/>
        <w:rPr>
          <w:sz w:val="20"/>
          <w:szCs w:val="20"/>
          <w:color w:val="auto"/>
        </w:rPr>
      </w:pPr>
      <w:r>
        <w:rPr>
          <w:rFonts w:ascii="Arial" w:cs="Arial" w:eastAsia="Arial" w:hAnsi="Arial"/>
          <w:sz w:val="16"/>
          <w:szCs w:val="16"/>
          <w:color w:val="auto"/>
        </w:rPr>
        <w:t>shall provide a complete copy of the License to Lessor); (ii) Lessee agrees that Lessor shall have an interest in the License and Software arising out of its payment of the price thereof and is an assignee or third party beneficiary of the License; (iii) as due consideration of Lessor’s payment of the License and Software and for providing the Software to Lessee at a lease rate (as opposed to a debt rate), Lessee agrees that Lessor is leasing (and not financing) the Software to Lessee; (iv) except for the original price paid by Lessor, Lessee shall, at its own expense, pay promptly when due all servicing fees, maintenance fees update and upgrade costs, modification cost, and all other costs and expenses relating to the Software and maintain the License in effect during the term of the Lease; and (v) the Software shall be deemed Equipment for all purposes under the Lease. For all purposes of this Master Agreement or the Lease, the term Software shall not refer to or include any firmware of Lessee or any other intellectual property whatsoever of Lessee.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3" w:name="page144"/>
    <w:bookmarkEnd w:id="143"/>
    <w:p>
      <w:pPr>
        <w:jc w:val="both"/>
        <w:ind w:firstLine="8"/>
        <w:spacing w:after="0" w:line="264" w:lineRule="auto"/>
        <w:tabs>
          <w:tab w:leader="none" w:pos="38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parties agree that this is a “Finance Lease” as defined by section 2A-103(g) of the Uniform Commercial Code (“UCC”). Lessee acknowledges either (a) that Lessee has reviewed and approved any written Supply Contract (as defined by UCC 2-A-103(y)) covering the Equipment purchased from the Supplier (as defined by UCC 2A-103(x))</w:t>
      </w:r>
    </w:p>
    <w:p>
      <w:pPr>
        <w:spacing w:after="0" w:line="20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thereof for lease to Lessee or (b) that Lessor has informed or advised Lessee, in writing, either previously or by this Lease of the following: (i) the identity of the Supplier, (ii) that the Lessee may have rights under the Supply Contract; and (iii) that the Lessee may contact the Supplier for a description of any such rights Lessee may have under the Supply Contract.</w:t>
      </w:r>
    </w:p>
    <w:p>
      <w:pPr>
        <w:spacing w:after="0" w:line="20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Lessee hereby waives any and all rights and remedies granted to Lessee by Sections 303 and 508 through 522 of Articles 2A of the Uniform Commercial Code (although no such waiver shall constitute a waiver of any of Lessee’s rights or remedies against the manufacturer of the Equipment).</w:t>
      </w:r>
    </w:p>
    <w:p>
      <w:pPr>
        <w:spacing w:after="0" w:line="151" w:lineRule="exact"/>
        <w:rPr>
          <w:sz w:val="20"/>
          <w:szCs w:val="20"/>
          <w:color w:val="auto"/>
        </w:rPr>
      </w:pPr>
    </w:p>
    <w:p>
      <w:pPr>
        <w:jc w:val="both"/>
        <w:ind w:right="200" w:firstLine="8"/>
        <w:spacing w:after="0" w:line="279" w:lineRule="auto"/>
        <w:tabs>
          <w:tab w:leader="none" w:pos="264"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parties acknowledge that serial numbers and/or other identifiable information for one or more Items may be unavailable prior to execution of the applicable Schedule. In the event a Schedule fails to indicate serial numbers or other identifiable information or incorrectly identifies serial numbers or other identifiable information, for one or more Items after execution of the applicable Schedule, Lessee expressly consents to Lessor’s unilateral amendment of the applicable Schedule to insert or correct serial numbers or other identifiable information therein.</w:t>
      </w:r>
    </w:p>
    <w:p>
      <w:pPr>
        <w:spacing w:after="0" w:line="198" w:lineRule="exact"/>
        <w:rPr>
          <w:rFonts w:ascii="Arial" w:cs="Arial" w:eastAsia="Arial" w:hAnsi="Arial"/>
          <w:sz w:val="17"/>
          <w:szCs w:val="17"/>
          <w:color w:val="auto"/>
        </w:rPr>
      </w:pPr>
    </w:p>
    <w:p>
      <w:pPr>
        <w:ind w:right="200" w:firstLine="8"/>
        <w:spacing w:after="0" w:line="308" w:lineRule="auto"/>
        <w:tabs>
          <w:tab w:leader="none" w:pos="276" w:val="left"/>
        </w:tabs>
        <w:numPr>
          <w:ilvl w:val="0"/>
          <w:numId w:val="95"/>
        </w:numPr>
        <w:rPr>
          <w:rFonts w:ascii="Arial" w:cs="Arial" w:eastAsia="Arial" w:hAnsi="Arial"/>
          <w:sz w:val="17"/>
          <w:szCs w:val="17"/>
          <w:color w:val="auto"/>
        </w:rPr>
      </w:pPr>
      <w:r>
        <w:rPr>
          <w:rFonts w:ascii="Arial" w:cs="Arial" w:eastAsia="Arial" w:hAnsi="Arial"/>
          <w:sz w:val="17"/>
          <w:szCs w:val="17"/>
          <w:color w:val="auto"/>
        </w:rPr>
        <w:t>Lessee hereby authorizes and appoints Lessor and Lessor’s agents and assigns as Lessee’s attorney-in-fact to execute acknowledgement letters and other documents required to be executed by Lessee to effect any underwriting or perfect any security interest with regard to a Schedule.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The parties have executed this Master Lease Agreement as of the date first written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LESSOR:</w:t>
            </w:r>
          </w:p>
        </w:tc>
        <w:tc>
          <w:tcPr>
            <w:tcW w:w="7420" w:type="dxa"/>
            <w:vAlign w:val="bottom"/>
            <w:gridSpan w:val="3"/>
          </w:tcPr>
          <w:p>
            <w:pPr>
              <w:ind w:left="1740"/>
              <w:spacing w:after="0"/>
              <w:rPr>
                <w:sz w:val="20"/>
                <w:szCs w:val="20"/>
                <w:color w:val="auto"/>
              </w:rPr>
            </w:pPr>
            <w:r>
              <w:rPr>
                <w:rFonts w:ascii="Arial" w:cs="Arial" w:eastAsia="Arial" w:hAnsi="Arial"/>
                <w:sz w:val="18"/>
                <w:szCs w:val="18"/>
                <w:color w:val="auto"/>
              </w:rPr>
              <w:t>LESSEE:</w:t>
            </w:r>
          </w:p>
        </w:tc>
        <w:tc>
          <w:tcPr>
            <w:tcW w:w="0" w:type="dxa"/>
            <w:vAlign w:val="bottom"/>
          </w:tcPr>
          <w:p>
            <w:pPr>
              <w:spacing w:after="0"/>
              <w:rPr>
                <w:sz w:val="1"/>
                <w:szCs w:val="1"/>
                <w:color w:val="auto"/>
              </w:rPr>
            </w:pPr>
          </w:p>
        </w:tc>
      </w:tr>
      <w:tr>
        <w:trPr>
          <w:trHeight w:val="230"/>
        </w:trPr>
        <w:tc>
          <w:tcPr>
            <w:tcW w:w="4000" w:type="dxa"/>
            <w:vAlign w:val="bottom"/>
            <w:gridSpan w:val="3"/>
          </w:tcPr>
          <w:p>
            <w:pPr>
              <w:spacing w:after="0"/>
              <w:rPr>
                <w:sz w:val="20"/>
                <w:szCs w:val="20"/>
                <w:color w:val="auto"/>
              </w:rPr>
            </w:pPr>
            <w:r>
              <w:rPr>
                <w:rFonts w:ascii="Arial" w:cs="Arial" w:eastAsia="Arial" w:hAnsi="Arial"/>
                <w:sz w:val="18"/>
                <w:szCs w:val="18"/>
                <w:color w:val="auto"/>
              </w:rPr>
              <w:t>VARILEASE FINANCE, INC.</w:t>
            </w:r>
          </w:p>
        </w:tc>
        <w:tc>
          <w:tcPr>
            <w:tcW w:w="7420" w:type="dxa"/>
            <w:vAlign w:val="bottom"/>
            <w:gridSpan w:val="3"/>
          </w:tcPr>
          <w:p>
            <w:pPr>
              <w:ind w:left="1740"/>
              <w:spacing w:after="0"/>
              <w:rPr>
                <w:sz w:val="20"/>
                <w:szCs w:val="20"/>
                <w:color w:val="auto"/>
              </w:rPr>
            </w:pPr>
            <w:r>
              <w:rPr>
                <w:rFonts w:ascii="Arial" w:cs="Arial" w:eastAsia="Arial" w:hAnsi="Arial"/>
                <w:sz w:val="18"/>
                <w:szCs w:val="18"/>
                <w:color w:val="auto"/>
              </w:rPr>
              <w:t>USA TECHNOLOGIES, INC.</w:t>
            </w:r>
          </w:p>
        </w:tc>
        <w:tc>
          <w:tcPr>
            <w:tcW w:w="0" w:type="dxa"/>
            <w:vAlign w:val="bottom"/>
          </w:tcPr>
          <w:p>
            <w:pPr>
              <w:spacing w:after="0"/>
              <w:rPr>
                <w:sz w:val="1"/>
                <w:szCs w:val="1"/>
                <w:color w:val="auto"/>
              </w:rPr>
            </w:pPr>
          </w:p>
        </w:tc>
      </w:tr>
      <w:tr>
        <w:trPr>
          <w:trHeight w:val="378"/>
        </w:trPr>
        <w:tc>
          <w:tcPr>
            <w:tcW w:w="36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/s/ Kristy</w:t>
            </w:r>
          </w:p>
        </w:tc>
        <w:tc>
          <w:tcPr>
            <w:tcW w:w="7420" w:type="dxa"/>
            <w:vAlign w:val="bottom"/>
            <w:gridSpan w:val="3"/>
            <w:vMerge w:val="restart"/>
          </w:tcPr>
          <w:p>
            <w:pPr>
              <w:ind w:left="1740"/>
              <w:spacing w:after="0"/>
              <w:rPr>
                <w:sz w:val="20"/>
                <w:szCs w:val="20"/>
                <w:color w:val="auto"/>
              </w:rPr>
            </w:pPr>
            <w:r>
              <w:rPr>
                <w:rFonts w:ascii="Arial" w:cs="Arial" w:eastAsia="Arial" w:hAnsi="Arial"/>
                <w:sz w:val="18"/>
                <w:szCs w:val="18"/>
                <w:color w:val="auto"/>
              </w:rPr>
              <w:t>By: /s/ Stephen P. Herbert</w:t>
            </w:r>
          </w:p>
        </w:tc>
        <w:tc>
          <w:tcPr>
            <w:tcW w:w="0" w:type="dxa"/>
            <w:vAlign w:val="bottom"/>
          </w:tcPr>
          <w:p>
            <w:pPr>
              <w:spacing w:after="0"/>
              <w:rPr>
                <w:sz w:val="1"/>
                <w:szCs w:val="1"/>
                <w:color w:val="auto"/>
              </w:rPr>
            </w:pPr>
          </w:p>
        </w:tc>
      </w:tr>
      <w:tr>
        <w:trPr>
          <w:trHeight w:val="270"/>
        </w:trPr>
        <w:tc>
          <w:tcPr>
            <w:tcW w:w="4000" w:type="dxa"/>
            <w:vAlign w:val="bottom"/>
            <w:gridSpan w:val="3"/>
          </w:tcPr>
          <w:p>
            <w:pPr>
              <w:spacing w:after="0" w:line="269" w:lineRule="exact"/>
              <w:rPr>
                <w:sz w:val="20"/>
                <w:szCs w:val="20"/>
                <w:color w:val="auto"/>
              </w:rPr>
            </w:pPr>
            <w:r>
              <w:rPr>
                <w:rFonts w:ascii="Arial" w:cs="Arial" w:eastAsia="Arial" w:hAnsi="Arial"/>
                <w:sz w:val="31"/>
                <w:szCs w:val="31"/>
                <w:color w:val="auto"/>
                <w:vertAlign w:val="superscript"/>
              </w:rPr>
              <w:t>By:</w:t>
            </w:r>
            <w:r>
              <w:rPr>
                <w:rFonts w:ascii="Arial" w:cs="Arial" w:eastAsia="Arial" w:hAnsi="Arial"/>
                <w:sz w:val="16"/>
                <w:szCs w:val="16"/>
                <w:color w:val="auto"/>
              </w:rPr>
              <w:t xml:space="preserve"> Phillips</w:t>
            </w:r>
          </w:p>
        </w:tc>
        <w:tc>
          <w:tcPr>
            <w:tcW w:w="742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620" w:type="dxa"/>
            <w:vAlign w:val="bottom"/>
            <w:gridSpan w:val="2"/>
          </w:tcPr>
          <w:p>
            <w:pPr>
              <w:spacing w:after="0" w:line="201" w:lineRule="exact"/>
              <w:rPr>
                <w:sz w:val="20"/>
                <w:szCs w:val="20"/>
                <w:color w:val="auto"/>
              </w:rPr>
            </w:pPr>
            <w:r>
              <w:rPr>
                <w:rFonts w:ascii="Arial" w:cs="Arial" w:eastAsia="Arial" w:hAnsi="Arial"/>
                <w:sz w:val="18"/>
                <w:szCs w:val="18"/>
                <w:color w:val="auto"/>
                <w:w w:val="96"/>
              </w:rPr>
              <w:t>Name: Kristy Phillips</w:t>
            </w:r>
          </w:p>
        </w:tc>
        <w:tc>
          <w:tcPr>
            <w:tcW w:w="2380" w:type="dxa"/>
            <w:vAlign w:val="bottom"/>
          </w:tcPr>
          <w:p>
            <w:pPr>
              <w:spacing w:after="0"/>
              <w:rPr>
                <w:sz w:val="17"/>
                <w:szCs w:val="17"/>
                <w:color w:val="auto"/>
              </w:rPr>
            </w:pPr>
          </w:p>
        </w:tc>
        <w:tc>
          <w:tcPr>
            <w:tcW w:w="7420" w:type="dxa"/>
            <w:vAlign w:val="bottom"/>
            <w:gridSpan w:val="3"/>
          </w:tcPr>
          <w:p>
            <w:pPr>
              <w:ind w:left="1740"/>
              <w:spacing w:after="0" w:line="201" w:lineRule="exact"/>
              <w:rPr>
                <w:sz w:val="20"/>
                <w:szCs w:val="20"/>
                <w:color w:val="auto"/>
              </w:rPr>
            </w:pPr>
            <w:r>
              <w:rPr>
                <w:rFonts w:ascii="Arial" w:cs="Arial" w:eastAsia="Arial" w:hAnsi="Arial"/>
                <w:sz w:val="18"/>
                <w:szCs w:val="18"/>
                <w:color w:val="auto"/>
              </w:rPr>
              <w:t>Name: Stephen P. Herbert</w:t>
            </w:r>
          </w:p>
        </w:tc>
        <w:tc>
          <w:tcPr>
            <w:tcW w:w="0" w:type="dxa"/>
            <w:vAlign w:val="bottom"/>
          </w:tcPr>
          <w:p>
            <w:pPr>
              <w:spacing w:after="0"/>
              <w:rPr>
                <w:sz w:val="1"/>
                <w:szCs w:val="1"/>
                <w:color w:val="auto"/>
              </w:rPr>
            </w:pPr>
          </w:p>
        </w:tc>
      </w:tr>
      <w:tr>
        <w:trPr>
          <w:trHeight w:val="230"/>
        </w:trPr>
        <w:tc>
          <w:tcPr>
            <w:tcW w:w="4000" w:type="dxa"/>
            <w:vAlign w:val="bottom"/>
            <w:gridSpan w:val="3"/>
          </w:tcPr>
          <w:p>
            <w:pPr>
              <w:spacing w:after="0"/>
              <w:rPr>
                <w:sz w:val="20"/>
                <w:szCs w:val="20"/>
                <w:color w:val="auto"/>
              </w:rPr>
            </w:pPr>
            <w:r>
              <w:rPr>
                <w:rFonts w:ascii="Arial" w:cs="Arial" w:eastAsia="Arial" w:hAnsi="Arial"/>
                <w:sz w:val="18"/>
                <w:szCs w:val="18"/>
                <w:color w:val="auto"/>
              </w:rPr>
              <w:t>Title: Vice President</w:t>
            </w:r>
          </w:p>
        </w:tc>
        <w:tc>
          <w:tcPr>
            <w:tcW w:w="7420" w:type="dxa"/>
            <w:vAlign w:val="bottom"/>
            <w:gridSpan w:val="3"/>
          </w:tcPr>
          <w:p>
            <w:pPr>
              <w:ind w:left="1740"/>
              <w:spacing w:after="0"/>
              <w:rPr>
                <w:sz w:val="20"/>
                <w:szCs w:val="20"/>
                <w:color w:val="auto"/>
              </w:rPr>
            </w:pPr>
            <w:r>
              <w:rPr>
                <w:rFonts w:ascii="Arial" w:cs="Arial" w:eastAsia="Arial" w:hAnsi="Arial"/>
                <w:sz w:val="18"/>
                <w:szCs w:val="18"/>
                <w:color w:val="auto"/>
              </w:rPr>
              <w:t>Title: Chairman and CEO</w:t>
            </w:r>
          </w:p>
        </w:tc>
        <w:tc>
          <w:tcPr>
            <w:tcW w:w="0" w:type="dxa"/>
            <w:vAlign w:val="bottom"/>
          </w:tcPr>
          <w:p>
            <w:pPr>
              <w:spacing w:after="0"/>
              <w:rPr>
                <w:sz w:val="1"/>
                <w:szCs w:val="1"/>
                <w:color w:val="auto"/>
              </w:rPr>
            </w:pPr>
          </w:p>
        </w:tc>
      </w:tr>
      <w:tr>
        <w:trPr>
          <w:trHeight w:val="675"/>
        </w:trPr>
        <w:tc>
          <w:tcPr>
            <w:tcW w:w="360" w:type="dxa"/>
            <w:vAlign w:val="bottom"/>
            <w:tcBorders>
              <w:bottom w:val="single" w:sz="8" w:color="DCDCDC"/>
            </w:tcBorders>
          </w:tcPr>
          <w:p>
            <w:pPr>
              <w:spacing w:after="0"/>
              <w:rPr>
                <w:sz w:val="24"/>
                <w:szCs w:val="24"/>
                <w:color w:val="auto"/>
              </w:rPr>
            </w:pPr>
          </w:p>
        </w:tc>
        <w:tc>
          <w:tcPr>
            <w:tcW w:w="1260" w:type="dxa"/>
            <w:vAlign w:val="bottom"/>
            <w:tcBorders>
              <w:bottom w:val="single" w:sz="8" w:color="DCDCDC"/>
            </w:tcBorders>
          </w:tcPr>
          <w:p>
            <w:pPr>
              <w:spacing w:after="0"/>
              <w:rPr>
                <w:sz w:val="24"/>
                <w:szCs w:val="24"/>
                <w:color w:val="auto"/>
              </w:rPr>
            </w:pPr>
          </w:p>
        </w:tc>
        <w:tc>
          <w:tcPr>
            <w:tcW w:w="2380" w:type="dxa"/>
            <w:vAlign w:val="bottom"/>
            <w:tcBorders>
              <w:bottom w:val="single" w:sz="8" w:color="DCDCDC"/>
            </w:tcBorders>
          </w:tcPr>
          <w:p>
            <w:pPr>
              <w:spacing w:after="0"/>
              <w:rPr>
                <w:sz w:val="24"/>
                <w:szCs w:val="24"/>
                <w:color w:val="auto"/>
              </w:rPr>
            </w:pPr>
          </w:p>
        </w:tc>
        <w:tc>
          <w:tcPr>
            <w:tcW w:w="2080" w:type="dxa"/>
            <w:vAlign w:val="bottom"/>
            <w:tcBorders>
              <w:bottom w:val="single" w:sz="8" w:color="DCDCDC"/>
            </w:tcBorders>
          </w:tcPr>
          <w:p>
            <w:pPr>
              <w:spacing w:after="0"/>
              <w:rPr>
                <w:sz w:val="24"/>
                <w:szCs w:val="24"/>
                <w:color w:val="auto"/>
              </w:rPr>
            </w:pPr>
          </w:p>
        </w:tc>
        <w:tc>
          <w:tcPr>
            <w:tcW w:w="1580" w:type="dxa"/>
            <w:vAlign w:val="bottom"/>
            <w:tcBorders>
              <w:bottom w:val="single" w:sz="8" w:color="DCDCDC"/>
            </w:tcBorders>
          </w:tcPr>
          <w:p>
            <w:pPr>
              <w:spacing w:after="0"/>
              <w:rPr>
                <w:sz w:val="24"/>
                <w:szCs w:val="24"/>
                <w:color w:val="auto"/>
              </w:rPr>
            </w:pPr>
          </w:p>
        </w:tc>
        <w:tc>
          <w:tcPr>
            <w:tcW w:w="37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2"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10.32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Varilease Finance,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6340 South 3000 East,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 84121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www.varilease.com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801.733.8100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801.733.8900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SALE LEASEBACK AGREEMENT</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SALE LEASEBACK AGREEMENT (“Agreement”), between USA TECHNOLOGIES, INC., a Pennsylvania corporation, having its chief executive offices at 100 Deerfield Lane, Suite 140 , Malvern, PA 19355 (“Seller”) and VARILEASE FINANCE, INC., a Michigan corporation, having its chief executive offices at 6340 South 3000 East, Suite 400, Salt Lake City, UT 84121 (“Purchaser”) is dated and effective this April 30, 2014.</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WHEREAS, Purchaser, as Lessor, and Seller, as Lessee, have entered into Schedule No. 01 dated April 30, 2014 (the “Schedule”) as it incorporates the terms and conditions of Master Lease Agreement dated April 30, 2014 (the “Master Agreement”). The Schedule and Master Agreement shall hereinafter be referred to collectively, as the “Lease”;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WHEREAS, Seller desires Purchaser to purchase from Seller property and equipment listed on one or more Authorizations for Progress Payment and/or an Installation Certificate (collectively, “Authorizations” and individually, “Authorization”) (collectively, the “Equipment” and individually, an “Item of Equipment”), and lease the Equipment back from Purchaser; and,</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Purchaser desires to buy the Equipment from Seller and lease the Equipment to Seller under the terms and conditions of this Agreement, the Authorizations and the Lease.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NOW, THEREFORE, in consideration of the foregoing and in further consideration of the representations and covenants contained herein, the parties agree as follows:</w:t>
      </w:r>
    </w:p>
    <w:p>
      <w:pPr>
        <w:spacing w:after="0" w:line="197" w:lineRule="exact"/>
        <w:rPr>
          <w:sz w:val="20"/>
          <w:szCs w:val="20"/>
          <w:color w:val="auto"/>
        </w:rPr>
      </w:pPr>
    </w:p>
    <w:p>
      <w:pPr>
        <w:jc w:val="both"/>
        <w:ind w:left="660" w:hanging="395"/>
        <w:spacing w:after="0" w:line="279"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Purchase and Sale</w:t>
      </w:r>
      <w:r>
        <w:rPr>
          <w:rFonts w:ascii="Arial" w:cs="Arial" w:eastAsia="Arial" w:hAnsi="Arial"/>
          <w:sz w:val="17"/>
          <w:szCs w:val="17"/>
          <w:color w:val="auto"/>
        </w:rPr>
        <w:t>. Seller hereby sells and Purchaser hereby purchases the Equipment (including all maintenance records, schematics, logic books, manuals, cables, kick plates, form stands, diagnostics and microfiche necessary for the installation, maintenance and operation of the Equipment) described in one or more Authorizations signed by Seller. Each Authorization upon the execution and delivery thereof, shall be incorporated into this Agreement by this reference, and collectively, the Authorizations shall comprise the Equipment.</w:t>
      </w:r>
    </w:p>
    <w:p>
      <w:pPr>
        <w:spacing w:after="0" w:line="198" w:lineRule="exact"/>
        <w:rPr>
          <w:rFonts w:ascii="Arial" w:cs="Arial" w:eastAsia="Arial" w:hAnsi="Arial"/>
          <w:sz w:val="17"/>
          <w:szCs w:val="17"/>
          <w:color w:val="auto"/>
        </w:rPr>
      </w:pPr>
    </w:p>
    <w:p>
      <w:pPr>
        <w:ind w:left="660" w:right="20" w:hanging="395"/>
        <w:spacing w:after="0" w:line="308"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Purchase Price</w:t>
      </w:r>
      <w:r>
        <w:rPr>
          <w:rFonts w:ascii="Arial" w:cs="Arial" w:eastAsia="Arial" w:hAnsi="Arial"/>
          <w:sz w:val="17"/>
          <w:szCs w:val="17"/>
          <w:color w:val="auto"/>
        </w:rPr>
        <w:t>. Purchaser and Seller hereby agree that the purchase price to be paid to Seller by Purchaser for the Equipment shall be $2,000,916.54. which shall be payable to Seller under the terms and conditions of this Agreement, the Authorizations and the Lease.</w:t>
      </w:r>
    </w:p>
    <w:p>
      <w:pPr>
        <w:spacing w:after="0" w:line="173" w:lineRule="exact"/>
        <w:rPr>
          <w:rFonts w:ascii="Arial" w:cs="Arial" w:eastAsia="Arial" w:hAnsi="Arial"/>
          <w:sz w:val="17"/>
          <w:szCs w:val="17"/>
          <w:color w:val="auto"/>
        </w:rPr>
      </w:pPr>
    </w:p>
    <w:p>
      <w:pPr>
        <w:jc w:val="both"/>
        <w:ind w:left="660" w:hanging="395"/>
        <w:spacing w:after="0" w:line="279"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Seller represents and warrants that it is responsible for and it has paid all sales and use, property and other taxes assessed or due in connection with Seller’s purchase, use and possession of the Equipment prior to this sale to Purchaser. Seller will pay all taxes in the nature of excise, sales or use taxes imposed upon Seller by any state or political subdivision by reason of the sale provided for herein. Notwithstanding the foregoing, Purchaser warrants that this purchase is for resale and will provide Seller with Purchaser’s resale exemption certificate number.</w:t>
      </w:r>
    </w:p>
    <w:p>
      <w:pPr>
        <w:spacing w:after="0" w:line="198" w:lineRule="exact"/>
        <w:rPr>
          <w:rFonts w:ascii="Arial" w:cs="Arial" w:eastAsia="Arial" w:hAnsi="Arial"/>
          <w:sz w:val="17"/>
          <w:szCs w:val="17"/>
          <w:color w:val="auto"/>
        </w:rPr>
      </w:pPr>
    </w:p>
    <w:p>
      <w:pPr>
        <w:jc w:val="both"/>
        <w:ind w:left="660" w:hanging="395"/>
        <w:spacing w:after="0" w:line="285" w:lineRule="auto"/>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Warranty of Title</w:t>
      </w:r>
      <w:r>
        <w:rPr>
          <w:rFonts w:ascii="Arial" w:cs="Arial" w:eastAsia="Arial" w:hAnsi="Arial"/>
          <w:sz w:val="16"/>
          <w:szCs w:val="16"/>
          <w:color w:val="auto"/>
        </w:rPr>
        <w:t>. SELLER HEREBY WARRANTS TO PURCHASER, ITS SUCCESSORS AND ASSIGNS, THAT SELLER HAS GOOD AND MARKETABLE TITLE TO THE EQUIPMENT, FREE AND CLEAR OF ALL CLAIMS, LIENS, ENCUMBRANCES AND RIGHTS OF OTHERS OF ANY NATURE WHATSOEVER OTHER THAN ANY ASSIGNMENT, SUBLEASE, RENTAL, OR PROCESSING OR SIMILAR AGREEMENTS ENTERED OR TO BE ENTERED INTO FROM TIME TO TIME BETWEEN THE SELLER AND ITS CUSTOMERS OR AGENTS RELATING TO THE EQUIPMENT AND THE USE THEREOF BY ITS CUSTOMERS (“CUSTOMER AGREEMENTS”). BY THIS AGREEMENT, AND SUBJECT TO THE TERMS OF THE LEASE, THE PARTIES AGREE THAT TITLE AND OWNERSHIP OF THOSE ITEMS OF EQUIPMENT SPECIFIED IN ANY AUTHORIZATION SHALL PASS TO PURCHASER AT THE TIME SELLER SIGNS SUCH AUTHORIZATION, AT WHICH TIME SELLER SHALL GRANT, BARGAIN, SELL, TRANSFER AND DELIVER TO PURCHASER ALL OF SELLER’S RIGHT, TITLE AND INTEREST IN THE ITEMS OF EQUIPMENT DESIGNATED ON THE AUTHORIZATION, TO HAVE AND TO HOLD EACH ITEM OF EQUIPMENT UNTO PURCHASER, ITS SUCCESSORS AND ASSIGNS, BY EXECUTING A BILL OF SALE IN FAVOR OF PURCHASER. SUBJECT TO THE CUSTOMER AGREEMENTS, SELLER HEREBY INDEMNIFIES PURCHASER AGAINST ALL CLAIMS AND COSTS INCURRED IN THE DEFENSE OF TITLE TO THE EQUIPMENT BY ANYONE CLAIMING BY OR THROUGH SELLER. Seller is transferring to Purchaser good title to the Equipment, free and clear of all liens and encumbrances of any kind or description other than the Customer Agreements, and each Item of Equipment will be at the time of signing of each Authorization, in good operating condition and appearance and installed (if applicable) and operating in accordance with all manufacturer specifications. Effective at the time of signing of each Authorization, Seller assigns to Purchaser all of its rights and interests in and to any software specified in each Authorization, together with all vendor representations, warranties and indemnities pertaining thereto, and in any license agreement entered into by Seller in connection with such software. Provided no Event of Default has occurred and is continuing under the Lease, Seller is hereby authorized to use such software consistent with the license agreement relating thereto, and to communicate directly with any licensor in all matters relating to the software and license agreement. Seller agrees to perform and discharge when due each and every obligation of licensee under each license agreement and to not breach any provision of the license. Seller assumes and indemnifies Purchaser against all liabilities or claims arising in connection with such license.</w:t>
      </w:r>
    </w:p>
    <w:p>
      <w:pPr>
        <w:spacing w:after="0" w:line="200" w:lineRule="exact"/>
        <w:rPr>
          <w:rFonts w:ascii="Arial" w:cs="Arial" w:eastAsia="Arial" w:hAnsi="Arial"/>
          <w:sz w:val="16"/>
          <w:szCs w:val="16"/>
          <w:color w:val="auto"/>
        </w:rPr>
      </w:pPr>
    </w:p>
    <w:p>
      <w:pPr>
        <w:spacing w:after="0" w:line="211" w:lineRule="exact"/>
        <w:rPr>
          <w:rFonts w:ascii="Arial" w:cs="Arial" w:eastAsia="Arial" w:hAnsi="Arial"/>
          <w:sz w:val="16"/>
          <w:szCs w:val="16"/>
          <w:color w:val="auto"/>
        </w:rPr>
      </w:pPr>
    </w:p>
    <w:p>
      <w:pPr>
        <w:ind w:left="660" w:hanging="395"/>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Manufacturer’s Warranties</w:t>
      </w:r>
      <w:r>
        <w:rPr>
          <w:rFonts w:ascii="Arial" w:cs="Arial" w:eastAsia="Arial" w:hAnsi="Arial"/>
          <w:sz w:val="18"/>
          <w:szCs w:val="18"/>
          <w:color w:val="auto"/>
        </w:rPr>
        <w:t>. Seller hereby assigns to Purchaser all warranties and indemnities with respect to the Equipment made by the manufacturer thereof.</w:t>
      </w:r>
    </w:p>
    <w:p>
      <w:pPr>
        <w:spacing w:after="0" w:line="197" w:lineRule="exact"/>
        <w:rPr>
          <w:rFonts w:ascii="Arial" w:cs="Arial" w:eastAsia="Arial" w:hAnsi="Arial"/>
          <w:sz w:val="18"/>
          <w:szCs w:val="18"/>
          <w:color w:val="auto"/>
        </w:rPr>
      </w:pPr>
    </w:p>
    <w:p>
      <w:pPr>
        <w:ind w:left="660" w:right="20" w:hanging="395"/>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Security Interest</w:t>
      </w:r>
      <w:r>
        <w:rPr>
          <w:rFonts w:ascii="Arial" w:cs="Arial" w:eastAsia="Arial" w:hAnsi="Arial"/>
          <w:sz w:val="18"/>
          <w:szCs w:val="18"/>
          <w:color w:val="auto"/>
        </w:rPr>
        <w:t>. Seller hereby reserves a security interest in the Equipment, which interest shall be automatically terminated upon payment by Purchaser of the purchase price as set forth in each Authorization.</w:t>
      </w:r>
    </w:p>
    <w:p>
      <w:pPr>
        <w:sectPr>
          <w:pgSz w:w="11900" w:h="16838" w:orient="portrait"/>
          <w:cols w:equalWidth="0" w:num="1">
            <w:col w:w="11420"/>
          </w:cols>
          <w:pgMar w:left="240" w:top="256" w:right="239" w:bottom="379"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379" w:gutter="0" w:footer="0" w:header="0"/>
          <w:type w:val="continuous"/>
        </w:sectPr>
      </w:pPr>
    </w:p>
    <w:bookmarkStart w:id="146" w:name="page147"/>
    <w:bookmarkEnd w:id="146"/>
    <w:p>
      <w:pPr>
        <w:ind w:left="440" w:hanging="395"/>
        <w:spacing w:after="0"/>
        <w:tabs>
          <w:tab w:leader="none" w:pos="440"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Purchaser’s Obligations</w:t>
      </w:r>
      <w:r>
        <w:rPr>
          <w:rFonts w:ascii="Arial" w:cs="Arial" w:eastAsia="Arial" w:hAnsi="Arial"/>
          <w:sz w:val="17"/>
          <w:szCs w:val="17"/>
          <w:color w:val="auto"/>
        </w:rPr>
        <w:t>. Seller hereby acknowledges that Purchaser’s obligations hereunder are expressly subject to the following conditions:</w:t>
      </w:r>
    </w:p>
    <w:p>
      <w:pPr>
        <w:spacing w:after="0" w:line="263" w:lineRule="exact"/>
        <w:rPr>
          <w:rFonts w:ascii="Arial" w:cs="Arial" w:eastAsia="Arial" w:hAnsi="Arial"/>
          <w:sz w:val="17"/>
          <w:szCs w:val="17"/>
          <w:color w:val="auto"/>
        </w:rPr>
      </w:pPr>
    </w:p>
    <w:p>
      <w:pPr>
        <w:ind w:left="1080" w:hanging="390"/>
        <w:spacing w:after="0"/>
        <w:tabs>
          <w:tab w:leader="none" w:pos="1080" w:val="left"/>
        </w:tabs>
        <w:numPr>
          <w:ilvl w:val="1"/>
          <w:numId w:val="97"/>
        </w:numPr>
        <w:rPr>
          <w:rFonts w:ascii="Arial" w:cs="Arial" w:eastAsia="Arial" w:hAnsi="Arial"/>
          <w:sz w:val="16"/>
          <w:szCs w:val="16"/>
          <w:color w:val="auto"/>
        </w:rPr>
      </w:pPr>
      <w:r>
        <w:rPr>
          <w:rFonts w:ascii="Arial" w:cs="Arial" w:eastAsia="Arial" w:hAnsi="Arial"/>
          <w:sz w:val="16"/>
          <w:szCs w:val="16"/>
          <w:color w:val="auto"/>
        </w:rPr>
        <w:t>Purchaser’s receipt of the Master Agreement, Schedule, and supplemental documentation pursuant to section 10 of the Schedule within five</w:t>
      </w:r>
    </w:p>
    <w:p>
      <w:pPr>
        <w:spacing w:after="0" w:line="46" w:lineRule="exact"/>
        <w:rPr>
          <w:rFonts w:ascii="Arial" w:cs="Arial" w:eastAsia="Arial" w:hAnsi="Arial"/>
          <w:sz w:val="16"/>
          <w:szCs w:val="16"/>
          <w:color w:val="auto"/>
        </w:rPr>
      </w:pPr>
    </w:p>
    <w:p>
      <w:pPr>
        <w:ind w:left="108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(5) business days from the date of this Agreement. Should the Lease not be executed and delivered by Seller within such five-day period then, at the option of Purchaser, this Agreement shall be null and void </w:t>
      </w:r>
      <w:r>
        <w:rPr>
          <w:rFonts w:ascii="Arial" w:cs="Arial" w:eastAsia="Arial" w:hAnsi="Arial"/>
          <w:sz w:val="18"/>
          <w:szCs w:val="18"/>
          <w:u w:val="single" w:color="auto"/>
          <w:color w:val="auto"/>
        </w:rPr>
        <w:t>ab initio</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1080" w:hanging="400"/>
        <w:spacing w:after="0"/>
        <w:tabs>
          <w:tab w:leader="none" w:pos="10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Purchaser’s receipt of properly executed Authorization(s) and Bill(s) of Sale given by Seller in favor of Purchaser.</w:t>
      </w:r>
    </w:p>
    <w:p>
      <w:pPr>
        <w:spacing w:after="0" w:line="252" w:lineRule="exact"/>
        <w:rPr>
          <w:rFonts w:ascii="Arial" w:cs="Arial" w:eastAsia="Arial" w:hAnsi="Arial"/>
          <w:sz w:val="18"/>
          <w:szCs w:val="18"/>
          <w:color w:val="auto"/>
        </w:rPr>
      </w:pPr>
    </w:p>
    <w:p>
      <w:pPr>
        <w:jc w:val="both"/>
        <w:ind w:left="1080" w:hanging="390"/>
        <w:spacing w:after="0" w:line="264" w:lineRule="auto"/>
        <w:tabs>
          <w:tab w:leader="none" w:pos="10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Purchaser’s receipt and review of certified UCC searches, or standard UCC searches if certified UCC searches are not available, against Seller showing no security interests, liens or encumbrances on any Item of Equipment, or partial releases of any UCC liens or encumbrances and/or subordinations from lien holders, in a form reasonably acceptable to Purchaser.</w:t>
      </w:r>
    </w:p>
    <w:p>
      <w:pPr>
        <w:spacing w:after="0" w:line="208" w:lineRule="exact"/>
        <w:rPr>
          <w:rFonts w:ascii="Arial" w:cs="Arial" w:eastAsia="Arial" w:hAnsi="Arial"/>
          <w:sz w:val="18"/>
          <w:szCs w:val="18"/>
          <w:color w:val="auto"/>
        </w:rPr>
      </w:pPr>
    </w:p>
    <w:p>
      <w:pPr>
        <w:ind w:left="1080" w:hanging="400"/>
        <w:spacing w:after="0"/>
        <w:tabs>
          <w:tab w:leader="none" w:pos="10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Purchaser’s receipt and review of evidence of Seller’s ownership of the Equipment.</w:t>
      </w:r>
    </w:p>
    <w:p>
      <w:pPr>
        <w:spacing w:after="0" w:line="252" w:lineRule="exact"/>
        <w:rPr>
          <w:rFonts w:ascii="Arial" w:cs="Arial" w:eastAsia="Arial" w:hAnsi="Arial"/>
          <w:sz w:val="18"/>
          <w:szCs w:val="18"/>
          <w:color w:val="auto"/>
        </w:rPr>
      </w:pPr>
    </w:p>
    <w:p>
      <w:pPr>
        <w:ind w:left="1080" w:hanging="390"/>
        <w:spacing w:after="0"/>
        <w:tabs>
          <w:tab w:leader="none" w:pos="10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other documentation reasonably required by Purchaser</w:t>
      </w:r>
    </w:p>
    <w:p>
      <w:pPr>
        <w:spacing w:after="0" w:line="252" w:lineRule="exact"/>
        <w:rPr>
          <w:rFonts w:ascii="Arial" w:cs="Arial" w:eastAsia="Arial" w:hAnsi="Arial"/>
          <w:sz w:val="18"/>
          <w:szCs w:val="18"/>
          <w:color w:val="auto"/>
        </w:rPr>
      </w:pPr>
    </w:p>
    <w:p>
      <w:pPr>
        <w:ind w:left="440" w:hanging="395"/>
        <w:spacing w:after="0"/>
        <w:tabs>
          <w:tab w:leader="none" w:pos="44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Seller’s Representations and Warranties</w:t>
      </w:r>
      <w:r>
        <w:rPr>
          <w:rFonts w:ascii="Arial" w:cs="Arial" w:eastAsia="Arial" w:hAnsi="Arial"/>
          <w:sz w:val="18"/>
          <w:szCs w:val="18"/>
          <w:color w:val="auto"/>
        </w:rPr>
        <w:t>. Seller represents and warrants to Purchaser that:</w:t>
      </w:r>
    </w:p>
    <w:p>
      <w:pPr>
        <w:spacing w:after="0" w:line="252" w:lineRule="exact"/>
        <w:rPr>
          <w:rFonts w:ascii="Arial" w:cs="Arial" w:eastAsia="Arial" w:hAnsi="Arial"/>
          <w:sz w:val="18"/>
          <w:szCs w:val="18"/>
          <w:color w:val="auto"/>
        </w:rPr>
      </w:pPr>
    </w:p>
    <w:p>
      <w:pPr>
        <w:ind w:left="1080" w:hanging="390"/>
        <w:spacing w:after="0" w:line="277" w:lineRule="auto"/>
        <w:tabs>
          <w:tab w:leader="none" w:pos="10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Seller is duly organized, validly existing and in good standing under the laws of the state of its organization and in all jurisdictions where such qualification is required for it to conduct its business.</w:t>
      </w:r>
    </w:p>
    <w:p>
      <w:pPr>
        <w:spacing w:after="0" w:line="197" w:lineRule="exact"/>
        <w:rPr>
          <w:rFonts w:ascii="Arial" w:cs="Arial" w:eastAsia="Arial" w:hAnsi="Arial"/>
          <w:sz w:val="18"/>
          <w:szCs w:val="18"/>
          <w:color w:val="auto"/>
        </w:rPr>
      </w:pPr>
    </w:p>
    <w:p>
      <w:pPr>
        <w:ind w:left="1080" w:right="20" w:hanging="400"/>
        <w:spacing w:after="0" w:line="277" w:lineRule="auto"/>
        <w:tabs>
          <w:tab w:leader="none" w:pos="10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This Agreement has been duly authorized by Seller, and upon execution and delivery by the parties thereto, shall constitute the valid, legal and binding obligation of Seller enforceable in accordance with its terms.</w:t>
      </w:r>
    </w:p>
    <w:p>
      <w:pPr>
        <w:spacing w:after="0" w:line="197" w:lineRule="exact"/>
        <w:rPr>
          <w:rFonts w:ascii="Arial" w:cs="Arial" w:eastAsia="Arial" w:hAnsi="Arial"/>
          <w:sz w:val="18"/>
          <w:szCs w:val="18"/>
          <w:color w:val="auto"/>
        </w:rPr>
      </w:pPr>
    </w:p>
    <w:p>
      <w:pPr>
        <w:jc w:val="both"/>
        <w:ind w:left="1080" w:hanging="390"/>
        <w:spacing w:after="0" w:line="286" w:lineRule="auto"/>
        <w:tabs>
          <w:tab w:leader="none" w:pos="1080" w:val="left"/>
        </w:tabs>
        <w:numPr>
          <w:ilvl w:val="1"/>
          <w:numId w:val="97"/>
        </w:numPr>
        <w:rPr>
          <w:rFonts w:ascii="Arial" w:cs="Arial" w:eastAsia="Arial" w:hAnsi="Arial"/>
          <w:sz w:val="17"/>
          <w:szCs w:val="17"/>
          <w:color w:val="auto"/>
        </w:rPr>
      </w:pPr>
      <w:r>
        <w:rPr>
          <w:rFonts w:ascii="Arial" w:cs="Arial" w:eastAsia="Arial" w:hAnsi="Arial"/>
          <w:sz w:val="17"/>
          <w:szCs w:val="17"/>
          <w:color w:val="auto"/>
        </w:rPr>
        <w:t>No event has occurred or is continuing which constitutes an event of default under this Agreement or the Lease. No consent, approval or authorization of or by any court, administrative agency or other governmental authority is required in connection with the execution, delivery or performance by Seller of, or the consummation by Seller of the transaction contemplated by this Agreement.</w:t>
      </w:r>
    </w:p>
    <w:p>
      <w:pPr>
        <w:spacing w:after="0" w:line="192" w:lineRule="exact"/>
        <w:rPr>
          <w:rFonts w:ascii="Arial" w:cs="Arial" w:eastAsia="Arial" w:hAnsi="Arial"/>
          <w:sz w:val="17"/>
          <w:szCs w:val="17"/>
          <w:color w:val="auto"/>
        </w:rPr>
      </w:pPr>
    </w:p>
    <w:p>
      <w:pPr>
        <w:ind w:left="1080" w:hanging="400"/>
        <w:spacing w:after="0" w:line="277" w:lineRule="auto"/>
        <w:tabs>
          <w:tab w:leader="none" w:pos="10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transaction contemplated by this Agreement complies with all applicable federal and state laws, rules and regulations applicable to Seller.</w:t>
      </w:r>
    </w:p>
    <w:p>
      <w:pPr>
        <w:spacing w:after="0" w:line="197" w:lineRule="exact"/>
        <w:rPr>
          <w:rFonts w:ascii="Arial" w:cs="Arial" w:eastAsia="Arial" w:hAnsi="Arial"/>
          <w:sz w:val="18"/>
          <w:szCs w:val="18"/>
          <w:color w:val="auto"/>
        </w:rPr>
      </w:pPr>
    </w:p>
    <w:p>
      <w:pPr>
        <w:ind w:left="440" w:hanging="395"/>
        <w:spacing w:after="0"/>
        <w:tabs>
          <w:tab w:leader="none" w:pos="44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Purchaser’s Representations and Warranties</w:t>
      </w:r>
      <w:r>
        <w:rPr>
          <w:rFonts w:ascii="Arial" w:cs="Arial" w:eastAsia="Arial" w:hAnsi="Arial"/>
          <w:sz w:val="18"/>
          <w:szCs w:val="18"/>
          <w:color w:val="auto"/>
        </w:rPr>
        <w:t>. Purchaser represents and warrants to Seller that:</w:t>
      </w:r>
    </w:p>
    <w:p>
      <w:pPr>
        <w:spacing w:after="0" w:line="252" w:lineRule="exact"/>
        <w:rPr>
          <w:rFonts w:ascii="Arial" w:cs="Arial" w:eastAsia="Arial" w:hAnsi="Arial"/>
          <w:sz w:val="18"/>
          <w:szCs w:val="18"/>
          <w:color w:val="auto"/>
        </w:rPr>
      </w:pPr>
    </w:p>
    <w:p>
      <w:pPr>
        <w:ind w:left="1080" w:hanging="390"/>
        <w:spacing w:after="0" w:line="277" w:lineRule="auto"/>
        <w:tabs>
          <w:tab w:leader="none" w:pos="10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Purchaser is a corporation duly organized, validly existing and in good standing under the laws of the State of Michigan and in all jurisdictions where such qualification is required for it to conduct its business.</w:t>
      </w:r>
    </w:p>
    <w:p>
      <w:pPr>
        <w:spacing w:after="0" w:line="197" w:lineRule="exact"/>
        <w:rPr>
          <w:rFonts w:ascii="Arial" w:cs="Arial" w:eastAsia="Arial" w:hAnsi="Arial"/>
          <w:sz w:val="18"/>
          <w:szCs w:val="18"/>
          <w:color w:val="auto"/>
        </w:rPr>
      </w:pPr>
    </w:p>
    <w:p>
      <w:pPr>
        <w:ind w:left="1080" w:hanging="400"/>
        <w:spacing w:after="0" w:line="277" w:lineRule="auto"/>
        <w:tabs>
          <w:tab w:leader="none" w:pos="10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This Agreement has been duly authorized by Purchaser, and upon the execution and delivery by the parties thereto, shall constitute the valid, legal and binding obligation of Purchaser enforceable in accordance with its terms.</w:t>
      </w:r>
    </w:p>
    <w:p>
      <w:pPr>
        <w:spacing w:after="0" w:line="197" w:lineRule="exact"/>
        <w:rPr>
          <w:rFonts w:ascii="Arial" w:cs="Arial" w:eastAsia="Arial" w:hAnsi="Arial"/>
          <w:sz w:val="18"/>
          <w:szCs w:val="18"/>
          <w:color w:val="auto"/>
        </w:rPr>
      </w:pPr>
    </w:p>
    <w:p>
      <w:pPr>
        <w:ind w:left="1080" w:hanging="390"/>
        <w:spacing w:after="0" w:line="277" w:lineRule="auto"/>
        <w:tabs>
          <w:tab w:leader="none" w:pos="10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transactions contemplated by this Agreement comply with all material federal and state laws, rules and regulations applicable to Purchaser.</w:t>
      </w:r>
    </w:p>
    <w:p>
      <w:pPr>
        <w:spacing w:after="0" w:line="197" w:lineRule="exact"/>
        <w:rPr>
          <w:sz w:val="20"/>
          <w:szCs w:val="20"/>
          <w:color w:val="auto"/>
        </w:rPr>
      </w:pPr>
    </w:p>
    <w:p>
      <w:pPr>
        <w:jc w:val="both"/>
        <w:ind w:left="440" w:hanging="440"/>
        <w:spacing w:after="0" w:line="279" w:lineRule="auto"/>
        <w:tabs>
          <w:tab w:leader="none" w:pos="440"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Default and Remedies</w:t>
      </w:r>
      <w:r>
        <w:rPr>
          <w:rFonts w:ascii="Arial" w:cs="Arial" w:eastAsia="Arial" w:hAnsi="Arial"/>
          <w:sz w:val="17"/>
          <w:szCs w:val="17"/>
          <w:color w:val="auto"/>
        </w:rPr>
        <w:t>. In the event any of Seller’s representations made hereunder should be false or misleading in any material respect, or in the event Seller should breach any of its warranties or obligations under this Agreement, Purchaser shall be entitled to exercise all rights and remedies available to it at law or in equity together with all of its rights and remedies under the Lease in Purchaser’s discretion as if they were set forth in this Agreement, and for purposes hereof all such rights and remedies shall be incorporated herein by this reference.</w:t>
      </w:r>
    </w:p>
    <w:p>
      <w:pPr>
        <w:spacing w:after="0" w:line="198" w:lineRule="exact"/>
        <w:rPr>
          <w:rFonts w:ascii="Arial" w:cs="Arial" w:eastAsia="Arial" w:hAnsi="Arial"/>
          <w:sz w:val="17"/>
          <w:szCs w:val="17"/>
          <w:color w:val="auto"/>
        </w:rPr>
      </w:pPr>
    </w:p>
    <w:p>
      <w:pPr>
        <w:jc w:val="both"/>
        <w:ind w:left="440" w:hanging="437"/>
        <w:spacing w:after="0" w:line="259" w:lineRule="auto"/>
        <w:tabs>
          <w:tab w:leader="none" w:pos="44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Purchaser and Seller agree that this Agreement shall inure to the benefit of and shall be binding upon Seller and Purchaser, their respective successors and assigns. Any assignment by Purchaser shall not require Seller’s prior written approval provided such assignee agrees to observe Purchaser’s covenant of quiet enjoyment under the Master Agreement. Seller shall not assign any interest in this Agreement without Purchaser’s prior written consent.</w:t>
      </w:r>
    </w:p>
    <w:p>
      <w:pPr>
        <w:spacing w:after="0" w:line="213" w:lineRule="exact"/>
        <w:rPr>
          <w:rFonts w:ascii="Arial" w:cs="Arial" w:eastAsia="Arial" w:hAnsi="Arial"/>
          <w:sz w:val="18"/>
          <w:szCs w:val="18"/>
          <w:color w:val="auto"/>
        </w:rPr>
      </w:pPr>
    </w:p>
    <w:p>
      <w:pPr>
        <w:ind w:left="440" w:hanging="440"/>
        <w:spacing w:after="0" w:line="277" w:lineRule="auto"/>
        <w:tabs>
          <w:tab w:leader="none" w:pos="44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Survival of Covenants</w:t>
      </w:r>
      <w:r>
        <w:rPr>
          <w:rFonts w:ascii="Arial" w:cs="Arial" w:eastAsia="Arial" w:hAnsi="Arial"/>
          <w:sz w:val="18"/>
          <w:szCs w:val="18"/>
          <w:color w:val="auto"/>
        </w:rPr>
        <w:t>. Purchaser and Seller agree that the warranties, covenants and agreements contained in this Agreement shall survive the passing of title to the Equipment.</w:t>
      </w:r>
    </w:p>
    <w:p>
      <w:pPr>
        <w:spacing w:after="0" w:line="197" w:lineRule="exact"/>
        <w:rPr>
          <w:rFonts w:ascii="Arial" w:cs="Arial" w:eastAsia="Arial" w:hAnsi="Arial"/>
          <w:sz w:val="18"/>
          <w:szCs w:val="18"/>
          <w:color w:val="auto"/>
        </w:rPr>
      </w:pPr>
    </w:p>
    <w:p>
      <w:pPr>
        <w:jc w:val="both"/>
        <w:ind w:left="440" w:hanging="440"/>
        <w:spacing w:after="0" w:line="264" w:lineRule="auto"/>
        <w:tabs>
          <w:tab w:leader="none" w:pos="44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Seller and Purchaser agree that this Agreement and the Lease, together with any amendments, supplements or riders thereto, shall constitute the entire agreement between the parties with respect to the Equipment and shall supersede all proposals, oral or written, all prior negotiations and all other communications.</w:t>
      </w:r>
    </w:p>
    <w:p>
      <w:pPr>
        <w:spacing w:after="0" w:line="208" w:lineRule="exact"/>
        <w:rPr>
          <w:rFonts w:ascii="Arial" w:cs="Arial" w:eastAsia="Arial" w:hAnsi="Arial"/>
          <w:sz w:val="18"/>
          <w:szCs w:val="18"/>
          <w:color w:val="auto"/>
        </w:rPr>
      </w:pPr>
    </w:p>
    <w:p>
      <w:pPr>
        <w:jc w:val="both"/>
        <w:ind w:left="440" w:hanging="440"/>
        <w:spacing w:after="0" w:line="259" w:lineRule="auto"/>
        <w:tabs>
          <w:tab w:leader="none" w:pos="44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This Agreement may only be modified by a subsequent writing executed by both parties. If any provision of this Agreement shall be held to be invalid, illegal or unenforceable, the validity, legality and enforceability of the remaining provisions shall not in any way be affected or impaired thereby. This Agreement shall be governed by the laws of the State of Michigan without giving effect to the principles of conflict of laws. Section headings are for convenience only and shall not be construed as part of this Agreement.</w:t>
      </w:r>
    </w:p>
    <w:p>
      <w:pPr>
        <w:spacing w:after="0" w:line="200" w:lineRule="exact"/>
        <w:rPr>
          <w:sz w:val="20"/>
          <w:szCs w:val="20"/>
          <w:color w:val="auto"/>
        </w:rPr>
      </w:pPr>
    </w:p>
    <w:p>
      <w:pPr>
        <w:spacing w:after="0" w:line="23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Page 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460" w:top="922" w:right="239" w:bottom="559"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IN WITNESS WHEREOF, the parties have executed this Sale Leaseback Agreement on the date shown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PURCHASER:</w:t>
            </w:r>
          </w:p>
        </w:tc>
        <w:tc>
          <w:tcPr>
            <w:tcW w:w="7640" w:type="dxa"/>
            <w:vAlign w:val="bottom"/>
            <w:gridSpan w:val="3"/>
          </w:tcPr>
          <w:p>
            <w:pPr>
              <w:ind w:left="2180"/>
              <w:spacing w:after="0"/>
              <w:rPr>
                <w:sz w:val="20"/>
                <w:szCs w:val="20"/>
                <w:color w:val="auto"/>
              </w:rPr>
            </w:pPr>
            <w:r>
              <w:rPr>
                <w:rFonts w:ascii="Arial" w:cs="Arial" w:eastAsia="Arial" w:hAnsi="Arial"/>
                <w:sz w:val="18"/>
                <w:szCs w:val="18"/>
                <w:color w:val="auto"/>
              </w:rPr>
              <w:t>SELLER:</w:t>
            </w:r>
          </w:p>
        </w:tc>
      </w:tr>
      <w:tr>
        <w:trPr>
          <w:trHeight w:val="230"/>
        </w:trPr>
        <w:tc>
          <w:tcPr>
            <w:tcW w:w="3780" w:type="dxa"/>
            <w:vAlign w:val="bottom"/>
            <w:gridSpan w:val="3"/>
          </w:tcPr>
          <w:p>
            <w:pPr>
              <w:spacing w:after="0"/>
              <w:rPr>
                <w:sz w:val="20"/>
                <w:szCs w:val="20"/>
                <w:color w:val="auto"/>
              </w:rPr>
            </w:pPr>
            <w:r>
              <w:rPr>
                <w:rFonts w:ascii="Arial" w:cs="Arial" w:eastAsia="Arial" w:hAnsi="Arial"/>
                <w:sz w:val="18"/>
                <w:szCs w:val="18"/>
                <w:color w:val="auto"/>
              </w:rPr>
              <w:t>VARILEASE FINANCE, INC.</w:t>
            </w:r>
          </w:p>
        </w:tc>
        <w:tc>
          <w:tcPr>
            <w:tcW w:w="7640" w:type="dxa"/>
            <w:vAlign w:val="bottom"/>
            <w:gridSpan w:val="3"/>
          </w:tcPr>
          <w:p>
            <w:pPr>
              <w:ind w:left="2180"/>
              <w:spacing w:after="0"/>
              <w:rPr>
                <w:sz w:val="20"/>
                <w:szCs w:val="20"/>
                <w:color w:val="auto"/>
              </w:rPr>
            </w:pPr>
            <w:r>
              <w:rPr>
                <w:rFonts w:ascii="Arial" w:cs="Arial" w:eastAsia="Arial" w:hAnsi="Arial"/>
                <w:sz w:val="18"/>
                <w:szCs w:val="18"/>
                <w:color w:val="auto"/>
              </w:rPr>
              <w:t>USA TECHNOLOGIES, INC.</w:t>
            </w:r>
          </w:p>
        </w:tc>
      </w:tr>
      <w:tr>
        <w:trPr>
          <w:trHeight w:val="432"/>
        </w:trPr>
        <w:tc>
          <w:tcPr>
            <w:tcW w:w="3780" w:type="dxa"/>
            <w:vAlign w:val="bottom"/>
            <w:gridSpan w:val="3"/>
          </w:tcPr>
          <w:p>
            <w:pPr>
              <w:spacing w:after="0"/>
              <w:rPr>
                <w:sz w:val="20"/>
                <w:szCs w:val="20"/>
                <w:color w:val="auto"/>
              </w:rPr>
            </w:pPr>
            <w:r>
              <w:rPr>
                <w:rFonts w:ascii="Arial" w:cs="Arial" w:eastAsia="Arial" w:hAnsi="Arial"/>
                <w:sz w:val="18"/>
                <w:szCs w:val="18"/>
                <w:color w:val="auto"/>
              </w:rPr>
              <w:t>By: /s/ Kristy Phillips</w:t>
            </w:r>
          </w:p>
        </w:tc>
        <w:tc>
          <w:tcPr>
            <w:tcW w:w="7640" w:type="dxa"/>
            <w:vAlign w:val="bottom"/>
            <w:gridSpan w:val="3"/>
          </w:tcPr>
          <w:p>
            <w:pPr>
              <w:ind w:left="2180"/>
              <w:spacing w:after="0"/>
              <w:rPr>
                <w:sz w:val="20"/>
                <w:szCs w:val="20"/>
                <w:color w:val="auto"/>
              </w:rPr>
            </w:pPr>
            <w:r>
              <w:rPr>
                <w:rFonts w:ascii="Arial" w:cs="Arial" w:eastAsia="Arial" w:hAnsi="Arial"/>
                <w:sz w:val="18"/>
                <w:szCs w:val="18"/>
                <w:color w:val="auto"/>
              </w:rPr>
              <w:t>By: /s/ David M. DeMedio</w:t>
            </w:r>
          </w:p>
        </w:tc>
      </w:tr>
      <w:tr>
        <w:trPr>
          <w:trHeight w:val="27"/>
        </w:trPr>
        <w:tc>
          <w:tcPr>
            <w:tcW w:w="3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1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3480" w:type="dxa"/>
            <w:vAlign w:val="bottom"/>
          </w:tcPr>
          <w:p>
            <w:pPr>
              <w:spacing w:after="0"/>
              <w:rPr>
                <w:sz w:val="2"/>
                <w:szCs w:val="2"/>
                <w:color w:val="auto"/>
              </w:rPr>
            </w:pPr>
          </w:p>
        </w:tc>
      </w:tr>
      <w:tr>
        <w:trPr>
          <w:trHeight w:val="202"/>
        </w:trPr>
        <w:tc>
          <w:tcPr>
            <w:tcW w:w="1600" w:type="dxa"/>
            <w:vAlign w:val="bottom"/>
            <w:gridSpan w:val="2"/>
          </w:tcPr>
          <w:p>
            <w:pPr>
              <w:spacing w:after="0" w:line="201" w:lineRule="exact"/>
              <w:rPr>
                <w:sz w:val="20"/>
                <w:szCs w:val="20"/>
                <w:color w:val="auto"/>
              </w:rPr>
            </w:pPr>
            <w:r>
              <w:rPr>
                <w:rFonts w:ascii="Arial" w:cs="Arial" w:eastAsia="Arial" w:hAnsi="Arial"/>
                <w:sz w:val="18"/>
                <w:szCs w:val="18"/>
                <w:color w:val="auto"/>
                <w:w w:val="95"/>
              </w:rPr>
              <w:t>Name: Kristy Phillips</w:t>
            </w:r>
          </w:p>
        </w:tc>
        <w:tc>
          <w:tcPr>
            <w:tcW w:w="2180" w:type="dxa"/>
            <w:vAlign w:val="bottom"/>
          </w:tcPr>
          <w:p>
            <w:pPr>
              <w:spacing w:after="0"/>
              <w:rPr>
                <w:sz w:val="17"/>
                <w:szCs w:val="17"/>
                <w:color w:val="auto"/>
              </w:rPr>
            </w:pPr>
          </w:p>
        </w:tc>
        <w:tc>
          <w:tcPr>
            <w:tcW w:w="7640" w:type="dxa"/>
            <w:vAlign w:val="bottom"/>
            <w:gridSpan w:val="3"/>
          </w:tcPr>
          <w:p>
            <w:pPr>
              <w:ind w:left="2180"/>
              <w:spacing w:after="0" w:line="201" w:lineRule="exact"/>
              <w:rPr>
                <w:sz w:val="20"/>
                <w:szCs w:val="20"/>
                <w:color w:val="auto"/>
              </w:rPr>
            </w:pPr>
            <w:r>
              <w:rPr>
                <w:rFonts w:ascii="Arial" w:cs="Arial" w:eastAsia="Arial" w:hAnsi="Arial"/>
                <w:sz w:val="18"/>
                <w:szCs w:val="18"/>
                <w:color w:val="auto"/>
              </w:rPr>
              <w:t>Name: David M. DeMedio</w:t>
            </w:r>
          </w:p>
        </w:tc>
      </w:tr>
      <w:tr>
        <w:trPr>
          <w:trHeight w:val="230"/>
        </w:trPr>
        <w:tc>
          <w:tcPr>
            <w:tcW w:w="3780" w:type="dxa"/>
            <w:vAlign w:val="bottom"/>
            <w:gridSpan w:val="3"/>
          </w:tcPr>
          <w:p>
            <w:pPr>
              <w:spacing w:after="0"/>
              <w:rPr>
                <w:sz w:val="20"/>
                <w:szCs w:val="20"/>
                <w:color w:val="auto"/>
              </w:rPr>
            </w:pPr>
            <w:r>
              <w:rPr>
                <w:rFonts w:ascii="Arial" w:cs="Arial" w:eastAsia="Arial" w:hAnsi="Arial"/>
                <w:sz w:val="18"/>
                <w:szCs w:val="18"/>
                <w:color w:val="auto"/>
              </w:rPr>
              <w:t>Title: Vice President</w:t>
            </w:r>
          </w:p>
        </w:tc>
        <w:tc>
          <w:tcPr>
            <w:tcW w:w="7640" w:type="dxa"/>
            <w:vAlign w:val="bottom"/>
            <w:gridSpan w:val="3"/>
          </w:tcPr>
          <w:p>
            <w:pPr>
              <w:ind w:left="2180"/>
              <w:spacing w:after="0"/>
              <w:rPr>
                <w:sz w:val="20"/>
                <w:szCs w:val="20"/>
                <w:color w:val="auto"/>
              </w:rPr>
            </w:pPr>
            <w:r>
              <w:rPr>
                <w:rFonts w:ascii="Arial" w:cs="Arial" w:eastAsia="Arial" w:hAnsi="Arial"/>
                <w:sz w:val="18"/>
                <w:szCs w:val="18"/>
                <w:color w:val="auto"/>
              </w:rPr>
              <w:t>Title: CFO</w:t>
            </w:r>
          </w:p>
        </w:tc>
      </w:tr>
      <w:tr>
        <w:trPr>
          <w:trHeight w:val="891"/>
        </w:trPr>
        <w:tc>
          <w:tcPr>
            <w:tcW w:w="340" w:type="dxa"/>
            <w:vAlign w:val="bottom"/>
            <w:tcBorders>
              <w:bottom w:val="single" w:sz="8" w:color="DCDCDC"/>
            </w:tcBorders>
          </w:tcPr>
          <w:p>
            <w:pPr>
              <w:spacing w:after="0"/>
              <w:rPr>
                <w:sz w:val="24"/>
                <w:szCs w:val="24"/>
                <w:color w:val="auto"/>
              </w:rPr>
            </w:pPr>
          </w:p>
        </w:tc>
        <w:tc>
          <w:tcPr>
            <w:tcW w:w="1260" w:type="dxa"/>
            <w:vAlign w:val="bottom"/>
            <w:tcBorders>
              <w:bottom w:val="single" w:sz="8" w:color="DCDCDC"/>
            </w:tcBorders>
          </w:tcPr>
          <w:p>
            <w:pPr>
              <w:spacing w:after="0"/>
              <w:rPr>
                <w:sz w:val="24"/>
                <w:szCs w:val="24"/>
                <w:color w:val="auto"/>
              </w:rPr>
            </w:pPr>
          </w:p>
        </w:tc>
        <w:tc>
          <w:tcPr>
            <w:tcW w:w="2180" w:type="dxa"/>
            <w:vAlign w:val="bottom"/>
            <w:tcBorders>
              <w:bottom w:val="single" w:sz="8" w:color="DCDCDC"/>
            </w:tcBorders>
          </w:tcPr>
          <w:p>
            <w:pPr>
              <w:spacing w:after="0"/>
              <w:rPr>
                <w:sz w:val="24"/>
                <w:szCs w:val="24"/>
                <w:color w:val="auto"/>
              </w:rPr>
            </w:pPr>
          </w:p>
        </w:tc>
        <w:tc>
          <w:tcPr>
            <w:tcW w:w="7640" w:type="dxa"/>
            <w:vAlign w:val="bottom"/>
            <w:tcBorders>
              <w:bottom w:val="single" w:sz="8" w:color="DCDCDC"/>
            </w:tcBorders>
            <w:gridSpan w:val="3"/>
          </w:tcPr>
          <w:p>
            <w:pPr>
              <w:ind w:left="1520"/>
              <w:spacing w:after="0"/>
              <w:rPr>
                <w:sz w:val="20"/>
                <w:szCs w:val="20"/>
                <w:color w:val="auto"/>
              </w:rPr>
            </w:pPr>
            <w:r>
              <w:rPr>
                <w:rFonts w:ascii="Arial" w:cs="Arial" w:eastAsia="Arial" w:hAnsi="Arial"/>
                <w:sz w:val="18"/>
                <w:szCs w:val="18"/>
                <w:color w:val="auto"/>
              </w:rPr>
              <w:t>Page 3 of 7</w:t>
            </w:r>
          </w:p>
        </w:tc>
      </w:tr>
    </w:tbl>
    <w:p>
      <w:pPr>
        <w:sectPr>
          <w:pgSz w:w="11900" w:h="16838" w:orient="portrait"/>
          <w:cols w:equalWidth="0" w:num="1">
            <w:col w:w="11420"/>
          </w:cols>
          <w:pgMar w:left="240" w:top="922"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Varilease Finance,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6340 South 3000 East,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 84121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www.varilease.com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801.733.8100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801.733.8900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NO. 01</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SCHEDULE NO. 01 dated April 30, 2014 (the “Schedule”) between VARILEASE FINANCE, INC. (the “Lessor”) and USA TECHNOLOGIES, INC. (the “Lessee”) incorporates by reference the terms and conditions of Master Lease Agreement dated April 30, 2014 between Lessor and Lessee (the “Master Agreement”) and constitutes a separate lease between Lessor and Lessee. The Schedule and Master Agreement are hereinafter referred to collectively, as the “Lease”. All capitalized terms used herein but not defined herein shall have the same meanings ascribed to them in the Master Agreement.</w:t>
      </w:r>
    </w:p>
    <w:p>
      <w:pPr>
        <w:spacing w:after="0" w:line="181" w:lineRule="exact"/>
        <w:rPr>
          <w:sz w:val="20"/>
          <w:szCs w:val="20"/>
          <w:color w:val="auto"/>
        </w:rPr>
      </w:pPr>
    </w:p>
    <w:p>
      <w:pPr>
        <w:ind w:left="340" w:hanging="332"/>
        <w:spacing w:after="0" w:line="277"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Equipment:</w:t>
      </w:r>
      <w:r>
        <w:rPr>
          <w:rFonts w:ascii="Arial" w:cs="Arial" w:eastAsia="Arial" w:hAnsi="Arial"/>
          <w:sz w:val="18"/>
          <w:szCs w:val="18"/>
          <w:color w:val="auto"/>
        </w:rPr>
        <w:t xml:space="preserve"> Remote cashless point of sale Eport equipment as more fully described in the attached Exhibit A of two (2) pages which by this reference becomes a part hereof.</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Equipment Location:</w:t>
      </w:r>
      <w:r>
        <w:rPr>
          <w:rFonts w:ascii="Arial" w:cs="Arial" w:eastAsia="Arial" w:hAnsi="Arial"/>
          <w:sz w:val="18"/>
          <w:szCs w:val="18"/>
          <w:color w:val="auto"/>
        </w:rPr>
        <w:t xml:space="preserve"> Headquartered at 100 Deerfield Lane, Suite 140, Malvern, PA 19355.</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Total Equipment Cost:</w:t>
      </w:r>
      <w:r>
        <w:rPr>
          <w:rFonts w:ascii="Arial" w:cs="Arial" w:eastAsia="Arial" w:hAnsi="Arial"/>
          <w:sz w:val="18"/>
          <w:szCs w:val="18"/>
          <w:color w:val="auto"/>
        </w:rPr>
        <w:t xml:space="preserve">  $2,000,916.54</w:t>
      </w:r>
    </w:p>
    <w:p>
      <w:pPr>
        <w:spacing w:after="0" w:line="252" w:lineRule="exact"/>
        <w:rPr>
          <w:sz w:val="20"/>
          <w:szCs w:val="20"/>
          <w:color w:val="auto"/>
        </w:rPr>
      </w:pPr>
    </w:p>
    <w:p>
      <w:pPr>
        <w:spacing w:after="0"/>
        <w:tabs>
          <w:tab w:leader="none" w:pos="320" w:val="left"/>
          <w:tab w:leader="none" w:pos="21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u w:val="single" w:color="auto"/>
          <w:color w:val="auto"/>
        </w:rPr>
        <w:t>Base Term:</w:t>
      </w:r>
      <w:r>
        <w:rPr>
          <w:sz w:val="20"/>
          <w:szCs w:val="20"/>
          <w:color w:val="auto"/>
        </w:rPr>
        <w:tab/>
      </w:r>
      <w:r>
        <w:rPr>
          <w:rFonts w:ascii="Arial" w:cs="Arial" w:eastAsia="Arial" w:hAnsi="Arial"/>
          <w:sz w:val="16"/>
          <w:szCs w:val="16"/>
          <w:color w:val="auto"/>
        </w:rPr>
        <w:t>36 Months</w:t>
      </w:r>
    </w:p>
    <w:p>
      <w:pPr>
        <w:spacing w:after="0" w:line="252" w:lineRule="exact"/>
        <w:rPr>
          <w:sz w:val="20"/>
          <w:szCs w:val="20"/>
          <w:color w:val="auto"/>
        </w:rPr>
      </w:pPr>
    </w:p>
    <w:p>
      <w:pPr>
        <w:ind w:left="340" w:hanging="332"/>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Base Monthly Rental:</w:t>
      </w:r>
      <w:r>
        <w:rPr>
          <w:rFonts w:ascii="Arial" w:cs="Arial" w:eastAsia="Arial" w:hAnsi="Arial"/>
          <w:sz w:val="18"/>
          <w:szCs w:val="18"/>
          <w:color w:val="auto"/>
        </w:rPr>
        <w:t xml:space="preserve">   $54,665.04 (plus applicable sales/use tax)</w:t>
      </w:r>
    </w:p>
    <w:p>
      <w:pPr>
        <w:spacing w:after="0" w:line="252" w:lineRule="exact"/>
        <w:rPr>
          <w:sz w:val="20"/>
          <w:szCs w:val="20"/>
          <w:color w:val="auto"/>
        </w:rPr>
      </w:pPr>
    </w:p>
    <w:p>
      <w:pPr>
        <w:jc w:val="both"/>
        <w:ind w:left="340" w:hanging="323"/>
        <w:spacing w:after="0" w:line="255" w:lineRule="auto"/>
        <w:tabs>
          <w:tab w:leader="none" w:pos="3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u w:val="single" w:color="auto"/>
          <w:color w:val="auto"/>
        </w:rPr>
        <w:t xml:space="preserve">Deposit: </w:t>
      </w:r>
      <w:r>
        <w:rPr>
          <w:rFonts w:ascii="Arial" w:cs="Arial" w:eastAsia="Arial" w:hAnsi="Arial"/>
          <w:sz w:val="18"/>
          <w:szCs w:val="18"/>
          <w:color w:val="auto"/>
        </w:rPr>
        <w:t>$54,665.04 applied to the last Base Monthly Rental (plus applicable sales/use tax). Lessee shall pay the last Base Monthly</w:t>
      </w:r>
      <w:r>
        <w:rPr>
          <w:rFonts w:ascii="Arial" w:cs="Arial" w:eastAsia="Arial" w:hAnsi="Arial"/>
          <w:sz w:val="18"/>
          <w:szCs w:val="18"/>
          <w:u w:val="single" w:color="auto"/>
          <w:color w:val="auto"/>
        </w:rPr>
        <w:t xml:space="preserve"> </w:t>
      </w:r>
      <w:r>
        <w:rPr>
          <w:rFonts w:ascii="Arial" w:cs="Arial" w:eastAsia="Arial" w:hAnsi="Arial"/>
          <w:sz w:val="18"/>
          <w:szCs w:val="18"/>
          <w:color w:val="auto"/>
        </w:rPr>
        <w:t>Rental in advance upon the execution of this Schedule. Lessee acknowledges and agrees that, notwithstanding anything to the contrary herein, this payment is non-refundable to Lessee under any circumstances, including, without limitation, any termination of this Lease for any reason prior to the end of its scheduled term. This payment shall be deemed earned by Lessor, and upon receipt by Lessor, shall immediately be applied to satisfy Lessee’s obligation to make the last Base Monthly Rental. Lessee and Lessor acknowledge that the $50,000 previously paid to Lessor by Lessee shall be applied by Lessor as a credit towards the deposit due hereunder.</w:t>
      </w:r>
    </w:p>
    <w:p>
      <w:pPr>
        <w:spacing w:after="0" w:line="220"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Base Lease Rate Factor:</w:t>
      </w:r>
      <w:r>
        <w:rPr>
          <w:rFonts w:ascii="Arial" w:cs="Arial" w:eastAsia="Arial" w:hAnsi="Arial"/>
          <w:sz w:val="18"/>
          <w:szCs w:val="18"/>
          <w:color w:val="auto"/>
        </w:rPr>
        <w:t xml:space="preserve"> 0.02732</w:t>
      </w:r>
    </w:p>
    <w:p>
      <w:pPr>
        <w:spacing w:after="0" w:line="252"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Floating Lease Rate Factor:</w:t>
      </w:r>
      <w:r>
        <w:rPr>
          <w:rFonts w:ascii="Arial" w:cs="Arial" w:eastAsia="Arial" w:hAnsi="Arial"/>
          <w:sz w:val="18"/>
          <w:szCs w:val="18"/>
          <w:color w:val="auto"/>
        </w:rPr>
        <w:t xml:space="preserve"> The Base Lease Rate Factor shown in Section 7, which is used to calculate the Base Monthly Rental, shall increase 0.00008775 for every five (5) basis point increase in 36-month U.S. Treasury Notes, until all Items of Equipment have been installed, at which point the date set forth on the Installation Certificate of the Lease shall have occurred. The 36-month U.S. Treasury Note yield used as the basis for the derivation of the Base Lease Rate Factor contained herein is 0.82%.</w:t>
      </w:r>
    </w:p>
    <w:p>
      <w:pPr>
        <w:spacing w:after="0" w:line="213" w:lineRule="exact"/>
        <w:rPr>
          <w:rFonts w:ascii="Arial" w:cs="Arial" w:eastAsia="Arial" w:hAnsi="Arial"/>
          <w:sz w:val="18"/>
          <w:szCs w:val="18"/>
          <w:color w:val="auto"/>
        </w:rPr>
      </w:pPr>
    </w:p>
    <w:p>
      <w:pPr>
        <w:ind w:left="340" w:hanging="332"/>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Equipment Return Location:</w:t>
      </w:r>
      <w:r>
        <w:rPr>
          <w:rFonts w:ascii="Arial" w:cs="Arial" w:eastAsia="Arial" w:hAnsi="Arial"/>
          <w:sz w:val="18"/>
          <w:szCs w:val="18"/>
          <w:color w:val="auto"/>
        </w:rPr>
        <w:t xml:space="preserve"> To Be Advised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Special Terms:</w:t>
      </w:r>
    </w:p>
    <w:p>
      <w:pPr>
        <w:spacing w:after="0" w:line="252" w:lineRule="exact"/>
        <w:rPr>
          <w:rFonts w:ascii="Arial" w:cs="Arial" w:eastAsia="Arial" w:hAnsi="Arial"/>
          <w:sz w:val="18"/>
          <w:szCs w:val="18"/>
          <w:color w:val="auto"/>
        </w:rPr>
      </w:pPr>
    </w:p>
    <w:p>
      <w:pPr>
        <w:jc w:val="both"/>
        <w:ind w:left="980" w:hanging="394"/>
        <w:spacing w:after="0" w:line="254" w:lineRule="auto"/>
        <w:tabs>
          <w:tab w:leader="none" w:pos="980"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Self Maintenance</w:t>
      </w:r>
      <w:r>
        <w:rPr>
          <w:rFonts w:ascii="Arial" w:cs="Arial" w:eastAsia="Arial" w:hAnsi="Arial"/>
          <w:sz w:val="18"/>
          <w:szCs w:val="18"/>
          <w:color w:val="auto"/>
        </w:rPr>
        <w:t>: For this Schedule only, Lessee shall, during the term of the Lease, self-maintain the Equipment, including Improvements, in accordance with manufacturer recommendations, or engage the services of a maintenance organization (the “Maintenance Organization”) to maintain the Equipment, including Improvements, and provide Lessor upon request with a copy of such maintenance contract as amended or supplemented, if applicable. During the term of the Lease, Lessee shall, at its expense, keep the Equipment, including Improvements, in good working order, repair, appearance and condition and make all necessary adjustments, repairs and replacements, all of which shall become the property of Lessor. Lessee shall not use or permit the use of the Equipment, including Improvements, for any purpose for which, in the opinion of the manufacturer of the Equipment, including Improvements, or Maintenance Organization, the Equipment, including Improvements, is not designed or intended.</w:t>
      </w:r>
    </w:p>
    <w:p>
      <w:pPr>
        <w:spacing w:after="0" w:line="219" w:lineRule="exact"/>
        <w:rPr>
          <w:rFonts w:ascii="Arial" w:cs="Arial" w:eastAsia="Arial" w:hAnsi="Arial"/>
          <w:sz w:val="18"/>
          <w:szCs w:val="18"/>
          <w:color w:val="auto"/>
        </w:rPr>
      </w:pPr>
    </w:p>
    <w:p>
      <w:pPr>
        <w:jc w:val="both"/>
        <w:ind w:left="980" w:hanging="405"/>
        <w:spacing w:after="0" w:line="257" w:lineRule="auto"/>
        <w:tabs>
          <w:tab w:leader="none" w:pos="980"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Authorization for Automatic Withdrawals</w:t>
      </w:r>
      <w:r>
        <w:rPr>
          <w:rFonts w:ascii="Arial" w:cs="Arial" w:eastAsia="Arial" w:hAnsi="Arial"/>
          <w:sz w:val="18"/>
          <w:szCs w:val="18"/>
          <w:color w:val="auto"/>
        </w:rPr>
        <w:t>: Lessee hereby authorizes Lessor or its assigns to electronically transfer all rental payments and other sums required to fulfill Lessee’s contractual obligation under the Lease from Lessee’s account maintained with its financial institution, and Lessee agrees to execute and deliver an Authorization Agreement for Automatic Withdrawals to Lessor to effect such transfers. Failure or refusal of Lessee to authorize such transfers or failure of Lessor or its assigns to receive such payments by electronic transfer shall constitute an additional Event of Default under Section 16(a) of the Master Agreement.</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Lessee Initials: </w:t>
      </w:r>
      <w:r>
        <w:rPr>
          <w:rFonts w:ascii="Arial" w:cs="Arial" w:eastAsia="Arial" w:hAnsi="Arial"/>
          <w:sz w:val="18"/>
          <w:szCs w:val="18"/>
          <w:u w:val="single" w:color="auto"/>
          <w:color w:val="auto"/>
        </w:rPr>
        <w:t>SPH</w:t>
      </w:r>
    </w:p>
    <w:p>
      <w:pPr>
        <w:spacing w:after="0" w:line="252" w:lineRule="exact"/>
        <w:rPr>
          <w:sz w:val="20"/>
          <w:szCs w:val="20"/>
          <w:color w:val="auto"/>
        </w:rPr>
      </w:pPr>
    </w:p>
    <w:p>
      <w:pPr>
        <w:jc w:val="both"/>
        <w:ind w:left="980" w:hanging="394"/>
        <w:spacing w:after="0" w:line="264" w:lineRule="auto"/>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Guaranty</w:t>
      </w:r>
      <w:r>
        <w:rPr>
          <w:rFonts w:ascii="Arial" w:cs="Arial" w:eastAsia="Arial" w:hAnsi="Arial"/>
          <w:sz w:val="18"/>
          <w:szCs w:val="18"/>
          <w:color w:val="auto"/>
        </w:rPr>
        <w:t>: Notwithstanding anything to the contrary herein, the parties acknowledge and agree that this Lease is guaranteed by Stitch Networks Corporation and USAT Capital Corp, LLC as set forth in the Guaranty documents, each dated April 30, 2014, copies of which are attached hereto and incorporated herein.</w:t>
      </w:r>
    </w:p>
    <w:p>
      <w:pPr>
        <w:spacing w:after="0" w:line="208" w:lineRule="exact"/>
        <w:rPr>
          <w:sz w:val="20"/>
          <w:szCs w:val="20"/>
          <w:color w:val="auto"/>
        </w:rPr>
      </w:pPr>
    </w:p>
    <w:p>
      <w:pPr>
        <w:spacing w:after="0"/>
        <w:tabs>
          <w:tab w:leader="none" w:pos="8780" w:val="left"/>
        </w:tabs>
        <w:rPr>
          <w:sz w:val="20"/>
          <w:szCs w:val="20"/>
          <w:color w:val="auto"/>
        </w:rPr>
      </w:pPr>
      <w:r>
        <w:rPr>
          <w:rFonts w:ascii="Arial" w:cs="Arial" w:eastAsia="Arial" w:hAnsi="Arial"/>
          <w:sz w:val="18"/>
          <w:szCs w:val="18"/>
          <w:color w:val="auto"/>
        </w:rPr>
        <w:t xml:space="preserve">Lessor Initials: </w:t>
      </w:r>
      <w:r>
        <w:rPr>
          <w:rFonts w:ascii="Arial" w:cs="Arial" w:eastAsia="Arial" w:hAnsi="Arial"/>
          <w:sz w:val="18"/>
          <w:szCs w:val="18"/>
          <w:u w:val="single" w:color="auto"/>
          <w:color w:val="auto"/>
        </w:rPr>
        <w:t>KP</w:t>
      </w:r>
      <w:r>
        <w:rPr>
          <w:sz w:val="20"/>
          <w:szCs w:val="20"/>
          <w:color w:val="auto"/>
        </w:rPr>
        <w:tab/>
      </w:r>
      <w:r>
        <w:rPr>
          <w:rFonts w:ascii="Arial" w:cs="Arial" w:eastAsia="Arial" w:hAnsi="Arial"/>
          <w:sz w:val="16"/>
          <w:szCs w:val="16"/>
          <w:color w:val="auto"/>
        </w:rPr>
        <w:t xml:space="preserve">Lessee Initials: </w:t>
      </w:r>
      <w:r>
        <w:rPr>
          <w:rFonts w:ascii="Arial" w:cs="Arial" w:eastAsia="Arial" w:hAnsi="Arial"/>
          <w:sz w:val="16"/>
          <w:szCs w:val="16"/>
          <w:u w:val="single" w:color="auto"/>
          <w:color w:val="auto"/>
        </w:rPr>
        <w:t>SPH</w:t>
      </w:r>
    </w:p>
    <w:p>
      <w:pPr>
        <w:spacing w:after="0" w:line="23" w:lineRule="exact"/>
        <w:rPr>
          <w:sz w:val="20"/>
          <w:szCs w:val="20"/>
          <w:color w:val="auto"/>
        </w:rPr>
      </w:pPr>
    </w:p>
    <w:p>
      <w:pPr>
        <w:jc w:val="both"/>
        <w:ind w:left="980" w:hanging="405"/>
        <w:spacing w:after="0" w:line="254" w:lineRule="auto"/>
        <w:tabs>
          <w:tab w:leader="none" w:pos="98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Sale Leaseback:</w:t>
      </w:r>
      <w:r>
        <w:rPr>
          <w:rFonts w:ascii="Arial" w:cs="Arial" w:eastAsia="Arial" w:hAnsi="Arial"/>
          <w:sz w:val="18"/>
          <w:szCs w:val="18"/>
          <w:color w:val="auto"/>
        </w:rPr>
        <w:t xml:space="preserve"> Notwithstanding anything to the contrary herein, the parties acknowledge and agree that this transaction is structured as a sale leaseback, whereby Lessor shall purchase the equipment from Lessee for purposes of leasing the equipment back to Lessee in accordance with the terms and conditions set forth in the Sale Leaseback Agreement dated April 30, 2014, a copy of which is attached hereto and incorporated herein.</w:t>
      </w:r>
    </w:p>
    <w:p>
      <w:pPr>
        <w:sectPr>
          <w:pgSz w:w="11900" w:h="16838" w:orient="portrait"/>
          <w:cols w:equalWidth="0" w:num="1">
            <w:col w:w="11420"/>
          </w:cols>
          <w:pgMar w:left="240" w:top="922" w:right="239" w:bottom="199" w:gutter="0" w:footer="0" w:header="0"/>
        </w:sectPr>
      </w:pPr>
    </w:p>
    <w:bookmarkStart w:id="149" w:name="page150"/>
    <w:bookmarkEnd w:id="149"/>
    <w:p>
      <w:pPr>
        <w:jc w:val="center"/>
        <w:spacing w:after="0"/>
        <w:rPr>
          <w:sz w:val="20"/>
          <w:szCs w:val="20"/>
          <w:color w:val="auto"/>
        </w:rPr>
      </w:pPr>
      <w:r>
        <w:rPr>
          <w:rFonts w:ascii="Arial" w:cs="Arial" w:eastAsia="Arial" w:hAnsi="Arial"/>
          <w:sz w:val="16"/>
          <w:szCs w:val="16"/>
          <w:color w:val="auto"/>
        </w:rPr>
        <w:t>Page 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0" w:name="page151"/>
    <w:bookmarkEnd w:id="150"/>
    <w:p>
      <w:pPr>
        <w:jc w:val="both"/>
        <w:ind w:left="980" w:hanging="394"/>
        <w:spacing w:after="0" w:line="254" w:lineRule="auto"/>
        <w:tabs>
          <w:tab w:leader="none" w:pos="98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Master Agreement Amendment</w:t>
      </w:r>
      <w:r>
        <w:rPr>
          <w:rFonts w:ascii="Arial" w:cs="Arial" w:eastAsia="Arial" w:hAnsi="Arial"/>
          <w:sz w:val="18"/>
          <w:szCs w:val="18"/>
          <w:color w:val="auto"/>
        </w:rPr>
        <w:t>: For purposes of this Schedule only, the following shall be added as the last sentence of Section 19(b) of the Master Agreement “At the conclusion of option (ii) above and upon Lessee’s payment to Lessor of (i) all unpaid Rental Payments, including any applicable sales tax, (ii) all unpaid property taxes, (iii) all accrued but unbilled property taxes, and (iv) all unpaid late charges, any and all of the Lessor’s and/or any Assignee’s right, title and interest in and to the Equipment shall pass to Lessee, or if the Equipment includes software which is subject to a license, then any and all of Lessor’s or any Assignee’s rights, title, and interests in and to the software shall pass to Lessee, and the Lease shall terminate. At the time of such termination, Lessor shall remove of record any and all UCC financing statements and any other applicable filings and recordings evidencing the Lease”. All other terms and conditions of the Master Agreement shall remain in full force and effect without change.</w:t>
      </w:r>
    </w:p>
    <w:p>
      <w:pPr>
        <w:spacing w:after="0" w:line="219" w:lineRule="exact"/>
        <w:rPr>
          <w:rFonts w:ascii="Arial" w:cs="Arial" w:eastAsia="Arial" w:hAnsi="Arial"/>
          <w:sz w:val="18"/>
          <w:szCs w:val="18"/>
          <w:color w:val="auto"/>
        </w:rPr>
      </w:pPr>
    </w:p>
    <w:p>
      <w:pPr>
        <w:jc w:val="both"/>
        <w:ind w:left="980" w:hanging="374"/>
        <w:spacing w:after="0" w:line="270" w:lineRule="auto"/>
        <w:tabs>
          <w:tab w:leader="none" w:pos="980"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Tax Payment and Indemnification</w:t>
      </w:r>
      <w:r>
        <w:rPr>
          <w:rFonts w:ascii="Arial" w:cs="Arial" w:eastAsia="Arial" w:hAnsi="Arial"/>
          <w:sz w:val="17"/>
          <w:szCs w:val="17"/>
          <w:color w:val="auto"/>
        </w:rPr>
        <w:t>: Notwithstanding anything to the contrary in the Master Agreement, for this Schedule only, during the term of the Lease, Lessee shall pay directly all taxes, fees, and assessments, including, but not limited to, sales, use and property tax, that may be imposed by any taxing authority on the Equipment, on its purchase, ownership, delivery, possession, operation, rental, return to Lessor or its purchase by Lessee (collectively, “Taxes”). Lessee hereby agrees to indemnify and hold Lessor harmless from and against any and all losses incurred by Lessor arising out of Lessee’s absolute and unconditional obligation to remit any and all Taxes directly to the taxing authority as required under the laws of the state where any Item of Equipment is located (“Jurisdiction”), and to provide quarterly and/or annual reports, as applicable, to Lessor verifying that all Taxes have been paid in accordance with the laws of each applicable Jurisdiction. Lessee further agrees to indemnify, defend and hold Lessor harmless from and against any and all demands, claims, costs, expenses, attorney fees or liabilities that may result therefrom or from enforcement of this Indemnification.</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Lessee Initials: </w:t>
      </w:r>
      <w:r>
        <w:rPr>
          <w:rFonts w:ascii="Arial" w:cs="Arial" w:eastAsia="Arial" w:hAnsi="Arial"/>
          <w:sz w:val="18"/>
          <w:szCs w:val="18"/>
          <w:u w:val="single" w:color="auto"/>
          <w:color w:val="auto"/>
        </w:rPr>
        <w:t>SPH</w:t>
      </w:r>
    </w:p>
    <w:p>
      <w:pPr>
        <w:spacing w:after="0" w:line="252" w:lineRule="exact"/>
        <w:rPr>
          <w:sz w:val="20"/>
          <w:szCs w:val="20"/>
          <w:color w:val="auto"/>
        </w:rPr>
      </w:pPr>
    </w:p>
    <w:p>
      <w:pPr>
        <w:jc w:val="both"/>
        <w:ind w:left="980" w:hanging="405"/>
        <w:spacing w:after="0" w:line="291" w:lineRule="auto"/>
        <w:tabs>
          <w:tab w:leader="none" w:pos="980"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Tracking Report</w:t>
      </w:r>
      <w:r>
        <w:rPr>
          <w:rFonts w:ascii="Arial" w:cs="Arial" w:eastAsia="Arial" w:hAnsi="Arial"/>
          <w:sz w:val="16"/>
          <w:szCs w:val="16"/>
          <w:color w:val="auto"/>
        </w:rPr>
        <w:t xml:space="preserve">: Lessee hereby agrees to provide to Lessor, on a quarterly basis or as requested by Lessor, a current location tracking report for all Items of Equipment, in a form satisfactory to Lessor in its sole discretion. </w:t>
      </w:r>
      <w:r>
        <w:rPr>
          <w:rFonts w:ascii="Arial" w:cs="Arial" w:eastAsia="Arial" w:hAnsi="Arial"/>
          <w:sz w:val="16"/>
          <w:szCs w:val="16"/>
          <w:b w:val="1"/>
          <w:bCs w:val="1"/>
          <w:color w:val="auto"/>
        </w:rPr>
        <w:t>FAILURE OF LESSEE TO PROVIDE THE TRACKING</w:t>
      </w:r>
    </w:p>
    <w:p>
      <w:pPr>
        <w:ind w:left="980"/>
        <w:spacing w:after="0"/>
        <w:rPr>
          <w:rFonts w:ascii="Arial" w:cs="Arial" w:eastAsia="Arial" w:hAnsi="Arial"/>
          <w:sz w:val="16"/>
          <w:szCs w:val="16"/>
          <w:color w:val="auto"/>
        </w:rPr>
      </w:pPr>
      <w:r>
        <w:rPr>
          <w:rFonts w:ascii="Arial" w:cs="Arial" w:eastAsia="Arial" w:hAnsi="Arial"/>
          <w:sz w:val="18"/>
          <w:szCs w:val="18"/>
          <w:b w:val="1"/>
          <w:bCs w:val="1"/>
          <w:color w:val="auto"/>
        </w:rPr>
        <w:t>REPORT TO LESSOR AS PROVIDED HEREIN SHALL CONSTITUTE AN EVENT OF DEFAULT UNDER SECTION 16(a)(IV)</w:t>
      </w:r>
    </w:p>
    <w:p>
      <w:pPr>
        <w:spacing w:after="0" w:line="9"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b w:val="1"/>
          <w:bCs w:val="1"/>
          <w:color w:val="auto"/>
        </w:rPr>
        <w:t>OF THE MASTER AGREEMENT</w:t>
      </w:r>
      <w:r>
        <w:rPr>
          <w:rFonts w:ascii="Arial" w:cs="Arial" w:eastAsia="Arial" w:hAnsi="Arial"/>
          <w:sz w:val="18"/>
          <w:szCs w:val="18"/>
          <w:color w:val="auto"/>
        </w:rPr>
        <w:t>.</w:t>
      </w:r>
    </w:p>
    <w:p>
      <w:pPr>
        <w:spacing w:after="0" w:line="237" w:lineRule="exact"/>
        <w:rPr>
          <w:rFonts w:ascii="Arial" w:cs="Arial" w:eastAsia="Arial" w:hAnsi="Arial"/>
          <w:sz w:val="16"/>
          <w:szCs w:val="16"/>
          <w:color w:val="auto"/>
        </w:rPr>
      </w:pPr>
    </w:p>
    <w:p>
      <w:pPr>
        <w:ind w:left="980" w:hanging="405"/>
        <w:spacing w:after="0"/>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Master Agreement Amendment</w:t>
      </w:r>
      <w:r>
        <w:rPr>
          <w:rFonts w:ascii="Arial" w:cs="Arial" w:eastAsia="Arial" w:hAnsi="Arial"/>
          <w:sz w:val="18"/>
          <w:szCs w:val="18"/>
          <w:color w:val="auto"/>
        </w:rPr>
        <w:t>: For this Schedule only, the Master Agreement shall further be amended as follows:</w:t>
      </w:r>
    </w:p>
    <w:p>
      <w:pPr>
        <w:spacing w:after="0" w:line="252" w:lineRule="exact"/>
        <w:rPr>
          <w:rFonts w:ascii="Arial" w:cs="Arial" w:eastAsia="Arial" w:hAnsi="Arial"/>
          <w:sz w:val="18"/>
          <w:szCs w:val="18"/>
          <w:color w:val="auto"/>
        </w:rPr>
      </w:pPr>
    </w:p>
    <w:p>
      <w:pPr>
        <w:ind w:left="1620" w:hanging="396"/>
        <w:spacing w:after="0"/>
        <w:tabs>
          <w:tab w:leader="none" w:pos="16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fourth line of Section 2(a) shall be amended by deleting “calendar quarter” and replacing it with “month”.</w:t>
      </w:r>
    </w:p>
    <w:p>
      <w:pPr>
        <w:spacing w:after="0" w:line="252" w:lineRule="exact"/>
        <w:rPr>
          <w:rFonts w:ascii="Arial" w:cs="Arial" w:eastAsia="Arial" w:hAnsi="Arial"/>
          <w:sz w:val="18"/>
          <w:szCs w:val="18"/>
          <w:color w:val="auto"/>
        </w:rPr>
      </w:pPr>
    </w:p>
    <w:p>
      <w:pPr>
        <w:ind w:left="1620" w:hanging="396"/>
        <w:spacing w:after="0" w:line="277" w:lineRule="auto"/>
        <w:tabs>
          <w:tab w:leader="none" w:pos="16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Section 3(a) shall be amended by deleting the phrase “from the date such Item was installed” and replacing it with “from the Installation Date”.</w:t>
      </w:r>
    </w:p>
    <w:p>
      <w:pPr>
        <w:spacing w:after="0" w:line="197" w:lineRule="exact"/>
        <w:rPr>
          <w:rFonts w:ascii="Arial" w:cs="Arial" w:eastAsia="Arial" w:hAnsi="Arial"/>
          <w:sz w:val="18"/>
          <w:szCs w:val="18"/>
          <w:color w:val="auto"/>
        </w:rPr>
      </w:pPr>
    </w:p>
    <w:p>
      <w:pPr>
        <w:jc w:val="both"/>
        <w:ind w:left="1620" w:hanging="396"/>
        <w:spacing w:after="0" w:line="272" w:lineRule="auto"/>
        <w:tabs>
          <w:tab w:leader="none" w:pos="162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Section 6(b) of the Master Agreement shall be deleted in its entirety and replaced with the following: “(b) Provided that no Event of Default shall have occurred, Lessee and/or its assigns, agents, customers, or sublesses shall, at all times during the term of the Lease, be entitled to unlimited use and enjoyment of the Equipment. In no event shall the Equipment be moved outside the continental, contiguous United States. Lessee and/or its assigns, customers, agents, or sublesses of the equipment will comply with all laws, regulations, and ordinances, and all applicable requirements of the manufacturer of the Equipment that apply to the physical possession, use, operation, condition, and maintenance of the Equipment. Lessee agrees to obtain, or to require its customers or agents to obtain, all permits and licenses necessary for the operation of the Equipment.”</w:t>
      </w:r>
    </w:p>
    <w:p>
      <w:pPr>
        <w:spacing w:after="0" w:line="204" w:lineRule="exact"/>
        <w:rPr>
          <w:rFonts w:ascii="Arial" w:cs="Arial" w:eastAsia="Arial" w:hAnsi="Arial"/>
          <w:sz w:val="17"/>
          <w:szCs w:val="17"/>
          <w:color w:val="auto"/>
        </w:rPr>
      </w:pPr>
    </w:p>
    <w:p>
      <w:pPr>
        <w:ind w:left="1620" w:right="20" w:hanging="396"/>
        <w:spacing w:after="0" w:line="308" w:lineRule="auto"/>
        <w:tabs>
          <w:tab w:leader="none" w:pos="162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The first sentence of Section 6(c) shall be amended by adding “; provided, however, that the foregoing shall not refer to or include any firmware of Lessee or any other intellectual property of Lessee, including Lessee’s software” before the parenthetical phrase.</w:t>
      </w:r>
    </w:p>
    <w:p>
      <w:pPr>
        <w:spacing w:after="0" w:line="173" w:lineRule="exact"/>
        <w:rPr>
          <w:rFonts w:ascii="Arial" w:cs="Arial" w:eastAsia="Arial" w:hAnsi="Arial"/>
          <w:sz w:val="17"/>
          <w:szCs w:val="17"/>
          <w:color w:val="auto"/>
        </w:rPr>
      </w:pPr>
    </w:p>
    <w:p>
      <w:pPr>
        <w:ind w:left="1620" w:hanging="396"/>
        <w:spacing w:after="0"/>
        <w:tabs>
          <w:tab w:leader="none" w:pos="16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first sentence of Section 8(a) shall be deleted.</w:t>
      </w:r>
    </w:p>
    <w:p>
      <w:pPr>
        <w:spacing w:after="0" w:line="252" w:lineRule="exact"/>
        <w:rPr>
          <w:rFonts w:ascii="Arial" w:cs="Arial" w:eastAsia="Arial" w:hAnsi="Arial"/>
          <w:sz w:val="18"/>
          <w:szCs w:val="18"/>
          <w:color w:val="auto"/>
        </w:rPr>
      </w:pPr>
    </w:p>
    <w:p>
      <w:pPr>
        <w:ind w:left="1620" w:hanging="396"/>
        <w:spacing w:after="0"/>
        <w:tabs>
          <w:tab w:leader="none" w:pos="16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Section 8(c) shall be amended as follows:</w:t>
      </w:r>
    </w:p>
    <w:p>
      <w:pPr>
        <w:spacing w:after="0" w:line="252" w:lineRule="exact"/>
        <w:rPr>
          <w:rFonts w:ascii="Arial" w:cs="Arial" w:eastAsia="Arial" w:hAnsi="Arial"/>
          <w:sz w:val="18"/>
          <w:szCs w:val="18"/>
          <w:color w:val="auto"/>
        </w:rPr>
      </w:pPr>
    </w:p>
    <w:p>
      <w:pPr>
        <w:jc w:val="both"/>
        <w:ind w:left="2280" w:hanging="368"/>
        <w:spacing w:after="0" w:line="257" w:lineRule="auto"/>
        <w:tabs>
          <w:tab w:leader="none" w:pos="228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 PROVIDED, HOWEVER, THAT LESSEE MAY AND IS HEREBY SPECIFICIALLY AUTHORIZED TO FROM TIME TO TIME OR AT ANY TIME TO, ASSIGN, SUBLET, RENT, OR TRANSFER ITS RIGHTS TO THE EQUIPMENT HEREUNDER TO ANY CUSTOMER OR AGENT PURSUANT TO A LEASE, SUBLEASE, RENTAL, PROCESSING AGREEMENT, OR OTHER SIMILAR AGREEMENT (“CUSTOMER AGREEMENT”)” shall be added after “CONSENT OF LESSOR.”</w:t>
      </w:r>
    </w:p>
    <w:p>
      <w:pPr>
        <w:spacing w:after="0" w:line="215" w:lineRule="exact"/>
        <w:rPr>
          <w:rFonts w:ascii="Arial" w:cs="Arial" w:eastAsia="Arial" w:hAnsi="Arial"/>
          <w:sz w:val="18"/>
          <w:szCs w:val="18"/>
          <w:color w:val="auto"/>
        </w:rPr>
      </w:pPr>
    </w:p>
    <w:p>
      <w:pPr>
        <w:ind w:left="2280" w:hanging="418"/>
        <w:spacing w:after="0" w:line="277" w:lineRule="auto"/>
        <w:tabs>
          <w:tab w:leader="none" w:pos="228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“Lessee grants to Lessor the right of first refusal on any sublease or other grant of Lessee’s rights to the Equipment.” shall be deleted.</w:t>
      </w:r>
    </w:p>
    <w:p>
      <w:pPr>
        <w:spacing w:after="0" w:line="197" w:lineRule="exact"/>
        <w:rPr>
          <w:rFonts w:ascii="Arial" w:cs="Arial" w:eastAsia="Arial" w:hAnsi="Arial"/>
          <w:sz w:val="18"/>
          <w:szCs w:val="18"/>
          <w:color w:val="auto"/>
        </w:rPr>
      </w:pPr>
    </w:p>
    <w:p>
      <w:pPr>
        <w:ind w:left="1620" w:hanging="396"/>
        <w:spacing w:after="0"/>
        <w:tabs>
          <w:tab w:leader="none" w:pos="16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Section 11 shall be deleted in its entirety and replaced with the following:</w:t>
      </w:r>
    </w:p>
    <w:p>
      <w:pPr>
        <w:spacing w:after="0" w:line="248" w:lineRule="exact"/>
        <w:rPr>
          <w:rFonts w:ascii="Arial" w:cs="Arial" w:eastAsia="Arial" w:hAnsi="Arial"/>
          <w:sz w:val="18"/>
          <w:szCs w:val="18"/>
          <w:color w:val="auto"/>
        </w:rPr>
      </w:pPr>
    </w:p>
    <w:p>
      <w:pPr>
        <w:ind w:left="1620"/>
        <w:spacing w:after="0" w:line="313"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11. QUIET ENJOYMENT.</w:t>
      </w:r>
      <w:r>
        <w:rPr>
          <w:rFonts w:ascii="Arial" w:cs="Arial" w:eastAsia="Arial" w:hAnsi="Arial"/>
          <w:sz w:val="17"/>
          <w:szCs w:val="17"/>
          <w:color w:val="auto"/>
        </w:rPr>
        <w:t xml:space="preserve"> Lessor and /or any Assignee covenants that so long as Lessee is not in default under a Lease, Lessor and/or any Assignee shall take no action to interfere with Lessee’s assignment, rental, enjoyment, sublease, transfer, or</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gridSpan w:val="3"/>
          </w:tcPr>
          <w:p>
            <w:pPr>
              <w:spacing w:after="0"/>
              <w:rPr>
                <w:sz w:val="20"/>
                <w:szCs w:val="20"/>
                <w:color w:val="auto"/>
              </w:rPr>
            </w:pPr>
            <w:r>
              <w:rPr>
                <w:rFonts w:ascii="Arial" w:cs="Arial" w:eastAsia="Arial" w:hAnsi="Arial"/>
                <w:sz w:val="18"/>
                <w:szCs w:val="18"/>
                <w:color w:val="auto"/>
              </w:rPr>
              <w:t>Lessor Initials: KP</w:t>
            </w:r>
          </w:p>
        </w:tc>
        <w:tc>
          <w:tcPr>
            <w:tcW w:w="9920" w:type="dxa"/>
            <w:vAlign w:val="bottom"/>
            <w:gridSpan w:val="3"/>
          </w:tcPr>
          <w:p>
            <w:pPr>
              <w:ind w:left="7080"/>
              <w:spacing w:after="0"/>
              <w:rPr>
                <w:sz w:val="20"/>
                <w:szCs w:val="20"/>
                <w:color w:val="auto"/>
              </w:rPr>
            </w:pPr>
            <w:r>
              <w:rPr>
                <w:rFonts w:ascii="Arial" w:cs="Arial" w:eastAsia="Arial" w:hAnsi="Arial"/>
                <w:sz w:val="18"/>
                <w:szCs w:val="18"/>
                <w:color w:val="auto"/>
              </w:rPr>
              <w:t>Lessee Initials: SPH</w:t>
            </w:r>
          </w:p>
        </w:tc>
      </w:tr>
      <w:tr>
        <w:trPr>
          <w:trHeight w:val="20"/>
        </w:trPr>
        <w:tc>
          <w:tcPr>
            <w:tcW w:w="1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2"/>
        </w:trPr>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920" w:type="dxa"/>
            <w:vAlign w:val="bottom"/>
            <w:gridSpan w:val="3"/>
          </w:tcPr>
          <w:p>
            <w:pPr>
              <w:ind w:left="120"/>
              <w:spacing w:after="0"/>
              <w:rPr>
                <w:sz w:val="20"/>
                <w:szCs w:val="20"/>
                <w:color w:val="auto"/>
              </w:rPr>
            </w:pPr>
            <w:r>
              <w:rPr>
                <w:rFonts w:ascii="Arial" w:cs="Arial" w:eastAsia="Arial" w:hAnsi="Arial"/>
                <w:sz w:val="18"/>
                <w:szCs w:val="18"/>
                <w:color w:val="auto"/>
                <w:w w:val="93"/>
              </w:rPr>
              <w:t>other unlimited possession and use of the Equipment or interfere with a Customer Agreement, subject to and in accordance with the</w:t>
            </w: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gridSpan w:val="3"/>
          </w:tcPr>
          <w:p>
            <w:pPr>
              <w:ind w:left="120"/>
              <w:spacing w:after="0"/>
              <w:rPr>
                <w:sz w:val="20"/>
                <w:szCs w:val="20"/>
                <w:color w:val="auto"/>
              </w:rPr>
            </w:pPr>
            <w:r>
              <w:rPr>
                <w:rFonts w:ascii="Arial" w:cs="Arial" w:eastAsia="Arial" w:hAnsi="Arial"/>
                <w:sz w:val="18"/>
                <w:szCs w:val="18"/>
                <w:color w:val="auto"/>
              </w:rPr>
              <w:t>provisions of the Lease.”</w:t>
            </w:r>
          </w:p>
        </w:tc>
      </w:tr>
      <w:tr>
        <w:trPr>
          <w:trHeight w:val="675"/>
        </w:trPr>
        <w:tc>
          <w:tcPr>
            <w:tcW w:w="112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9920" w:type="dxa"/>
            <w:vAlign w:val="bottom"/>
            <w:tcBorders>
              <w:bottom w:val="single" w:sz="8" w:color="DCDCDC"/>
            </w:tcBorders>
            <w:gridSpan w:val="3"/>
          </w:tcPr>
          <w:p>
            <w:pPr>
              <w:ind w:left="3800"/>
              <w:spacing w:after="0"/>
              <w:rPr>
                <w:sz w:val="20"/>
                <w:szCs w:val="20"/>
                <w:color w:val="auto"/>
              </w:rPr>
            </w:pPr>
            <w:r>
              <w:rPr>
                <w:rFonts w:ascii="Arial" w:cs="Arial" w:eastAsia="Arial" w:hAnsi="Arial"/>
                <w:sz w:val="18"/>
                <w:szCs w:val="18"/>
                <w:color w:val="auto"/>
              </w:rPr>
              <w:t>Page 5 of 7</w:t>
            </w:r>
          </w:p>
        </w:tc>
      </w:tr>
    </w:tbl>
    <w:p>
      <w:pPr>
        <w:sectPr>
          <w:pgSz w:w="11900" w:h="16838" w:orient="portrait"/>
          <w:cols w:equalWidth="0" w:num="1">
            <w:col w:w="11420"/>
          </w:cols>
          <w:pgMar w:left="240" w:top="922" w:right="239" w:bottom="198" w:gutter="0" w:footer="0" w:header="0"/>
        </w:sectPr>
      </w:pPr>
    </w:p>
    <w:bookmarkStart w:id="151" w:name="page152"/>
    <w:bookmarkEnd w:id="151"/>
    <w:p>
      <w:pPr>
        <w:ind w:left="1620" w:hanging="396"/>
        <w:spacing w:after="0"/>
        <w:tabs>
          <w:tab w:leader="none" w:pos="16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following phrase shall be deleted from Section 15(a)(iii) “and in any jurisdiction in which any of the Equipment is located”.</w:t>
      </w:r>
    </w:p>
    <w:p>
      <w:pPr>
        <w:spacing w:after="0" w:line="263" w:lineRule="exact"/>
        <w:rPr>
          <w:rFonts w:ascii="Arial" w:cs="Arial" w:eastAsia="Arial" w:hAnsi="Arial"/>
          <w:sz w:val="17"/>
          <w:szCs w:val="17"/>
          <w:color w:val="auto"/>
        </w:rPr>
      </w:pPr>
    </w:p>
    <w:p>
      <w:pPr>
        <w:ind w:left="1620" w:hanging="396"/>
        <w:spacing w:after="0"/>
        <w:tabs>
          <w:tab w:leader="none" w:pos="1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Section 16(a)(ii) shall be amended by deleting “remove,”.</w:t>
      </w:r>
    </w:p>
    <w:p>
      <w:pPr>
        <w:spacing w:after="0" w:line="252" w:lineRule="exact"/>
        <w:rPr>
          <w:sz w:val="20"/>
          <w:szCs w:val="20"/>
          <w:color w:val="auto"/>
        </w:rPr>
      </w:pPr>
    </w:p>
    <w:p>
      <w:pPr>
        <w:ind w:left="1620" w:hanging="441"/>
        <w:spacing w:after="0" w:line="277" w:lineRule="auto"/>
        <w:tabs>
          <w:tab w:leader="none" w:pos="1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Section 19(g) shall be amended by deleting “, and, upon Lessor’s request, Lessee shall secure from its mortgagee, landlord or owner of the premises a waiver in form and substance reasonably satisfactory to Lessor”.</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 other terms and conditions of the Master Agreement shall remain in full force and effect without change.</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Lessee’s execution and delivery of this Schedule shall constitute its offer to lease the Equipment described herein upon the terms and conditions set forth herein. Lessor’s subsequent execution of this Schedule in Michigan and delivery to Lessee shall constitute its acceptance of the Lease. The Lease shall be deemed made in Michigan.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anything herein or in the Master Agreement to the contrary, Lessee acknowledges and agrees, that Lessor shall be entitled to claim for federal income tax purposes, without limitation, all benefits, credits and deductions related to the Equipment.</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undersigned Lessee acknowledges that this Schedule authorizes the Lessor or its agents or assignee(s) to sign, execute and file on its behalf any and all necessary documents, including UCC financing statements and other filings and recordings, to make public this lease transaction. The parties intend this transaction to be a true lease, but if any court or tribunal, having power to bind the parties, should conclude that all or part of this Schedule is not a true lease but is in the nature of a sale, consignment, or other transaction, the parties intend and the Lessee hereby grants a continuing security interest in the Equipment from the date of this Schedule to secure the payment of all Lessee’s indebtedness to Lessor. In the event serial numbers for Items are unavailable upon execution hereof, Lessee authorizes Lessor to amend this Schedule by inserting correct serial numbers with respect to those Items.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SCHEDULE TOGETHER WITH THE MASTER AGREEMENT AND ANY ADDITIONAL PROVISION(S) REFERRED TO IN ITEM 10 CONSTITUTE THE ENTIRE AGREEMENT BETWEEN THE LESSOR AND LESSEE AS TO THE LEASE AND THE EQUIPMENT.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LESSOR:</w:t>
            </w:r>
          </w:p>
        </w:tc>
        <w:tc>
          <w:tcPr>
            <w:tcW w:w="7640" w:type="dxa"/>
            <w:vAlign w:val="bottom"/>
            <w:gridSpan w:val="3"/>
          </w:tcPr>
          <w:p>
            <w:pPr>
              <w:ind w:left="2260"/>
              <w:spacing w:after="0"/>
              <w:rPr>
                <w:sz w:val="20"/>
                <w:szCs w:val="20"/>
                <w:color w:val="auto"/>
              </w:rPr>
            </w:pPr>
            <w:r>
              <w:rPr>
                <w:rFonts w:ascii="Arial" w:cs="Arial" w:eastAsia="Arial" w:hAnsi="Arial"/>
                <w:sz w:val="18"/>
                <w:szCs w:val="18"/>
                <w:color w:val="auto"/>
              </w:rPr>
              <w:t>LESSEE:</w:t>
            </w:r>
          </w:p>
        </w:tc>
      </w:tr>
      <w:tr>
        <w:trPr>
          <w:trHeight w:val="230"/>
        </w:trPr>
        <w:tc>
          <w:tcPr>
            <w:tcW w:w="3780" w:type="dxa"/>
            <w:vAlign w:val="bottom"/>
            <w:gridSpan w:val="3"/>
          </w:tcPr>
          <w:p>
            <w:pPr>
              <w:spacing w:after="0"/>
              <w:rPr>
                <w:sz w:val="20"/>
                <w:szCs w:val="20"/>
                <w:color w:val="auto"/>
              </w:rPr>
            </w:pPr>
            <w:r>
              <w:rPr>
                <w:rFonts w:ascii="Arial" w:cs="Arial" w:eastAsia="Arial" w:hAnsi="Arial"/>
                <w:sz w:val="18"/>
                <w:szCs w:val="18"/>
                <w:color w:val="auto"/>
              </w:rPr>
              <w:t>VARILEASE FINANCE, INC.</w:t>
            </w:r>
          </w:p>
        </w:tc>
        <w:tc>
          <w:tcPr>
            <w:tcW w:w="7640" w:type="dxa"/>
            <w:vAlign w:val="bottom"/>
            <w:gridSpan w:val="3"/>
          </w:tcPr>
          <w:p>
            <w:pPr>
              <w:ind w:left="2260"/>
              <w:spacing w:after="0"/>
              <w:rPr>
                <w:sz w:val="20"/>
                <w:szCs w:val="20"/>
                <w:color w:val="auto"/>
              </w:rPr>
            </w:pPr>
            <w:r>
              <w:rPr>
                <w:rFonts w:ascii="Arial" w:cs="Arial" w:eastAsia="Arial" w:hAnsi="Arial"/>
                <w:sz w:val="18"/>
                <w:szCs w:val="18"/>
                <w:color w:val="auto"/>
              </w:rPr>
              <w:t>USA TECHNOLOGIES, INC.</w:t>
            </w:r>
          </w:p>
        </w:tc>
      </w:tr>
      <w:tr>
        <w:trPr>
          <w:trHeight w:val="432"/>
        </w:trPr>
        <w:tc>
          <w:tcPr>
            <w:tcW w:w="3780" w:type="dxa"/>
            <w:vAlign w:val="bottom"/>
            <w:gridSpan w:val="3"/>
          </w:tcPr>
          <w:p>
            <w:pPr>
              <w:spacing w:after="0"/>
              <w:rPr>
                <w:sz w:val="20"/>
                <w:szCs w:val="20"/>
                <w:color w:val="auto"/>
              </w:rPr>
            </w:pPr>
            <w:r>
              <w:rPr>
                <w:rFonts w:ascii="Arial" w:cs="Arial" w:eastAsia="Arial" w:hAnsi="Arial"/>
                <w:sz w:val="18"/>
                <w:szCs w:val="18"/>
                <w:color w:val="auto"/>
              </w:rPr>
              <w:t>By: /s/ Kristy Phillips</w:t>
            </w:r>
          </w:p>
        </w:tc>
        <w:tc>
          <w:tcPr>
            <w:tcW w:w="7640" w:type="dxa"/>
            <w:vAlign w:val="bottom"/>
            <w:gridSpan w:val="3"/>
          </w:tcPr>
          <w:p>
            <w:pPr>
              <w:ind w:left="2260"/>
              <w:spacing w:after="0"/>
              <w:rPr>
                <w:sz w:val="20"/>
                <w:szCs w:val="20"/>
                <w:color w:val="auto"/>
              </w:rPr>
            </w:pPr>
            <w:r>
              <w:rPr>
                <w:rFonts w:ascii="Arial" w:cs="Arial" w:eastAsia="Arial" w:hAnsi="Arial"/>
                <w:sz w:val="18"/>
                <w:szCs w:val="18"/>
                <w:color w:val="auto"/>
              </w:rPr>
              <w:t>By: /s/ David M. DeMedio</w:t>
            </w:r>
          </w:p>
        </w:tc>
      </w:tr>
      <w:tr>
        <w:trPr>
          <w:trHeight w:val="27"/>
        </w:trPr>
        <w:tc>
          <w:tcPr>
            <w:tcW w:w="3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3420" w:type="dxa"/>
            <w:vAlign w:val="bottom"/>
          </w:tcPr>
          <w:p>
            <w:pPr>
              <w:spacing w:after="0"/>
              <w:rPr>
                <w:sz w:val="2"/>
                <w:szCs w:val="2"/>
                <w:color w:val="auto"/>
              </w:rPr>
            </w:pPr>
          </w:p>
        </w:tc>
      </w:tr>
      <w:tr>
        <w:trPr>
          <w:trHeight w:val="202"/>
        </w:trPr>
        <w:tc>
          <w:tcPr>
            <w:tcW w:w="1600" w:type="dxa"/>
            <w:vAlign w:val="bottom"/>
            <w:gridSpan w:val="2"/>
          </w:tcPr>
          <w:p>
            <w:pPr>
              <w:spacing w:after="0" w:line="201" w:lineRule="exact"/>
              <w:rPr>
                <w:sz w:val="20"/>
                <w:szCs w:val="20"/>
                <w:color w:val="auto"/>
              </w:rPr>
            </w:pPr>
            <w:r>
              <w:rPr>
                <w:rFonts w:ascii="Arial" w:cs="Arial" w:eastAsia="Arial" w:hAnsi="Arial"/>
                <w:sz w:val="18"/>
                <w:szCs w:val="18"/>
                <w:color w:val="auto"/>
                <w:w w:val="95"/>
              </w:rPr>
              <w:t>Name: Kristy Phillips</w:t>
            </w:r>
          </w:p>
        </w:tc>
        <w:tc>
          <w:tcPr>
            <w:tcW w:w="2180" w:type="dxa"/>
            <w:vAlign w:val="bottom"/>
          </w:tcPr>
          <w:p>
            <w:pPr>
              <w:spacing w:after="0"/>
              <w:rPr>
                <w:sz w:val="17"/>
                <w:szCs w:val="17"/>
                <w:color w:val="auto"/>
              </w:rPr>
            </w:pPr>
          </w:p>
        </w:tc>
        <w:tc>
          <w:tcPr>
            <w:tcW w:w="7640" w:type="dxa"/>
            <w:vAlign w:val="bottom"/>
            <w:gridSpan w:val="3"/>
          </w:tcPr>
          <w:p>
            <w:pPr>
              <w:ind w:left="2260"/>
              <w:spacing w:after="0" w:line="201" w:lineRule="exact"/>
              <w:rPr>
                <w:sz w:val="20"/>
                <w:szCs w:val="20"/>
                <w:color w:val="auto"/>
              </w:rPr>
            </w:pPr>
            <w:r>
              <w:rPr>
                <w:rFonts w:ascii="Arial" w:cs="Arial" w:eastAsia="Arial" w:hAnsi="Arial"/>
                <w:sz w:val="18"/>
                <w:szCs w:val="18"/>
                <w:color w:val="auto"/>
              </w:rPr>
              <w:t>Name: David M. DeMedio</w:t>
            </w:r>
          </w:p>
        </w:tc>
      </w:tr>
      <w:tr>
        <w:trPr>
          <w:trHeight w:val="230"/>
        </w:trPr>
        <w:tc>
          <w:tcPr>
            <w:tcW w:w="3780" w:type="dxa"/>
            <w:vAlign w:val="bottom"/>
            <w:gridSpan w:val="3"/>
          </w:tcPr>
          <w:p>
            <w:pPr>
              <w:spacing w:after="0"/>
              <w:rPr>
                <w:sz w:val="20"/>
                <w:szCs w:val="20"/>
                <w:color w:val="auto"/>
              </w:rPr>
            </w:pPr>
            <w:r>
              <w:rPr>
                <w:rFonts w:ascii="Arial" w:cs="Arial" w:eastAsia="Arial" w:hAnsi="Arial"/>
                <w:sz w:val="18"/>
                <w:szCs w:val="18"/>
                <w:color w:val="auto"/>
              </w:rPr>
              <w:t>Title: Vice President</w:t>
            </w:r>
          </w:p>
        </w:tc>
        <w:tc>
          <w:tcPr>
            <w:tcW w:w="7640" w:type="dxa"/>
            <w:vAlign w:val="bottom"/>
            <w:gridSpan w:val="3"/>
          </w:tcPr>
          <w:p>
            <w:pPr>
              <w:ind w:left="2260"/>
              <w:spacing w:after="0"/>
              <w:rPr>
                <w:sz w:val="20"/>
                <w:szCs w:val="20"/>
                <w:color w:val="auto"/>
              </w:rPr>
            </w:pPr>
            <w:r>
              <w:rPr>
                <w:rFonts w:ascii="Arial" w:cs="Arial" w:eastAsia="Arial" w:hAnsi="Arial"/>
                <w:sz w:val="18"/>
                <w:szCs w:val="18"/>
                <w:color w:val="auto"/>
              </w:rPr>
              <w:t>Title: CFO</w:t>
            </w:r>
          </w:p>
        </w:tc>
      </w:tr>
      <w:tr>
        <w:trPr>
          <w:trHeight w:val="675"/>
        </w:trPr>
        <w:tc>
          <w:tcPr>
            <w:tcW w:w="340" w:type="dxa"/>
            <w:vAlign w:val="bottom"/>
            <w:tcBorders>
              <w:bottom w:val="single" w:sz="8" w:color="DCDCDC"/>
            </w:tcBorders>
          </w:tcPr>
          <w:p>
            <w:pPr>
              <w:spacing w:after="0"/>
              <w:rPr>
                <w:sz w:val="24"/>
                <w:szCs w:val="24"/>
                <w:color w:val="auto"/>
              </w:rPr>
            </w:pPr>
          </w:p>
        </w:tc>
        <w:tc>
          <w:tcPr>
            <w:tcW w:w="1260" w:type="dxa"/>
            <w:vAlign w:val="bottom"/>
            <w:tcBorders>
              <w:bottom w:val="single" w:sz="8" w:color="DCDCDC"/>
            </w:tcBorders>
          </w:tcPr>
          <w:p>
            <w:pPr>
              <w:spacing w:after="0"/>
              <w:rPr>
                <w:sz w:val="24"/>
                <w:szCs w:val="24"/>
                <w:color w:val="auto"/>
              </w:rPr>
            </w:pPr>
          </w:p>
        </w:tc>
        <w:tc>
          <w:tcPr>
            <w:tcW w:w="2180" w:type="dxa"/>
            <w:vAlign w:val="bottom"/>
            <w:tcBorders>
              <w:bottom w:val="single" w:sz="8" w:color="DCDCDC"/>
            </w:tcBorders>
          </w:tcPr>
          <w:p>
            <w:pPr>
              <w:spacing w:after="0"/>
              <w:rPr>
                <w:sz w:val="24"/>
                <w:szCs w:val="24"/>
                <w:color w:val="auto"/>
              </w:rPr>
            </w:pPr>
          </w:p>
        </w:tc>
        <w:tc>
          <w:tcPr>
            <w:tcW w:w="7640" w:type="dxa"/>
            <w:vAlign w:val="bottom"/>
            <w:tcBorders>
              <w:bottom w:val="single" w:sz="8" w:color="DCDCDC"/>
            </w:tcBorders>
            <w:gridSpan w:val="3"/>
          </w:tcPr>
          <w:p>
            <w:pPr>
              <w:ind w:left="1520"/>
              <w:spacing w:after="0"/>
              <w:rPr>
                <w:sz w:val="20"/>
                <w:szCs w:val="20"/>
                <w:color w:val="auto"/>
              </w:rPr>
            </w:pPr>
            <w:r>
              <w:rPr>
                <w:rFonts w:ascii="Arial" w:cs="Arial" w:eastAsia="Arial" w:hAnsi="Arial"/>
                <w:sz w:val="18"/>
                <w:szCs w:val="18"/>
                <w:color w:val="auto"/>
              </w:rPr>
              <w:t>Page 6 of 7</w:t>
            </w:r>
          </w:p>
        </w:tc>
      </w:tr>
    </w:tbl>
    <w:p>
      <w:pPr>
        <w:sectPr>
          <w:pgSz w:w="11900" w:h="16838" w:orient="portrait"/>
          <w:cols w:equalWidth="0" w:num="1">
            <w:col w:w="11420"/>
          </w:cols>
          <w:pgMar w:left="240" w:top="922" w:right="239" w:bottom="1440" w:gutter="0" w:footer="0" w:header="0"/>
        </w:sectPr>
      </w:pPr>
    </w:p>
    <w:bookmarkStart w:id="152" w:name="page153"/>
    <w:bookmarkEnd w:id="152"/>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2 pages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640" w:type="dxa"/>
            <w:vAlign w:val="bottom"/>
          </w:tcPr>
          <w:p>
            <w:pPr>
              <w:ind w:left="180"/>
              <w:spacing w:after="0"/>
              <w:rPr>
                <w:sz w:val="20"/>
                <w:szCs w:val="20"/>
                <w:color w:val="auto"/>
              </w:rPr>
            </w:pPr>
            <w:r>
              <w:rPr>
                <w:rFonts w:ascii="Arial" w:cs="Arial" w:eastAsia="Arial" w:hAnsi="Arial"/>
                <w:sz w:val="18"/>
                <w:szCs w:val="18"/>
                <w:b w:val="1"/>
                <w:bCs w:val="1"/>
                <w:color w:val="auto"/>
              </w:rPr>
              <w:t>Lessee:</w:t>
            </w:r>
          </w:p>
        </w:tc>
        <w:tc>
          <w:tcPr>
            <w:tcW w:w="2040" w:type="dxa"/>
            <w:vAlign w:val="bottom"/>
            <w:gridSpan w:val="2"/>
          </w:tcPr>
          <w:p>
            <w:pPr>
              <w:ind w:left="100"/>
              <w:spacing w:after="0"/>
              <w:rPr>
                <w:sz w:val="20"/>
                <w:szCs w:val="20"/>
                <w:color w:val="auto"/>
              </w:rPr>
            </w:pPr>
            <w:r>
              <w:rPr>
                <w:rFonts w:ascii="Arial" w:cs="Arial" w:eastAsia="Arial" w:hAnsi="Arial"/>
                <w:sz w:val="18"/>
                <w:szCs w:val="18"/>
                <w:color w:val="auto"/>
              </w:rPr>
              <w:t>USA Technologies, Inc.</w:t>
            </w:r>
          </w:p>
        </w:tc>
        <w:tc>
          <w:tcPr>
            <w:tcW w:w="6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1640" w:type="dxa"/>
            <w:vAlign w:val="bottom"/>
          </w:tcPr>
          <w:p>
            <w:pPr>
              <w:ind w:left="180"/>
              <w:spacing w:after="0"/>
              <w:rPr>
                <w:sz w:val="20"/>
                <w:szCs w:val="20"/>
                <w:color w:val="auto"/>
              </w:rPr>
            </w:pPr>
            <w:r>
              <w:rPr>
                <w:rFonts w:ascii="Arial" w:cs="Arial" w:eastAsia="Arial" w:hAnsi="Arial"/>
                <w:sz w:val="18"/>
                <w:szCs w:val="18"/>
                <w:b w:val="1"/>
                <w:bCs w:val="1"/>
                <w:color w:val="auto"/>
              </w:rPr>
              <w:t>ML dated:</w:t>
            </w:r>
          </w:p>
        </w:tc>
        <w:tc>
          <w:tcPr>
            <w:tcW w:w="1260" w:type="dxa"/>
            <w:vAlign w:val="bottom"/>
          </w:tcPr>
          <w:p>
            <w:pPr>
              <w:ind w:left="100"/>
              <w:spacing w:after="0"/>
              <w:rPr>
                <w:sz w:val="20"/>
                <w:szCs w:val="20"/>
                <w:color w:val="auto"/>
              </w:rPr>
            </w:pPr>
            <w:r>
              <w:rPr>
                <w:rFonts w:ascii="Arial" w:cs="Arial" w:eastAsia="Arial" w:hAnsi="Arial"/>
                <w:sz w:val="18"/>
                <w:szCs w:val="18"/>
                <w:color w:val="auto"/>
              </w:rPr>
              <w:t>April 30, 2014</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1640" w:type="dxa"/>
            <w:vAlign w:val="bottom"/>
          </w:tcPr>
          <w:p>
            <w:pPr>
              <w:ind w:left="180"/>
              <w:spacing w:after="0"/>
              <w:rPr>
                <w:sz w:val="20"/>
                <w:szCs w:val="20"/>
                <w:color w:val="auto"/>
              </w:rPr>
            </w:pPr>
            <w:r>
              <w:rPr>
                <w:rFonts w:ascii="Arial" w:cs="Arial" w:eastAsia="Arial" w:hAnsi="Arial"/>
                <w:sz w:val="18"/>
                <w:szCs w:val="18"/>
                <w:b w:val="1"/>
                <w:bCs w:val="1"/>
                <w:color w:val="auto"/>
              </w:rPr>
              <w:t>Schedule No.:</w:t>
            </w:r>
          </w:p>
        </w:tc>
        <w:tc>
          <w:tcPr>
            <w:tcW w:w="1260" w:type="dxa"/>
            <w:vAlign w:val="bottom"/>
          </w:tcPr>
          <w:p>
            <w:pPr>
              <w:ind w:left="100"/>
              <w:spacing w:after="0"/>
              <w:rPr>
                <w:sz w:val="20"/>
                <w:szCs w:val="20"/>
                <w:color w:val="auto"/>
              </w:rPr>
            </w:pPr>
            <w:r>
              <w:rPr>
                <w:rFonts w:ascii="Arial" w:cs="Arial" w:eastAsia="Arial" w:hAnsi="Arial"/>
                <w:sz w:val="18"/>
                <w:szCs w:val="18"/>
                <w:color w:val="auto"/>
              </w:rPr>
              <w:t>01</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2,000,916.54</w:t>
            </w:r>
          </w:p>
        </w:tc>
      </w:tr>
      <w:tr>
        <w:trPr>
          <w:trHeight w:val="439"/>
        </w:trPr>
        <w:tc>
          <w:tcPr>
            <w:tcW w:w="16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Location:</w:t>
            </w:r>
          </w:p>
        </w:tc>
        <w:tc>
          <w:tcPr>
            <w:tcW w:w="58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Headquartered at 100 Deerfield Lane, Suite 140, Malvern, PA 19355</w:t>
            </w: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98"/>
        </w:trPr>
        <w:tc>
          <w:tcPr>
            <w:tcW w:w="1640" w:type="dxa"/>
            <w:vAlign w:val="bottom"/>
            <w:tcBorders>
              <w:left w:val="single" w:sz="8" w:color="auto"/>
              <w:right w:val="single" w:sz="8" w:color="auto"/>
            </w:tcBorders>
          </w:tcPr>
          <w:p>
            <w:pPr>
              <w:ind w:left="180"/>
              <w:spacing w:after="0" w:line="198" w:lineRule="exact"/>
              <w:rPr>
                <w:sz w:val="20"/>
                <w:szCs w:val="20"/>
                <w:color w:val="auto"/>
              </w:rPr>
            </w:pPr>
            <w:r>
              <w:rPr>
                <w:rFonts w:ascii="Arial" w:cs="Arial" w:eastAsia="Arial" w:hAnsi="Arial"/>
                <w:sz w:val="18"/>
                <w:szCs w:val="18"/>
                <w:b w:val="1"/>
                <w:bCs w:val="1"/>
                <w:color w:val="auto"/>
              </w:rPr>
              <w:t>Vendor</w:t>
            </w:r>
          </w:p>
        </w:tc>
        <w:tc>
          <w:tcPr>
            <w:tcW w:w="12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b w:val="1"/>
                <w:bCs w:val="1"/>
                <w:color w:val="auto"/>
              </w:rPr>
              <w:t>Invoice No.</w:t>
            </w:r>
          </w:p>
        </w:tc>
        <w:tc>
          <w:tcPr>
            <w:tcW w:w="7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b w:val="1"/>
                <w:bCs w:val="1"/>
                <w:color w:val="auto"/>
              </w:rPr>
              <w:t>Auth</w:t>
            </w:r>
          </w:p>
        </w:tc>
        <w:tc>
          <w:tcPr>
            <w:tcW w:w="6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b w:val="1"/>
                <w:bCs w:val="1"/>
                <w:color w:val="auto"/>
              </w:rPr>
              <w:t>Qty</w:t>
            </w:r>
          </w:p>
        </w:tc>
        <w:tc>
          <w:tcPr>
            <w:tcW w:w="314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b w:val="1"/>
                <w:bCs w:val="1"/>
                <w:color w:val="auto"/>
              </w:rPr>
              <w:t>Description</w:t>
            </w:r>
          </w:p>
        </w:tc>
        <w:tc>
          <w:tcPr>
            <w:tcW w:w="11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Serial No.</w:t>
            </w:r>
          </w:p>
        </w:tc>
        <w:tc>
          <w:tcPr>
            <w:tcW w:w="320" w:type="dxa"/>
            <w:vAlign w:val="bottom"/>
          </w:tcPr>
          <w:p>
            <w:pPr>
              <w:spacing w:after="0"/>
              <w:rPr>
                <w:sz w:val="17"/>
                <w:szCs w:val="17"/>
                <w:color w:val="auto"/>
              </w:rPr>
            </w:pPr>
          </w:p>
        </w:tc>
        <w:tc>
          <w:tcPr>
            <w:tcW w:w="960" w:type="dxa"/>
            <w:vAlign w:val="bottom"/>
            <w:tcBorders>
              <w:right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rPr>
              <w:t>Cost per</w:t>
            </w:r>
          </w:p>
        </w:tc>
        <w:tc>
          <w:tcPr>
            <w:tcW w:w="320" w:type="dxa"/>
            <w:vAlign w:val="bottom"/>
          </w:tcPr>
          <w:p>
            <w:pPr>
              <w:spacing w:after="0"/>
              <w:rPr>
                <w:sz w:val="17"/>
                <w:szCs w:val="17"/>
                <w:color w:val="auto"/>
              </w:rPr>
            </w:pPr>
          </w:p>
        </w:tc>
        <w:tc>
          <w:tcPr>
            <w:tcW w:w="1180" w:type="dxa"/>
            <w:vAlign w:val="bottom"/>
            <w:tcBorders>
              <w:right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Total</w:t>
            </w:r>
          </w:p>
        </w:tc>
      </w:tr>
      <w:tr>
        <w:trPr>
          <w:trHeight w:val="241"/>
        </w:trPr>
        <w:tc>
          <w:tcPr>
            <w:tcW w:w="164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No.</w:t>
            </w:r>
          </w:p>
        </w:tc>
        <w:tc>
          <w:tcPr>
            <w:tcW w:w="680" w:type="dxa"/>
            <w:vAlign w:val="bottom"/>
            <w:tcBorders>
              <w:bottom w:val="single" w:sz="8" w:color="auto"/>
              <w:right w:val="single" w:sz="8" w:color="auto"/>
            </w:tcBorders>
          </w:tcPr>
          <w:p>
            <w:pPr>
              <w:spacing w:after="0"/>
              <w:rPr>
                <w:sz w:val="20"/>
                <w:szCs w:val="20"/>
                <w:color w:val="auto"/>
              </w:rPr>
            </w:pPr>
          </w:p>
        </w:tc>
        <w:tc>
          <w:tcPr>
            <w:tcW w:w="31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Item</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r>
      <w:tr>
        <w:trPr>
          <w:trHeight w:val="223"/>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r>
      <w:tr>
        <w:trPr>
          <w:trHeight w:val="202"/>
        </w:trPr>
        <w:tc>
          <w:tcPr>
            <w:tcW w:w="1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Masterwork</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116359</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420</w:t>
            </w:r>
          </w:p>
        </w:tc>
        <w:tc>
          <w:tcPr>
            <w:tcW w:w="31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Top Assembly - G8ePort CDMA</w:t>
            </w:r>
          </w:p>
        </w:tc>
        <w:tc>
          <w:tcPr>
            <w:tcW w:w="11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104.47</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43,877.40</w:t>
            </w:r>
          </w:p>
        </w:tc>
      </w:tr>
      <w:tr>
        <w:trPr>
          <w:trHeight w:val="230"/>
        </w:trPr>
        <w:tc>
          <w:tcPr>
            <w:tcW w:w="1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Electronics</w:t>
            </w: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Wireless with RFID card</w:t>
            </w:r>
          </w:p>
        </w:tc>
        <w:tc>
          <w:tcPr>
            <w:tcW w:w="1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23"/>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r>
      <w:tr>
        <w:trPr>
          <w:trHeight w:val="202"/>
        </w:trPr>
        <w:tc>
          <w:tcPr>
            <w:tcW w:w="1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Masterwork</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116869</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120</w:t>
            </w:r>
          </w:p>
        </w:tc>
        <w:tc>
          <w:tcPr>
            <w:tcW w:w="31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Top Assembly - G8ePort CDMA</w:t>
            </w:r>
          </w:p>
        </w:tc>
        <w:tc>
          <w:tcPr>
            <w:tcW w:w="11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104.47</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12,536.40</w:t>
            </w:r>
          </w:p>
        </w:tc>
      </w:tr>
      <w:tr>
        <w:trPr>
          <w:trHeight w:val="230"/>
        </w:trPr>
        <w:tc>
          <w:tcPr>
            <w:tcW w:w="1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Electronics</w:t>
            </w: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Wireless with RFID card</w:t>
            </w:r>
          </w:p>
        </w:tc>
        <w:tc>
          <w:tcPr>
            <w:tcW w:w="1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23"/>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r>
      <w:tr>
        <w:trPr>
          <w:trHeight w:val="202"/>
        </w:trPr>
        <w:tc>
          <w:tcPr>
            <w:tcW w:w="1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Masterwork</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116869</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510</w:t>
            </w:r>
          </w:p>
        </w:tc>
        <w:tc>
          <w:tcPr>
            <w:tcW w:w="31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Top Assembly - G8ePort CDMA</w:t>
            </w:r>
          </w:p>
        </w:tc>
        <w:tc>
          <w:tcPr>
            <w:tcW w:w="11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104.47</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53,279.70</w:t>
            </w:r>
          </w:p>
        </w:tc>
      </w:tr>
      <w:tr>
        <w:trPr>
          <w:trHeight w:val="230"/>
        </w:trPr>
        <w:tc>
          <w:tcPr>
            <w:tcW w:w="1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Electronics</w:t>
            </w: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Wireless with RFID card</w:t>
            </w:r>
          </w:p>
        </w:tc>
        <w:tc>
          <w:tcPr>
            <w:tcW w:w="1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23"/>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r>
      <w:tr>
        <w:trPr>
          <w:trHeight w:val="202"/>
        </w:trPr>
        <w:tc>
          <w:tcPr>
            <w:tcW w:w="1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Masterwork</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116907</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420</w:t>
            </w:r>
          </w:p>
        </w:tc>
        <w:tc>
          <w:tcPr>
            <w:tcW w:w="31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Top Assembly - G8 ePort Verizon</w:t>
            </w:r>
          </w:p>
        </w:tc>
        <w:tc>
          <w:tcPr>
            <w:tcW w:w="11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104.47</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43,877.40</w:t>
            </w:r>
          </w:p>
        </w:tc>
      </w:tr>
      <w:tr>
        <w:trPr>
          <w:trHeight w:val="216"/>
        </w:trPr>
        <w:tc>
          <w:tcPr>
            <w:tcW w:w="1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Electronics</w:t>
            </w:r>
          </w:p>
        </w:tc>
        <w:tc>
          <w:tcPr>
            <w:tcW w:w="12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CDMA Wireless with OTI RFID card</w:t>
            </w:r>
          </w:p>
        </w:tc>
        <w:tc>
          <w:tcPr>
            <w:tcW w:w="11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7"/>
        </w:trPr>
        <w:tc>
          <w:tcPr>
            <w:tcW w:w="164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3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reader</w:t>
            </w:r>
          </w:p>
        </w:tc>
        <w:tc>
          <w:tcPr>
            <w:tcW w:w="114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r>
      <w:tr>
        <w:trPr>
          <w:trHeight w:val="202"/>
        </w:trPr>
        <w:tc>
          <w:tcPr>
            <w:tcW w:w="1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Masterwork</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117407</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420</w:t>
            </w:r>
          </w:p>
        </w:tc>
        <w:tc>
          <w:tcPr>
            <w:tcW w:w="31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Top Assembly - G8ePort CDMA</w:t>
            </w:r>
          </w:p>
        </w:tc>
        <w:tc>
          <w:tcPr>
            <w:tcW w:w="11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104.47</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43,877.40</w:t>
            </w:r>
          </w:p>
        </w:tc>
      </w:tr>
      <w:tr>
        <w:trPr>
          <w:trHeight w:val="230"/>
        </w:trPr>
        <w:tc>
          <w:tcPr>
            <w:tcW w:w="1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Electronics</w:t>
            </w: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Wireless with RFID card</w:t>
            </w:r>
          </w:p>
        </w:tc>
        <w:tc>
          <w:tcPr>
            <w:tcW w:w="1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23"/>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r>
      <w:tr>
        <w:trPr>
          <w:trHeight w:val="202"/>
        </w:trPr>
        <w:tc>
          <w:tcPr>
            <w:tcW w:w="1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Masterwork</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118490</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210</w:t>
            </w:r>
          </w:p>
        </w:tc>
        <w:tc>
          <w:tcPr>
            <w:tcW w:w="31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Top Assembly - G8ePort CDMA</w:t>
            </w:r>
          </w:p>
        </w:tc>
        <w:tc>
          <w:tcPr>
            <w:tcW w:w="11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104.47</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21,938.70</w:t>
            </w:r>
          </w:p>
        </w:tc>
      </w:tr>
      <w:tr>
        <w:trPr>
          <w:trHeight w:val="230"/>
        </w:trPr>
        <w:tc>
          <w:tcPr>
            <w:tcW w:w="1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Electronics</w:t>
            </w: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Wireless with RFID card</w:t>
            </w:r>
          </w:p>
        </w:tc>
        <w:tc>
          <w:tcPr>
            <w:tcW w:w="1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23"/>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r>
      <w:tr>
        <w:trPr>
          <w:trHeight w:val="202"/>
        </w:trPr>
        <w:tc>
          <w:tcPr>
            <w:tcW w:w="1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Masterwork</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119093</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840</w:t>
            </w:r>
          </w:p>
        </w:tc>
        <w:tc>
          <w:tcPr>
            <w:tcW w:w="31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Top Assembly - G8ePort CDMA</w:t>
            </w:r>
          </w:p>
        </w:tc>
        <w:tc>
          <w:tcPr>
            <w:tcW w:w="11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104.47</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87,754.80</w:t>
            </w:r>
          </w:p>
        </w:tc>
      </w:tr>
      <w:tr>
        <w:trPr>
          <w:trHeight w:val="230"/>
        </w:trPr>
        <w:tc>
          <w:tcPr>
            <w:tcW w:w="1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Electronics</w:t>
            </w: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Wireless with RFID card</w:t>
            </w:r>
          </w:p>
        </w:tc>
        <w:tc>
          <w:tcPr>
            <w:tcW w:w="1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23"/>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r>
      <w:tr>
        <w:trPr>
          <w:trHeight w:val="202"/>
        </w:trPr>
        <w:tc>
          <w:tcPr>
            <w:tcW w:w="1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Masterwork</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119135</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1260</w:t>
            </w:r>
          </w:p>
        </w:tc>
        <w:tc>
          <w:tcPr>
            <w:tcW w:w="31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Top Assembly - G8ePort CDMA</w:t>
            </w:r>
          </w:p>
        </w:tc>
        <w:tc>
          <w:tcPr>
            <w:tcW w:w="11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104.47</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131,632.20</w:t>
            </w:r>
          </w:p>
        </w:tc>
      </w:tr>
      <w:tr>
        <w:trPr>
          <w:trHeight w:val="230"/>
        </w:trPr>
        <w:tc>
          <w:tcPr>
            <w:tcW w:w="1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Electronics</w:t>
            </w: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Wireless with RFID card</w:t>
            </w:r>
          </w:p>
        </w:tc>
        <w:tc>
          <w:tcPr>
            <w:tcW w:w="1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23"/>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r>
      <w:tr>
        <w:trPr>
          <w:trHeight w:val="202"/>
        </w:trPr>
        <w:tc>
          <w:tcPr>
            <w:tcW w:w="1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Masterwork</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119168</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840</w:t>
            </w:r>
          </w:p>
        </w:tc>
        <w:tc>
          <w:tcPr>
            <w:tcW w:w="31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Top Assembly - G8ePort CDMA</w:t>
            </w:r>
          </w:p>
        </w:tc>
        <w:tc>
          <w:tcPr>
            <w:tcW w:w="11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104.47</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87,754.80</w:t>
            </w:r>
          </w:p>
        </w:tc>
      </w:tr>
      <w:tr>
        <w:trPr>
          <w:trHeight w:val="230"/>
        </w:trPr>
        <w:tc>
          <w:tcPr>
            <w:tcW w:w="1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Electronics</w:t>
            </w: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Wireless with RFID card</w:t>
            </w:r>
          </w:p>
        </w:tc>
        <w:tc>
          <w:tcPr>
            <w:tcW w:w="1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23"/>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r>
      <w:tr>
        <w:trPr>
          <w:trHeight w:val="202"/>
        </w:trPr>
        <w:tc>
          <w:tcPr>
            <w:tcW w:w="1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Masterwork</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119220</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840</w:t>
            </w:r>
          </w:p>
        </w:tc>
        <w:tc>
          <w:tcPr>
            <w:tcW w:w="31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Top Assembly - G8ePort CDMA</w:t>
            </w:r>
          </w:p>
        </w:tc>
        <w:tc>
          <w:tcPr>
            <w:tcW w:w="11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104.47</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87,754.80</w:t>
            </w:r>
          </w:p>
        </w:tc>
      </w:tr>
      <w:tr>
        <w:trPr>
          <w:trHeight w:val="230"/>
        </w:trPr>
        <w:tc>
          <w:tcPr>
            <w:tcW w:w="1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Electronics</w:t>
            </w: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Wireless with RFID card</w:t>
            </w:r>
          </w:p>
        </w:tc>
        <w:tc>
          <w:tcPr>
            <w:tcW w:w="1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23"/>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r>
      <w:tr>
        <w:trPr>
          <w:trHeight w:val="202"/>
        </w:trPr>
        <w:tc>
          <w:tcPr>
            <w:tcW w:w="1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Masterwork</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119346</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220</w:t>
            </w:r>
          </w:p>
        </w:tc>
        <w:tc>
          <w:tcPr>
            <w:tcW w:w="31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Top Assembly - G8ePort CDMA</w:t>
            </w:r>
          </w:p>
        </w:tc>
        <w:tc>
          <w:tcPr>
            <w:tcW w:w="11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104.47</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22,983.40</w:t>
            </w:r>
          </w:p>
        </w:tc>
      </w:tr>
      <w:tr>
        <w:trPr>
          <w:trHeight w:val="230"/>
        </w:trPr>
        <w:tc>
          <w:tcPr>
            <w:tcW w:w="1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Electronics</w:t>
            </w: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Wireless with RFID card</w:t>
            </w:r>
          </w:p>
        </w:tc>
        <w:tc>
          <w:tcPr>
            <w:tcW w:w="1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23"/>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r>
      <w:tr>
        <w:trPr>
          <w:trHeight w:val="202"/>
        </w:trPr>
        <w:tc>
          <w:tcPr>
            <w:tcW w:w="1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Masterwork</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119346</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618</w:t>
            </w:r>
          </w:p>
        </w:tc>
        <w:tc>
          <w:tcPr>
            <w:tcW w:w="31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Top Assembly - G8ePort CDMA</w:t>
            </w:r>
          </w:p>
        </w:tc>
        <w:tc>
          <w:tcPr>
            <w:tcW w:w="11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104.47</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64,562.46</w:t>
            </w:r>
          </w:p>
        </w:tc>
      </w:tr>
      <w:tr>
        <w:trPr>
          <w:trHeight w:val="230"/>
        </w:trPr>
        <w:tc>
          <w:tcPr>
            <w:tcW w:w="1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Electronics</w:t>
            </w: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Wireless with RFID card</w:t>
            </w:r>
          </w:p>
        </w:tc>
        <w:tc>
          <w:tcPr>
            <w:tcW w:w="1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23"/>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r>
      <w:tr>
        <w:trPr>
          <w:trHeight w:val="202"/>
        </w:trPr>
        <w:tc>
          <w:tcPr>
            <w:tcW w:w="1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Masterwork</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119502</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840</w:t>
            </w:r>
          </w:p>
        </w:tc>
        <w:tc>
          <w:tcPr>
            <w:tcW w:w="31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Top Assembly - G8ePort CDMA</w:t>
            </w:r>
          </w:p>
        </w:tc>
        <w:tc>
          <w:tcPr>
            <w:tcW w:w="11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104.47</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87,754.80</w:t>
            </w:r>
          </w:p>
        </w:tc>
      </w:tr>
      <w:tr>
        <w:trPr>
          <w:trHeight w:val="230"/>
        </w:trPr>
        <w:tc>
          <w:tcPr>
            <w:tcW w:w="1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Electronics</w:t>
            </w: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Wireless with RFID card</w:t>
            </w:r>
          </w:p>
        </w:tc>
        <w:tc>
          <w:tcPr>
            <w:tcW w:w="1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23"/>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r>
      <w:tr>
        <w:trPr>
          <w:trHeight w:val="202"/>
        </w:trPr>
        <w:tc>
          <w:tcPr>
            <w:tcW w:w="1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Masterwork</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119555</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840</w:t>
            </w:r>
          </w:p>
        </w:tc>
        <w:tc>
          <w:tcPr>
            <w:tcW w:w="31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Top Assembly - G8ePort CDMA</w:t>
            </w:r>
          </w:p>
        </w:tc>
        <w:tc>
          <w:tcPr>
            <w:tcW w:w="11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104.47</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87,754.80</w:t>
            </w:r>
          </w:p>
        </w:tc>
      </w:tr>
      <w:tr>
        <w:trPr>
          <w:trHeight w:val="230"/>
        </w:trPr>
        <w:tc>
          <w:tcPr>
            <w:tcW w:w="1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Electronics</w:t>
            </w: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Wireless with RFID card</w:t>
            </w:r>
          </w:p>
        </w:tc>
        <w:tc>
          <w:tcPr>
            <w:tcW w:w="1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23"/>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r>
      <w:tr>
        <w:trPr>
          <w:trHeight w:val="202"/>
        </w:trPr>
        <w:tc>
          <w:tcPr>
            <w:tcW w:w="1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Masterwork</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119642</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420</w:t>
            </w:r>
          </w:p>
        </w:tc>
        <w:tc>
          <w:tcPr>
            <w:tcW w:w="31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Top Assembly - G8ePort CDMA</w:t>
            </w:r>
          </w:p>
        </w:tc>
        <w:tc>
          <w:tcPr>
            <w:tcW w:w="11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104.47</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43,877.40</w:t>
            </w:r>
          </w:p>
        </w:tc>
      </w:tr>
      <w:tr>
        <w:trPr>
          <w:trHeight w:val="230"/>
        </w:trPr>
        <w:tc>
          <w:tcPr>
            <w:tcW w:w="1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Electronics</w:t>
            </w: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Wireless with RFID card</w:t>
            </w:r>
          </w:p>
        </w:tc>
        <w:tc>
          <w:tcPr>
            <w:tcW w:w="1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23"/>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r>
      <w:tr>
        <w:trPr>
          <w:trHeight w:val="202"/>
        </w:trPr>
        <w:tc>
          <w:tcPr>
            <w:tcW w:w="1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Masterwork</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119800</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840</w:t>
            </w:r>
          </w:p>
        </w:tc>
        <w:tc>
          <w:tcPr>
            <w:tcW w:w="31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Top Assembly - G8ePort CDMA</w:t>
            </w:r>
          </w:p>
        </w:tc>
        <w:tc>
          <w:tcPr>
            <w:tcW w:w="11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104.47</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87,754.80</w:t>
            </w:r>
          </w:p>
        </w:tc>
      </w:tr>
      <w:tr>
        <w:trPr>
          <w:trHeight w:val="230"/>
        </w:trPr>
        <w:tc>
          <w:tcPr>
            <w:tcW w:w="1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Electronics</w:t>
            </w: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Wireless with RFID card</w:t>
            </w:r>
          </w:p>
        </w:tc>
        <w:tc>
          <w:tcPr>
            <w:tcW w:w="1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23"/>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r>
      <w:tr>
        <w:trPr>
          <w:trHeight w:val="202"/>
        </w:trPr>
        <w:tc>
          <w:tcPr>
            <w:tcW w:w="1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Masterwork</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120068</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392</w:t>
            </w:r>
          </w:p>
        </w:tc>
        <w:tc>
          <w:tcPr>
            <w:tcW w:w="31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Top Assembly - G8ePort CDMA</w:t>
            </w:r>
          </w:p>
        </w:tc>
        <w:tc>
          <w:tcPr>
            <w:tcW w:w="11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104.47</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40,952.24</w:t>
            </w:r>
          </w:p>
        </w:tc>
      </w:tr>
      <w:tr>
        <w:trPr>
          <w:trHeight w:val="230"/>
        </w:trPr>
        <w:tc>
          <w:tcPr>
            <w:tcW w:w="1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Electronics</w:t>
            </w: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Wireless with RFID card</w:t>
            </w:r>
          </w:p>
        </w:tc>
        <w:tc>
          <w:tcPr>
            <w:tcW w:w="1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23"/>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r>
      <w:tr>
        <w:trPr>
          <w:trHeight w:val="202"/>
        </w:trPr>
        <w:tc>
          <w:tcPr>
            <w:tcW w:w="1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Masterwork</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120068</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448</w:t>
            </w:r>
          </w:p>
        </w:tc>
        <w:tc>
          <w:tcPr>
            <w:tcW w:w="31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Top Assembly - G8ePort CDMA</w:t>
            </w:r>
          </w:p>
        </w:tc>
        <w:tc>
          <w:tcPr>
            <w:tcW w:w="11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104.47</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46,802.56</w:t>
            </w:r>
          </w:p>
        </w:tc>
      </w:tr>
      <w:tr>
        <w:trPr>
          <w:trHeight w:val="230"/>
        </w:trPr>
        <w:tc>
          <w:tcPr>
            <w:tcW w:w="1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Electronics</w:t>
            </w: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Wireless with RFID card</w:t>
            </w:r>
          </w:p>
        </w:tc>
        <w:tc>
          <w:tcPr>
            <w:tcW w:w="1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23"/>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r>
      <w:tr>
        <w:trPr>
          <w:trHeight w:val="202"/>
        </w:trPr>
        <w:tc>
          <w:tcPr>
            <w:tcW w:w="1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Masterwork</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120135</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1050</w:t>
            </w:r>
          </w:p>
        </w:tc>
        <w:tc>
          <w:tcPr>
            <w:tcW w:w="31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Top Assembly - G8ePort CDMA</w:t>
            </w:r>
          </w:p>
        </w:tc>
        <w:tc>
          <w:tcPr>
            <w:tcW w:w="114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104.47</w:t>
            </w:r>
          </w:p>
        </w:tc>
        <w:tc>
          <w:tcPr>
            <w:tcW w:w="3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109,693.50</w:t>
            </w:r>
          </w:p>
        </w:tc>
      </w:tr>
      <w:tr>
        <w:trPr>
          <w:trHeight w:val="230"/>
        </w:trPr>
        <w:tc>
          <w:tcPr>
            <w:tcW w:w="1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Electronics</w:t>
            </w: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Wireless with RFID card</w:t>
            </w:r>
          </w:p>
        </w:tc>
        <w:tc>
          <w:tcPr>
            <w:tcW w:w="114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243"/>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314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r>
      <w:tr>
        <w:trPr>
          <w:trHeight w:val="20"/>
        </w:trPr>
        <w:tc>
          <w:tcPr>
            <w:tcW w:w="1640" w:type="dxa"/>
            <w:vAlign w:val="bottom"/>
            <w:tcBorders>
              <w:lef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ectPr>
          <w:pgSz w:w="11900" w:h="16900" w:orient="portrait"/>
          <w:cols w:equalWidth="0" w:num="1">
            <w:col w:w="11420"/>
          </w:cols>
          <w:pgMar w:left="240" w:top="918" w:right="239" w:bottom="0" w:gutter="0" w:footer="0" w:header="0"/>
        </w:sectPr>
      </w:pPr>
    </w:p>
    <w:bookmarkStart w:id="153" w:name="page154"/>
    <w:bookmarkEnd w:id="1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56940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56940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64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Masterwork</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120576</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17"/>
                <w:szCs w:val="17"/>
                <w:color w:val="auto"/>
              </w:rPr>
            </w:pPr>
          </w:p>
        </w:tc>
        <w:tc>
          <w:tcPr>
            <w:tcW w:w="3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Top Assembly - G8ePort CDMA</w:t>
            </w:r>
          </w:p>
        </w:tc>
        <w:tc>
          <w:tcPr>
            <w:tcW w:w="1140" w:type="dxa"/>
            <w:vAlign w:val="bottom"/>
            <w:tcBorders>
              <w:right w:val="single" w:sz="8" w:color="auto"/>
            </w:tcBorders>
          </w:tcPr>
          <w:p>
            <w:pPr>
              <w:jc w:val="right"/>
              <w:ind w:right="87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104.47</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13,790.04</w:t>
            </w:r>
          </w:p>
        </w:tc>
      </w:tr>
      <w:tr>
        <w:trPr>
          <w:trHeight w:val="230"/>
        </w:trPr>
        <w:tc>
          <w:tcPr>
            <w:tcW w:w="164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Electronics</w:t>
            </w: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Wireless with RFID card</w:t>
            </w:r>
          </w:p>
        </w:tc>
        <w:tc>
          <w:tcPr>
            <w:tcW w:w="11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1640" w:type="dxa"/>
            <w:vAlign w:val="bottom"/>
            <w:tcBorders>
              <w:bottom w:val="single" w:sz="8" w:color="auto"/>
              <w:right w:val="single" w:sz="8" w:color="auto"/>
            </w:tcBorders>
            <w:gridSpan w:val="2"/>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02"/>
        </w:trPr>
        <w:tc>
          <w:tcPr>
            <w:tcW w:w="1640" w:type="dxa"/>
            <w:vAlign w:val="bottom"/>
            <w:tcBorders>
              <w:right w:val="single" w:sz="8" w:color="auto"/>
            </w:tcBorders>
            <w:gridSpan w:val="2"/>
          </w:tcPr>
          <w:p>
            <w:pPr>
              <w:ind w:left="180"/>
              <w:spacing w:after="0" w:line="201" w:lineRule="exact"/>
              <w:rPr>
                <w:sz w:val="20"/>
                <w:szCs w:val="20"/>
                <w:color w:val="auto"/>
              </w:rPr>
            </w:pPr>
            <w:r>
              <w:rPr>
                <w:rFonts w:ascii="Arial" w:cs="Arial" w:eastAsia="Arial" w:hAnsi="Arial"/>
                <w:sz w:val="18"/>
                <w:szCs w:val="18"/>
                <w:color w:val="auto"/>
              </w:rPr>
              <w:t>Masterwork</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121052</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420</w:t>
            </w:r>
          </w:p>
        </w:tc>
        <w:tc>
          <w:tcPr>
            <w:tcW w:w="40" w:type="dxa"/>
            <w:vAlign w:val="bottom"/>
          </w:tcPr>
          <w:p>
            <w:pPr>
              <w:spacing w:after="0"/>
              <w:rPr>
                <w:sz w:val="17"/>
                <w:szCs w:val="17"/>
                <w:color w:val="auto"/>
              </w:rPr>
            </w:pPr>
          </w:p>
        </w:tc>
        <w:tc>
          <w:tcPr>
            <w:tcW w:w="31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Top Assembly - G9 ePort CDMA</w:t>
            </w:r>
          </w:p>
        </w:tc>
        <w:tc>
          <w:tcPr>
            <w:tcW w:w="1140" w:type="dxa"/>
            <w:vAlign w:val="bottom"/>
            <w:tcBorders>
              <w:right w:val="single" w:sz="8" w:color="auto"/>
            </w:tcBorders>
          </w:tcPr>
          <w:p>
            <w:pPr>
              <w:jc w:val="right"/>
              <w:ind w:right="870"/>
              <w:spacing w:after="0" w:line="201" w:lineRule="exact"/>
              <w:rPr>
                <w:sz w:val="20"/>
                <w:szCs w:val="20"/>
                <w:color w:val="auto"/>
              </w:rPr>
            </w:pPr>
            <w:r>
              <w:rPr>
                <w:rFonts w:ascii="Arial" w:cs="Arial" w:eastAsia="Arial" w:hAnsi="Arial"/>
                <w:sz w:val="18"/>
                <w:szCs w:val="18"/>
                <w:color w:val="auto"/>
              </w:rPr>
              <w:t>0</w:t>
            </w:r>
          </w:p>
        </w:tc>
        <w:tc>
          <w:tcPr>
            <w:tcW w:w="42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77.54</w:t>
            </w:r>
          </w:p>
        </w:tc>
        <w:tc>
          <w:tcPr>
            <w:tcW w:w="38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32,566.80</w:t>
            </w:r>
          </w:p>
        </w:tc>
      </w:tr>
      <w:tr>
        <w:trPr>
          <w:trHeight w:val="230"/>
        </w:trPr>
        <w:tc>
          <w:tcPr>
            <w:tcW w:w="164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Electronics</w:t>
            </w: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1640" w:type="dxa"/>
            <w:vAlign w:val="bottom"/>
            <w:tcBorders>
              <w:bottom w:val="single" w:sz="8" w:color="auto"/>
              <w:right w:val="single" w:sz="8" w:color="auto"/>
            </w:tcBorders>
            <w:gridSpan w:val="2"/>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02"/>
        </w:trPr>
        <w:tc>
          <w:tcPr>
            <w:tcW w:w="1640" w:type="dxa"/>
            <w:vAlign w:val="bottom"/>
            <w:tcBorders>
              <w:right w:val="single" w:sz="8" w:color="auto"/>
            </w:tcBorders>
            <w:gridSpan w:val="2"/>
          </w:tcPr>
          <w:p>
            <w:pPr>
              <w:ind w:left="180"/>
              <w:spacing w:after="0" w:line="201" w:lineRule="exact"/>
              <w:rPr>
                <w:sz w:val="20"/>
                <w:szCs w:val="20"/>
                <w:color w:val="auto"/>
              </w:rPr>
            </w:pPr>
            <w:r>
              <w:rPr>
                <w:rFonts w:ascii="Arial" w:cs="Arial" w:eastAsia="Arial" w:hAnsi="Arial"/>
                <w:sz w:val="18"/>
                <w:szCs w:val="18"/>
                <w:color w:val="auto"/>
              </w:rPr>
              <w:t>Masterwork</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121053</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630</w:t>
            </w:r>
          </w:p>
        </w:tc>
        <w:tc>
          <w:tcPr>
            <w:tcW w:w="40" w:type="dxa"/>
            <w:vAlign w:val="bottom"/>
          </w:tcPr>
          <w:p>
            <w:pPr>
              <w:spacing w:after="0"/>
              <w:rPr>
                <w:sz w:val="17"/>
                <w:szCs w:val="17"/>
                <w:color w:val="auto"/>
              </w:rPr>
            </w:pPr>
          </w:p>
        </w:tc>
        <w:tc>
          <w:tcPr>
            <w:tcW w:w="31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Top Assembly - G9 ePort CDMA</w:t>
            </w:r>
          </w:p>
        </w:tc>
        <w:tc>
          <w:tcPr>
            <w:tcW w:w="1140" w:type="dxa"/>
            <w:vAlign w:val="bottom"/>
            <w:tcBorders>
              <w:right w:val="single" w:sz="8" w:color="auto"/>
            </w:tcBorders>
          </w:tcPr>
          <w:p>
            <w:pPr>
              <w:jc w:val="right"/>
              <w:ind w:right="870"/>
              <w:spacing w:after="0" w:line="201" w:lineRule="exact"/>
              <w:rPr>
                <w:sz w:val="20"/>
                <w:szCs w:val="20"/>
                <w:color w:val="auto"/>
              </w:rPr>
            </w:pPr>
            <w:r>
              <w:rPr>
                <w:rFonts w:ascii="Arial" w:cs="Arial" w:eastAsia="Arial" w:hAnsi="Arial"/>
                <w:sz w:val="18"/>
                <w:szCs w:val="18"/>
                <w:color w:val="auto"/>
              </w:rPr>
              <w:t>0</w:t>
            </w:r>
          </w:p>
        </w:tc>
        <w:tc>
          <w:tcPr>
            <w:tcW w:w="42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77.54</w:t>
            </w:r>
          </w:p>
        </w:tc>
        <w:tc>
          <w:tcPr>
            <w:tcW w:w="38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48,850.20</w:t>
            </w:r>
          </w:p>
        </w:tc>
      </w:tr>
      <w:tr>
        <w:trPr>
          <w:trHeight w:val="230"/>
        </w:trPr>
        <w:tc>
          <w:tcPr>
            <w:tcW w:w="164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Electronics</w:t>
            </w: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1640" w:type="dxa"/>
            <w:vAlign w:val="bottom"/>
            <w:tcBorders>
              <w:bottom w:val="single" w:sz="8" w:color="auto"/>
              <w:right w:val="single" w:sz="8" w:color="auto"/>
            </w:tcBorders>
            <w:gridSpan w:val="2"/>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02"/>
        </w:trPr>
        <w:tc>
          <w:tcPr>
            <w:tcW w:w="1640" w:type="dxa"/>
            <w:vAlign w:val="bottom"/>
            <w:tcBorders>
              <w:right w:val="single" w:sz="8" w:color="auto"/>
            </w:tcBorders>
            <w:gridSpan w:val="2"/>
          </w:tcPr>
          <w:p>
            <w:pPr>
              <w:ind w:left="180"/>
              <w:spacing w:after="0" w:line="201" w:lineRule="exact"/>
              <w:rPr>
                <w:sz w:val="20"/>
                <w:szCs w:val="20"/>
                <w:color w:val="auto"/>
              </w:rPr>
            </w:pPr>
            <w:r>
              <w:rPr>
                <w:rFonts w:ascii="Arial" w:cs="Arial" w:eastAsia="Arial" w:hAnsi="Arial"/>
                <w:sz w:val="18"/>
                <w:szCs w:val="18"/>
                <w:color w:val="auto"/>
              </w:rPr>
              <w:t>Masterwork</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121342</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840</w:t>
            </w:r>
          </w:p>
        </w:tc>
        <w:tc>
          <w:tcPr>
            <w:tcW w:w="40" w:type="dxa"/>
            <w:vAlign w:val="bottom"/>
          </w:tcPr>
          <w:p>
            <w:pPr>
              <w:spacing w:after="0"/>
              <w:rPr>
                <w:sz w:val="17"/>
                <w:szCs w:val="17"/>
                <w:color w:val="auto"/>
              </w:rPr>
            </w:pPr>
          </w:p>
        </w:tc>
        <w:tc>
          <w:tcPr>
            <w:tcW w:w="31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Top Assembly - G9 ePort CDMA</w:t>
            </w:r>
          </w:p>
        </w:tc>
        <w:tc>
          <w:tcPr>
            <w:tcW w:w="1140" w:type="dxa"/>
            <w:vAlign w:val="bottom"/>
            <w:tcBorders>
              <w:right w:val="single" w:sz="8" w:color="auto"/>
            </w:tcBorders>
          </w:tcPr>
          <w:p>
            <w:pPr>
              <w:jc w:val="right"/>
              <w:ind w:right="870"/>
              <w:spacing w:after="0" w:line="201" w:lineRule="exact"/>
              <w:rPr>
                <w:sz w:val="20"/>
                <w:szCs w:val="20"/>
                <w:color w:val="auto"/>
              </w:rPr>
            </w:pPr>
            <w:r>
              <w:rPr>
                <w:rFonts w:ascii="Arial" w:cs="Arial" w:eastAsia="Arial" w:hAnsi="Arial"/>
                <w:sz w:val="18"/>
                <w:szCs w:val="18"/>
                <w:color w:val="auto"/>
              </w:rPr>
              <w:t>0</w:t>
            </w:r>
          </w:p>
        </w:tc>
        <w:tc>
          <w:tcPr>
            <w:tcW w:w="42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77.54</w:t>
            </w:r>
          </w:p>
        </w:tc>
        <w:tc>
          <w:tcPr>
            <w:tcW w:w="38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65,133.60</w:t>
            </w:r>
          </w:p>
        </w:tc>
      </w:tr>
      <w:tr>
        <w:trPr>
          <w:trHeight w:val="230"/>
        </w:trPr>
        <w:tc>
          <w:tcPr>
            <w:tcW w:w="164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Electronics</w:t>
            </w: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1640" w:type="dxa"/>
            <w:vAlign w:val="bottom"/>
            <w:tcBorders>
              <w:bottom w:val="single" w:sz="8" w:color="auto"/>
              <w:right w:val="single" w:sz="8" w:color="auto"/>
            </w:tcBorders>
            <w:gridSpan w:val="2"/>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02"/>
        </w:trPr>
        <w:tc>
          <w:tcPr>
            <w:tcW w:w="1640" w:type="dxa"/>
            <w:vAlign w:val="bottom"/>
            <w:tcBorders>
              <w:right w:val="single" w:sz="8" w:color="auto"/>
            </w:tcBorders>
            <w:gridSpan w:val="2"/>
          </w:tcPr>
          <w:p>
            <w:pPr>
              <w:ind w:left="180"/>
              <w:spacing w:after="0" w:line="201" w:lineRule="exact"/>
              <w:rPr>
                <w:sz w:val="20"/>
                <w:szCs w:val="20"/>
                <w:color w:val="auto"/>
              </w:rPr>
            </w:pPr>
            <w:r>
              <w:rPr>
                <w:rFonts w:ascii="Arial" w:cs="Arial" w:eastAsia="Arial" w:hAnsi="Arial"/>
                <w:sz w:val="18"/>
                <w:szCs w:val="18"/>
                <w:color w:val="auto"/>
              </w:rPr>
              <w:t>Masterwork</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121911</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1260</w:t>
            </w:r>
          </w:p>
        </w:tc>
        <w:tc>
          <w:tcPr>
            <w:tcW w:w="40" w:type="dxa"/>
            <w:vAlign w:val="bottom"/>
          </w:tcPr>
          <w:p>
            <w:pPr>
              <w:spacing w:after="0"/>
              <w:rPr>
                <w:sz w:val="17"/>
                <w:szCs w:val="17"/>
                <w:color w:val="auto"/>
              </w:rPr>
            </w:pPr>
          </w:p>
        </w:tc>
        <w:tc>
          <w:tcPr>
            <w:tcW w:w="31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Top Assembly - G9 ePort CDMA</w:t>
            </w:r>
          </w:p>
        </w:tc>
        <w:tc>
          <w:tcPr>
            <w:tcW w:w="1140" w:type="dxa"/>
            <w:vAlign w:val="bottom"/>
            <w:tcBorders>
              <w:right w:val="single" w:sz="8" w:color="auto"/>
            </w:tcBorders>
          </w:tcPr>
          <w:p>
            <w:pPr>
              <w:jc w:val="right"/>
              <w:ind w:right="870"/>
              <w:spacing w:after="0" w:line="201" w:lineRule="exact"/>
              <w:rPr>
                <w:sz w:val="20"/>
                <w:szCs w:val="20"/>
                <w:color w:val="auto"/>
              </w:rPr>
            </w:pPr>
            <w:r>
              <w:rPr>
                <w:rFonts w:ascii="Arial" w:cs="Arial" w:eastAsia="Arial" w:hAnsi="Arial"/>
                <w:sz w:val="18"/>
                <w:szCs w:val="18"/>
                <w:color w:val="auto"/>
              </w:rPr>
              <w:t>0</w:t>
            </w:r>
          </w:p>
        </w:tc>
        <w:tc>
          <w:tcPr>
            <w:tcW w:w="42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77.54</w:t>
            </w:r>
          </w:p>
        </w:tc>
        <w:tc>
          <w:tcPr>
            <w:tcW w:w="38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97,700.40</w:t>
            </w:r>
          </w:p>
        </w:tc>
      </w:tr>
      <w:tr>
        <w:trPr>
          <w:trHeight w:val="230"/>
        </w:trPr>
        <w:tc>
          <w:tcPr>
            <w:tcW w:w="164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Electronics</w:t>
            </w: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1640" w:type="dxa"/>
            <w:vAlign w:val="bottom"/>
            <w:tcBorders>
              <w:bottom w:val="single" w:sz="8" w:color="auto"/>
              <w:right w:val="single" w:sz="8" w:color="auto"/>
            </w:tcBorders>
            <w:gridSpan w:val="2"/>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02"/>
        </w:trPr>
        <w:tc>
          <w:tcPr>
            <w:tcW w:w="1640" w:type="dxa"/>
            <w:vAlign w:val="bottom"/>
            <w:tcBorders>
              <w:right w:val="single" w:sz="8" w:color="auto"/>
            </w:tcBorders>
            <w:gridSpan w:val="2"/>
          </w:tcPr>
          <w:p>
            <w:pPr>
              <w:ind w:left="180"/>
              <w:spacing w:after="0" w:line="201" w:lineRule="exact"/>
              <w:rPr>
                <w:sz w:val="20"/>
                <w:szCs w:val="20"/>
                <w:color w:val="auto"/>
              </w:rPr>
            </w:pPr>
            <w:r>
              <w:rPr>
                <w:rFonts w:ascii="Arial" w:cs="Arial" w:eastAsia="Arial" w:hAnsi="Arial"/>
                <w:sz w:val="18"/>
                <w:szCs w:val="18"/>
                <w:color w:val="auto"/>
              </w:rPr>
              <w:t>Masterwork</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122287</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102</w:t>
            </w:r>
          </w:p>
        </w:tc>
        <w:tc>
          <w:tcPr>
            <w:tcW w:w="40" w:type="dxa"/>
            <w:vAlign w:val="bottom"/>
          </w:tcPr>
          <w:p>
            <w:pPr>
              <w:spacing w:after="0"/>
              <w:rPr>
                <w:sz w:val="17"/>
                <w:szCs w:val="17"/>
                <w:color w:val="auto"/>
              </w:rPr>
            </w:pPr>
          </w:p>
        </w:tc>
        <w:tc>
          <w:tcPr>
            <w:tcW w:w="31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Top Assembly - G8ePort CDMA</w:t>
            </w:r>
          </w:p>
        </w:tc>
        <w:tc>
          <w:tcPr>
            <w:tcW w:w="1140" w:type="dxa"/>
            <w:vAlign w:val="bottom"/>
            <w:tcBorders>
              <w:right w:val="single" w:sz="8" w:color="auto"/>
            </w:tcBorders>
          </w:tcPr>
          <w:p>
            <w:pPr>
              <w:jc w:val="right"/>
              <w:ind w:right="870"/>
              <w:spacing w:after="0" w:line="201" w:lineRule="exact"/>
              <w:rPr>
                <w:sz w:val="20"/>
                <w:szCs w:val="20"/>
                <w:color w:val="auto"/>
              </w:rPr>
            </w:pPr>
            <w:r>
              <w:rPr>
                <w:rFonts w:ascii="Arial" w:cs="Arial" w:eastAsia="Arial" w:hAnsi="Arial"/>
                <w:sz w:val="18"/>
                <w:szCs w:val="18"/>
                <w:color w:val="auto"/>
              </w:rPr>
              <w:t>0</w:t>
            </w:r>
          </w:p>
        </w:tc>
        <w:tc>
          <w:tcPr>
            <w:tcW w:w="42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104.47</w:t>
            </w:r>
          </w:p>
        </w:tc>
        <w:tc>
          <w:tcPr>
            <w:tcW w:w="38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10,655.94</w:t>
            </w:r>
          </w:p>
        </w:tc>
      </w:tr>
      <w:tr>
        <w:trPr>
          <w:trHeight w:val="230"/>
        </w:trPr>
        <w:tc>
          <w:tcPr>
            <w:tcW w:w="164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Electronics</w:t>
            </w: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Wireless with RFID card</w:t>
            </w:r>
          </w:p>
        </w:tc>
        <w:tc>
          <w:tcPr>
            <w:tcW w:w="11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9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02"/>
        </w:trPr>
        <w:tc>
          <w:tcPr>
            <w:tcW w:w="900" w:type="dxa"/>
            <w:vAlign w:val="bottom"/>
          </w:tcPr>
          <w:p>
            <w:pPr>
              <w:ind w:left="180"/>
              <w:spacing w:after="0" w:line="201" w:lineRule="exact"/>
              <w:rPr>
                <w:sz w:val="20"/>
                <w:szCs w:val="20"/>
                <w:color w:val="auto"/>
              </w:rPr>
            </w:pPr>
            <w:r>
              <w:rPr>
                <w:rFonts w:ascii="Arial" w:cs="Arial" w:eastAsia="Arial" w:hAnsi="Arial"/>
                <w:sz w:val="18"/>
                <w:szCs w:val="18"/>
                <w:color w:val="auto"/>
              </w:rPr>
              <w:t>Telit</w:t>
            </w:r>
          </w:p>
        </w:tc>
        <w:tc>
          <w:tcPr>
            <w:tcW w:w="7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w w:val="98"/>
              </w:rPr>
              <w:t>Wireless</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3292</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4000</w:t>
            </w:r>
          </w:p>
        </w:tc>
        <w:tc>
          <w:tcPr>
            <w:tcW w:w="40" w:type="dxa"/>
            <w:vAlign w:val="bottom"/>
          </w:tcPr>
          <w:p>
            <w:pPr>
              <w:spacing w:after="0"/>
              <w:rPr>
                <w:sz w:val="17"/>
                <w:szCs w:val="17"/>
                <w:color w:val="auto"/>
              </w:rPr>
            </w:pPr>
          </w:p>
        </w:tc>
        <w:tc>
          <w:tcPr>
            <w:tcW w:w="31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CC864 Dual Verizon</w:t>
            </w:r>
          </w:p>
        </w:tc>
        <w:tc>
          <w:tcPr>
            <w:tcW w:w="1140" w:type="dxa"/>
            <w:vAlign w:val="bottom"/>
            <w:tcBorders>
              <w:right w:val="single" w:sz="8" w:color="auto"/>
            </w:tcBorders>
          </w:tcPr>
          <w:p>
            <w:pPr>
              <w:jc w:val="right"/>
              <w:ind w:right="870"/>
              <w:spacing w:after="0" w:line="201" w:lineRule="exact"/>
              <w:rPr>
                <w:sz w:val="20"/>
                <w:szCs w:val="20"/>
                <w:color w:val="auto"/>
              </w:rPr>
            </w:pPr>
            <w:r>
              <w:rPr>
                <w:rFonts w:ascii="Arial" w:cs="Arial" w:eastAsia="Arial" w:hAnsi="Arial"/>
                <w:sz w:val="18"/>
                <w:szCs w:val="18"/>
                <w:color w:val="auto"/>
              </w:rPr>
              <w:t>0</w:t>
            </w:r>
          </w:p>
        </w:tc>
        <w:tc>
          <w:tcPr>
            <w:tcW w:w="42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39.70</w:t>
            </w:r>
          </w:p>
        </w:tc>
        <w:tc>
          <w:tcPr>
            <w:tcW w:w="38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158,800.00</w:t>
            </w:r>
          </w:p>
        </w:tc>
      </w:tr>
      <w:tr>
        <w:trPr>
          <w:trHeight w:val="230"/>
        </w:trPr>
        <w:tc>
          <w:tcPr>
            <w:tcW w:w="900" w:type="dxa"/>
            <w:vAlign w:val="bottom"/>
          </w:tcPr>
          <w:p>
            <w:pPr>
              <w:ind w:left="180"/>
              <w:spacing w:after="0"/>
              <w:rPr>
                <w:sz w:val="20"/>
                <w:szCs w:val="20"/>
                <w:color w:val="auto"/>
              </w:rPr>
            </w:pPr>
            <w:r>
              <w:rPr>
                <w:rFonts w:ascii="Arial" w:cs="Arial" w:eastAsia="Arial" w:hAnsi="Arial"/>
                <w:sz w:val="18"/>
                <w:szCs w:val="18"/>
                <w:color w:val="auto"/>
                <w:w w:val="94"/>
              </w:rPr>
              <w:t>Solutions</w:t>
            </w:r>
          </w:p>
        </w:tc>
        <w:tc>
          <w:tcPr>
            <w:tcW w:w="74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9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02"/>
        </w:trPr>
        <w:tc>
          <w:tcPr>
            <w:tcW w:w="900" w:type="dxa"/>
            <w:vAlign w:val="bottom"/>
          </w:tcPr>
          <w:p>
            <w:pPr>
              <w:ind w:left="180"/>
              <w:spacing w:after="0" w:line="201" w:lineRule="exact"/>
              <w:rPr>
                <w:sz w:val="20"/>
                <w:szCs w:val="20"/>
                <w:color w:val="auto"/>
              </w:rPr>
            </w:pPr>
            <w:r>
              <w:rPr>
                <w:rFonts w:ascii="Arial" w:cs="Arial" w:eastAsia="Arial" w:hAnsi="Arial"/>
                <w:sz w:val="18"/>
                <w:szCs w:val="18"/>
                <w:color w:val="auto"/>
              </w:rPr>
              <w:t>Telit</w:t>
            </w:r>
          </w:p>
        </w:tc>
        <w:tc>
          <w:tcPr>
            <w:tcW w:w="7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w w:val="98"/>
              </w:rPr>
              <w:t>Wireless</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3644</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2500</w:t>
            </w:r>
          </w:p>
        </w:tc>
        <w:tc>
          <w:tcPr>
            <w:tcW w:w="40" w:type="dxa"/>
            <w:vAlign w:val="bottom"/>
          </w:tcPr>
          <w:p>
            <w:pPr>
              <w:spacing w:after="0"/>
              <w:rPr>
                <w:sz w:val="17"/>
                <w:szCs w:val="17"/>
                <w:color w:val="auto"/>
              </w:rPr>
            </w:pPr>
          </w:p>
        </w:tc>
        <w:tc>
          <w:tcPr>
            <w:tcW w:w="31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CC864 Dual Verizon</w:t>
            </w:r>
          </w:p>
        </w:tc>
        <w:tc>
          <w:tcPr>
            <w:tcW w:w="1140" w:type="dxa"/>
            <w:vAlign w:val="bottom"/>
            <w:tcBorders>
              <w:right w:val="single" w:sz="8" w:color="auto"/>
            </w:tcBorders>
          </w:tcPr>
          <w:p>
            <w:pPr>
              <w:jc w:val="right"/>
              <w:ind w:right="870"/>
              <w:spacing w:after="0" w:line="201" w:lineRule="exact"/>
              <w:rPr>
                <w:sz w:val="20"/>
                <w:szCs w:val="20"/>
                <w:color w:val="auto"/>
              </w:rPr>
            </w:pPr>
            <w:r>
              <w:rPr>
                <w:rFonts w:ascii="Arial" w:cs="Arial" w:eastAsia="Arial" w:hAnsi="Arial"/>
                <w:sz w:val="18"/>
                <w:szCs w:val="18"/>
                <w:color w:val="auto"/>
              </w:rPr>
              <w:t>0</w:t>
            </w:r>
          </w:p>
        </w:tc>
        <w:tc>
          <w:tcPr>
            <w:tcW w:w="42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39.70</w:t>
            </w:r>
          </w:p>
        </w:tc>
        <w:tc>
          <w:tcPr>
            <w:tcW w:w="38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99,250.00</w:t>
            </w:r>
          </w:p>
        </w:tc>
      </w:tr>
      <w:tr>
        <w:trPr>
          <w:trHeight w:val="230"/>
        </w:trPr>
        <w:tc>
          <w:tcPr>
            <w:tcW w:w="900" w:type="dxa"/>
            <w:vAlign w:val="bottom"/>
          </w:tcPr>
          <w:p>
            <w:pPr>
              <w:ind w:left="180"/>
              <w:spacing w:after="0"/>
              <w:rPr>
                <w:sz w:val="20"/>
                <w:szCs w:val="20"/>
                <w:color w:val="auto"/>
              </w:rPr>
            </w:pPr>
            <w:r>
              <w:rPr>
                <w:rFonts w:ascii="Arial" w:cs="Arial" w:eastAsia="Arial" w:hAnsi="Arial"/>
                <w:sz w:val="18"/>
                <w:szCs w:val="18"/>
                <w:color w:val="auto"/>
                <w:w w:val="94"/>
              </w:rPr>
              <w:t>Solutions</w:t>
            </w:r>
          </w:p>
        </w:tc>
        <w:tc>
          <w:tcPr>
            <w:tcW w:w="74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9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02"/>
        </w:trPr>
        <w:tc>
          <w:tcPr>
            <w:tcW w:w="900" w:type="dxa"/>
            <w:vAlign w:val="bottom"/>
          </w:tcPr>
          <w:p>
            <w:pPr>
              <w:ind w:left="180"/>
              <w:spacing w:after="0" w:line="201" w:lineRule="exact"/>
              <w:rPr>
                <w:sz w:val="20"/>
                <w:szCs w:val="20"/>
                <w:color w:val="auto"/>
              </w:rPr>
            </w:pPr>
            <w:r>
              <w:rPr>
                <w:rFonts w:ascii="Arial" w:cs="Arial" w:eastAsia="Arial" w:hAnsi="Arial"/>
                <w:sz w:val="18"/>
                <w:szCs w:val="18"/>
                <w:color w:val="auto"/>
              </w:rPr>
              <w:t>Telit</w:t>
            </w:r>
          </w:p>
        </w:tc>
        <w:tc>
          <w:tcPr>
            <w:tcW w:w="7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w w:val="98"/>
              </w:rPr>
              <w:t>Wireless</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3644</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500</w:t>
            </w:r>
          </w:p>
        </w:tc>
        <w:tc>
          <w:tcPr>
            <w:tcW w:w="40" w:type="dxa"/>
            <w:vAlign w:val="bottom"/>
          </w:tcPr>
          <w:p>
            <w:pPr>
              <w:spacing w:after="0"/>
              <w:rPr>
                <w:sz w:val="17"/>
                <w:szCs w:val="17"/>
                <w:color w:val="auto"/>
              </w:rPr>
            </w:pPr>
          </w:p>
        </w:tc>
        <w:tc>
          <w:tcPr>
            <w:tcW w:w="31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CC864 Dual Verizon</w:t>
            </w:r>
          </w:p>
        </w:tc>
        <w:tc>
          <w:tcPr>
            <w:tcW w:w="1140" w:type="dxa"/>
            <w:vAlign w:val="bottom"/>
            <w:tcBorders>
              <w:right w:val="single" w:sz="8" w:color="auto"/>
            </w:tcBorders>
          </w:tcPr>
          <w:p>
            <w:pPr>
              <w:jc w:val="right"/>
              <w:ind w:right="870"/>
              <w:spacing w:after="0" w:line="201" w:lineRule="exact"/>
              <w:rPr>
                <w:sz w:val="20"/>
                <w:szCs w:val="20"/>
                <w:color w:val="auto"/>
              </w:rPr>
            </w:pPr>
            <w:r>
              <w:rPr>
                <w:rFonts w:ascii="Arial" w:cs="Arial" w:eastAsia="Arial" w:hAnsi="Arial"/>
                <w:sz w:val="18"/>
                <w:szCs w:val="18"/>
                <w:color w:val="auto"/>
              </w:rPr>
              <w:t>0</w:t>
            </w:r>
          </w:p>
        </w:tc>
        <w:tc>
          <w:tcPr>
            <w:tcW w:w="42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39.70</w:t>
            </w:r>
          </w:p>
        </w:tc>
        <w:tc>
          <w:tcPr>
            <w:tcW w:w="38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19,850.00</w:t>
            </w:r>
          </w:p>
        </w:tc>
      </w:tr>
      <w:tr>
        <w:trPr>
          <w:trHeight w:val="230"/>
        </w:trPr>
        <w:tc>
          <w:tcPr>
            <w:tcW w:w="900" w:type="dxa"/>
            <w:vAlign w:val="bottom"/>
          </w:tcPr>
          <w:p>
            <w:pPr>
              <w:ind w:left="180"/>
              <w:spacing w:after="0"/>
              <w:rPr>
                <w:sz w:val="20"/>
                <w:szCs w:val="20"/>
                <w:color w:val="auto"/>
              </w:rPr>
            </w:pPr>
            <w:r>
              <w:rPr>
                <w:rFonts w:ascii="Arial" w:cs="Arial" w:eastAsia="Arial" w:hAnsi="Arial"/>
                <w:sz w:val="18"/>
                <w:szCs w:val="18"/>
                <w:color w:val="auto"/>
                <w:w w:val="94"/>
              </w:rPr>
              <w:t>Solutions</w:t>
            </w:r>
          </w:p>
        </w:tc>
        <w:tc>
          <w:tcPr>
            <w:tcW w:w="74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9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02"/>
        </w:trPr>
        <w:tc>
          <w:tcPr>
            <w:tcW w:w="900" w:type="dxa"/>
            <w:vAlign w:val="bottom"/>
          </w:tcPr>
          <w:p>
            <w:pPr>
              <w:ind w:left="180"/>
              <w:spacing w:after="0" w:line="201" w:lineRule="exact"/>
              <w:rPr>
                <w:sz w:val="20"/>
                <w:szCs w:val="20"/>
                <w:color w:val="auto"/>
              </w:rPr>
            </w:pPr>
            <w:r>
              <w:rPr>
                <w:rFonts w:ascii="Arial" w:cs="Arial" w:eastAsia="Arial" w:hAnsi="Arial"/>
                <w:sz w:val="18"/>
                <w:szCs w:val="18"/>
                <w:color w:val="auto"/>
              </w:rPr>
              <w:t>Telit</w:t>
            </w:r>
          </w:p>
        </w:tc>
        <w:tc>
          <w:tcPr>
            <w:tcW w:w="7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w w:val="98"/>
              </w:rPr>
              <w:t>Wireless</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5434</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3000</w:t>
            </w:r>
          </w:p>
        </w:tc>
        <w:tc>
          <w:tcPr>
            <w:tcW w:w="40" w:type="dxa"/>
            <w:vAlign w:val="bottom"/>
          </w:tcPr>
          <w:p>
            <w:pPr>
              <w:spacing w:after="0"/>
              <w:rPr>
                <w:sz w:val="17"/>
                <w:szCs w:val="17"/>
                <w:color w:val="auto"/>
              </w:rPr>
            </w:pPr>
          </w:p>
        </w:tc>
        <w:tc>
          <w:tcPr>
            <w:tcW w:w="31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CC864 Dual Verizon</w:t>
            </w:r>
          </w:p>
        </w:tc>
        <w:tc>
          <w:tcPr>
            <w:tcW w:w="1140" w:type="dxa"/>
            <w:vAlign w:val="bottom"/>
            <w:tcBorders>
              <w:right w:val="single" w:sz="8" w:color="auto"/>
            </w:tcBorders>
          </w:tcPr>
          <w:p>
            <w:pPr>
              <w:jc w:val="right"/>
              <w:ind w:right="870"/>
              <w:spacing w:after="0" w:line="201" w:lineRule="exact"/>
              <w:rPr>
                <w:sz w:val="20"/>
                <w:szCs w:val="20"/>
                <w:color w:val="auto"/>
              </w:rPr>
            </w:pPr>
            <w:r>
              <w:rPr>
                <w:rFonts w:ascii="Arial" w:cs="Arial" w:eastAsia="Arial" w:hAnsi="Arial"/>
                <w:sz w:val="18"/>
                <w:szCs w:val="18"/>
                <w:color w:val="auto"/>
              </w:rPr>
              <w:t>0</w:t>
            </w:r>
          </w:p>
        </w:tc>
        <w:tc>
          <w:tcPr>
            <w:tcW w:w="42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36.00</w:t>
            </w:r>
          </w:p>
        </w:tc>
        <w:tc>
          <w:tcPr>
            <w:tcW w:w="38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108,000.00</w:t>
            </w:r>
          </w:p>
        </w:tc>
      </w:tr>
      <w:tr>
        <w:trPr>
          <w:trHeight w:val="230"/>
        </w:trPr>
        <w:tc>
          <w:tcPr>
            <w:tcW w:w="900" w:type="dxa"/>
            <w:vAlign w:val="bottom"/>
          </w:tcPr>
          <w:p>
            <w:pPr>
              <w:ind w:left="180"/>
              <w:spacing w:after="0"/>
              <w:rPr>
                <w:sz w:val="20"/>
                <w:szCs w:val="20"/>
                <w:color w:val="auto"/>
              </w:rPr>
            </w:pPr>
            <w:r>
              <w:rPr>
                <w:rFonts w:ascii="Arial" w:cs="Arial" w:eastAsia="Arial" w:hAnsi="Arial"/>
                <w:sz w:val="18"/>
                <w:szCs w:val="18"/>
                <w:color w:val="auto"/>
                <w:w w:val="94"/>
              </w:rPr>
              <w:t>Solutions</w:t>
            </w:r>
          </w:p>
        </w:tc>
        <w:tc>
          <w:tcPr>
            <w:tcW w:w="74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9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02"/>
        </w:trPr>
        <w:tc>
          <w:tcPr>
            <w:tcW w:w="900" w:type="dxa"/>
            <w:vAlign w:val="bottom"/>
          </w:tcPr>
          <w:p>
            <w:pPr>
              <w:ind w:left="180"/>
              <w:spacing w:after="0" w:line="201" w:lineRule="exact"/>
              <w:rPr>
                <w:sz w:val="20"/>
                <w:szCs w:val="20"/>
                <w:color w:val="auto"/>
              </w:rPr>
            </w:pPr>
            <w:r>
              <w:rPr>
                <w:rFonts w:ascii="Arial" w:cs="Arial" w:eastAsia="Arial" w:hAnsi="Arial"/>
                <w:sz w:val="18"/>
                <w:szCs w:val="18"/>
                <w:color w:val="auto"/>
              </w:rPr>
              <w:t>Telit</w:t>
            </w:r>
          </w:p>
        </w:tc>
        <w:tc>
          <w:tcPr>
            <w:tcW w:w="7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w w:val="98"/>
              </w:rPr>
              <w:t>Wireless</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9830001301</w:t>
            </w:r>
          </w:p>
        </w:tc>
        <w:tc>
          <w:tcPr>
            <w:tcW w:w="7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5000</w:t>
            </w:r>
          </w:p>
        </w:tc>
        <w:tc>
          <w:tcPr>
            <w:tcW w:w="40" w:type="dxa"/>
            <w:vAlign w:val="bottom"/>
          </w:tcPr>
          <w:p>
            <w:pPr>
              <w:spacing w:after="0"/>
              <w:rPr>
                <w:sz w:val="17"/>
                <w:szCs w:val="17"/>
                <w:color w:val="auto"/>
              </w:rPr>
            </w:pPr>
          </w:p>
        </w:tc>
        <w:tc>
          <w:tcPr>
            <w:tcW w:w="31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CE910 Dual Verizon Module</w:t>
            </w:r>
          </w:p>
        </w:tc>
        <w:tc>
          <w:tcPr>
            <w:tcW w:w="1140" w:type="dxa"/>
            <w:vAlign w:val="bottom"/>
            <w:tcBorders>
              <w:right w:val="single" w:sz="8" w:color="auto"/>
            </w:tcBorders>
          </w:tcPr>
          <w:p>
            <w:pPr>
              <w:jc w:val="right"/>
              <w:ind w:right="870"/>
              <w:spacing w:after="0" w:line="201" w:lineRule="exact"/>
              <w:rPr>
                <w:sz w:val="20"/>
                <w:szCs w:val="20"/>
                <w:color w:val="auto"/>
              </w:rPr>
            </w:pPr>
            <w:r>
              <w:rPr>
                <w:rFonts w:ascii="Arial" w:cs="Arial" w:eastAsia="Arial" w:hAnsi="Arial"/>
                <w:sz w:val="18"/>
                <w:szCs w:val="18"/>
                <w:color w:val="auto"/>
              </w:rPr>
              <w:t>0</w:t>
            </w:r>
          </w:p>
        </w:tc>
        <w:tc>
          <w:tcPr>
            <w:tcW w:w="42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27.98</w:t>
            </w:r>
          </w:p>
        </w:tc>
        <w:tc>
          <w:tcPr>
            <w:tcW w:w="38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139,900.00</w:t>
            </w:r>
          </w:p>
        </w:tc>
      </w:tr>
      <w:tr>
        <w:trPr>
          <w:trHeight w:val="230"/>
        </w:trPr>
        <w:tc>
          <w:tcPr>
            <w:tcW w:w="900" w:type="dxa"/>
            <w:vAlign w:val="bottom"/>
          </w:tcPr>
          <w:p>
            <w:pPr>
              <w:ind w:left="180"/>
              <w:spacing w:after="0"/>
              <w:rPr>
                <w:sz w:val="20"/>
                <w:szCs w:val="20"/>
                <w:color w:val="auto"/>
              </w:rPr>
            </w:pPr>
            <w:r>
              <w:rPr>
                <w:rFonts w:ascii="Arial" w:cs="Arial" w:eastAsia="Arial" w:hAnsi="Arial"/>
                <w:sz w:val="18"/>
                <w:szCs w:val="18"/>
                <w:color w:val="auto"/>
                <w:w w:val="94"/>
              </w:rPr>
              <w:t>Solutions</w:t>
            </w:r>
          </w:p>
        </w:tc>
        <w:tc>
          <w:tcPr>
            <w:tcW w:w="74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1640" w:type="dxa"/>
            <w:vAlign w:val="bottom"/>
            <w:tcBorders>
              <w:bottom w:val="single" w:sz="8" w:color="auto"/>
              <w:right w:val="single" w:sz="8" w:color="auto"/>
            </w:tcBorders>
            <w:gridSpan w:val="2"/>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gridSpan w:val="2"/>
          </w:tcPr>
          <w:p>
            <w:pPr>
              <w:spacing w:after="0"/>
              <w:rPr>
                <w:sz w:val="19"/>
                <w:szCs w:val="19"/>
                <w:color w:val="auto"/>
              </w:rPr>
            </w:pPr>
          </w:p>
        </w:tc>
        <w:tc>
          <w:tcPr>
            <w:tcW w:w="1500" w:type="dxa"/>
            <w:vAlign w:val="bottom"/>
            <w:tcBorders>
              <w:bottom w:val="single" w:sz="8" w:color="auto"/>
            </w:tcBorders>
            <w:gridSpan w:val="2"/>
          </w:tcPr>
          <w:p>
            <w:pPr>
              <w:spacing w:after="0"/>
              <w:rPr>
                <w:sz w:val="19"/>
                <w:szCs w:val="19"/>
                <w:color w:val="auto"/>
              </w:rPr>
            </w:pPr>
          </w:p>
        </w:tc>
      </w:tr>
      <w:tr>
        <w:trPr>
          <w:trHeight w:val="218"/>
        </w:trPr>
        <w:tc>
          <w:tcPr>
            <w:tcW w:w="4400" w:type="dxa"/>
            <w:vAlign w:val="bottom"/>
            <w:gridSpan w:val="6"/>
          </w:tcPr>
          <w:p>
            <w:pPr>
              <w:ind w:left="180"/>
              <w:spacing w:after="0"/>
              <w:rPr>
                <w:sz w:val="20"/>
                <w:szCs w:val="20"/>
                <w:color w:val="auto"/>
              </w:rPr>
            </w:pPr>
            <w:r>
              <w:rPr>
                <w:rFonts w:ascii="Arial" w:cs="Arial" w:eastAsia="Arial" w:hAnsi="Arial"/>
                <w:sz w:val="18"/>
                <w:szCs w:val="18"/>
                <w:b w:val="1"/>
                <w:bCs w:val="1"/>
                <w:color w:val="auto"/>
                <w:w w:val="89"/>
              </w:rPr>
              <w:t>together with all additions, alterations, accessions and</w:t>
            </w:r>
          </w:p>
        </w:tc>
        <w:tc>
          <w:tcPr>
            <w:tcW w:w="7020" w:type="dxa"/>
            <w:vAlign w:val="bottom"/>
            <w:gridSpan w:val="6"/>
          </w:tcPr>
          <w:p>
            <w:pPr>
              <w:ind w:left="80"/>
              <w:spacing w:after="0"/>
              <w:rPr>
                <w:sz w:val="20"/>
                <w:szCs w:val="20"/>
                <w:color w:val="auto"/>
              </w:rPr>
            </w:pPr>
            <w:r>
              <w:rPr>
                <w:rFonts w:ascii="Arial" w:cs="Arial" w:eastAsia="Arial" w:hAnsi="Arial"/>
                <w:sz w:val="18"/>
                <w:szCs w:val="18"/>
                <w:b w:val="1"/>
                <w:bCs w:val="1"/>
                <w:color w:val="auto"/>
                <w:w w:val="91"/>
              </w:rPr>
              <w:t>modifications thereto and replacements of any part thereof, and substitutions therefore,</w:t>
            </w:r>
          </w:p>
        </w:tc>
      </w:tr>
    </w:tbl>
    <w:p>
      <w:pPr>
        <w:jc w:val="both"/>
        <w:ind w:left="180" w:right="120"/>
        <w:spacing w:after="0" w:line="252" w:lineRule="auto"/>
        <w:rPr>
          <w:sz w:val="20"/>
          <w:szCs w:val="20"/>
          <w:color w:val="auto"/>
        </w:rPr>
      </w:pPr>
      <w:r>
        <w:rPr>
          <w:rFonts w:ascii="Arial" w:cs="Arial" w:eastAsia="Arial" w:hAnsi="Arial"/>
          <w:sz w:val="18"/>
          <w:szCs w:val="18"/>
          <w:b w:val="1"/>
          <w:bCs w:val="1"/>
          <w:color w:val="auto"/>
        </w:rPr>
        <w:t>all accessories, and attachments, in whole or in part. Any related software (embedded therein or otherwise), all intangibles and other rights associated with such equipment, including without limitation any licenses to use or own such equipment, any manufacturer’s or other warranties with respect to such equipment, all goods, refunds, rebates, remittances, insurance and insurance proceeds, and all rights related thereto, and other property or rights to which the Lessee may be or become entitled by reason of Lessee’s interest in the equipment, software or personal property.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154" w:name="page155"/>
    <w:bookmarkEnd w:id="154"/>
    <w:p>
      <w:pPr>
        <w:ind w:left="102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10.33</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Varilease Finance,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6340 South 3000 East,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 84121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www.varilease.com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801.733.8100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801.733.8900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SALE LEASEBACK AGREEMENT</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SALE LEASEBACK AGREEMENT (“Agreement”), between USA TECHNOLOGIES, INC., a Pennsylvania corporation, having its chief executive offices at 100 Deerfield Lane, Suite 140 , Malvern, PA 19355 (“Seller”) and VARILEASE FINANCE, INC., a Michigan corporation, having its chief executive offices at 6340 South 3000 East, Suite 400, Salt Lake City, UT 84121 (“Purchaser”) is dated and effective this April 30, 2014.</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WHEREAS, Purchaser, as Lessor, and Seller, as Lessee, have entered into Schedule No. 02 dated April 30, 2014 (the “Schedule”) as it incorporates the terms and conditions of Master Lease Agreement dated April 30, 2014 (the “Master Agreement”). The Schedule and Master Agreement shall hereinafter be referred to collectively, as the “Lease”;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WHEREAS, Seller desires Purchaser to purchase from Seller property and equipment listed on one or more Authorizations for Progress Payment and/or an Installation Certificate (collectively, “Authorizations” and individually, “Authorization”) (collectively, the “Equipment” and individually, an “Item of Equipment”), and lease the Equipment back from Purchaser; and,</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Purchaser desires to buy the Equipment from Seller and lease the Equipment to Seller under the terms and conditions of this Agreement, the Authorizations and the Lease.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NOW, THEREFORE, in consideration of the foregoing and in further consideration of the representations and covenants contained herein, the parties agree as follows:</w:t>
      </w:r>
    </w:p>
    <w:p>
      <w:pPr>
        <w:spacing w:after="0" w:line="197" w:lineRule="exact"/>
        <w:rPr>
          <w:sz w:val="20"/>
          <w:szCs w:val="20"/>
          <w:color w:val="auto"/>
        </w:rPr>
      </w:pPr>
    </w:p>
    <w:p>
      <w:pPr>
        <w:jc w:val="both"/>
        <w:ind w:left="660" w:hanging="409"/>
        <w:spacing w:after="0" w:line="279" w:lineRule="auto"/>
        <w:tabs>
          <w:tab w:leader="none" w:pos="660"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Purchase and Sale</w:t>
      </w:r>
      <w:r>
        <w:rPr>
          <w:rFonts w:ascii="Arial" w:cs="Arial" w:eastAsia="Arial" w:hAnsi="Arial"/>
          <w:sz w:val="17"/>
          <w:szCs w:val="17"/>
          <w:color w:val="auto"/>
        </w:rPr>
        <w:t>. Seller hereby sells and Purchaser hereby purchases the Equipment (including all maintenance records, schematics, logic books, manuals, cables, kick plates, form stands, diagnostics and microfiche necessary for the installation, maintenance and operation of the Equipment) described in one or more Authorizations signed by Seller. Each Authorization upon the execution and delivery thereof, shall be incorporated into this Agreement by this reference, and collectively, the Authorizations shall comprise the Equipment.</w:t>
      </w:r>
    </w:p>
    <w:p>
      <w:pPr>
        <w:spacing w:after="0" w:line="198" w:lineRule="exact"/>
        <w:rPr>
          <w:rFonts w:ascii="Arial" w:cs="Arial" w:eastAsia="Arial" w:hAnsi="Arial"/>
          <w:sz w:val="17"/>
          <w:szCs w:val="17"/>
          <w:color w:val="auto"/>
        </w:rPr>
      </w:pPr>
    </w:p>
    <w:p>
      <w:pPr>
        <w:ind w:left="660" w:hanging="373"/>
        <w:spacing w:after="0" w:line="277" w:lineRule="auto"/>
        <w:tabs>
          <w:tab w:leader="none" w:pos="660"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Purchaser and Seller hereby agree that the purchase price to be paid to Seller by Purchaser for the Equipment shall be $994,178.52. which shall be payable to Seller under the terms and conditions of this Agreement, the Authorizations and the Lease.</w:t>
      </w:r>
    </w:p>
    <w:p>
      <w:pPr>
        <w:spacing w:after="0" w:line="197" w:lineRule="exact"/>
        <w:rPr>
          <w:rFonts w:ascii="Arial" w:cs="Arial" w:eastAsia="Arial" w:hAnsi="Arial"/>
          <w:sz w:val="18"/>
          <w:szCs w:val="18"/>
          <w:color w:val="auto"/>
        </w:rPr>
      </w:pPr>
    </w:p>
    <w:p>
      <w:pPr>
        <w:jc w:val="both"/>
        <w:ind w:left="660" w:hanging="373"/>
        <w:spacing w:after="0" w:line="279" w:lineRule="auto"/>
        <w:tabs>
          <w:tab w:leader="none" w:pos="660" w:val="left"/>
        </w:tabs>
        <w:numPr>
          <w:ilvl w:val="1"/>
          <w:numId w:val="108"/>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Seller represents and warrants that it is responsible for and it has paid all sales and use, property and other taxes assessed or due in connection with Seller’s purchase, use and possession of the Equipment prior to this sale to Purchaser. Seller will pay all taxes in the nature of excise, sales or use taxes imposed upon Seller by any state or political subdivision by reason of the sale provided for herein. Notwithstanding the foregoing, Purchaser warrants that this purchase is for resale and will provide Seller with Purchaser’s resale exemption certificate number.</w:t>
      </w:r>
    </w:p>
    <w:p>
      <w:pPr>
        <w:spacing w:after="0" w:line="198" w:lineRule="exact"/>
        <w:rPr>
          <w:rFonts w:ascii="Arial" w:cs="Arial" w:eastAsia="Arial" w:hAnsi="Arial"/>
          <w:sz w:val="17"/>
          <w:szCs w:val="17"/>
          <w:color w:val="auto"/>
        </w:rPr>
      </w:pPr>
    </w:p>
    <w:p>
      <w:pPr>
        <w:jc w:val="both"/>
        <w:ind w:left="660" w:hanging="373"/>
        <w:spacing w:after="0" w:line="285" w:lineRule="auto"/>
        <w:tabs>
          <w:tab w:leader="none" w:pos="660"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Warranty of Title</w:t>
      </w:r>
      <w:r>
        <w:rPr>
          <w:rFonts w:ascii="Arial" w:cs="Arial" w:eastAsia="Arial" w:hAnsi="Arial"/>
          <w:sz w:val="16"/>
          <w:szCs w:val="16"/>
          <w:color w:val="auto"/>
        </w:rPr>
        <w:t>. SELLER HEREBY WARRANTS TO PURCHASER, ITS SUCCESSORS AND ASSIGNS, THAT SELLER HAS GOOD AND MARKETABLE TITLE TO THE EQUIPMENT, FREE AND CLEAR OF ALL CLAIMS, LIENS, ENCUMBRANCES AND RIGHTS OF OTHERS OF ANY NATURE WHATSOEVER OTHER THAN ANY ASSIGNMENT, SUBLEASE, RENTAL, OR PROCESSING OR SIMILAR AGREEMENTS ENTERED OR TO BE ENTERED INTO FROM TIME TO TIME BETWEEN THE SELLER AND ITS CUSTOMERS OR AGENTS RELATING TO THE EQUIPMENT AND THE USE THEREOF BY ITS CUSTOMERS (“CUSTOMER AGREEMENTS”). BY THIS AGREEMENT, AND SUBJECT TO THE TERMS OF THE LEASE, THE PARTIES AGREE THAT TITLE AND OWNERSHIP OF THOSE ITEMS OF EQUIPMENT SPECIFIED IN ANY AUTHORIZATION SHALL PASS TO PURCHASER AT THE TIME SELLER SIGNS SUCH AUTHORIZATION, AT WHICH TIME SELLER SHALL GRANT, BARGAIN, SELL, TRANSFER AND DELIVER TO PURCHASER ALL OF SELLER’S RIGHT, TITLE AND INTEREST IN THE ITEMS OF EQUIPMENT DESIGNATED ON THE AUTHORIZATION, TO HAVE AND TO HOLD EACH ITEM OF EQUIPMENT UNTO PURCHASER, ITS SUCCESSORS AND ASSIGNS, BY EXECUTING A BILL OF SALE IN FAVOR OF PURCHASER. SUBJECT TO THE CUSTOMER AGREEMENTS, SELLER HEREBY INDEMNIFIES PURCHASER AGAINST ALL CLAIMS AND COSTS INCURRED IN THE DEFENSE OF TITLE TO THE EQUIPMENT BY ANYONE CLAIMING BY OR THROUGH SELLER. Seller is transferring to Purchaser good title to the Equipment, free and clear of all liens and encumbrances of any kind or description other than the Customer Agreements, and each Item of Equipment will be at the time of signing of each Authorization, in good operating condition and appearance and installed (if applicable) and operating in accordance with all manufacturer specifications. Effective at the time of signing of each Authorization, Seller assigns to Purchaser all of its rights and interests in and to any software specified in each Authorization, together with all vendor representations, warranties and indemnities pertaining thereto, and in any license agreement entered into by Seller in connection with such software. Provided no Event of Default has occurred and is continuing under the Lease, Seller is hereby authorized to use such software consistent with the license agreement relating thereto, and to communicate directly with any licensor in all matters relating to the software and license agreement. Seller agrees to perform and discharge when due each and every obligation of licensee under each license agreement and to not breach any provision of the license. Seller assumes and indemnifies Purchaser against all liabilities or claims arising in connection with such license.</w:t>
      </w:r>
    </w:p>
    <w:p>
      <w:pPr>
        <w:spacing w:after="0" w:line="200" w:lineRule="exact"/>
        <w:rPr>
          <w:rFonts w:ascii="Arial" w:cs="Arial" w:eastAsia="Arial" w:hAnsi="Arial"/>
          <w:sz w:val="16"/>
          <w:szCs w:val="16"/>
          <w:color w:val="auto"/>
        </w:rPr>
      </w:pPr>
    </w:p>
    <w:p>
      <w:pPr>
        <w:spacing w:after="0" w:line="211" w:lineRule="exact"/>
        <w:rPr>
          <w:rFonts w:ascii="Arial" w:cs="Arial" w:eastAsia="Arial" w:hAnsi="Arial"/>
          <w:sz w:val="16"/>
          <w:szCs w:val="16"/>
          <w:color w:val="auto"/>
        </w:rPr>
      </w:pPr>
    </w:p>
    <w:p>
      <w:pPr>
        <w:ind w:left="660" w:hanging="373"/>
        <w:spacing w:after="0" w:line="277" w:lineRule="auto"/>
        <w:tabs>
          <w:tab w:leader="none" w:pos="660"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Manufacturer’s Warranties</w:t>
      </w:r>
      <w:r>
        <w:rPr>
          <w:rFonts w:ascii="Arial" w:cs="Arial" w:eastAsia="Arial" w:hAnsi="Arial"/>
          <w:sz w:val="18"/>
          <w:szCs w:val="18"/>
          <w:color w:val="auto"/>
        </w:rPr>
        <w:t>. Seller hereby assigns to Purchaser all warranties and indemnities with respect to the Equipment made by the manufacturer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55" w:name="page156"/>
    <w:bookmarkEnd w:id="155"/>
    <w:p>
      <w:pPr>
        <w:ind w:left="409" w:right="20" w:hanging="373"/>
        <w:spacing w:after="0" w:line="277" w:lineRule="auto"/>
        <w:tabs>
          <w:tab w:leader="none" w:pos="409"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Security Interest</w:t>
      </w:r>
      <w:r>
        <w:rPr>
          <w:rFonts w:ascii="Arial" w:cs="Arial" w:eastAsia="Arial" w:hAnsi="Arial"/>
          <w:sz w:val="18"/>
          <w:szCs w:val="18"/>
          <w:color w:val="auto"/>
        </w:rPr>
        <w:t>. Seller hereby reserves a security interest in the Equipment, which interest shall be automatically terminated upon payment by Purchaser of the purchase price as set forth in each Authorization.</w:t>
      </w:r>
    </w:p>
    <w:p>
      <w:pPr>
        <w:spacing w:after="0" w:line="197" w:lineRule="exact"/>
        <w:rPr>
          <w:rFonts w:ascii="Arial" w:cs="Arial" w:eastAsia="Arial" w:hAnsi="Arial"/>
          <w:sz w:val="18"/>
          <w:szCs w:val="18"/>
          <w:color w:val="auto"/>
        </w:rPr>
      </w:pPr>
    </w:p>
    <w:p>
      <w:pPr>
        <w:ind w:left="409" w:hanging="373"/>
        <w:spacing w:after="0"/>
        <w:tabs>
          <w:tab w:leader="none" w:pos="409" w:val="left"/>
        </w:tabs>
        <w:numPr>
          <w:ilvl w:val="1"/>
          <w:numId w:val="109"/>
        </w:numPr>
        <w:rPr>
          <w:rFonts w:ascii="Arial" w:cs="Arial" w:eastAsia="Arial" w:hAnsi="Arial"/>
          <w:sz w:val="17"/>
          <w:szCs w:val="17"/>
          <w:color w:val="auto"/>
        </w:rPr>
      </w:pPr>
      <w:r>
        <w:rPr>
          <w:rFonts w:ascii="Arial" w:cs="Arial" w:eastAsia="Arial" w:hAnsi="Arial"/>
          <w:sz w:val="17"/>
          <w:szCs w:val="17"/>
          <w:u w:val="single" w:color="auto"/>
          <w:color w:val="auto"/>
        </w:rPr>
        <w:t>Purchaser’s Obligations</w:t>
      </w:r>
      <w:r>
        <w:rPr>
          <w:rFonts w:ascii="Arial" w:cs="Arial" w:eastAsia="Arial" w:hAnsi="Arial"/>
          <w:sz w:val="17"/>
          <w:szCs w:val="17"/>
          <w:color w:val="auto"/>
        </w:rPr>
        <w:t>. Seller hereby acknowledges that Purchaser’s obligations hereunder are expressly subject to the following conditions:</w:t>
      </w:r>
    </w:p>
    <w:p>
      <w:pPr>
        <w:spacing w:after="0" w:line="263" w:lineRule="exact"/>
        <w:rPr>
          <w:rFonts w:ascii="Arial" w:cs="Arial" w:eastAsia="Arial" w:hAnsi="Arial"/>
          <w:sz w:val="17"/>
          <w:szCs w:val="17"/>
          <w:color w:val="auto"/>
        </w:rPr>
      </w:pPr>
    </w:p>
    <w:p>
      <w:pPr>
        <w:ind w:left="1049" w:hanging="300"/>
        <w:spacing w:after="0"/>
        <w:tabs>
          <w:tab w:leader="none" w:pos="1049" w:val="left"/>
        </w:tabs>
        <w:numPr>
          <w:ilvl w:val="3"/>
          <w:numId w:val="109"/>
        </w:numPr>
        <w:rPr>
          <w:rFonts w:ascii="Arial" w:cs="Arial" w:eastAsia="Arial" w:hAnsi="Arial"/>
          <w:sz w:val="16"/>
          <w:szCs w:val="16"/>
          <w:color w:val="auto"/>
        </w:rPr>
      </w:pPr>
      <w:r>
        <w:rPr>
          <w:rFonts w:ascii="Arial" w:cs="Arial" w:eastAsia="Arial" w:hAnsi="Arial"/>
          <w:sz w:val="16"/>
          <w:szCs w:val="16"/>
          <w:color w:val="auto"/>
        </w:rPr>
        <w:t>Purchaser’s receipt of the Master Agreement, Schedule, and supplemental documentation pursuant to section 10 of the Schedule within five</w:t>
      </w:r>
    </w:p>
    <w:p>
      <w:pPr>
        <w:spacing w:after="0" w:line="46" w:lineRule="exact"/>
        <w:rPr>
          <w:rFonts w:ascii="Arial" w:cs="Arial" w:eastAsia="Arial" w:hAnsi="Arial"/>
          <w:sz w:val="16"/>
          <w:szCs w:val="16"/>
          <w:color w:val="auto"/>
        </w:rPr>
      </w:pPr>
    </w:p>
    <w:p>
      <w:pPr>
        <w:ind w:left="1049"/>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(5) business days from the date of this Agreement. Should the Lease not be executed and delivered by Seller within such five-day period then, at the option of Purchaser, this Agreement shall be null and void </w:t>
      </w:r>
      <w:r>
        <w:rPr>
          <w:rFonts w:ascii="Arial" w:cs="Arial" w:eastAsia="Arial" w:hAnsi="Arial"/>
          <w:sz w:val="18"/>
          <w:szCs w:val="18"/>
          <w:u w:val="single" w:color="auto"/>
          <w:color w:val="auto"/>
        </w:rPr>
        <w:t>ab initio</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1049" w:hanging="310"/>
        <w:spacing w:after="0"/>
        <w:tabs>
          <w:tab w:leader="none" w:pos="1049" w:val="left"/>
        </w:tabs>
        <w:numPr>
          <w:ilvl w:val="3"/>
          <w:numId w:val="109"/>
        </w:numPr>
        <w:rPr>
          <w:rFonts w:ascii="Arial" w:cs="Arial" w:eastAsia="Arial" w:hAnsi="Arial"/>
          <w:sz w:val="18"/>
          <w:szCs w:val="18"/>
          <w:color w:val="auto"/>
        </w:rPr>
      </w:pPr>
      <w:r>
        <w:rPr>
          <w:rFonts w:ascii="Arial" w:cs="Arial" w:eastAsia="Arial" w:hAnsi="Arial"/>
          <w:sz w:val="18"/>
          <w:szCs w:val="18"/>
          <w:color w:val="auto"/>
        </w:rPr>
        <w:t>Purchaser’s receipt of properly executed Authorization(s) and Bill(s) of Sale given by Seller in favor of Purchaser.</w:t>
      </w:r>
    </w:p>
    <w:p>
      <w:pPr>
        <w:spacing w:after="0" w:line="252" w:lineRule="exact"/>
        <w:rPr>
          <w:rFonts w:ascii="Arial" w:cs="Arial" w:eastAsia="Arial" w:hAnsi="Arial"/>
          <w:sz w:val="18"/>
          <w:szCs w:val="18"/>
          <w:color w:val="auto"/>
        </w:rPr>
      </w:pPr>
    </w:p>
    <w:p>
      <w:pPr>
        <w:jc w:val="both"/>
        <w:ind w:left="1049" w:hanging="345"/>
        <w:spacing w:after="0" w:line="264" w:lineRule="auto"/>
        <w:tabs>
          <w:tab w:leader="none" w:pos="1049" w:val="left"/>
        </w:tabs>
        <w:numPr>
          <w:ilvl w:val="2"/>
          <w:numId w:val="109"/>
        </w:numPr>
        <w:rPr>
          <w:rFonts w:ascii="Arial" w:cs="Arial" w:eastAsia="Arial" w:hAnsi="Arial"/>
          <w:sz w:val="18"/>
          <w:szCs w:val="18"/>
          <w:color w:val="auto"/>
        </w:rPr>
      </w:pPr>
      <w:r>
        <w:rPr>
          <w:rFonts w:ascii="Arial" w:cs="Arial" w:eastAsia="Arial" w:hAnsi="Arial"/>
          <w:sz w:val="18"/>
          <w:szCs w:val="18"/>
          <w:color w:val="auto"/>
        </w:rPr>
        <w:t>Purchaser’s receipt and review of certified UCC searches, or standard UCC searches if certified UCC searches are not available, against Seller showing no security interests, liens or encumbrances on any Item of Equipment, or partial releases of any UCC liens or encumbrances and/or subordinations from lien holders, in a form reasonably acceptable to Purchaser.</w:t>
      </w:r>
    </w:p>
    <w:p>
      <w:pPr>
        <w:spacing w:after="0" w:line="208" w:lineRule="exact"/>
        <w:rPr>
          <w:rFonts w:ascii="Arial" w:cs="Arial" w:eastAsia="Arial" w:hAnsi="Arial"/>
          <w:sz w:val="18"/>
          <w:szCs w:val="18"/>
          <w:color w:val="auto"/>
        </w:rPr>
      </w:pPr>
    </w:p>
    <w:p>
      <w:pPr>
        <w:ind w:left="1049" w:hanging="310"/>
        <w:spacing w:after="0"/>
        <w:tabs>
          <w:tab w:leader="none" w:pos="1049" w:val="left"/>
        </w:tabs>
        <w:numPr>
          <w:ilvl w:val="3"/>
          <w:numId w:val="110"/>
        </w:numPr>
        <w:rPr>
          <w:rFonts w:ascii="Arial" w:cs="Arial" w:eastAsia="Arial" w:hAnsi="Arial"/>
          <w:sz w:val="18"/>
          <w:szCs w:val="18"/>
          <w:color w:val="auto"/>
        </w:rPr>
      </w:pPr>
      <w:r>
        <w:rPr>
          <w:rFonts w:ascii="Arial" w:cs="Arial" w:eastAsia="Arial" w:hAnsi="Arial"/>
          <w:sz w:val="18"/>
          <w:szCs w:val="18"/>
          <w:color w:val="auto"/>
        </w:rPr>
        <w:t>Purchaser’s receipt and review of evidence of Seller’s ownership of the Equipment.</w:t>
      </w:r>
    </w:p>
    <w:p>
      <w:pPr>
        <w:spacing w:after="0" w:line="252" w:lineRule="exact"/>
        <w:rPr>
          <w:rFonts w:ascii="Arial" w:cs="Arial" w:eastAsia="Arial" w:hAnsi="Arial"/>
          <w:sz w:val="18"/>
          <w:szCs w:val="18"/>
          <w:color w:val="auto"/>
        </w:rPr>
      </w:pPr>
    </w:p>
    <w:p>
      <w:pPr>
        <w:ind w:left="1049" w:hanging="300"/>
        <w:spacing w:after="0"/>
        <w:tabs>
          <w:tab w:leader="none" w:pos="1049" w:val="left"/>
        </w:tabs>
        <w:numPr>
          <w:ilvl w:val="3"/>
          <w:numId w:val="110"/>
        </w:numPr>
        <w:rPr>
          <w:rFonts w:ascii="Arial" w:cs="Arial" w:eastAsia="Arial" w:hAnsi="Arial"/>
          <w:sz w:val="18"/>
          <w:szCs w:val="18"/>
          <w:color w:val="auto"/>
        </w:rPr>
      </w:pPr>
      <w:r>
        <w:rPr>
          <w:rFonts w:ascii="Arial" w:cs="Arial" w:eastAsia="Arial" w:hAnsi="Arial"/>
          <w:sz w:val="18"/>
          <w:szCs w:val="18"/>
          <w:color w:val="auto"/>
        </w:rPr>
        <w:t>Any other documentation reasonably required by Purchaser</w:t>
      </w:r>
    </w:p>
    <w:p>
      <w:pPr>
        <w:spacing w:after="0" w:line="252" w:lineRule="exact"/>
        <w:rPr>
          <w:rFonts w:ascii="Arial" w:cs="Arial" w:eastAsia="Arial" w:hAnsi="Arial"/>
          <w:sz w:val="18"/>
          <w:szCs w:val="18"/>
          <w:color w:val="auto"/>
        </w:rPr>
      </w:pPr>
    </w:p>
    <w:p>
      <w:pPr>
        <w:ind w:left="409" w:hanging="409"/>
        <w:spacing w:after="0"/>
        <w:tabs>
          <w:tab w:leader="none" w:pos="409"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Seller’s Representations and Warranties</w:t>
      </w:r>
      <w:r>
        <w:rPr>
          <w:rFonts w:ascii="Arial" w:cs="Arial" w:eastAsia="Arial" w:hAnsi="Arial"/>
          <w:sz w:val="18"/>
          <w:szCs w:val="18"/>
          <w:color w:val="auto"/>
        </w:rPr>
        <w:t>. Seller represents and warrants to Purchaser that:</w:t>
      </w:r>
    </w:p>
    <w:p>
      <w:pPr>
        <w:spacing w:after="0" w:line="252" w:lineRule="exact"/>
        <w:rPr>
          <w:rFonts w:ascii="Arial" w:cs="Arial" w:eastAsia="Arial" w:hAnsi="Arial"/>
          <w:sz w:val="18"/>
          <w:szCs w:val="18"/>
          <w:color w:val="auto"/>
        </w:rPr>
      </w:pPr>
    </w:p>
    <w:p>
      <w:pPr>
        <w:ind w:left="1049" w:hanging="345"/>
        <w:spacing w:after="0" w:line="277" w:lineRule="auto"/>
        <w:tabs>
          <w:tab w:leader="none" w:pos="1049" w:val="left"/>
        </w:tabs>
        <w:numPr>
          <w:ilvl w:val="2"/>
          <w:numId w:val="111"/>
        </w:numPr>
        <w:rPr>
          <w:rFonts w:ascii="Arial" w:cs="Arial" w:eastAsia="Arial" w:hAnsi="Arial"/>
          <w:sz w:val="18"/>
          <w:szCs w:val="18"/>
          <w:color w:val="auto"/>
        </w:rPr>
      </w:pPr>
      <w:r>
        <w:rPr>
          <w:rFonts w:ascii="Arial" w:cs="Arial" w:eastAsia="Arial" w:hAnsi="Arial"/>
          <w:sz w:val="18"/>
          <w:szCs w:val="18"/>
          <w:color w:val="auto"/>
        </w:rPr>
        <w:t>Seller is duly organized, validly existing and in good standing under the laws of the state of its organization and in all jurisdictions where such qualification is required for it to conduct its business.</w:t>
      </w:r>
    </w:p>
    <w:p>
      <w:pPr>
        <w:spacing w:after="0" w:line="197" w:lineRule="exact"/>
        <w:rPr>
          <w:rFonts w:ascii="Arial" w:cs="Arial" w:eastAsia="Arial" w:hAnsi="Arial"/>
          <w:sz w:val="18"/>
          <w:szCs w:val="18"/>
          <w:color w:val="auto"/>
        </w:rPr>
      </w:pPr>
    </w:p>
    <w:p>
      <w:pPr>
        <w:ind w:left="1049" w:right="20" w:hanging="310"/>
        <w:spacing w:after="0" w:line="277" w:lineRule="auto"/>
        <w:tabs>
          <w:tab w:leader="none" w:pos="1049" w:val="left"/>
        </w:tabs>
        <w:numPr>
          <w:ilvl w:val="3"/>
          <w:numId w:val="111"/>
        </w:numPr>
        <w:rPr>
          <w:rFonts w:ascii="Arial" w:cs="Arial" w:eastAsia="Arial" w:hAnsi="Arial"/>
          <w:sz w:val="18"/>
          <w:szCs w:val="18"/>
          <w:color w:val="auto"/>
        </w:rPr>
      </w:pPr>
      <w:r>
        <w:rPr>
          <w:rFonts w:ascii="Arial" w:cs="Arial" w:eastAsia="Arial" w:hAnsi="Arial"/>
          <w:sz w:val="18"/>
          <w:szCs w:val="18"/>
          <w:color w:val="auto"/>
        </w:rPr>
        <w:t>This Agreement has been duly authorized by Seller, and upon execution and delivery by the parties thereto, shall constitute the valid, legal and binding obligation of Seller enforceable in accordance with its terms.</w:t>
      </w:r>
    </w:p>
    <w:p>
      <w:pPr>
        <w:spacing w:after="0" w:line="197" w:lineRule="exact"/>
        <w:rPr>
          <w:rFonts w:ascii="Arial" w:cs="Arial" w:eastAsia="Arial" w:hAnsi="Arial"/>
          <w:sz w:val="18"/>
          <w:szCs w:val="18"/>
          <w:color w:val="auto"/>
        </w:rPr>
      </w:pPr>
    </w:p>
    <w:p>
      <w:pPr>
        <w:jc w:val="both"/>
        <w:ind w:left="1049" w:hanging="300"/>
        <w:spacing w:after="0" w:line="286" w:lineRule="auto"/>
        <w:tabs>
          <w:tab w:leader="none" w:pos="1049" w:val="left"/>
        </w:tabs>
        <w:numPr>
          <w:ilvl w:val="3"/>
          <w:numId w:val="111"/>
        </w:numPr>
        <w:rPr>
          <w:rFonts w:ascii="Arial" w:cs="Arial" w:eastAsia="Arial" w:hAnsi="Arial"/>
          <w:sz w:val="17"/>
          <w:szCs w:val="17"/>
          <w:color w:val="auto"/>
        </w:rPr>
      </w:pPr>
      <w:r>
        <w:rPr>
          <w:rFonts w:ascii="Arial" w:cs="Arial" w:eastAsia="Arial" w:hAnsi="Arial"/>
          <w:sz w:val="17"/>
          <w:szCs w:val="17"/>
          <w:color w:val="auto"/>
        </w:rPr>
        <w:t>No event has occurred or is continuing which constitutes an event of default under this Agreement or the Lease. No consent, approval or authorization of or by any court, administrative agency or other governmental authority is required in connection with the execution, delivery or performance by Seller of, or the consummation by Seller of the transaction contemplated by this Agreement.</w:t>
      </w:r>
    </w:p>
    <w:p>
      <w:pPr>
        <w:spacing w:after="0" w:line="192" w:lineRule="exact"/>
        <w:rPr>
          <w:rFonts w:ascii="Arial" w:cs="Arial" w:eastAsia="Arial" w:hAnsi="Arial"/>
          <w:sz w:val="17"/>
          <w:szCs w:val="17"/>
          <w:color w:val="auto"/>
        </w:rPr>
      </w:pPr>
    </w:p>
    <w:p>
      <w:pPr>
        <w:ind w:left="1049" w:hanging="310"/>
        <w:spacing w:after="0" w:line="277" w:lineRule="auto"/>
        <w:tabs>
          <w:tab w:leader="none" w:pos="1049" w:val="left"/>
        </w:tabs>
        <w:numPr>
          <w:ilvl w:val="3"/>
          <w:numId w:val="111"/>
        </w:numPr>
        <w:rPr>
          <w:rFonts w:ascii="Arial" w:cs="Arial" w:eastAsia="Arial" w:hAnsi="Arial"/>
          <w:sz w:val="18"/>
          <w:szCs w:val="18"/>
          <w:color w:val="auto"/>
        </w:rPr>
      </w:pPr>
      <w:r>
        <w:rPr>
          <w:rFonts w:ascii="Arial" w:cs="Arial" w:eastAsia="Arial" w:hAnsi="Arial"/>
          <w:sz w:val="18"/>
          <w:szCs w:val="18"/>
          <w:color w:val="auto"/>
        </w:rPr>
        <w:t>The transaction contemplated by this Agreement complies with all applicable federal and state laws, rules and regulations applicable to Seller.</w:t>
      </w:r>
    </w:p>
    <w:p>
      <w:pPr>
        <w:spacing w:after="0" w:line="197" w:lineRule="exact"/>
        <w:rPr>
          <w:rFonts w:ascii="Arial" w:cs="Arial" w:eastAsia="Arial" w:hAnsi="Arial"/>
          <w:sz w:val="18"/>
          <w:szCs w:val="18"/>
          <w:color w:val="auto"/>
        </w:rPr>
      </w:pPr>
    </w:p>
    <w:p>
      <w:pPr>
        <w:ind w:left="409" w:hanging="409"/>
        <w:spacing w:after="0"/>
        <w:tabs>
          <w:tab w:leader="none" w:pos="409"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Purchaser’s Representations and Warranties</w:t>
      </w:r>
      <w:r>
        <w:rPr>
          <w:rFonts w:ascii="Arial" w:cs="Arial" w:eastAsia="Arial" w:hAnsi="Arial"/>
          <w:sz w:val="18"/>
          <w:szCs w:val="18"/>
          <w:color w:val="auto"/>
        </w:rPr>
        <w:t>. Purchaser represents and warrants to Seller that:</w:t>
      </w:r>
    </w:p>
    <w:p>
      <w:pPr>
        <w:spacing w:after="0" w:line="252" w:lineRule="exact"/>
        <w:rPr>
          <w:rFonts w:ascii="Arial" w:cs="Arial" w:eastAsia="Arial" w:hAnsi="Arial"/>
          <w:sz w:val="18"/>
          <w:szCs w:val="18"/>
          <w:color w:val="auto"/>
        </w:rPr>
      </w:pPr>
    </w:p>
    <w:p>
      <w:pPr>
        <w:ind w:left="1049" w:hanging="300"/>
        <w:spacing w:after="0" w:line="277" w:lineRule="auto"/>
        <w:tabs>
          <w:tab w:leader="none" w:pos="1049" w:val="left"/>
        </w:tabs>
        <w:numPr>
          <w:ilvl w:val="3"/>
          <w:numId w:val="112"/>
        </w:numPr>
        <w:rPr>
          <w:rFonts w:ascii="Arial" w:cs="Arial" w:eastAsia="Arial" w:hAnsi="Arial"/>
          <w:sz w:val="18"/>
          <w:szCs w:val="18"/>
          <w:color w:val="auto"/>
        </w:rPr>
      </w:pPr>
      <w:r>
        <w:rPr>
          <w:rFonts w:ascii="Arial" w:cs="Arial" w:eastAsia="Arial" w:hAnsi="Arial"/>
          <w:sz w:val="18"/>
          <w:szCs w:val="18"/>
          <w:color w:val="auto"/>
        </w:rPr>
        <w:t>Purchaser is a corporation duly organized, validly existing and in good standing under the laws of the State of Michigan and in all jurisdictions where such qualification is required for it to conduct its business.</w:t>
      </w:r>
    </w:p>
    <w:p>
      <w:pPr>
        <w:spacing w:after="0" w:line="197" w:lineRule="exact"/>
        <w:rPr>
          <w:rFonts w:ascii="Arial" w:cs="Arial" w:eastAsia="Arial" w:hAnsi="Arial"/>
          <w:sz w:val="18"/>
          <w:szCs w:val="18"/>
          <w:color w:val="auto"/>
        </w:rPr>
      </w:pPr>
    </w:p>
    <w:p>
      <w:pPr>
        <w:ind w:left="1049" w:hanging="310"/>
        <w:spacing w:after="0" w:line="277" w:lineRule="auto"/>
        <w:tabs>
          <w:tab w:leader="none" w:pos="1049" w:val="left"/>
        </w:tabs>
        <w:numPr>
          <w:ilvl w:val="3"/>
          <w:numId w:val="112"/>
        </w:numPr>
        <w:rPr>
          <w:rFonts w:ascii="Arial" w:cs="Arial" w:eastAsia="Arial" w:hAnsi="Arial"/>
          <w:sz w:val="18"/>
          <w:szCs w:val="18"/>
          <w:color w:val="auto"/>
        </w:rPr>
      </w:pPr>
      <w:r>
        <w:rPr>
          <w:rFonts w:ascii="Arial" w:cs="Arial" w:eastAsia="Arial" w:hAnsi="Arial"/>
          <w:sz w:val="18"/>
          <w:szCs w:val="18"/>
          <w:color w:val="auto"/>
        </w:rPr>
        <w:t>This Agreement has been duly authorized by Purchaser, and upon the execution and delivery by the parties thereto, shall constitute the valid, legal and binding obligation of Purchaser enforceable in accordance with its terms.</w:t>
      </w:r>
    </w:p>
    <w:p>
      <w:pPr>
        <w:spacing w:after="0" w:line="197" w:lineRule="exact"/>
        <w:rPr>
          <w:rFonts w:ascii="Arial" w:cs="Arial" w:eastAsia="Arial" w:hAnsi="Arial"/>
          <w:sz w:val="18"/>
          <w:szCs w:val="18"/>
          <w:color w:val="auto"/>
        </w:rPr>
      </w:pPr>
    </w:p>
    <w:p>
      <w:pPr>
        <w:ind w:left="1049" w:hanging="300"/>
        <w:spacing w:after="0" w:line="277" w:lineRule="auto"/>
        <w:tabs>
          <w:tab w:leader="none" w:pos="1049" w:val="left"/>
        </w:tabs>
        <w:numPr>
          <w:ilvl w:val="3"/>
          <w:numId w:val="112"/>
        </w:numPr>
        <w:rPr>
          <w:rFonts w:ascii="Arial" w:cs="Arial" w:eastAsia="Arial" w:hAnsi="Arial"/>
          <w:sz w:val="18"/>
          <w:szCs w:val="18"/>
          <w:color w:val="auto"/>
        </w:rPr>
      </w:pPr>
      <w:r>
        <w:rPr>
          <w:rFonts w:ascii="Arial" w:cs="Arial" w:eastAsia="Arial" w:hAnsi="Arial"/>
          <w:sz w:val="18"/>
          <w:szCs w:val="18"/>
          <w:color w:val="auto"/>
        </w:rPr>
        <w:t>The transactions contemplated by this Agreement comply with all material federal and state laws, rules and regulations applicable to Purchaser.</w:t>
      </w:r>
    </w:p>
    <w:p>
      <w:pPr>
        <w:spacing w:after="0" w:line="197" w:lineRule="exact"/>
        <w:rPr>
          <w:rFonts w:ascii="Arial" w:cs="Arial" w:eastAsia="Arial" w:hAnsi="Arial"/>
          <w:sz w:val="18"/>
          <w:szCs w:val="18"/>
          <w:color w:val="auto"/>
        </w:rPr>
      </w:pPr>
    </w:p>
    <w:p>
      <w:pPr>
        <w:jc w:val="both"/>
        <w:ind w:left="409" w:hanging="409"/>
        <w:spacing w:after="0" w:line="279" w:lineRule="auto"/>
        <w:tabs>
          <w:tab w:leader="none" w:pos="409"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Default and Remedies</w:t>
      </w:r>
      <w:r>
        <w:rPr>
          <w:rFonts w:ascii="Arial" w:cs="Arial" w:eastAsia="Arial" w:hAnsi="Arial"/>
          <w:sz w:val="17"/>
          <w:szCs w:val="17"/>
          <w:color w:val="auto"/>
        </w:rPr>
        <w:t>. In the event any of Seller’s representations made hereunder should be false or misleading in any material respect, or in the event Seller should breach any of its warranties or obligations under this Agreement, Purchaser shall be entitled to exercise all rights and remedies available to it at law or in equity together with all of its rights and remedies under the Lease in Purchaser’s discretion as if they were set forth in this Agreement, and for purposes hereof all such rights and remedies shall be incorporated herein by this reference.</w:t>
      </w:r>
    </w:p>
    <w:p>
      <w:pPr>
        <w:spacing w:after="0" w:line="198" w:lineRule="exact"/>
        <w:rPr>
          <w:rFonts w:ascii="Arial" w:cs="Arial" w:eastAsia="Arial" w:hAnsi="Arial"/>
          <w:sz w:val="17"/>
          <w:szCs w:val="17"/>
          <w:color w:val="auto"/>
        </w:rPr>
      </w:pPr>
    </w:p>
    <w:p>
      <w:pPr>
        <w:jc w:val="both"/>
        <w:ind w:left="409" w:hanging="402"/>
        <w:spacing w:after="0" w:line="259" w:lineRule="auto"/>
        <w:tabs>
          <w:tab w:leader="none" w:pos="409"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Purchaser and Seller agree that this Agreement shall inure to the benefit of and shall be binding upon Seller and Purchaser, their respective successors and assigns. Any assignment by Purchaser shall not require Seller’s prior written approval provided such assignee agrees to observe Purchaser’s covenant of quiet enjoyment under the Master Agreement. Seller shall not assign any interest in this Agreement without Purchaser’s prior written consent.</w:t>
      </w:r>
    </w:p>
    <w:p>
      <w:pPr>
        <w:spacing w:after="0" w:line="213" w:lineRule="exact"/>
        <w:rPr>
          <w:rFonts w:ascii="Arial" w:cs="Arial" w:eastAsia="Arial" w:hAnsi="Arial"/>
          <w:sz w:val="18"/>
          <w:szCs w:val="18"/>
          <w:color w:val="auto"/>
        </w:rPr>
      </w:pPr>
    </w:p>
    <w:p>
      <w:pPr>
        <w:ind w:left="409" w:hanging="409"/>
        <w:spacing w:after="0" w:line="277" w:lineRule="auto"/>
        <w:tabs>
          <w:tab w:leader="none" w:pos="409"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Survival of Covenants</w:t>
      </w:r>
      <w:r>
        <w:rPr>
          <w:rFonts w:ascii="Arial" w:cs="Arial" w:eastAsia="Arial" w:hAnsi="Arial"/>
          <w:sz w:val="18"/>
          <w:szCs w:val="18"/>
          <w:color w:val="auto"/>
        </w:rPr>
        <w:t>. Purchaser and Seller agree that the warranties, covenants and agreements contained in this Agreement shall survive the passing of title to the Equipment.</w:t>
      </w:r>
    </w:p>
    <w:p>
      <w:pPr>
        <w:spacing w:after="0" w:line="197" w:lineRule="exact"/>
        <w:rPr>
          <w:rFonts w:ascii="Arial" w:cs="Arial" w:eastAsia="Arial" w:hAnsi="Arial"/>
          <w:sz w:val="18"/>
          <w:szCs w:val="18"/>
          <w:color w:val="auto"/>
        </w:rPr>
      </w:pPr>
    </w:p>
    <w:p>
      <w:pPr>
        <w:jc w:val="both"/>
        <w:ind w:left="409" w:hanging="409"/>
        <w:spacing w:after="0" w:line="264" w:lineRule="auto"/>
        <w:tabs>
          <w:tab w:leader="none" w:pos="409"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Seller and Purchaser agree that this Agreement and the Lease, together with any amendments, supplements or riders thereto, shall constitute the entire agreement between the parties with respect to the Equipment and shall supersede all proposals, oral or written, all prior negotiations and all other communications.</w:t>
      </w:r>
    </w:p>
    <w:p>
      <w:pPr>
        <w:spacing w:after="0" w:line="208" w:lineRule="exact"/>
        <w:rPr>
          <w:rFonts w:ascii="Arial" w:cs="Arial" w:eastAsia="Arial" w:hAnsi="Arial"/>
          <w:sz w:val="18"/>
          <w:szCs w:val="18"/>
          <w:color w:val="auto"/>
        </w:rPr>
      </w:pPr>
    </w:p>
    <w:p>
      <w:pPr>
        <w:jc w:val="both"/>
        <w:ind w:left="409" w:hanging="409"/>
        <w:spacing w:after="0" w:line="259" w:lineRule="auto"/>
        <w:tabs>
          <w:tab w:leader="none" w:pos="409"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This Agreement may only be modified by a subsequent writing executed by both parties. If any provision of this Agreement shall be held to be invalid, illegal or unenforceable, the validity, legality and enforceability of the remaining provisions shall not in any way be affected or impaired thereby. This Agreement shall be governed by the laws of the State of Michigan without giving effect to the principles of conflict of laws. Section headings are for convenience only and shall not be construed as 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419100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9"/>
          </w:cols>
          <w:pgMar w:left="491" w:top="922" w:right="239" w:bottom="521"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IN WITNESS WHEREOF, the parties have executed this Sale Leaseback Agreement on the date shown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gridSpan w:val="3"/>
          </w:tcPr>
          <w:p>
            <w:pPr>
              <w:ind w:left="60"/>
              <w:spacing w:after="0"/>
              <w:rPr>
                <w:sz w:val="20"/>
                <w:szCs w:val="20"/>
                <w:color w:val="auto"/>
              </w:rPr>
            </w:pPr>
            <w:r>
              <w:rPr>
                <w:rFonts w:ascii="Arial" w:cs="Arial" w:eastAsia="Arial" w:hAnsi="Arial"/>
                <w:sz w:val="18"/>
                <w:szCs w:val="18"/>
                <w:color w:val="auto"/>
              </w:rPr>
              <w:t>PURCHASER:</w:t>
            </w:r>
          </w:p>
        </w:tc>
        <w:tc>
          <w:tcPr>
            <w:tcW w:w="7460" w:type="dxa"/>
            <w:vAlign w:val="bottom"/>
            <w:gridSpan w:val="3"/>
          </w:tcPr>
          <w:p>
            <w:pPr>
              <w:ind w:left="1700"/>
              <w:spacing w:after="0"/>
              <w:rPr>
                <w:sz w:val="20"/>
                <w:szCs w:val="20"/>
                <w:color w:val="auto"/>
              </w:rPr>
            </w:pPr>
            <w:r>
              <w:rPr>
                <w:rFonts w:ascii="Arial" w:cs="Arial" w:eastAsia="Arial" w:hAnsi="Arial"/>
                <w:sz w:val="18"/>
                <w:szCs w:val="18"/>
                <w:color w:val="auto"/>
              </w:rPr>
              <w:t>SELLER:</w:t>
            </w:r>
          </w:p>
        </w:tc>
      </w:tr>
      <w:tr>
        <w:trPr>
          <w:trHeight w:val="230"/>
        </w:trPr>
        <w:tc>
          <w:tcPr>
            <w:tcW w:w="3960" w:type="dxa"/>
            <w:vAlign w:val="bottom"/>
            <w:gridSpan w:val="3"/>
          </w:tcPr>
          <w:p>
            <w:pPr>
              <w:ind w:left="60"/>
              <w:spacing w:after="0"/>
              <w:rPr>
                <w:sz w:val="20"/>
                <w:szCs w:val="20"/>
                <w:color w:val="auto"/>
              </w:rPr>
            </w:pPr>
            <w:r>
              <w:rPr>
                <w:rFonts w:ascii="Arial" w:cs="Arial" w:eastAsia="Arial" w:hAnsi="Arial"/>
                <w:sz w:val="18"/>
                <w:szCs w:val="18"/>
                <w:color w:val="auto"/>
              </w:rPr>
              <w:t>VARILEASE FINANCE, INC.</w:t>
            </w:r>
          </w:p>
        </w:tc>
        <w:tc>
          <w:tcPr>
            <w:tcW w:w="7460" w:type="dxa"/>
            <w:vAlign w:val="bottom"/>
            <w:gridSpan w:val="3"/>
          </w:tcPr>
          <w:p>
            <w:pPr>
              <w:ind w:left="1700"/>
              <w:spacing w:after="0"/>
              <w:rPr>
                <w:sz w:val="20"/>
                <w:szCs w:val="20"/>
                <w:color w:val="auto"/>
              </w:rPr>
            </w:pPr>
            <w:r>
              <w:rPr>
                <w:rFonts w:ascii="Arial" w:cs="Arial" w:eastAsia="Arial" w:hAnsi="Arial"/>
                <w:sz w:val="18"/>
                <w:szCs w:val="18"/>
                <w:color w:val="auto"/>
              </w:rPr>
              <w:t>USA TECHNOLOGIES, INC.</w:t>
            </w:r>
          </w:p>
        </w:tc>
      </w:tr>
      <w:tr>
        <w:trPr>
          <w:trHeight w:val="432"/>
        </w:trPr>
        <w:tc>
          <w:tcPr>
            <w:tcW w:w="3960" w:type="dxa"/>
            <w:vAlign w:val="bottom"/>
            <w:gridSpan w:val="3"/>
          </w:tcPr>
          <w:p>
            <w:pPr>
              <w:spacing w:after="0"/>
              <w:rPr>
                <w:sz w:val="20"/>
                <w:szCs w:val="20"/>
                <w:color w:val="auto"/>
              </w:rPr>
            </w:pPr>
            <w:r>
              <w:rPr>
                <w:rFonts w:ascii="Arial" w:cs="Arial" w:eastAsia="Arial" w:hAnsi="Arial"/>
                <w:sz w:val="18"/>
                <w:szCs w:val="18"/>
                <w:color w:val="auto"/>
              </w:rPr>
              <w:t>By: /s/ Kristy Phillips</w:t>
            </w:r>
          </w:p>
        </w:tc>
        <w:tc>
          <w:tcPr>
            <w:tcW w:w="7460" w:type="dxa"/>
            <w:vAlign w:val="bottom"/>
            <w:gridSpan w:val="3"/>
          </w:tcPr>
          <w:p>
            <w:pPr>
              <w:ind w:left="1660"/>
              <w:spacing w:after="0"/>
              <w:rPr>
                <w:sz w:val="20"/>
                <w:szCs w:val="20"/>
                <w:color w:val="auto"/>
              </w:rPr>
            </w:pPr>
            <w:r>
              <w:rPr>
                <w:rFonts w:ascii="Arial" w:cs="Arial" w:eastAsia="Arial" w:hAnsi="Arial"/>
                <w:sz w:val="18"/>
                <w:szCs w:val="18"/>
                <w:color w:val="auto"/>
              </w:rPr>
              <w:t>By:  /s/ David M. DeMedio</w:t>
            </w:r>
          </w:p>
        </w:tc>
      </w:tr>
      <w:tr>
        <w:trPr>
          <w:trHeight w:val="27"/>
        </w:trPr>
        <w:tc>
          <w:tcPr>
            <w:tcW w:w="3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3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3680" w:type="dxa"/>
            <w:vAlign w:val="bottom"/>
          </w:tcPr>
          <w:p>
            <w:pPr>
              <w:spacing w:after="0"/>
              <w:rPr>
                <w:sz w:val="2"/>
                <w:szCs w:val="2"/>
                <w:color w:val="auto"/>
              </w:rPr>
            </w:pPr>
          </w:p>
        </w:tc>
      </w:tr>
      <w:tr>
        <w:trPr>
          <w:trHeight w:val="202"/>
        </w:trPr>
        <w:tc>
          <w:tcPr>
            <w:tcW w:w="1620" w:type="dxa"/>
            <w:vAlign w:val="bottom"/>
            <w:gridSpan w:val="2"/>
          </w:tcPr>
          <w:p>
            <w:pPr>
              <w:spacing w:after="0" w:line="201" w:lineRule="exact"/>
              <w:rPr>
                <w:sz w:val="20"/>
                <w:szCs w:val="20"/>
                <w:color w:val="auto"/>
              </w:rPr>
            </w:pPr>
            <w:r>
              <w:rPr>
                <w:rFonts w:ascii="Arial" w:cs="Arial" w:eastAsia="Arial" w:hAnsi="Arial"/>
                <w:sz w:val="18"/>
                <w:szCs w:val="18"/>
                <w:color w:val="auto"/>
                <w:w w:val="96"/>
              </w:rPr>
              <w:t>Name: Kristy Phillips</w:t>
            </w:r>
          </w:p>
        </w:tc>
        <w:tc>
          <w:tcPr>
            <w:tcW w:w="2340" w:type="dxa"/>
            <w:vAlign w:val="bottom"/>
          </w:tcPr>
          <w:p>
            <w:pPr>
              <w:spacing w:after="0"/>
              <w:rPr>
                <w:sz w:val="17"/>
                <w:szCs w:val="17"/>
                <w:color w:val="auto"/>
              </w:rPr>
            </w:pPr>
          </w:p>
        </w:tc>
        <w:tc>
          <w:tcPr>
            <w:tcW w:w="7460" w:type="dxa"/>
            <w:vAlign w:val="bottom"/>
            <w:gridSpan w:val="3"/>
          </w:tcPr>
          <w:p>
            <w:pPr>
              <w:ind w:left="1660"/>
              <w:spacing w:after="0" w:line="201" w:lineRule="exact"/>
              <w:rPr>
                <w:sz w:val="20"/>
                <w:szCs w:val="20"/>
                <w:color w:val="auto"/>
              </w:rPr>
            </w:pPr>
            <w:r>
              <w:rPr>
                <w:rFonts w:ascii="Arial" w:cs="Arial" w:eastAsia="Arial" w:hAnsi="Arial"/>
                <w:sz w:val="18"/>
                <w:szCs w:val="18"/>
                <w:color w:val="auto"/>
              </w:rPr>
              <w:t>Name: David M. DeMedio</w:t>
            </w:r>
          </w:p>
        </w:tc>
      </w:tr>
      <w:tr>
        <w:trPr>
          <w:trHeight w:val="230"/>
        </w:trPr>
        <w:tc>
          <w:tcPr>
            <w:tcW w:w="3960" w:type="dxa"/>
            <w:vAlign w:val="bottom"/>
            <w:gridSpan w:val="3"/>
          </w:tcPr>
          <w:p>
            <w:pPr>
              <w:spacing w:after="0"/>
              <w:rPr>
                <w:sz w:val="20"/>
                <w:szCs w:val="20"/>
                <w:color w:val="auto"/>
              </w:rPr>
            </w:pPr>
            <w:r>
              <w:rPr>
                <w:rFonts w:ascii="Arial" w:cs="Arial" w:eastAsia="Arial" w:hAnsi="Arial"/>
                <w:sz w:val="18"/>
                <w:szCs w:val="18"/>
                <w:color w:val="auto"/>
              </w:rPr>
              <w:t>Title: Vice President</w:t>
            </w:r>
          </w:p>
        </w:tc>
        <w:tc>
          <w:tcPr>
            <w:tcW w:w="7460" w:type="dxa"/>
            <w:vAlign w:val="bottom"/>
            <w:gridSpan w:val="3"/>
          </w:tcPr>
          <w:p>
            <w:pPr>
              <w:ind w:left="1660"/>
              <w:spacing w:after="0"/>
              <w:rPr>
                <w:sz w:val="20"/>
                <w:szCs w:val="20"/>
                <w:color w:val="auto"/>
              </w:rPr>
            </w:pPr>
            <w:r>
              <w:rPr>
                <w:rFonts w:ascii="Arial" w:cs="Arial" w:eastAsia="Arial" w:hAnsi="Arial"/>
                <w:sz w:val="18"/>
                <w:szCs w:val="18"/>
                <w:color w:val="auto"/>
              </w:rPr>
              <w:t>Title: CFO</w:t>
            </w:r>
          </w:p>
        </w:tc>
      </w:tr>
      <w:tr>
        <w:trPr>
          <w:trHeight w:val="675"/>
        </w:trPr>
        <w:tc>
          <w:tcPr>
            <w:tcW w:w="320" w:type="dxa"/>
            <w:vAlign w:val="bottom"/>
            <w:tcBorders>
              <w:bottom w:val="single" w:sz="8" w:color="DCDCDC"/>
            </w:tcBorders>
          </w:tcPr>
          <w:p>
            <w:pPr>
              <w:spacing w:after="0"/>
              <w:rPr>
                <w:sz w:val="24"/>
                <w:szCs w:val="24"/>
                <w:color w:val="auto"/>
              </w:rPr>
            </w:pPr>
          </w:p>
        </w:tc>
        <w:tc>
          <w:tcPr>
            <w:tcW w:w="1300" w:type="dxa"/>
            <w:vAlign w:val="bottom"/>
            <w:tcBorders>
              <w:bottom w:val="single" w:sz="8" w:color="DCDCDC"/>
            </w:tcBorders>
          </w:tcPr>
          <w:p>
            <w:pPr>
              <w:spacing w:after="0"/>
              <w:rPr>
                <w:sz w:val="24"/>
                <w:szCs w:val="24"/>
                <w:color w:val="auto"/>
              </w:rPr>
            </w:pPr>
          </w:p>
        </w:tc>
        <w:tc>
          <w:tcPr>
            <w:tcW w:w="2340" w:type="dxa"/>
            <w:vAlign w:val="bottom"/>
            <w:tcBorders>
              <w:bottom w:val="single" w:sz="8" w:color="DCDCDC"/>
            </w:tcBorders>
          </w:tcPr>
          <w:p>
            <w:pPr>
              <w:spacing w:after="0"/>
              <w:rPr>
                <w:sz w:val="24"/>
                <w:szCs w:val="24"/>
                <w:color w:val="auto"/>
              </w:rPr>
            </w:pPr>
          </w:p>
        </w:tc>
        <w:tc>
          <w:tcPr>
            <w:tcW w:w="2000" w:type="dxa"/>
            <w:vAlign w:val="bottom"/>
            <w:tcBorders>
              <w:bottom w:val="single" w:sz="8" w:color="DCDCDC"/>
            </w:tcBorders>
          </w:tcPr>
          <w:p>
            <w:pPr>
              <w:spacing w:after="0"/>
              <w:rPr>
                <w:sz w:val="24"/>
                <w:szCs w:val="24"/>
                <w:color w:val="auto"/>
              </w:rPr>
            </w:pPr>
          </w:p>
        </w:tc>
        <w:tc>
          <w:tcPr>
            <w:tcW w:w="1780" w:type="dxa"/>
            <w:vAlign w:val="bottom"/>
            <w:tcBorders>
              <w:bottom w:val="single" w:sz="8" w:color="DCDCDC"/>
            </w:tcBorders>
          </w:tcPr>
          <w:p>
            <w:pPr>
              <w:spacing w:after="0"/>
              <w:rPr>
                <w:sz w:val="24"/>
                <w:szCs w:val="24"/>
                <w:color w:val="auto"/>
              </w:rPr>
            </w:pPr>
          </w:p>
        </w:tc>
        <w:tc>
          <w:tcPr>
            <w:tcW w:w="36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95"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Varilease Finance,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6340 South 3000 East,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 84121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www.varilease.com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801.733.8100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801.733.8900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NO. 02</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SCHEDULE NO. 02 dated April 30, 2014 (the “Schedule”) between VARILEASE FINANCE, INC. (the “Lessor”) and USA TECHNOLOGIES, INC. (the “Lessee”) incorporates by reference the terms and conditions of Master Lease Agreement dated April 30, 2014 between Lessor and Lessee (the “Master Agreement”) and constitutes a separate lease between Lessor and Lessee. The Schedule and Master Agreement are hereinafter referred to collectively, as the “Lease”. All capitalized terms used herein but not defined herein shall have the same meanings ascribed to them in the Master Agreement.</w:t>
      </w:r>
    </w:p>
    <w:p>
      <w:pPr>
        <w:spacing w:after="0" w:line="181" w:lineRule="exact"/>
        <w:rPr>
          <w:sz w:val="20"/>
          <w:szCs w:val="20"/>
          <w:color w:val="auto"/>
        </w:rPr>
      </w:pPr>
    </w:p>
    <w:p>
      <w:pPr>
        <w:ind w:left="340" w:hanging="332"/>
        <w:spacing w:after="0" w:line="277"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Equipment:</w:t>
      </w:r>
      <w:r>
        <w:rPr>
          <w:rFonts w:ascii="Arial" w:cs="Arial" w:eastAsia="Arial" w:hAnsi="Arial"/>
          <w:sz w:val="18"/>
          <w:szCs w:val="18"/>
          <w:color w:val="auto"/>
        </w:rPr>
        <w:t xml:space="preserve"> Remote cashless point of sale Eport equipment as more fully described in the attached Exhibit A of one (1) page which by this reference becomes a part hereof.</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Equipment Location:</w:t>
      </w:r>
      <w:r>
        <w:rPr>
          <w:rFonts w:ascii="Arial" w:cs="Arial" w:eastAsia="Arial" w:hAnsi="Arial"/>
          <w:sz w:val="18"/>
          <w:szCs w:val="18"/>
          <w:color w:val="auto"/>
        </w:rPr>
        <w:t xml:space="preserve"> Headquartered at 100 Deerfield Lane, Suite 140, Malvern, PA 19355.</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Total Equipment Cost:</w:t>
      </w:r>
      <w:r>
        <w:rPr>
          <w:rFonts w:ascii="Arial" w:cs="Arial" w:eastAsia="Arial" w:hAnsi="Arial"/>
          <w:sz w:val="18"/>
          <w:szCs w:val="18"/>
          <w:color w:val="auto"/>
        </w:rPr>
        <w:t xml:space="preserve">   $994,178.52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4.</w:t>
            </w: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Base Term:</w:t>
            </w:r>
          </w:p>
        </w:tc>
        <w:tc>
          <w:tcPr>
            <w:tcW w:w="900" w:type="dxa"/>
            <w:vAlign w:val="bottom"/>
            <w:gridSpan w:val="2"/>
          </w:tcPr>
          <w:p>
            <w:pPr>
              <w:spacing w:after="0"/>
              <w:rPr>
                <w:sz w:val="17"/>
                <w:szCs w:val="17"/>
                <w:color w:val="auto"/>
              </w:rPr>
            </w:pPr>
          </w:p>
        </w:tc>
        <w:tc>
          <w:tcPr>
            <w:tcW w:w="9360" w:type="dxa"/>
            <w:vAlign w:val="bottom"/>
          </w:tcPr>
          <w:p>
            <w:pPr>
              <w:ind w:left="220"/>
              <w:spacing w:after="0"/>
              <w:rPr>
                <w:sz w:val="20"/>
                <w:szCs w:val="20"/>
                <w:color w:val="auto"/>
              </w:rPr>
            </w:pPr>
            <w:r>
              <w:rPr>
                <w:rFonts w:ascii="Arial" w:cs="Arial" w:eastAsia="Arial" w:hAnsi="Arial"/>
                <w:sz w:val="18"/>
                <w:szCs w:val="18"/>
                <w:color w:val="auto"/>
              </w:rPr>
              <w:t>36 Months</w:t>
            </w:r>
          </w:p>
        </w:tc>
      </w:tr>
      <w:tr>
        <w:trPr>
          <w:trHeight w:val="439"/>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5.</w:t>
            </w: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Base Monthly Rental:</w:t>
            </w:r>
          </w:p>
        </w:tc>
        <w:tc>
          <w:tcPr>
            <w:tcW w:w="140" w:type="dxa"/>
            <w:vAlign w:val="bottom"/>
          </w:tcPr>
          <w:p>
            <w:pPr>
              <w:spacing w:after="0"/>
              <w:rPr>
                <w:sz w:val="24"/>
                <w:szCs w:val="24"/>
                <w:color w:val="auto"/>
              </w:rPr>
            </w:pPr>
          </w:p>
        </w:tc>
        <w:tc>
          <w:tcPr>
            <w:tcW w:w="9360" w:type="dxa"/>
            <w:vAlign w:val="bottom"/>
          </w:tcPr>
          <w:p>
            <w:pPr>
              <w:ind w:left="160"/>
              <w:spacing w:after="0"/>
              <w:rPr>
                <w:sz w:val="20"/>
                <w:szCs w:val="20"/>
                <w:color w:val="auto"/>
              </w:rPr>
            </w:pPr>
            <w:r>
              <w:rPr>
                <w:rFonts w:ascii="Arial" w:cs="Arial" w:eastAsia="Arial" w:hAnsi="Arial"/>
                <w:sz w:val="18"/>
                <w:szCs w:val="18"/>
                <w:color w:val="auto"/>
              </w:rPr>
              <w:t>$27,160.96 (plus applicable sales/use tax)</w:t>
            </w:r>
          </w:p>
        </w:tc>
      </w:tr>
      <w:tr>
        <w:trPr>
          <w:trHeight w:val="439"/>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6.</w:t>
            </w:r>
          </w:p>
        </w:tc>
        <w:tc>
          <w:tcPr>
            <w:tcW w:w="1720" w:type="dxa"/>
            <w:vAlign w:val="bottom"/>
            <w:gridSpan w:val="4"/>
          </w:tcPr>
          <w:p>
            <w:pPr>
              <w:spacing w:after="0"/>
              <w:rPr>
                <w:sz w:val="20"/>
                <w:szCs w:val="20"/>
                <w:color w:val="auto"/>
              </w:rPr>
            </w:pPr>
            <w:r>
              <w:rPr>
                <w:rFonts w:ascii="Arial" w:cs="Arial" w:eastAsia="Arial" w:hAnsi="Arial"/>
                <w:sz w:val="18"/>
                <w:szCs w:val="18"/>
                <w:color w:val="auto"/>
              </w:rPr>
              <w:t>Deposit:</w:t>
            </w:r>
          </w:p>
        </w:tc>
        <w:tc>
          <w:tcPr>
            <w:tcW w:w="9360" w:type="dxa"/>
            <w:vAlign w:val="bottom"/>
          </w:tcPr>
          <w:p>
            <w:pPr>
              <w:ind w:left="400"/>
              <w:spacing w:after="0"/>
              <w:rPr>
                <w:sz w:val="20"/>
                <w:szCs w:val="20"/>
                <w:color w:val="auto"/>
              </w:rPr>
            </w:pPr>
            <w:r>
              <w:rPr>
                <w:rFonts w:ascii="Arial" w:cs="Arial" w:eastAsia="Arial" w:hAnsi="Arial"/>
                <w:sz w:val="18"/>
                <w:szCs w:val="18"/>
                <w:color w:val="auto"/>
                <w:w w:val="91"/>
              </w:rPr>
              <w:t>$27,160.96 applied to the last Base Monthly Rental (plus applicable sales/use tax). Lessee shall pay the last Base Monthly</w:t>
            </w:r>
          </w:p>
        </w:tc>
      </w:tr>
      <w:tr>
        <w:trPr>
          <w:trHeight w:val="20"/>
        </w:trPr>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Rental in advance upon the execution of this Schedule. Lessee acknowledges and agrees that, notwithstanding anything to the contrary herein, this payment is non-refundable to Lessee under any circumstances, including, without limitation, any termination of this Lease for any reason prior to the end of its scheduled term. This payment shall be deemed earned by Lessor, and upon receipt by Lessor, shall immediately be applied to satisfy Lessee’s obligation to make the last Base Monthly Rental. Lessee and Lessor acknowledge that the $50,000 previously paid to Lessor by Lessee shall be applied by Lessor as a credit towards the deposit due hereunder.</w:t>
      </w:r>
    </w:p>
    <w:p>
      <w:pPr>
        <w:spacing w:after="0" w:line="215" w:lineRule="exact"/>
        <w:rPr>
          <w:sz w:val="20"/>
          <w:szCs w:val="20"/>
          <w:color w:val="auto"/>
        </w:rPr>
      </w:pPr>
    </w:p>
    <w:p>
      <w:pPr>
        <w:ind w:left="340" w:hanging="332"/>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Base Lease Rate Factor:</w:t>
      </w:r>
      <w:r>
        <w:rPr>
          <w:rFonts w:ascii="Arial" w:cs="Arial" w:eastAsia="Arial" w:hAnsi="Arial"/>
          <w:sz w:val="18"/>
          <w:szCs w:val="18"/>
          <w:color w:val="auto"/>
        </w:rPr>
        <w:t xml:space="preserve">  0.02732</w:t>
      </w:r>
    </w:p>
    <w:p>
      <w:pPr>
        <w:spacing w:after="0" w:line="252"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Floating Lease Rate Factor:</w:t>
      </w:r>
      <w:r>
        <w:rPr>
          <w:rFonts w:ascii="Arial" w:cs="Arial" w:eastAsia="Arial" w:hAnsi="Arial"/>
          <w:sz w:val="18"/>
          <w:szCs w:val="18"/>
          <w:color w:val="auto"/>
        </w:rPr>
        <w:t xml:space="preserve"> The Base Lease Rate Factor shown in Section 7, which is used to calculate the Base Monthly Rental, shall increase 0.00008775 for every five (5) basis point increase in 36-month U.S. Treasury Notes, until all Items of Equipment have been installed, at which point the date set forth on the Installation Certificate of the Lease shall have occurred. The 36-month U.S. Treasury Note yield used as the basis for the derivation of the Base Lease Rate Factor contained herein is 0.82%.</w:t>
      </w:r>
    </w:p>
    <w:p>
      <w:pPr>
        <w:spacing w:after="0" w:line="213" w:lineRule="exact"/>
        <w:rPr>
          <w:rFonts w:ascii="Arial" w:cs="Arial" w:eastAsia="Arial" w:hAnsi="Arial"/>
          <w:sz w:val="18"/>
          <w:szCs w:val="18"/>
          <w:color w:val="auto"/>
        </w:rPr>
      </w:pPr>
    </w:p>
    <w:p>
      <w:pPr>
        <w:ind w:left="340" w:hanging="332"/>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Equipment Return Location:</w:t>
      </w:r>
      <w:r>
        <w:rPr>
          <w:rFonts w:ascii="Arial" w:cs="Arial" w:eastAsia="Arial" w:hAnsi="Arial"/>
          <w:sz w:val="18"/>
          <w:szCs w:val="18"/>
          <w:color w:val="auto"/>
        </w:rPr>
        <w:t xml:space="preserve"> To Be Advised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Special Terms:</w:t>
      </w:r>
    </w:p>
    <w:p>
      <w:pPr>
        <w:spacing w:after="0" w:line="252" w:lineRule="exact"/>
        <w:rPr>
          <w:rFonts w:ascii="Arial" w:cs="Arial" w:eastAsia="Arial" w:hAnsi="Arial"/>
          <w:sz w:val="18"/>
          <w:szCs w:val="18"/>
          <w:color w:val="auto"/>
        </w:rPr>
      </w:pPr>
    </w:p>
    <w:p>
      <w:pPr>
        <w:jc w:val="both"/>
        <w:ind w:left="980" w:hanging="394"/>
        <w:spacing w:after="0" w:line="254" w:lineRule="auto"/>
        <w:tabs>
          <w:tab w:leader="none" w:pos="980"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Self Maintenance</w:t>
      </w:r>
      <w:r>
        <w:rPr>
          <w:rFonts w:ascii="Arial" w:cs="Arial" w:eastAsia="Arial" w:hAnsi="Arial"/>
          <w:sz w:val="18"/>
          <w:szCs w:val="18"/>
          <w:color w:val="auto"/>
        </w:rPr>
        <w:t>: For this Schedule only, Lessee shall, during the term of the Lease, self-maintain the Equipment, including Improvements, in accordance with manufacturer recommendations, or engage the services of a maintenance organization (the “Maintenance Organization”) to maintain the Equipment, including Improvements, and provide Lessor upon request with a copy of such maintenance contract as amended or supplemented, if applicable. During the term of the Lease, Lessee shall, at its expense, keep the Equipment, including Improvements, in good working order, repair, appearance and condition and make all necessary adjustments, repairs and replacements, all of which shall become the property of Lessor. Lessee shall not use or permit the use of the Equipment, including Improvements, for any purpose for which, in the opinion of the manufacturer of the Equipment, including Improvements, or Maintenance Organization, the Equipment, including Improvements, is not designed or intended.</w:t>
      </w:r>
    </w:p>
    <w:p>
      <w:pPr>
        <w:spacing w:after="0" w:line="219" w:lineRule="exact"/>
        <w:rPr>
          <w:rFonts w:ascii="Arial" w:cs="Arial" w:eastAsia="Arial" w:hAnsi="Arial"/>
          <w:sz w:val="18"/>
          <w:szCs w:val="18"/>
          <w:color w:val="auto"/>
        </w:rPr>
      </w:pPr>
    </w:p>
    <w:p>
      <w:pPr>
        <w:jc w:val="both"/>
        <w:ind w:left="980" w:hanging="405"/>
        <w:spacing w:after="0" w:line="257" w:lineRule="auto"/>
        <w:tabs>
          <w:tab w:leader="none" w:pos="980"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Authorization for Automatic Withdrawals</w:t>
      </w:r>
      <w:r>
        <w:rPr>
          <w:rFonts w:ascii="Arial" w:cs="Arial" w:eastAsia="Arial" w:hAnsi="Arial"/>
          <w:sz w:val="18"/>
          <w:szCs w:val="18"/>
          <w:color w:val="auto"/>
        </w:rPr>
        <w:t>: Lessee hereby authorizes Lessor or its assigns to electronically transfer all rental payments and other sums required to fulfill Lessee’s contractual obligation under the Lease from Lessee’s account maintained with its financial institution, and Lessee agrees to execute and deliver an Authorization Agreement for Automatic Withdrawals to Lessor to effect such transfers. Failure or refusal of Lessee to authorize such transfers or failure of Lessor or its assigns to receive such payments by electronic transfer shall constitute an additional Event of Default under Section 16(a) of the Master Agreement.</w:t>
      </w:r>
    </w:p>
    <w:p>
      <w:pPr>
        <w:spacing w:after="0" w:line="215" w:lineRule="exact"/>
        <w:rPr>
          <w:sz w:val="20"/>
          <w:szCs w:val="20"/>
          <w:color w:val="auto"/>
        </w:rPr>
      </w:pPr>
    </w:p>
    <w:p>
      <w:pPr>
        <w:ind w:left="9880"/>
        <w:spacing w:after="0"/>
        <w:rPr>
          <w:sz w:val="20"/>
          <w:szCs w:val="20"/>
          <w:color w:val="auto"/>
        </w:rPr>
      </w:pPr>
      <w:r>
        <w:rPr>
          <w:rFonts w:ascii="Arial" w:cs="Arial" w:eastAsia="Arial" w:hAnsi="Arial"/>
          <w:sz w:val="16"/>
          <w:szCs w:val="16"/>
          <w:color w:val="auto"/>
        </w:rPr>
        <w:t xml:space="preserve">Lessee Initials: </w:t>
      </w:r>
      <w:r>
        <w:rPr>
          <w:rFonts w:ascii="Arial" w:cs="Arial" w:eastAsia="Arial" w:hAnsi="Arial"/>
          <w:sz w:val="16"/>
          <w:szCs w:val="16"/>
          <w:u w:val="single" w:color="auto"/>
          <w:color w:val="auto"/>
        </w:rPr>
        <w:t>DMD</w:t>
      </w:r>
    </w:p>
    <w:p>
      <w:pPr>
        <w:spacing w:after="0" w:line="275" w:lineRule="exact"/>
        <w:rPr>
          <w:sz w:val="20"/>
          <w:szCs w:val="20"/>
          <w:color w:val="auto"/>
        </w:rPr>
      </w:pPr>
    </w:p>
    <w:p>
      <w:pPr>
        <w:jc w:val="both"/>
        <w:ind w:left="980" w:hanging="394"/>
        <w:spacing w:after="0" w:line="264" w:lineRule="auto"/>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Guaranty</w:t>
      </w:r>
      <w:r>
        <w:rPr>
          <w:rFonts w:ascii="Arial" w:cs="Arial" w:eastAsia="Arial" w:hAnsi="Arial"/>
          <w:sz w:val="18"/>
          <w:szCs w:val="18"/>
          <w:color w:val="auto"/>
        </w:rPr>
        <w:t>: Notwithstanding anything to the contrary herein, the parties acknowledge and agree that this Lease is guaranteed by Stitch Networks Corporation and USAT Capital Corp, LLC as set forth in the Guaranty documents, each dated April 30, 2014, copies of which are attached hereto and incorporated herein.</w:t>
      </w:r>
    </w:p>
    <w:p>
      <w:pPr>
        <w:spacing w:after="0" w:line="208" w:lineRule="exact"/>
        <w:rPr>
          <w:sz w:val="20"/>
          <w:szCs w:val="20"/>
          <w:color w:val="auto"/>
        </w:rPr>
      </w:pPr>
    </w:p>
    <w:p>
      <w:pPr>
        <w:spacing w:after="0"/>
        <w:tabs>
          <w:tab w:leader="none" w:pos="9260" w:val="left"/>
        </w:tabs>
        <w:rPr>
          <w:sz w:val="20"/>
          <w:szCs w:val="20"/>
          <w:color w:val="auto"/>
        </w:rPr>
      </w:pPr>
      <w:r>
        <w:rPr>
          <w:rFonts w:ascii="Arial" w:cs="Arial" w:eastAsia="Arial" w:hAnsi="Arial"/>
          <w:sz w:val="18"/>
          <w:szCs w:val="18"/>
          <w:color w:val="auto"/>
        </w:rPr>
        <w:t xml:space="preserve">Lessor Initials: </w:t>
      </w:r>
      <w:r>
        <w:rPr>
          <w:rFonts w:ascii="Arial" w:cs="Arial" w:eastAsia="Arial" w:hAnsi="Arial"/>
          <w:sz w:val="18"/>
          <w:szCs w:val="18"/>
          <w:u w:val="single" w:color="auto"/>
          <w:color w:val="auto"/>
        </w:rPr>
        <w:t>KP</w:t>
      </w:r>
      <w:r>
        <w:rPr>
          <w:sz w:val="20"/>
          <w:szCs w:val="20"/>
          <w:color w:val="auto"/>
        </w:rPr>
        <w:tab/>
      </w:r>
      <w:r>
        <w:rPr>
          <w:rFonts w:ascii="Arial" w:cs="Arial" w:eastAsia="Arial" w:hAnsi="Arial"/>
          <w:sz w:val="16"/>
          <w:szCs w:val="16"/>
          <w:color w:val="auto"/>
        </w:rPr>
        <w:t xml:space="preserve">Lessee Initials: </w:t>
      </w:r>
      <w:r>
        <w:rPr>
          <w:rFonts w:ascii="Arial" w:cs="Arial" w:eastAsia="Arial" w:hAnsi="Arial"/>
          <w:sz w:val="16"/>
          <w:szCs w:val="16"/>
          <w:u w:val="single" w:color="auto"/>
          <w:color w:val="auto"/>
        </w:rPr>
        <w:t>DMD</w:t>
      </w:r>
    </w:p>
    <w:p>
      <w:pPr>
        <w:spacing w:after="0" w:line="23" w:lineRule="exact"/>
        <w:rPr>
          <w:sz w:val="20"/>
          <w:szCs w:val="20"/>
          <w:color w:val="auto"/>
        </w:rPr>
      </w:pPr>
    </w:p>
    <w:p>
      <w:pPr>
        <w:jc w:val="both"/>
        <w:ind w:left="980" w:hanging="405"/>
        <w:spacing w:after="0" w:line="254" w:lineRule="auto"/>
        <w:tabs>
          <w:tab w:leader="none" w:pos="98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Sale Leaseback:</w:t>
      </w:r>
      <w:r>
        <w:rPr>
          <w:rFonts w:ascii="Arial" w:cs="Arial" w:eastAsia="Arial" w:hAnsi="Arial"/>
          <w:sz w:val="18"/>
          <w:szCs w:val="18"/>
          <w:color w:val="auto"/>
        </w:rPr>
        <w:t xml:space="preserve"> Notwithstanding anything to the contrary herein, the parties acknowledge and agree that this transaction is structured as a sale leaseback, whereby Lessor shall purchase the equipment from Lessee for purposes of leasing the equipment back to Lessee in accordance with the terms and conditions set forth in the Sale Leaseback Agreement dated April 30, 2014, a copy of which is attached hereto and incorporated herein.</w:t>
      </w:r>
    </w:p>
    <w:p>
      <w:pPr>
        <w:sectPr>
          <w:pgSz w:w="11900" w:h="16838" w:orient="portrait"/>
          <w:cols w:equalWidth="0" w:num="1">
            <w:col w:w="11420"/>
          </w:cols>
          <w:pgMar w:left="240" w:top="895" w:right="239" w:bottom="226" w:gutter="0" w:footer="0" w:header="0"/>
        </w:sectPr>
      </w:pPr>
    </w:p>
    <w:bookmarkStart w:id="158" w:name="page159"/>
    <w:bookmarkEnd w:id="158"/>
    <w:p>
      <w:pPr>
        <w:jc w:val="both"/>
        <w:spacing w:after="0" w:line="254"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both"/>
        <w:ind w:left="980" w:hanging="394"/>
        <w:spacing w:after="0" w:line="254" w:lineRule="auto"/>
        <w:tabs>
          <w:tab w:leader="none" w:pos="980"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Master Agreement Amendment</w:t>
      </w:r>
      <w:r>
        <w:rPr>
          <w:rFonts w:ascii="Arial" w:cs="Arial" w:eastAsia="Arial" w:hAnsi="Arial"/>
          <w:sz w:val="18"/>
          <w:szCs w:val="18"/>
          <w:color w:val="auto"/>
        </w:rPr>
        <w:t>: For purposes of this Schedule only, the following shall be added as the last sentence of Section 19(b) of the Master Agreement “At the conclusion of option (ii) above and upon Lessee’s payment to Lessor of (i) all unpaid Rental Payments, including any applicable sales tax, (ii) all unpaid property taxes, (iii) all accrued but unbilled property taxes, and (iv) all unpaid late charges, any and all of the Lessor’s and/or any Assignee’s right, title and interest in and to the Equipment shall pass to Lessee, or if the Equipment includes software which is subject to a license, then any and all of Lessor’s or any Assignee’s rights, title, and interests in and to the software shall pass to Lessee, and the Lease shall terminate. At the time of such termination, Lessor shall remove of record any and all UCC financing statements and any other applicable filings and recordings evidencing the Lease”. All other terms and conditions of the Master Agreement shall remain in full force and effect without change.</w:t>
      </w:r>
    </w:p>
    <w:p>
      <w:pPr>
        <w:spacing w:after="0" w:line="219" w:lineRule="exact"/>
        <w:rPr>
          <w:rFonts w:ascii="Arial" w:cs="Arial" w:eastAsia="Arial" w:hAnsi="Arial"/>
          <w:sz w:val="18"/>
          <w:szCs w:val="18"/>
          <w:color w:val="auto"/>
        </w:rPr>
      </w:pPr>
    </w:p>
    <w:p>
      <w:pPr>
        <w:jc w:val="both"/>
        <w:ind w:left="880" w:hanging="414"/>
        <w:spacing w:after="0" w:line="270" w:lineRule="auto"/>
        <w:tabs>
          <w:tab w:leader="none" w:pos="880"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Tax Payment and Indemnification</w:t>
      </w:r>
      <w:r>
        <w:rPr>
          <w:rFonts w:ascii="Arial" w:cs="Arial" w:eastAsia="Arial" w:hAnsi="Arial"/>
          <w:sz w:val="17"/>
          <w:szCs w:val="17"/>
          <w:color w:val="auto"/>
        </w:rPr>
        <w:t>: Notwithstanding anything to the contrary in the Master Agreement, for this Schedule only, during the term of the Lease, Lessee shall pay directly all taxes, fees, and assessments, including, but not limited to, sales, use and property tax, that may be imposed by any taxing authority on the Equipment, on its purchase, ownership, delivery, possession, operation, rental, return to Lessor or its purchase by Lessee (collectively, “Taxes”). Lessee hereby agrees to indemnify and hold Lessor harmless from and against any and all losses incurred by Lessor arising out of Lessee’s absolute and unconditional obligation to remit any and all Taxes directly to the taxing authority as required under the laws of the state where any Item of Equipment is located (“Jurisdiction”), and to provide quarterly and/or annual reports, as applicable, to Lessor verifying that all Taxes have been paid in accordance with the laws of each applicable Jurisdiction. Lessee further agrees to indemnify, defend and hold Lessor harmless from and against any and all demands, claims, costs, expenses, attorney fees or liabilities that may result therefrom or from enforcement of this Indemnification.</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Lessee Initials: </w:t>
      </w:r>
      <w:r>
        <w:rPr>
          <w:rFonts w:ascii="Arial" w:cs="Arial" w:eastAsia="Arial" w:hAnsi="Arial"/>
          <w:sz w:val="18"/>
          <w:szCs w:val="18"/>
          <w:u w:val="single" w:color="auto"/>
          <w:color w:val="auto"/>
        </w:rPr>
        <w:t>DMD</w:t>
      </w:r>
    </w:p>
    <w:p>
      <w:pPr>
        <w:spacing w:after="0" w:line="252" w:lineRule="exact"/>
        <w:rPr>
          <w:sz w:val="20"/>
          <w:szCs w:val="20"/>
          <w:color w:val="auto"/>
        </w:rPr>
      </w:pPr>
    </w:p>
    <w:p>
      <w:pPr>
        <w:jc w:val="both"/>
        <w:ind w:left="980" w:hanging="405"/>
        <w:spacing w:after="0" w:line="291" w:lineRule="auto"/>
        <w:tabs>
          <w:tab w:leader="none" w:pos="980"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Tracking Report</w:t>
      </w:r>
      <w:r>
        <w:rPr>
          <w:rFonts w:ascii="Arial" w:cs="Arial" w:eastAsia="Arial" w:hAnsi="Arial"/>
          <w:sz w:val="16"/>
          <w:szCs w:val="16"/>
          <w:color w:val="auto"/>
        </w:rPr>
        <w:t xml:space="preserve">: Lessee hereby agrees to provide to Lessor, on a quarterly basis or as requested by Lessor, a current location tracking report for all Items of Equipment, in a form satisfactory to Lessor in its sole discretion. </w:t>
      </w:r>
      <w:r>
        <w:rPr>
          <w:rFonts w:ascii="Arial" w:cs="Arial" w:eastAsia="Arial" w:hAnsi="Arial"/>
          <w:sz w:val="16"/>
          <w:szCs w:val="16"/>
          <w:b w:val="1"/>
          <w:bCs w:val="1"/>
          <w:color w:val="auto"/>
        </w:rPr>
        <w:t>FAILURE OF LESSEE TO PROVIDE THE TRACKING</w:t>
      </w:r>
    </w:p>
    <w:p>
      <w:pPr>
        <w:ind w:left="980"/>
        <w:spacing w:after="0"/>
        <w:rPr>
          <w:rFonts w:ascii="Arial" w:cs="Arial" w:eastAsia="Arial" w:hAnsi="Arial"/>
          <w:sz w:val="16"/>
          <w:szCs w:val="16"/>
          <w:color w:val="auto"/>
        </w:rPr>
      </w:pPr>
      <w:r>
        <w:rPr>
          <w:rFonts w:ascii="Arial" w:cs="Arial" w:eastAsia="Arial" w:hAnsi="Arial"/>
          <w:sz w:val="18"/>
          <w:szCs w:val="18"/>
          <w:b w:val="1"/>
          <w:bCs w:val="1"/>
          <w:color w:val="auto"/>
        </w:rPr>
        <w:t>REPORT TO LESSOR AS PROVIDED HEREIN SHALL CONSTITUTE AN EVENT OF DEFAULT UNDER SECTION 16(a)(IV)</w:t>
      </w:r>
    </w:p>
    <w:p>
      <w:pPr>
        <w:spacing w:after="0" w:line="9"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b w:val="1"/>
          <w:bCs w:val="1"/>
          <w:color w:val="auto"/>
        </w:rPr>
        <w:t>OF THE MASTER AGREEMENT</w:t>
      </w:r>
      <w:r>
        <w:rPr>
          <w:rFonts w:ascii="Arial" w:cs="Arial" w:eastAsia="Arial" w:hAnsi="Arial"/>
          <w:sz w:val="18"/>
          <w:szCs w:val="18"/>
          <w:color w:val="auto"/>
        </w:rPr>
        <w:t>.</w:t>
      </w:r>
    </w:p>
    <w:p>
      <w:pPr>
        <w:spacing w:after="0" w:line="237" w:lineRule="exact"/>
        <w:rPr>
          <w:rFonts w:ascii="Arial" w:cs="Arial" w:eastAsia="Arial" w:hAnsi="Arial"/>
          <w:sz w:val="16"/>
          <w:szCs w:val="16"/>
          <w:color w:val="auto"/>
        </w:rPr>
      </w:pPr>
    </w:p>
    <w:p>
      <w:pPr>
        <w:ind w:left="980" w:hanging="405"/>
        <w:spacing w:after="0"/>
        <w:tabs>
          <w:tab w:leader="none" w:pos="98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Master Agreement Amendment</w:t>
      </w:r>
      <w:r>
        <w:rPr>
          <w:rFonts w:ascii="Arial" w:cs="Arial" w:eastAsia="Arial" w:hAnsi="Arial"/>
          <w:sz w:val="18"/>
          <w:szCs w:val="18"/>
          <w:color w:val="auto"/>
        </w:rPr>
        <w:t>: For this Schedule only, the Master Agreement shall further be amended as follows:</w:t>
      </w:r>
    </w:p>
    <w:p>
      <w:pPr>
        <w:spacing w:after="0" w:line="252" w:lineRule="exact"/>
        <w:rPr>
          <w:rFonts w:ascii="Arial" w:cs="Arial" w:eastAsia="Arial" w:hAnsi="Arial"/>
          <w:sz w:val="18"/>
          <w:szCs w:val="18"/>
          <w:color w:val="auto"/>
        </w:rPr>
      </w:pPr>
    </w:p>
    <w:p>
      <w:pPr>
        <w:ind w:left="1620" w:hanging="351"/>
        <w:spacing w:after="0"/>
        <w:tabs>
          <w:tab w:leader="none" w:pos="16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fourth line of Section 2(a) shall be amended by deleting “calendar quarter” and replacing it with “month”.</w:t>
      </w:r>
    </w:p>
    <w:p>
      <w:pPr>
        <w:spacing w:after="0" w:line="252" w:lineRule="exact"/>
        <w:rPr>
          <w:rFonts w:ascii="Arial" w:cs="Arial" w:eastAsia="Arial" w:hAnsi="Arial"/>
          <w:sz w:val="18"/>
          <w:szCs w:val="18"/>
          <w:color w:val="auto"/>
        </w:rPr>
      </w:pPr>
    </w:p>
    <w:p>
      <w:pPr>
        <w:ind w:left="1620" w:hanging="351"/>
        <w:spacing w:after="0" w:line="277" w:lineRule="auto"/>
        <w:tabs>
          <w:tab w:leader="none" w:pos="16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Section 3(a) shall be amended by deleting the phrase “from the date such Item was installed” and replacing it with “from the Installation Date”.</w:t>
      </w:r>
    </w:p>
    <w:p>
      <w:pPr>
        <w:spacing w:after="0" w:line="197" w:lineRule="exact"/>
        <w:rPr>
          <w:rFonts w:ascii="Arial" w:cs="Arial" w:eastAsia="Arial" w:hAnsi="Arial"/>
          <w:sz w:val="18"/>
          <w:szCs w:val="18"/>
          <w:color w:val="auto"/>
        </w:rPr>
      </w:pPr>
    </w:p>
    <w:p>
      <w:pPr>
        <w:jc w:val="both"/>
        <w:ind w:left="1620" w:hanging="351"/>
        <w:spacing w:after="0" w:line="272" w:lineRule="auto"/>
        <w:tabs>
          <w:tab w:leader="none" w:pos="162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Section 6(b) of the Master Agreement shall be deleted in its entirety and replaced with the following: “(b) Provided that no Event of Default shall have occurred, Lessee and/or its assigns, agents, customers, or sublesses shall, at all times during the term of the Lease, be entitled to unlimited use and enjoyment of the Equipment. In no event shall the Equipment be moved outside the continental, contiguous United States. Lessee and/or its assigns, customers, agents, or sublesses of the equipment will comply with all laws, regulations, and ordinances, and all applicable requirements of the manufacturer of the Equipment that apply to the physical possession, use, operation, condition, and maintenance of the Equipment. Lessee agrees to obtain, or to require its customers or agents to obtain, all permits and licenses necessary for the operation of the Equipment.”</w:t>
      </w:r>
    </w:p>
    <w:p>
      <w:pPr>
        <w:spacing w:after="0" w:line="204" w:lineRule="exact"/>
        <w:rPr>
          <w:rFonts w:ascii="Arial" w:cs="Arial" w:eastAsia="Arial" w:hAnsi="Arial"/>
          <w:sz w:val="17"/>
          <w:szCs w:val="17"/>
          <w:color w:val="auto"/>
        </w:rPr>
      </w:pPr>
    </w:p>
    <w:p>
      <w:pPr>
        <w:ind w:left="1620" w:right="20" w:hanging="351"/>
        <w:spacing w:after="0" w:line="308" w:lineRule="auto"/>
        <w:tabs>
          <w:tab w:leader="none" w:pos="162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The first sentence of Section 6(c) shall be amended by adding “; provided, however, that the foregoing shall not refer to or include any firmware of Lessee or any other intellectual property of Lessee, including Lessee’s software” before the parenthetical phrase.</w:t>
      </w:r>
    </w:p>
    <w:p>
      <w:pPr>
        <w:spacing w:after="0" w:line="173" w:lineRule="exact"/>
        <w:rPr>
          <w:rFonts w:ascii="Arial" w:cs="Arial" w:eastAsia="Arial" w:hAnsi="Arial"/>
          <w:sz w:val="17"/>
          <w:szCs w:val="17"/>
          <w:color w:val="auto"/>
        </w:rPr>
      </w:pPr>
    </w:p>
    <w:p>
      <w:pPr>
        <w:ind w:left="1620" w:hanging="351"/>
        <w:spacing w:after="0"/>
        <w:tabs>
          <w:tab w:leader="none" w:pos="16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first sentence of Section 8(a) shall be deleted.</w:t>
      </w:r>
    </w:p>
    <w:p>
      <w:pPr>
        <w:spacing w:after="0" w:line="252" w:lineRule="exact"/>
        <w:rPr>
          <w:rFonts w:ascii="Arial" w:cs="Arial" w:eastAsia="Arial" w:hAnsi="Arial"/>
          <w:sz w:val="18"/>
          <w:szCs w:val="18"/>
          <w:color w:val="auto"/>
        </w:rPr>
      </w:pPr>
    </w:p>
    <w:p>
      <w:pPr>
        <w:ind w:left="1620" w:hanging="351"/>
        <w:spacing w:after="0"/>
        <w:tabs>
          <w:tab w:leader="none" w:pos="16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Section 8(c) shall be amended as follows:</w:t>
      </w:r>
    </w:p>
    <w:p>
      <w:pPr>
        <w:spacing w:after="0" w:line="252" w:lineRule="exact"/>
        <w:rPr>
          <w:rFonts w:ascii="Arial" w:cs="Arial" w:eastAsia="Arial" w:hAnsi="Arial"/>
          <w:sz w:val="18"/>
          <w:szCs w:val="18"/>
          <w:color w:val="auto"/>
        </w:rPr>
      </w:pPr>
    </w:p>
    <w:p>
      <w:pPr>
        <w:jc w:val="both"/>
        <w:ind w:left="2280" w:hanging="323"/>
        <w:spacing w:after="0" w:line="257" w:lineRule="auto"/>
        <w:tabs>
          <w:tab w:leader="none" w:pos="228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 PROVIDED, HOWEVER, THAT LESSEE MAY AND IS HEREBY SPECIFICIALLY AUTHORIZED TO FROM TIME TO TIME OR AT ANY TIME TO, ASSIGN, SUBLET, RENT, OR TRANSFER ITS RIGHTS TO THE EQUIPMENT HEREUNDER TO ANY CUSTOMER OR AGENT PURSUANT TO A LEASE, SUBLEASE, RENTAL, PROCESSING AGREEMENT, OR OTHER SIMILAR AGREEMENT (“CUSTOMER AGREEMENT”)” shall be added after “CONSENT OF LESSOR.”</w:t>
      </w:r>
    </w:p>
    <w:p>
      <w:pPr>
        <w:spacing w:after="0" w:line="215" w:lineRule="exact"/>
        <w:rPr>
          <w:rFonts w:ascii="Arial" w:cs="Arial" w:eastAsia="Arial" w:hAnsi="Arial"/>
          <w:sz w:val="18"/>
          <w:szCs w:val="18"/>
          <w:color w:val="auto"/>
        </w:rPr>
      </w:pPr>
    </w:p>
    <w:p>
      <w:pPr>
        <w:ind w:left="2280" w:hanging="328"/>
        <w:spacing w:after="0" w:line="277" w:lineRule="auto"/>
        <w:tabs>
          <w:tab w:leader="none" w:pos="228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“Lessee grants to Lessor the right of first refusal on any sublease or other grant of Lessee’s rights to the Equipment.” shall be deleted.</w:t>
      </w:r>
    </w:p>
    <w:p>
      <w:pPr>
        <w:spacing w:after="0" w:line="197" w:lineRule="exact"/>
        <w:rPr>
          <w:rFonts w:ascii="Arial" w:cs="Arial" w:eastAsia="Arial" w:hAnsi="Arial"/>
          <w:sz w:val="18"/>
          <w:szCs w:val="18"/>
          <w:color w:val="auto"/>
        </w:rPr>
      </w:pPr>
    </w:p>
    <w:p>
      <w:pPr>
        <w:ind w:left="1620" w:hanging="351"/>
        <w:spacing w:after="0"/>
        <w:tabs>
          <w:tab w:leader="none" w:pos="16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Section 11 shall be deleted in its entirety and replaced with the following:</w:t>
      </w:r>
    </w:p>
    <w:p>
      <w:pPr>
        <w:spacing w:after="0" w:line="248" w:lineRule="exact"/>
        <w:rPr>
          <w:sz w:val="20"/>
          <w:szCs w:val="20"/>
          <w:color w:val="auto"/>
        </w:rPr>
      </w:pPr>
    </w:p>
    <w:p>
      <w:pPr>
        <w:ind w:left="1620"/>
        <w:spacing w:after="0"/>
        <w:tabs>
          <w:tab w:leader="none" w:pos="21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 xml:space="preserve">QUIET ENJOYMENT. </w:t>
      </w:r>
      <w:r>
        <w:rPr>
          <w:rFonts w:ascii="Arial" w:cs="Arial" w:eastAsia="Arial" w:hAnsi="Arial"/>
          <w:sz w:val="16"/>
          <w:szCs w:val="16"/>
          <w:color w:val="auto"/>
        </w:rPr>
        <w:t>Lessor and /or any Assignee covenants that so long as Lessee is not in default under a Lease, Lessor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ind w:left="260"/>
              <w:spacing w:after="0"/>
              <w:rPr>
                <w:sz w:val="20"/>
                <w:szCs w:val="20"/>
                <w:color w:val="auto"/>
              </w:rPr>
            </w:pPr>
            <w:r>
              <w:rPr>
                <w:rFonts w:ascii="Arial" w:cs="Arial" w:eastAsia="Arial" w:hAnsi="Arial"/>
                <w:sz w:val="18"/>
                <w:szCs w:val="18"/>
                <w:color w:val="auto"/>
                <w:w w:val="91"/>
              </w:rPr>
              <w:t>and/or any Assignee shall</w:t>
            </w:r>
          </w:p>
        </w:tc>
        <w:tc>
          <w:tcPr>
            <w:tcW w:w="7260" w:type="dxa"/>
            <w:vAlign w:val="bottom"/>
            <w:gridSpan w:val="2"/>
          </w:tcPr>
          <w:p>
            <w:pPr>
              <w:ind w:left="60"/>
              <w:spacing w:after="0"/>
              <w:rPr>
                <w:sz w:val="20"/>
                <w:szCs w:val="20"/>
                <w:color w:val="auto"/>
              </w:rPr>
            </w:pPr>
            <w:r>
              <w:rPr>
                <w:rFonts w:ascii="Arial" w:cs="Arial" w:eastAsia="Arial" w:hAnsi="Arial"/>
                <w:sz w:val="18"/>
                <w:szCs w:val="18"/>
                <w:color w:val="auto"/>
                <w:w w:val="96"/>
              </w:rPr>
              <w:t>take no action to interfere with Lessee’s assignment, rental, enjoyment, sublease, transfer, or</w:t>
            </w:r>
          </w:p>
        </w:tc>
      </w:tr>
      <w:tr>
        <w:trPr>
          <w:trHeight w:val="404"/>
        </w:trPr>
        <w:tc>
          <w:tcPr>
            <w:tcW w:w="3520" w:type="dxa"/>
            <w:vAlign w:val="bottom"/>
            <w:gridSpan w:val="3"/>
          </w:tcPr>
          <w:p>
            <w:pPr>
              <w:spacing w:after="0"/>
              <w:rPr>
                <w:sz w:val="20"/>
                <w:szCs w:val="20"/>
                <w:color w:val="auto"/>
              </w:rPr>
            </w:pPr>
            <w:r>
              <w:rPr>
                <w:rFonts w:ascii="Arial" w:cs="Arial" w:eastAsia="Arial" w:hAnsi="Arial"/>
                <w:sz w:val="18"/>
                <w:szCs w:val="18"/>
                <w:color w:val="auto"/>
              </w:rPr>
              <w:t>Lessor Initials: KP</w:t>
            </w:r>
          </w:p>
        </w:tc>
        <w:tc>
          <w:tcPr>
            <w:tcW w:w="7260" w:type="dxa"/>
            <w:vAlign w:val="bottom"/>
            <w:gridSpan w:val="2"/>
          </w:tcPr>
          <w:p>
            <w:pPr>
              <w:ind w:left="5720"/>
              <w:spacing w:after="0"/>
              <w:rPr>
                <w:sz w:val="20"/>
                <w:szCs w:val="20"/>
                <w:color w:val="auto"/>
              </w:rPr>
            </w:pPr>
            <w:r>
              <w:rPr>
                <w:rFonts w:ascii="Arial" w:cs="Arial" w:eastAsia="Arial" w:hAnsi="Arial"/>
                <w:sz w:val="18"/>
                <w:szCs w:val="18"/>
                <w:color w:val="auto"/>
                <w:w w:val="92"/>
              </w:rPr>
              <w:t>Lessee Initials: DMD</w:t>
            </w:r>
          </w:p>
        </w:tc>
      </w:tr>
      <w:tr>
        <w:trPr>
          <w:trHeight w:val="20"/>
        </w:trPr>
        <w:tc>
          <w:tcPr>
            <w:tcW w:w="1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p>
      <w:pPr>
        <w:ind w:left="1620" w:right="300"/>
        <w:spacing w:after="0" w:line="277" w:lineRule="auto"/>
        <w:rPr>
          <w:sz w:val="20"/>
          <w:szCs w:val="20"/>
          <w:color w:val="auto"/>
        </w:rPr>
      </w:pPr>
      <w:r>
        <w:rPr>
          <w:rFonts w:ascii="Arial" w:cs="Arial" w:eastAsia="Arial" w:hAnsi="Arial"/>
          <w:sz w:val="18"/>
          <w:szCs w:val="18"/>
          <w:color w:val="auto"/>
        </w:rPr>
        <w:t>other unlimited possession and use of the Equipment or interfere with a Customer Agreement, subject to and in accordance with the provisions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855" w:gutter="0" w:footer="0" w:header="0"/>
        </w:sectPr>
      </w:pPr>
    </w:p>
    <w:bookmarkStart w:id="160" w:name="page161"/>
    <w:bookmarkEnd w:id="160"/>
    <w:p>
      <w:pPr>
        <w:ind w:left="1620" w:hanging="351"/>
        <w:spacing w:after="0"/>
        <w:tabs>
          <w:tab w:leader="none" w:pos="16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following phrase shall be deleted from Section 15(a)(iii) “and in any jurisdiction in which any of the Equipment is located”.</w:t>
      </w:r>
    </w:p>
    <w:p>
      <w:pPr>
        <w:spacing w:after="0" w:line="263" w:lineRule="exact"/>
        <w:rPr>
          <w:rFonts w:ascii="Arial" w:cs="Arial" w:eastAsia="Arial" w:hAnsi="Arial"/>
          <w:sz w:val="17"/>
          <w:szCs w:val="17"/>
          <w:color w:val="auto"/>
        </w:rPr>
      </w:pPr>
    </w:p>
    <w:p>
      <w:pPr>
        <w:ind w:left="1620" w:hanging="351"/>
        <w:spacing w:after="0"/>
        <w:tabs>
          <w:tab w:leader="none" w:pos="16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Section 16(a)(ii) shall be amended by deleting “remove,”.</w:t>
      </w:r>
    </w:p>
    <w:p>
      <w:pPr>
        <w:spacing w:after="0" w:line="252" w:lineRule="exact"/>
        <w:rPr>
          <w:sz w:val="20"/>
          <w:szCs w:val="20"/>
          <w:color w:val="auto"/>
        </w:rPr>
      </w:pPr>
    </w:p>
    <w:p>
      <w:pPr>
        <w:ind w:left="1620" w:hanging="396"/>
        <w:spacing w:after="0" w:line="277" w:lineRule="auto"/>
        <w:tabs>
          <w:tab w:leader="none" w:pos="16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Section 19(g) shall be amended by deleting “, and, upon Lessor’s request, Lessee shall secure from its mortgagee, landlord or owner of the premises a waiver in form and substance reasonably satisfactory to Lessor”.</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 other terms and conditions of the Master Agreement shall remain in full force and effect without change.</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Lessee’s execution and delivery of this Schedule shall constitute its offer to lease the Equipment described herein upon the terms and conditions set forth herein. Lessor’s subsequent execution of this Schedule in Michigan and delivery to Lessee shall constitute its acceptance of the Lease. The Lease shall be deemed made in Michigan.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anything herein or in the Master Agreement to the contrary, Lessee acknowledges and agrees, that Lessor shall be entitled to claim for federal income tax purposes, without limitation, all benefits, credits and deductions related to the Equipment.</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undersigned Lessee acknowledges that this Schedule authorizes the Lessor or its agents or assignee(s) to sign, execute and file on its behalf any and all necessary documents, including UCC financing statements and other filings and recordings, to make public this lease transaction. The parties intend this transaction to be a true lease, but if any court or tribunal, having power to bind the parties, should conclude that all or part of this Schedule is not a true lease but is in the nature of a sale, consignment, or other transaction, the parties intend and the Lessee hereby grants a continuing security interest in the Equipment from the date of this Schedule to secure the payment of all Lessee’s indebtedness to Lessor. In the event serial numbers for Items are unavailable upon execution hereof, Lessee authorizes Lessor to amend this Schedule by inserting correct serial numbers with respect to those Items.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SCHEDULE TOGETHER WITH THE MASTER AGREEMENT AND ANY ADDITIONAL PROVISION(S) REFERRED TO IN ITEM 10 CONSTITUTE THE ENTIRE AGREEMENT BETWEEN THE LESSOR AND LESSEE AS TO THE LEASE AND THE EQUIPMENT.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gridSpan w:val="3"/>
          </w:tcPr>
          <w:p>
            <w:pPr>
              <w:spacing w:after="0"/>
              <w:rPr>
                <w:sz w:val="20"/>
                <w:szCs w:val="20"/>
                <w:color w:val="auto"/>
              </w:rPr>
            </w:pPr>
            <w:r>
              <w:rPr>
                <w:rFonts w:ascii="Arial" w:cs="Arial" w:eastAsia="Arial" w:hAnsi="Arial"/>
                <w:sz w:val="18"/>
                <w:szCs w:val="18"/>
                <w:color w:val="auto"/>
              </w:rPr>
              <w:t>LESSOR:</w:t>
            </w:r>
          </w:p>
        </w:tc>
        <w:tc>
          <w:tcPr>
            <w:tcW w:w="7440" w:type="dxa"/>
            <w:vAlign w:val="bottom"/>
            <w:gridSpan w:val="3"/>
          </w:tcPr>
          <w:p>
            <w:pPr>
              <w:ind w:left="1720"/>
              <w:spacing w:after="0"/>
              <w:rPr>
                <w:sz w:val="20"/>
                <w:szCs w:val="20"/>
                <w:color w:val="auto"/>
              </w:rPr>
            </w:pPr>
            <w:r>
              <w:rPr>
                <w:rFonts w:ascii="Arial" w:cs="Arial" w:eastAsia="Arial" w:hAnsi="Arial"/>
                <w:sz w:val="18"/>
                <w:szCs w:val="18"/>
                <w:color w:val="auto"/>
              </w:rPr>
              <w:t>LESSEE:</w:t>
            </w:r>
          </w:p>
        </w:tc>
      </w:tr>
      <w:tr>
        <w:trPr>
          <w:trHeight w:val="230"/>
        </w:trPr>
        <w:tc>
          <w:tcPr>
            <w:tcW w:w="3980" w:type="dxa"/>
            <w:vAlign w:val="bottom"/>
            <w:gridSpan w:val="3"/>
          </w:tcPr>
          <w:p>
            <w:pPr>
              <w:spacing w:after="0"/>
              <w:rPr>
                <w:sz w:val="20"/>
                <w:szCs w:val="20"/>
                <w:color w:val="auto"/>
              </w:rPr>
            </w:pPr>
            <w:r>
              <w:rPr>
                <w:rFonts w:ascii="Arial" w:cs="Arial" w:eastAsia="Arial" w:hAnsi="Arial"/>
                <w:sz w:val="18"/>
                <w:szCs w:val="18"/>
                <w:color w:val="auto"/>
              </w:rPr>
              <w:t>VARILEASE FINANCE, INC.</w:t>
            </w:r>
          </w:p>
        </w:tc>
        <w:tc>
          <w:tcPr>
            <w:tcW w:w="7440" w:type="dxa"/>
            <w:vAlign w:val="bottom"/>
            <w:gridSpan w:val="3"/>
          </w:tcPr>
          <w:p>
            <w:pPr>
              <w:ind w:left="1720"/>
              <w:spacing w:after="0"/>
              <w:rPr>
                <w:sz w:val="20"/>
                <w:szCs w:val="20"/>
                <w:color w:val="auto"/>
              </w:rPr>
            </w:pPr>
            <w:r>
              <w:rPr>
                <w:rFonts w:ascii="Arial" w:cs="Arial" w:eastAsia="Arial" w:hAnsi="Arial"/>
                <w:sz w:val="18"/>
                <w:szCs w:val="18"/>
                <w:color w:val="auto"/>
              </w:rPr>
              <w:t>USA TECHNOLOGIES, INC.</w:t>
            </w:r>
          </w:p>
        </w:tc>
      </w:tr>
      <w:tr>
        <w:trPr>
          <w:trHeight w:val="432"/>
        </w:trPr>
        <w:tc>
          <w:tcPr>
            <w:tcW w:w="3980" w:type="dxa"/>
            <w:vAlign w:val="bottom"/>
            <w:gridSpan w:val="3"/>
          </w:tcPr>
          <w:p>
            <w:pPr>
              <w:spacing w:after="0"/>
              <w:rPr>
                <w:sz w:val="20"/>
                <w:szCs w:val="20"/>
                <w:color w:val="auto"/>
              </w:rPr>
            </w:pPr>
            <w:r>
              <w:rPr>
                <w:rFonts w:ascii="Arial" w:cs="Arial" w:eastAsia="Arial" w:hAnsi="Arial"/>
                <w:sz w:val="18"/>
                <w:szCs w:val="18"/>
                <w:color w:val="auto"/>
              </w:rPr>
              <w:t>By: /s/ Kristy Phillips</w:t>
            </w:r>
          </w:p>
        </w:tc>
        <w:tc>
          <w:tcPr>
            <w:tcW w:w="7440" w:type="dxa"/>
            <w:vAlign w:val="bottom"/>
            <w:gridSpan w:val="3"/>
          </w:tcPr>
          <w:p>
            <w:pPr>
              <w:ind w:left="1720"/>
              <w:spacing w:after="0"/>
              <w:rPr>
                <w:sz w:val="20"/>
                <w:szCs w:val="20"/>
                <w:color w:val="auto"/>
              </w:rPr>
            </w:pPr>
            <w:r>
              <w:rPr>
                <w:rFonts w:ascii="Arial" w:cs="Arial" w:eastAsia="Arial" w:hAnsi="Arial"/>
                <w:sz w:val="18"/>
                <w:szCs w:val="18"/>
                <w:color w:val="auto"/>
              </w:rPr>
              <w:t>By: /s/ David M. DeMedio</w:t>
            </w:r>
          </w:p>
        </w:tc>
      </w:tr>
      <w:tr>
        <w:trPr>
          <w:trHeight w:val="27"/>
        </w:trPr>
        <w:tc>
          <w:tcPr>
            <w:tcW w:w="3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3780" w:type="dxa"/>
            <w:vAlign w:val="bottom"/>
          </w:tcPr>
          <w:p>
            <w:pPr>
              <w:spacing w:after="0"/>
              <w:rPr>
                <w:sz w:val="2"/>
                <w:szCs w:val="2"/>
                <w:color w:val="auto"/>
              </w:rPr>
            </w:pPr>
          </w:p>
        </w:tc>
      </w:tr>
      <w:tr>
        <w:trPr>
          <w:trHeight w:val="202"/>
        </w:trPr>
        <w:tc>
          <w:tcPr>
            <w:tcW w:w="1580" w:type="dxa"/>
            <w:vAlign w:val="bottom"/>
            <w:gridSpan w:val="2"/>
          </w:tcPr>
          <w:p>
            <w:pPr>
              <w:spacing w:after="0" w:line="201" w:lineRule="exact"/>
              <w:rPr>
                <w:sz w:val="20"/>
                <w:szCs w:val="20"/>
                <w:color w:val="auto"/>
              </w:rPr>
            </w:pPr>
            <w:r>
              <w:rPr>
                <w:rFonts w:ascii="Arial" w:cs="Arial" w:eastAsia="Arial" w:hAnsi="Arial"/>
                <w:sz w:val="18"/>
                <w:szCs w:val="18"/>
                <w:color w:val="auto"/>
                <w:w w:val="94"/>
              </w:rPr>
              <w:t>Name: Kristy Phillips</w:t>
            </w:r>
          </w:p>
        </w:tc>
        <w:tc>
          <w:tcPr>
            <w:tcW w:w="2400" w:type="dxa"/>
            <w:vAlign w:val="bottom"/>
          </w:tcPr>
          <w:p>
            <w:pPr>
              <w:spacing w:after="0"/>
              <w:rPr>
                <w:sz w:val="17"/>
                <w:szCs w:val="17"/>
                <w:color w:val="auto"/>
              </w:rPr>
            </w:pPr>
          </w:p>
        </w:tc>
        <w:tc>
          <w:tcPr>
            <w:tcW w:w="7440" w:type="dxa"/>
            <w:vAlign w:val="bottom"/>
            <w:gridSpan w:val="3"/>
          </w:tcPr>
          <w:p>
            <w:pPr>
              <w:ind w:left="1720"/>
              <w:spacing w:after="0" w:line="201" w:lineRule="exact"/>
              <w:rPr>
                <w:sz w:val="20"/>
                <w:szCs w:val="20"/>
                <w:color w:val="auto"/>
              </w:rPr>
            </w:pPr>
            <w:r>
              <w:rPr>
                <w:rFonts w:ascii="Arial" w:cs="Arial" w:eastAsia="Arial" w:hAnsi="Arial"/>
                <w:sz w:val="18"/>
                <w:szCs w:val="18"/>
                <w:color w:val="auto"/>
              </w:rPr>
              <w:t>Name: David M. DeMedio</w:t>
            </w:r>
          </w:p>
        </w:tc>
      </w:tr>
      <w:tr>
        <w:trPr>
          <w:trHeight w:val="230"/>
        </w:trPr>
        <w:tc>
          <w:tcPr>
            <w:tcW w:w="3980" w:type="dxa"/>
            <w:vAlign w:val="bottom"/>
            <w:gridSpan w:val="3"/>
          </w:tcPr>
          <w:p>
            <w:pPr>
              <w:spacing w:after="0"/>
              <w:rPr>
                <w:sz w:val="20"/>
                <w:szCs w:val="20"/>
                <w:color w:val="auto"/>
              </w:rPr>
            </w:pPr>
            <w:r>
              <w:rPr>
                <w:rFonts w:ascii="Arial" w:cs="Arial" w:eastAsia="Arial" w:hAnsi="Arial"/>
                <w:sz w:val="18"/>
                <w:szCs w:val="18"/>
                <w:color w:val="auto"/>
              </w:rPr>
              <w:t>Title: Vice President</w:t>
            </w:r>
          </w:p>
        </w:tc>
        <w:tc>
          <w:tcPr>
            <w:tcW w:w="7440" w:type="dxa"/>
            <w:vAlign w:val="bottom"/>
            <w:gridSpan w:val="3"/>
          </w:tcPr>
          <w:p>
            <w:pPr>
              <w:ind w:left="1720"/>
              <w:spacing w:after="0"/>
              <w:rPr>
                <w:sz w:val="20"/>
                <w:szCs w:val="20"/>
                <w:color w:val="auto"/>
              </w:rPr>
            </w:pPr>
            <w:r>
              <w:rPr>
                <w:rFonts w:ascii="Arial" w:cs="Arial" w:eastAsia="Arial" w:hAnsi="Arial"/>
                <w:sz w:val="18"/>
                <w:szCs w:val="18"/>
                <w:color w:val="auto"/>
              </w:rPr>
              <w:t>Title: CFO</w:t>
            </w:r>
          </w:p>
        </w:tc>
      </w:tr>
      <w:tr>
        <w:trPr>
          <w:trHeight w:val="675"/>
        </w:trPr>
        <w:tc>
          <w:tcPr>
            <w:tcW w:w="320" w:type="dxa"/>
            <w:vAlign w:val="bottom"/>
            <w:tcBorders>
              <w:bottom w:val="single" w:sz="8" w:color="DCDCDC"/>
            </w:tcBorders>
          </w:tcPr>
          <w:p>
            <w:pPr>
              <w:spacing w:after="0"/>
              <w:rPr>
                <w:sz w:val="24"/>
                <w:szCs w:val="24"/>
                <w:color w:val="auto"/>
              </w:rPr>
            </w:pPr>
          </w:p>
        </w:tc>
        <w:tc>
          <w:tcPr>
            <w:tcW w:w="1260" w:type="dxa"/>
            <w:vAlign w:val="bottom"/>
            <w:tcBorders>
              <w:bottom w:val="single" w:sz="8" w:color="DCDCDC"/>
            </w:tcBorders>
          </w:tcPr>
          <w:p>
            <w:pPr>
              <w:spacing w:after="0"/>
              <w:rPr>
                <w:sz w:val="24"/>
                <w:szCs w:val="24"/>
                <w:color w:val="auto"/>
              </w:rPr>
            </w:pPr>
          </w:p>
        </w:tc>
        <w:tc>
          <w:tcPr>
            <w:tcW w:w="2400" w:type="dxa"/>
            <w:vAlign w:val="bottom"/>
            <w:tcBorders>
              <w:bottom w:val="single" w:sz="8" w:color="DCDCDC"/>
            </w:tcBorders>
          </w:tcPr>
          <w:p>
            <w:pPr>
              <w:spacing w:after="0"/>
              <w:rPr>
                <w:sz w:val="24"/>
                <w:szCs w:val="24"/>
                <w:color w:val="auto"/>
              </w:rPr>
            </w:pPr>
          </w:p>
        </w:tc>
        <w:tc>
          <w:tcPr>
            <w:tcW w:w="2020" w:type="dxa"/>
            <w:vAlign w:val="bottom"/>
            <w:tcBorders>
              <w:bottom w:val="single" w:sz="8" w:color="DCDCDC"/>
            </w:tcBorders>
          </w:tcPr>
          <w:p>
            <w:pPr>
              <w:spacing w:after="0"/>
              <w:rPr>
                <w:sz w:val="24"/>
                <w:szCs w:val="24"/>
                <w:color w:val="auto"/>
              </w:rPr>
            </w:pPr>
          </w:p>
        </w:tc>
        <w:tc>
          <w:tcPr>
            <w:tcW w:w="1640" w:type="dxa"/>
            <w:vAlign w:val="bottom"/>
            <w:tcBorders>
              <w:bottom w:val="single" w:sz="8" w:color="DCDCDC"/>
            </w:tcBorders>
          </w:tcPr>
          <w:p>
            <w:pPr>
              <w:spacing w:after="0"/>
              <w:rPr>
                <w:sz w:val="24"/>
                <w:szCs w:val="24"/>
                <w:color w:val="auto"/>
              </w:rPr>
            </w:pPr>
          </w:p>
        </w:tc>
        <w:tc>
          <w:tcPr>
            <w:tcW w:w="37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22" w:right="239" w:bottom="1440" w:gutter="0" w:footer="0" w:header="0"/>
        </w:sectPr>
      </w:pPr>
    </w:p>
    <w:bookmarkStart w:id="161" w:name="page162"/>
    <w:bookmarkEnd w:id="1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60" w:type="dxa"/>
            <w:vAlign w:val="bottom"/>
          </w:tcPr>
          <w:p>
            <w:pPr>
              <w:ind w:left="960"/>
              <w:spacing w:after="0"/>
              <w:rPr>
                <w:sz w:val="20"/>
                <w:szCs w:val="20"/>
                <w:color w:val="auto"/>
              </w:rPr>
            </w:pPr>
            <w:r>
              <w:rPr>
                <w:rFonts w:ascii="Arial" w:cs="Arial" w:eastAsia="Arial" w:hAnsi="Arial"/>
                <w:sz w:val="18"/>
                <w:szCs w:val="18"/>
                <w:b w:val="1"/>
                <w:bCs w:val="1"/>
                <w:color w:val="auto"/>
              </w:rPr>
              <w:t>EXHIBIT A</w:t>
            </w: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1860" w:type="dxa"/>
            <w:vAlign w:val="bottom"/>
          </w:tcPr>
          <w:p>
            <w:pPr>
              <w:ind w:left="180"/>
              <w:spacing w:after="0"/>
              <w:rPr>
                <w:sz w:val="20"/>
                <w:szCs w:val="20"/>
                <w:color w:val="auto"/>
              </w:rPr>
            </w:pPr>
            <w:r>
              <w:rPr>
                <w:rFonts w:ascii="Arial" w:cs="Arial" w:eastAsia="Arial" w:hAnsi="Arial"/>
                <w:sz w:val="18"/>
                <w:szCs w:val="18"/>
                <w:b w:val="1"/>
                <w:bCs w:val="1"/>
                <w:color w:val="auto"/>
              </w:rPr>
              <w:t>Lessee:</w:t>
            </w:r>
          </w:p>
        </w:tc>
        <w:tc>
          <w:tcPr>
            <w:tcW w:w="1920" w:type="dxa"/>
            <w:vAlign w:val="bottom"/>
            <w:gridSpan w:val="3"/>
          </w:tcPr>
          <w:p>
            <w:pPr>
              <w:ind w:left="160"/>
              <w:spacing w:after="0"/>
              <w:rPr>
                <w:sz w:val="20"/>
                <w:szCs w:val="20"/>
                <w:color w:val="auto"/>
              </w:rPr>
            </w:pPr>
            <w:r>
              <w:rPr>
                <w:rFonts w:ascii="Arial" w:cs="Arial" w:eastAsia="Arial" w:hAnsi="Arial"/>
                <w:sz w:val="18"/>
                <w:szCs w:val="18"/>
                <w:color w:val="auto"/>
                <w:w w:val="92"/>
              </w:rPr>
              <w:t>USA Technologies, Inc.</w:t>
            </w:r>
          </w:p>
        </w:tc>
        <w:tc>
          <w:tcPr>
            <w:tcW w:w="5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1860" w:type="dxa"/>
            <w:vAlign w:val="bottom"/>
          </w:tcPr>
          <w:p>
            <w:pPr>
              <w:ind w:left="180"/>
              <w:spacing w:after="0"/>
              <w:rPr>
                <w:sz w:val="20"/>
                <w:szCs w:val="20"/>
                <w:color w:val="auto"/>
              </w:rPr>
            </w:pPr>
            <w:r>
              <w:rPr>
                <w:rFonts w:ascii="Arial" w:cs="Arial" w:eastAsia="Arial" w:hAnsi="Arial"/>
                <w:sz w:val="18"/>
                <w:szCs w:val="18"/>
                <w:b w:val="1"/>
                <w:bCs w:val="1"/>
                <w:color w:val="auto"/>
              </w:rPr>
              <w:t>ML dated:</w:t>
            </w:r>
          </w:p>
        </w:tc>
        <w:tc>
          <w:tcPr>
            <w:tcW w:w="1920" w:type="dxa"/>
            <w:vAlign w:val="bottom"/>
            <w:gridSpan w:val="3"/>
          </w:tcPr>
          <w:p>
            <w:pPr>
              <w:ind w:left="160"/>
              <w:spacing w:after="0"/>
              <w:rPr>
                <w:sz w:val="20"/>
                <w:szCs w:val="20"/>
                <w:color w:val="auto"/>
              </w:rPr>
            </w:pPr>
            <w:r>
              <w:rPr>
                <w:rFonts w:ascii="Arial" w:cs="Arial" w:eastAsia="Arial" w:hAnsi="Arial"/>
                <w:sz w:val="18"/>
                <w:szCs w:val="18"/>
                <w:color w:val="auto"/>
              </w:rPr>
              <w:t>April 30, 2014</w:t>
            </w:r>
          </w:p>
        </w:tc>
        <w:tc>
          <w:tcPr>
            <w:tcW w:w="5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1860" w:type="dxa"/>
            <w:vAlign w:val="bottom"/>
          </w:tcPr>
          <w:p>
            <w:pPr>
              <w:ind w:left="180"/>
              <w:spacing w:after="0"/>
              <w:rPr>
                <w:sz w:val="20"/>
                <w:szCs w:val="20"/>
                <w:color w:val="auto"/>
              </w:rPr>
            </w:pPr>
            <w:r>
              <w:rPr>
                <w:rFonts w:ascii="Arial" w:cs="Arial" w:eastAsia="Arial" w:hAnsi="Arial"/>
                <w:sz w:val="18"/>
                <w:szCs w:val="18"/>
                <w:b w:val="1"/>
                <w:bCs w:val="1"/>
                <w:color w:val="auto"/>
              </w:rPr>
              <w:t>Schedule No.:</w:t>
            </w:r>
          </w:p>
        </w:tc>
        <w:tc>
          <w:tcPr>
            <w:tcW w:w="960" w:type="dxa"/>
            <w:vAlign w:val="bottom"/>
          </w:tcPr>
          <w:p>
            <w:pPr>
              <w:ind w:left="160"/>
              <w:spacing w:after="0"/>
              <w:rPr>
                <w:sz w:val="20"/>
                <w:szCs w:val="20"/>
                <w:color w:val="auto"/>
              </w:rPr>
            </w:pPr>
            <w:r>
              <w:rPr>
                <w:rFonts w:ascii="Arial" w:cs="Arial" w:eastAsia="Arial" w:hAnsi="Arial"/>
                <w:sz w:val="18"/>
                <w:szCs w:val="18"/>
                <w:color w:val="auto"/>
              </w:rPr>
              <w:t>02</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994,178.52</w:t>
            </w:r>
          </w:p>
        </w:tc>
      </w:tr>
      <w:tr>
        <w:trPr>
          <w:trHeight w:val="456"/>
        </w:trPr>
        <w:tc>
          <w:tcPr>
            <w:tcW w:w="18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Location:</w:t>
            </w:r>
          </w:p>
        </w:tc>
        <w:tc>
          <w:tcPr>
            <w:tcW w:w="55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w w:val="98"/>
              </w:rPr>
              <w:t>Headquartered at 100 Deerfield Lane, Suite 140, Malvern, PA 19355</w:t>
            </w:r>
          </w:p>
        </w:tc>
        <w:tc>
          <w:tcPr>
            <w:tcW w:w="1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81"/>
        </w:trPr>
        <w:tc>
          <w:tcPr>
            <w:tcW w:w="186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8"/>
                <w:szCs w:val="18"/>
                <w:b w:val="1"/>
                <w:bCs w:val="1"/>
                <w:color w:val="auto"/>
              </w:rPr>
              <w:t>Vendor</w:t>
            </w:r>
          </w:p>
        </w:tc>
        <w:tc>
          <w:tcPr>
            <w:tcW w:w="96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b w:val="1"/>
                <w:bCs w:val="1"/>
                <w:color w:val="auto"/>
              </w:rPr>
              <w:t>Invoice</w:t>
            </w:r>
          </w:p>
        </w:tc>
        <w:tc>
          <w:tcPr>
            <w:tcW w:w="84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b w:val="1"/>
                <w:bCs w:val="1"/>
                <w:color w:val="auto"/>
              </w:rPr>
              <w:t>Auth</w:t>
            </w:r>
          </w:p>
        </w:tc>
        <w:tc>
          <w:tcPr>
            <w:tcW w:w="120" w:type="dxa"/>
            <w:vAlign w:val="bottom"/>
          </w:tcPr>
          <w:p>
            <w:pPr>
              <w:spacing w:after="0"/>
              <w:rPr>
                <w:sz w:val="15"/>
                <w:szCs w:val="15"/>
                <w:color w:val="auto"/>
              </w:rPr>
            </w:pPr>
          </w:p>
        </w:tc>
        <w:tc>
          <w:tcPr>
            <w:tcW w:w="50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b w:val="1"/>
                <w:bCs w:val="1"/>
                <w:color w:val="auto"/>
              </w:rPr>
              <w:t>Qty</w:t>
            </w:r>
          </w:p>
        </w:tc>
        <w:tc>
          <w:tcPr>
            <w:tcW w:w="316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b w:val="1"/>
                <w:bCs w:val="1"/>
                <w:color w:val="auto"/>
              </w:rPr>
              <w:t>Description</w:t>
            </w:r>
          </w:p>
        </w:tc>
        <w:tc>
          <w:tcPr>
            <w:tcW w:w="122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b w:val="1"/>
                <w:bCs w:val="1"/>
                <w:color w:val="auto"/>
              </w:rPr>
              <w:t>Serial No.</w:t>
            </w:r>
          </w:p>
        </w:tc>
        <w:tc>
          <w:tcPr>
            <w:tcW w:w="380" w:type="dxa"/>
            <w:vAlign w:val="bottom"/>
          </w:tcPr>
          <w:p>
            <w:pPr>
              <w:spacing w:after="0"/>
              <w:rPr>
                <w:sz w:val="15"/>
                <w:szCs w:val="15"/>
                <w:color w:val="auto"/>
              </w:rPr>
            </w:pPr>
          </w:p>
        </w:tc>
        <w:tc>
          <w:tcPr>
            <w:tcW w:w="90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Cost per</w:t>
            </w:r>
          </w:p>
        </w:tc>
        <w:tc>
          <w:tcPr>
            <w:tcW w:w="400" w:type="dxa"/>
            <w:vAlign w:val="bottom"/>
          </w:tcPr>
          <w:p>
            <w:pPr>
              <w:spacing w:after="0"/>
              <w:rPr>
                <w:sz w:val="15"/>
                <w:szCs w:val="15"/>
                <w:color w:val="auto"/>
              </w:rPr>
            </w:pPr>
          </w:p>
        </w:tc>
        <w:tc>
          <w:tcPr>
            <w:tcW w:w="10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Total</w:t>
            </w:r>
          </w:p>
        </w:tc>
      </w:tr>
      <w:tr>
        <w:trPr>
          <w:trHeight w:val="241"/>
        </w:trPr>
        <w:tc>
          <w:tcPr>
            <w:tcW w:w="18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No.</w:t>
            </w:r>
          </w:p>
        </w:tc>
        <w:tc>
          <w:tcPr>
            <w:tcW w:w="8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No.</w:t>
            </w: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Item</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r>
      <w:tr>
        <w:trPr>
          <w:trHeight w:val="223"/>
        </w:trPr>
        <w:tc>
          <w:tcPr>
            <w:tcW w:w="18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31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02"/>
        </w:trPr>
        <w:tc>
          <w:tcPr>
            <w:tcW w:w="18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Masterwork</w:t>
            </w:r>
          </w:p>
        </w:tc>
        <w:tc>
          <w:tcPr>
            <w:tcW w:w="9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116327</w:t>
            </w:r>
          </w:p>
        </w:tc>
        <w:tc>
          <w:tcPr>
            <w:tcW w:w="84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I</w:t>
            </w:r>
          </w:p>
        </w:tc>
        <w:tc>
          <w:tcPr>
            <w:tcW w:w="120" w:type="dxa"/>
            <w:vAlign w:val="bottom"/>
          </w:tcPr>
          <w:p>
            <w:pPr>
              <w:spacing w:after="0"/>
              <w:rPr>
                <w:sz w:val="17"/>
                <w:szCs w:val="17"/>
                <w:color w:val="auto"/>
              </w:rPr>
            </w:pPr>
          </w:p>
        </w:tc>
        <w:tc>
          <w:tcPr>
            <w:tcW w:w="5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210</w:t>
            </w:r>
          </w:p>
        </w:tc>
        <w:tc>
          <w:tcPr>
            <w:tcW w:w="3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Top Assembly - G8ePort CDMA</w:t>
            </w:r>
          </w:p>
        </w:tc>
        <w:tc>
          <w:tcPr>
            <w:tcW w:w="12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0</w:t>
            </w:r>
          </w:p>
        </w:tc>
        <w:tc>
          <w:tcPr>
            <w:tcW w:w="3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104.47</w:t>
            </w:r>
          </w:p>
        </w:tc>
        <w:tc>
          <w:tcPr>
            <w:tcW w:w="4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21,938.70</w:t>
            </w:r>
          </w:p>
        </w:tc>
      </w:tr>
      <w:tr>
        <w:trPr>
          <w:trHeight w:val="230"/>
        </w:trPr>
        <w:tc>
          <w:tcPr>
            <w:tcW w:w="18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Electronics</w:t>
            </w:r>
          </w:p>
        </w:tc>
        <w:tc>
          <w:tcPr>
            <w:tcW w:w="9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Wireless with RFID card</w:t>
            </w:r>
          </w:p>
        </w:tc>
        <w:tc>
          <w:tcPr>
            <w:tcW w:w="1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3"/>
        </w:trPr>
        <w:tc>
          <w:tcPr>
            <w:tcW w:w="18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31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02"/>
        </w:trPr>
        <w:tc>
          <w:tcPr>
            <w:tcW w:w="18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Masterwork</w:t>
            </w:r>
          </w:p>
        </w:tc>
        <w:tc>
          <w:tcPr>
            <w:tcW w:w="9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116383</w:t>
            </w:r>
          </w:p>
        </w:tc>
        <w:tc>
          <w:tcPr>
            <w:tcW w:w="84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I</w:t>
            </w:r>
          </w:p>
        </w:tc>
        <w:tc>
          <w:tcPr>
            <w:tcW w:w="120" w:type="dxa"/>
            <w:vAlign w:val="bottom"/>
          </w:tcPr>
          <w:p>
            <w:pPr>
              <w:spacing w:after="0"/>
              <w:rPr>
                <w:sz w:val="17"/>
                <w:szCs w:val="17"/>
                <w:color w:val="auto"/>
              </w:rPr>
            </w:pPr>
          </w:p>
        </w:tc>
        <w:tc>
          <w:tcPr>
            <w:tcW w:w="5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56</w:t>
            </w:r>
          </w:p>
        </w:tc>
        <w:tc>
          <w:tcPr>
            <w:tcW w:w="3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Top Assembly - G8ePort CDMA</w:t>
            </w:r>
          </w:p>
        </w:tc>
        <w:tc>
          <w:tcPr>
            <w:tcW w:w="12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0</w:t>
            </w:r>
          </w:p>
        </w:tc>
        <w:tc>
          <w:tcPr>
            <w:tcW w:w="3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104.47</w:t>
            </w:r>
          </w:p>
        </w:tc>
        <w:tc>
          <w:tcPr>
            <w:tcW w:w="4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5,850.32</w:t>
            </w:r>
          </w:p>
        </w:tc>
      </w:tr>
      <w:tr>
        <w:trPr>
          <w:trHeight w:val="230"/>
        </w:trPr>
        <w:tc>
          <w:tcPr>
            <w:tcW w:w="18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Electronics</w:t>
            </w:r>
          </w:p>
        </w:tc>
        <w:tc>
          <w:tcPr>
            <w:tcW w:w="9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Wireless with RFID card</w:t>
            </w:r>
          </w:p>
        </w:tc>
        <w:tc>
          <w:tcPr>
            <w:tcW w:w="1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3"/>
        </w:trPr>
        <w:tc>
          <w:tcPr>
            <w:tcW w:w="18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31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02"/>
        </w:trPr>
        <w:tc>
          <w:tcPr>
            <w:tcW w:w="18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Masterwork</w:t>
            </w:r>
          </w:p>
        </w:tc>
        <w:tc>
          <w:tcPr>
            <w:tcW w:w="9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116383</w:t>
            </w:r>
          </w:p>
        </w:tc>
        <w:tc>
          <w:tcPr>
            <w:tcW w:w="84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I</w:t>
            </w:r>
          </w:p>
        </w:tc>
        <w:tc>
          <w:tcPr>
            <w:tcW w:w="120" w:type="dxa"/>
            <w:vAlign w:val="bottom"/>
          </w:tcPr>
          <w:p>
            <w:pPr>
              <w:spacing w:after="0"/>
              <w:rPr>
                <w:sz w:val="17"/>
                <w:szCs w:val="17"/>
                <w:color w:val="auto"/>
              </w:rPr>
            </w:pPr>
          </w:p>
        </w:tc>
        <w:tc>
          <w:tcPr>
            <w:tcW w:w="5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150</w:t>
            </w:r>
          </w:p>
        </w:tc>
        <w:tc>
          <w:tcPr>
            <w:tcW w:w="3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Top Assembly - G8ePort CDMA</w:t>
            </w:r>
          </w:p>
        </w:tc>
        <w:tc>
          <w:tcPr>
            <w:tcW w:w="12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0</w:t>
            </w:r>
          </w:p>
        </w:tc>
        <w:tc>
          <w:tcPr>
            <w:tcW w:w="3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104.47</w:t>
            </w:r>
          </w:p>
        </w:tc>
        <w:tc>
          <w:tcPr>
            <w:tcW w:w="4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15,670.50</w:t>
            </w:r>
          </w:p>
        </w:tc>
      </w:tr>
      <w:tr>
        <w:trPr>
          <w:trHeight w:val="230"/>
        </w:trPr>
        <w:tc>
          <w:tcPr>
            <w:tcW w:w="18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Electronics</w:t>
            </w:r>
          </w:p>
        </w:tc>
        <w:tc>
          <w:tcPr>
            <w:tcW w:w="9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Wireless with RFID card</w:t>
            </w:r>
          </w:p>
        </w:tc>
        <w:tc>
          <w:tcPr>
            <w:tcW w:w="1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3"/>
        </w:trPr>
        <w:tc>
          <w:tcPr>
            <w:tcW w:w="18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31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02"/>
        </w:trPr>
        <w:tc>
          <w:tcPr>
            <w:tcW w:w="18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Masterwork</w:t>
            </w:r>
          </w:p>
        </w:tc>
        <w:tc>
          <w:tcPr>
            <w:tcW w:w="9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116386</w:t>
            </w:r>
          </w:p>
        </w:tc>
        <w:tc>
          <w:tcPr>
            <w:tcW w:w="84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I</w:t>
            </w:r>
          </w:p>
        </w:tc>
        <w:tc>
          <w:tcPr>
            <w:tcW w:w="120" w:type="dxa"/>
            <w:vAlign w:val="bottom"/>
          </w:tcPr>
          <w:p>
            <w:pPr>
              <w:spacing w:after="0"/>
              <w:rPr>
                <w:sz w:val="17"/>
                <w:szCs w:val="17"/>
                <w:color w:val="auto"/>
              </w:rPr>
            </w:pPr>
          </w:p>
        </w:tc>
        <w:tc>
          <w:tcPr>
            <w:tcW w:w="5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420</w:t>
            </w:r>
          </w:p>
        </w:tc>
        <w:tc>
          <w:tcPr>
            <w:tcW w:w="3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Top Assembly - G8ePort CDMA</w:t>
            </w:r>
          </w:p>
        </w:tc>
        <w:tc>
          <w:tcPr>
            <w:tcW w:w="12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0</w:t>
            </w:r>
          </w:p>
        </w:tc>
        <w:tc>
          <w:tcPr>
            <w:tcW w:w="3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104.47</w:t>
            </w:r>
          </w:p>
        </w:tc>
        <w:tc>
          <w:tcPr>
            <w:tcW w:w="4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43,877.40</w:t>
            </w:r>
          </w:p>
        </w:tc>
      </w:tr>
      <w:tr>
        <w:trPr>
          <w:trHeight w:val="237"/>
        </w:trPr>
        <w:tc>
          <w:tcPr>
            <w:tcW w:w="18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Electronics</w:t>
            </w:r>
          </w:p>
        </w:tc>
        <w:tc>
          <w:tcPr>
            <w:tcW w:w="9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Wireless with RFID card</w:t>
            </w:r>
          </w:p>
        </w:tc>
        <w:tc>
          <w:tcPr>
            <w:tcW w:w="122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02"/>
        </w:trPr>
        <w:tc>
          <w:tcPr>
            <w:tcW w:w="18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Masterwork</w:t>
            </w:r>
          </w:p>
        </w:tc>
        <w:tc>
          <w:tcPr>
            <w:tcW w:w="9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116436</w:t>
            </w:r>
          </w:p>
        </w:tc>
        <w:tc>
          <w:tcPr>
            <w:tcW w:w="84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I</w:t>
            </w:r>
          </w:p>
        </w:tc>
        <w:tc>
          <w:tcPr>
            <w:tcW w:w="120" w:type="dxa"/>
            <w:vAlign w:val="bottom"/>
          </w:tcPr>
          <w:p>
            <w:pPr>
              <w:spacing w:after="0"/>
              <w:rPr>
                <w:sz w:val="17"/>
                <w:szCs w:val="17"/>
                <w:color w:val="auto"/>
              </w:rPr>
            </w:pPr>
          </w:p>
        </w:tc>
        <w:tc>
          <w:tcPr>
            <w:tcW w:w="5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210</w:t>
            </w:r>
          </w:p>
        </w:tc>
        <w:tc>
          <w:tcPr>
            <w:tcW w:w="3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Top Assembly - G8ePort CDMA</w:t>
            </w:r>
          </w:p>
        </w:tc>
        <w:tc>
          <w:tcPr>
            <w:tcW w:w="12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0</w:t>
            </w:r>
          </w:p>
        </w:tc>
        <w:tc>
          <w:tcPr>
            <w:tcW w:w="3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104.47</w:t>
            </w:r>
          </w:p>
        </w:tc>
        <w:tc>
          <w:tcPr>
            <w:tcW w:w="4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21,938.70</w:t>
            </w:r>
          </w:p>
        </w:tc>
      </w:tr>
      <w:tr>
        <w:trPr>
          <w:trHeight w:val="230"/>
        </w:trPr>
        <w:tc>
          <w:tcPr>
            <w:tcW w:w="18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Electronics</w:t>
            </w:r>
          </w:p>
        </w:tc>
        <w:tc>
          <w:tcPr>
            <w:tcW w:w="9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Wireless with RFID card</w:t>
            </w:r>
          </w:p>
        </w:tc>
        <w:tc>
          <w:tcPr>
            <w:tcW w:w="1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3"/>
        </w:trPr>
        <w:tc>
          <w:tcPr>
            <w:tcW w:w="18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31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02"/>
        </w:trPr>
        <w:tc>
          <w:tcPr>
            <w:tcW w:w="18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Masterwork</w:t>
            </w:r>
          </w:p>
        </w:tc>
        <w:tc>
          <w:tcPr>
            <w:tcW w:w="9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116458</w:t>
            </w:r>
          </w:p>
        </w:tc>
        <w:tc>
          <w:tcPr>
            <w:tcW w:w="84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I</w:t>
            </w:r>
          </w:p>
        </w:tc>
        <w:tc>
          <w:tcPr>
            <w:tcW w:w="120" w:type="dxa"/>
            <w:vAlign w:val="bottom"/>
          </w:tcPr>
          <w:p>
            <w:pPr>
              <w:spacing w:after="0"/>
              <w:rPr>
                <w:sz w:val="17"/>
                <w:szCs w:val="17"/>
                <w:color w:val="auto"/>
              </w:rPr>
            </w:pPr>
          </w:p>
        </w:tc>
        <w:tc>
          <w:tcPr>
            <w:tcW w:w="5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420</w:t>
            </w:r>
          </w:p>
        </w:tc>
        <w:tc>
          <w:tcPr>
            <w:tcW w:w="3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Top Assembly - G8ePort CDMA</w:t>
            </w:r>
          </w:p>
        </w:tc>
        <w:tc>
          <w:tcPr>
            <w:tcW w:w="12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0</w:t>
            </w:r>
          </w:p>
        </w:tc>
        <w:tc>
          <w:tcPr>
            <w:tcW w:w="3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104.47</w:t>
            </w:r>
          </w:p>
        </w:tc>
        <w:tc>
          <w:tcPr>
            <w:tcW w:w="4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43,877.40</w:t>
            </w:r>
          </w:p>
        </w:tc>
      </w:tr>
      <w:tr>
        <w:trPr>
          <w:trHeight w:val="230"/>
        </w:trPr>
        <w:tc>
          <w:tcPr>
            <w:tcW w:w="18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Electronics</w:t>
            </w:r>
          </w:p>
        </w:tc>
        <w:tc>
          <w:tcPr>
            <w:tcW w:w="9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Wireless with RFID card</w:t>
            </w:r>
          </w:p>
        </w:tc>
        <w:tc>
          <w:tcPr>
            <w:tcW w:w="1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3"/>
        </w:trPr>
        <w:tc>
          <w:tcPr>
            <w:tcW w:w="18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31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02"/>
        </w:trPr>
        <w:tc>
          <w:tcPr>
            <w:tcW w:w="18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Masterwork</w:t>
            </w:r>
          </w:p>
        </w:tc>
        <w:tc>
          <w:tcPr>
            <w:tcW w:w="9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116478</w:t>
            </w:r>
          </w:p>
        </w:tc>
        <w:tc>
          <w:tcPr>
            <w:tcW w:w="84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I</w:t>
            </w:r>
          </w:p>
        </w:tc>
        <w:tc>
          <w:tcPr>
            <w:tcW w:w="120" w:type="dxa"/>
            <w:vAlign w:val="bottom"/>
          </w:tcPr>
          <w:p>
            <w:pPr>
              <w:spacing w:after="0"/>
              <w:rPr>
                <w:sz w:val="17"/>
                <w:szCs w:val="17"/>
                <w:color w:val="auto"/>
              </w:rPr>
            </w:pPr>
          </w:p>
        </w:tc>
        <w:tc>
          <w:tcPr>
            <w:tcW w:w="5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210</w:t>
            </w:r>
          </w:p>
        </w:tc>
        <w:tc>
          <w:tcPr>
            <w:tcW w:w="3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Top Assembly - G8ePort CDMA</w:t>
            </w:r>
          </w:p>
        </w:tc>
        <w:tc>
          <w:tcPr>
            <w:tcW w:w="12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0</w:t>
            </w:r>
          </w:p>
        </w:tc>
        <w:tc>
          <w:tcPr>
            <w:tcW w:w="3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104.47</w:t>
            </w:r>
          </w:p>
        </w:tc>
        <w:tc>
          <w:tcPr>
            <w:tcW w:w="4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21,938.70</w:t>
            </w:r>
          </w:p>
        </w:tc>
      </w:tr>
      <w:tr>
        <w:trPr>
          <w:trHeight w:val="230"/>
        </w:trPr>
        <w:tc>
          <w:tcPr>
            <w:tcW w:w="18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Electronics</w:t>
            </w:r>
          </w:p>
        </w:tc>
        <w:tc>
          <w:tcPr>
            <w:tcW w:w="9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Wireless with RFID card</w:t>
            </w:r>
          </w:p>
        </w:tc>
        <w:tc>
          <w:tcPr>
            <w:tcW w:w="1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3"/>
        </w:trPr>
        <w:tc>
          <w:tcPr>
            <w:tcW w:w="18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31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02"/>
        </w:trPr>
        <w:tc>
          <w:tcPr>
            <w:tcW w:w="18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Masterwork</w:t>
            </w:r>
          </w:p>
        </w:tc>
        <w:tc>
          <w:tcPr>
            <w:tcW w:w="9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116503</w:t>
            </w:r>
          </w:p>
        </w:tc>
        <w:tc>
          <w:tcPr>
            <w:tcW w:w="84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I</w:t>
            </w:r>
          </w:p>
        </w:tc>
        <w:tc>
          <w:tcPr>
            <w:tcW w:w="120" w:type="dxa"/>
            <w:vAlign w:val="bottom"/>
          </w:tcPr>
          <w:p>
            <w:pPr>
              <w:spacing w:after="0"/>
              <w:rPr>
                <w:sz w:val="17"/>
                <w:szCs w:val="17"/>
                <w:color w:val="auto"/>
              </w:rPr>
            </w:pPr>
          </w:p>
        </w:tc>
        <w:tc>
          <w:tcPr>
            <w:tcW w:w="5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420</w:t>
            </w:r>
          </w:p>
        </w:tc>
        <w:tc>
          <w:tcPr>
            <w:tcW w:w="3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Top Assembly - G8ePort CDMA</w:t>
            </w:r>
          </w:p>
        </w:tc>
        <w:tc>
          <w:tcPr>
            <w:tcW w:w="12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0</w:t>
            </w:r>
          </w:p>
        </w:tc>
        <w:tc>
          <w:tcPr>
            <w:tcW w:w="3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104.47</w:t>
            </w:r>
          </w:p>
        </w:tc>
        <w:tc>
          <w:tcPr>
            <w:tcW w:w="4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43,877.40</w:t>
            </w:r>
          </w:p>
        </w:tc>
      </w:tr>
      <w:tr>
        <w:trPr>
          <w:trHeight w:val="230"/>
        </w:trPr>
        <w:tc>
          <w:tcPr>
            <w:tcW w:w="18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Electronics</w:t>
            </w:r>
          </w:p>
        </w:tc>
        <w:tc>
          <w:tcPr>
            <w:tcW w:w="9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Wireless with RFID card</w:t>
            </w:r>
          </w:p>
        </w:tc>
        <w:tc>
          <w:tcPr>
            <w:tcW w:w="1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3"/>
        </w:trPr>
        <w:tc>
          <w:tcPr>
            <w:tcW w:w="18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31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02"/>
        </w:trPr>
        <w:tc>
          <w:tcPr>
            <w:tcW w:w="18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Masterwork</w:t>
            </w:r>
          </w:p>
        </w:tc>
        <w:tc>
          <w:tcPr>
            <w:tcW w:w="9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116529</w:t>
            </w:r>
          </w:p>
        </w:tc>
        <w:tc>
          <w:tcPr>
            <w:tcW w:w="84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I</w:t>
            </w:r>
          </w:p>
        </w:tc>
        <w:tc>
          <w:tcPr>
            <w:tcW w:w="120" w:type="dxa"/>
            <w:vAlign w:val="bottom"/>
          </w:tcPr>
          <w:p>
            <w:pPr>
              <w:spacing w:after="0"/>
              <w:rPr>
                <w:sz w:val="17"/>
                <w:szCs w:val="17"/>
                <w:color w:val="auto"/>
              </w:rPr>
            </w:pPr>
          </w:p>
        </w:tc>
        <w:tc>
          <w:tcPr>
            <w:tcW w:w="5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210</w:t>
            </w:r>
          </w:p>
        </w:tc>
        <w:tc>
          <w:tcPr>
            <w:tcW w:w="3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Top Assembly - G8ePort CDMA</w:t>
            </w:r>
          </w:p>
        </w:tc>
        <w:tc>
          <w:tcPr>
            <w:tcW w:w="12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0</w:t>
            </w:r>
          </w:p>
        </w:tc>
        <w:tc>
          <w:tcPr>
            <w:tcW w:w="3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104.47</w:t>
            </w:r>
          </w:p>
        </w:tc>
        <w:tc>
          <w:tcPr>
            <w:tcW w:w="4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21,938.70</w:t>
            </w:r>
          </w:p>
        </w:tc>
      </w:tr>
      <w:tr>
        <w:trPr>
          <w:trHeight w:val="230"/>
        </w:trPr>
        <w:tc>
          <w:tcPr>
            <w:tcW w:w="18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Electronics</w:t>
            </w:r>
          </w:p>
        </w:tc>
        <w:tc>
          <w:tcPr>
            <w:tcW w:w="9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Wireless with RFID card</w:t>
            </w:r>
          </w:p>
        </w:tc>
        <w:tc>
          <w:tcPr>
            <w:tcW w:w="1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3"/>
        </w:trPr>
        <w:tc>
          <w:tcPr>
            <w:tcW w:w="18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31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02"/>
        </w:trPr>
        <w:tc>
          <w:tcPr>
            <w:tcW w:w="18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Masterwork</w:t>
            </w:r>
          </w:p>
        </w:tc>
        <w:tc>
          <w:tcPr>
            <w:tcW w:w="9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116549</w:t>
            </w:r>
          </w:p>
        </w:tc>
        <w:tc>
          <w:tcPr>
            <w:tcW w:w="84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I</w:t>
            </w:r>
          </w:p>
        </w:tc>
        <w:tc>
          <w:tcPr>
            <w:tcW w:w="120" w:type="dxa"/>
            <w:vAlign w:val="bottom"/>
          </w:tcPr>
          <w:p>
            <w:pPr>
              <w:spacing w:after="0"/>
              <w:rPr>
                <w:sz w:val="17"/>
                <w:szCs w:val="17"/>
                <w:color w:val="auto"/>
              </w:rPr>
            </w:pPr>
          </w:p>
        </w:tc>
        <w:tc>
          <w:tcPr>
            <w:tcW w:w="5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210</w:t>
            </w:r>
          </w:p>
        </w:tc>
        <w:tc>
          <w:tcPr>
            <w:tcW w:w="3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Top Assembly - G8ePort CDMA</w:t>
            </w:r>
          </w:p>
        </w:tc>
        <w:tc>
          <w:tcPr>
            <w:tcW w:w="12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0</w:t>
            </w:r>
          </w:p>
        </w:tc>
        <w:tc>
          <w:tcPr>
            <w:tcW w:w="3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104.47</w:t>
            </w:r>
          </w:p>
        </w:tc>
        <w:tc>
          <w:tcPr>
            <w:tcW w:w="4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21,938.70</w:t>
            </w:r>
          </w:p>
        </w:tc>
      </w:tr>
      <w:tr>
        <w:trPr>
          <w:trHeight w:val="230"/>
        </w:trPr>
        <w:tc>
          <w:tcPr>
            <w:tcW w:w="18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Electronics</w:t>
            </w:r>
          </w:p>
        </w:tc>
        <w:tc>
          <w:tcPr>
            <w:tcW w:w="9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Wireless with RFID card</w:t>
            </w:r>
          </w:p>
        </w:tc>
        <w:tc>
          <w:tcPr>
            <w:tcW w:w="1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3"/>
        </w:trPr>
        <w:tc>
          <w:tcPr>
            <w:tcW w:w="18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31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02"/>
        </w:trPr>
        <w:tc>
          <w:tcPr>
            <w:tcW w:w="18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On Track</w:t>
            </w:r>
          </w:p>
        </w:tc>
        <w:tc>
          <w:tcPr>
            <w:tcW w:w="9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110579</w:t>
            </w:r>
          </w:p>
        </w:tc>
        <w:tc>
          <w:tcPr>
            <w:tcW w:w="84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I</w:t>
            </w:r>
          </w:p>
        </w:tc>
        <w:tc>
          <w:tcPr>
            <w:tcW w:w="120" w:type="dxa"/>
            <w:vAlign w:val="bottom"/>
          </w:tcPr>
          <w:p>
            <w:pPr>
              <w:spacing w:after="0"/>
              <w:rPr>
                <w:sz w:val="17"/>
                <w:szCs w:val="17"/>
                <w:color w:val="auto"/>
              </w:rPr>
            </w:pPr>
          </w:p>
        </w:tc>
        <w:tc>
          <w:tcPr>
            <w:tcW w:w="5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w w:val="99"/>
              </w:rPr>
              <w:t>2880</w:t>
            </w:r>
          </w:p>
        </w:tc>
        <w:tc>
          <w:tcPr>
            <w:tcW w:w="3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Saturn 6500 G6A-RS232 with</w:t>
            </w:r>
          </w:p>
        </w:tc>
        <w:tc>
          <w:tcPr>
            <w:tcW w:w="12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0</w:t>
            </w:r>
          </w:p>
        </w:tc>
        <w:tc>
          <w:tcPr>
            <w:tcW w:w="3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79.95</w:t>
            </w:r>
          </w:p>
        </w:tc>
        <w:tc>
          <w:tcPr>
            <w:tcW w:w="4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230,256.00</w:t>
            </w:r>
          </w:p>
        </w:tc>
      </w:tr>
      <w:tr>
        <w:trPr>
          <w:trHeight w:val="230"/>
        </w:trPr>
        <w:tc>
          <w:tcPr>
            <w:tcW w:w="18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Innovations Ltd.</w:t>
            </w:r>
          </w:p>
        </w:tc>
        <w:tc>
          <w:tcPr>
            <w:tcW w:w="9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Extension Kit</w:t>
            </w:r>
          </w:p>
        </w:tc>
        <w:tc>
          <w:tcPr>
            <w:tcW w:w="1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3"/>
        </w:trPr>
        <w:tc>
          <w:tcPr>
            <w:tcW w:w="18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31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02"/>
        </w:trPr>
        <w:tc>
          <w:tcPr>
            <w:tcW w:w="18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On Track</w:t>
            </w:r>
          </w:p>
        </w:tc>
        <w:tc>
          <w:tcPr>
            <w:tcW w:w="9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110655</w:t>
            </w:r>
          </w:p>
        </w:tc>
        <w:tc>
          <w:tcPr>
            <w:tcW w:w="84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I</w:t>
            </w:r>
          </w:p>
        </w:tc>
        <w:tc>
          <w:tcPr>
            <w:tcW w:w="120" w:type="dxa"/>
            <w:vAlign w:val="bottom"/>
          </w:tcPr>
          <w:p>
            <w:pPr>
              <w:spacing w:after="0"/>
              <w:rPr>
                <w:sz w:val="17"/>
                <w:szCs w:val="17"/>
                <w:color w:val="auto"/>
              </w:rPr>
            </w:pPr>
          </w:p>
        </w:tc>
        <w:tc>
          <w:tcPr>
            <w:tcW w:w="5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w w:val="99"/>
              </w:rPr>
              <w:t>1440</w:t>
            </w:r>
          </w:p>
        </w:tc>
        <w:tc>
          <w:tcPr>
            <w:tcW w:w="3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Saturn 6500 G6A-RS232 with</w:t>
            </w:r>
          </w:p>
        </w:tc>
        <w:tc>
          <w:tcPr>
            <w:tcW w:w="12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0</w:t>
            </w:r>
          </w:p>
        </w:tc>
        <w:tc>
          <w:tcPr>
            <w:tcW w:w="3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79.95</w:t>
            </w:r>
          </w:p>
        </w:tc>
        <w:tc>
          <w:tcPr>
            <w:tcW w:w="4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115,128.00</w:t>
            </w:r>
          </w:p>
        </w:tc>
      </w:tr>
      <w:tr>
        <w:trPr>
          <w:trHeight w:val="230"/>
        </w:trPr>
        <w:tc>
          <w:tcPr>
            <w:tcW w:w="18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Innovations Ltd.</w:t>
            </w:r>
          </w:p>
        </w:tc>
        <w:tc>
          <w:tcPr>
            <w:tcW w:w="9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Extension Kit</w:t>
            </w:r>
          </w:p>
        </w:tc>
        <w:tc>
          <w:tcPr>
            <w:tcW w:w="1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3"/>
        </w:trPr>
        <w:tc>
          <w:tcPr>
            <w:tcW w:w="18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31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02"/>
        </w:trPr>
        <w:tc>
          <w:tcPr>
            <w:tcW w:w="18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On Track</w:t>
            </w:r>
          </w:p>
        </w:tc>
        <w:tc>
          <w:tcPr>
            <w:tcW w:w="9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111013</w:t>
            </w:r>
          </w:p>
        </w:tc>
        <w:tc>
          <w:tcPr>
            <w:tcW w:w="84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I</w:t>
            </w:r>
          </w:p>
        </w:tc>
        <w:tc>
          <w:tcPr>
            <w:tcW w:w="120" w:type="dxa"/>
            <w:vAlign w:val="bottom"/>
          </w:tcPr>
          <w:p>
            <w:pPr>
              <w:spacing w:after="0"/>
              <w:rPr>
                <w:sz w:val="17"/>
                <w:szCs w:val="17"/>
                <w:color w:val="auto"/>
              </w:rPr>
            </w:pPr>
          </w:p>
        </w:tc>
        <w:tc>
          <w:tcPr>
            <w:tcW w:w="5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w w:val="99"/>
              </w:rPr>
              <w:t>1020</w:t>
            </w:r>
          </w:p>
        </w:tc>
        <w:tc>
          <w:tcPr>
            <w:tcW w:w="3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Saturn 6500 G6A-RS232 with</w:t>
            </w:r>
          </w:p>
        </w:tc>
        <w:tc>
          <w:tcPr>
            <w:tcW w:w="12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0</w:t>
            </w:r>
          </w:p>
        </w:tc>
        <w:tc>
          <w:tcPr>
            <w:tcW w:w="3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69.95</w:t>
            </w:r>
          </w:p>
        </w:tc>
        <w:tc>
          <w:tcPr>
            <w:tcW w:w="4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71,349.00</w:t>
            </w:r>
          </w:p>
        </w:tc>
      </w:tr>
      <w:tr>
        <w:trPr>
          <w:trHeight w:val="230"/>
        </w:trPr>
        <w:tc>
          <w:tcPr>
            <w:tcW w:w="18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Innovations Ltd.</w:t>
            </w:r>
          </w:p>
        </w:tc>
        <w:tc>
          <w:tcPr>
            <w:tcW w:w="9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Extension Kit</w:t>
            </w:r>
          </w:p>
        </w:tc>
        <w:tc>
          <w:tcPr>
            <w:tcW w:w="1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3"/>
        </w:trPr>
        <w:tc>
          <w:tcPr>
            <w:tcW w:w="18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31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02"/>
        </w:trPr>
        <w:tc>
          <w:tcPr>
            <w:tcW w:w="18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On Track</w:t>
            </w:r>
          </w:p>
        </w:tc>
        <w:tc>
          <w:tcPr>
            <w:tcW w:w="9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111071</w:t>
            </w:r>
          </w:p>
        </w:tc>
        <w:tc>
          <w:tcPr>
            <w:tcW w:w="84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I</w:t>
            </w:r>
          </w:p>
        </w:tc>
        <w:tc>
          <w:tcPr>
            <w:tcW w:w="120" w:type="dxa"/>
            <w:vAlign w:val="bottom"/>
          </w:tcPr>
          <w:p>
            <w:pPr>
              <w:spacing w:after="0"/>
              <w:rPr>
                <w:sz w:val="17"/>
                <w:szCs w:val="17"/>
                <w:color w:val="auto"/>
              </w:rPr>
            </w:pPr>
          </w:p>
        </w:tc>
        <w:tc>
          <w:tcPr>
            <w:tcW w:w="5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200</w:t>
            </w:r>
          </w:p>
        </w:tc>
        <w:tc>
          <w:tcPr>
            <w:tcW w:w="3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Saturn 6500 G6A-RS232 with</w:t>
            </w:r>
          </w:p>
        </w:tc>
        <w:tc>
          <w:tcPr>
            <w:tcW w:w="12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0</w:t>
            </w:r>
          </w:p>
        </w:tc>
        <w:tc>
          <w:tcPr>
            <w:tcW w:w="3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69.95</w:t>
            </w:r>
          </w:p>
        </w:tc>
        <w:tc>
          <w:tcPr>
            <w:tcW w:w="4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13,990.00</w:t>
            </w:r>
          </w:p>
        </w:tc>
      </w:tr>
      <w:tr>
        <w:trPr>
          <w:trHeight w:val="230"/>
        </w:trPr>
        <w:tc>
          <w:tcPr>
            <w:tcW w:w="18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Innovations Ltd.</w:t>
            </w:r>
          </w:p>
        </w:tc>
        <w:tc>
          <w:tcPr>
            <w:tcW w:w="9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Extension Kit</w:t>
            </w:r>
          </w:p>
        </w:tc>
        <w:tc>
          <w:tcPr>
            <w:tcW w:w="1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3"/>
        </w:trPr>
        <w:tc>
          <w:tcPr>
            <w:tcW w:w="18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31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02"/>
        </w:trPr>
        <w:tc>
          <w:tcPr>
            <w:tcW w:w="18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On Track</w:t>
            </w:r>
          </w:p>
        </w:tc>
        <w:tc>
          <w:tcPr>
            <w:tcW w:w="9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111071</w:t>
            </w:r>
          </w:p>
        </w:tc>
        <w:tc>
          <w:tcPr>
            <w:tcW w:w="84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I</w:t>
            </w:r>
          </w:p>
        </w:tc>
        <w:tc>
          <w:tcPr>
            <w:tcW w:w="120" w:type="dxa"/>
            <w:vAlign w:val="bottom"/>
          </w:tcPr>
          <w:p>
            <w:pPr>
              <w:spacing w:after="0"/>
              <w:rPr>
                <w:sz w:val="17"/>
                <w:szCs w:val="17"/>
                <w:color w:val="auto"/>
              </w:rPr>
            </w:pPr>
          </w:p>
        </w:tc>
        <w:tc>
          <w:tcPr>
            <w:tcW w:w="5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820</w:t>
            </w:r>
          </w:p>
        </w:tc>
        <w:tc>
          <w:tcPr>
            <w:tcW w:w="3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Saturn 6500 G6A-RS232 with</w:t>
            </w:r>
          </w:p>
        </w:tc>
        <w:tc>
          <w:tcPr>
            <w:tcW w:w="12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0</w:t>
            </w:r>
          </w:p>
        </w:tc>
        <w:tc>
          <w:tcPr>
            <w:tcW w:w="3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69.95</w:t>
            </w:r>
          </w:p>
        </w:tc>
        <w:tc>
          <w:tcPr>
            <w:tcW w:w="4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57,359.00</w:t>
            </w:r>
          </w:p>
        </w:tc>
      </w:tr>
      <w:tr>
        <w:trPr>
          <w:trHeight w:val="230"/>
        </w:trPr>
        <w:tc>
          <w:tcPr>
            <w:tcW w:w="18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Innovations Ltd.</w:t>
            </w:r>
          </w:p>
        </w:tc>
        <w:tc>
          <w:tcPr>
            <w:tcW w:w="9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Extension Kit</w:t>
            </w:r>
          </w:p>
        </w:tc>
        <w:tc>
          <w:tcPr>
            <w:tcW w:w="1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3"/>
        </w:trPr>
        <w:tc>
          <w:tcPr>
            <w:tcW w:w="18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31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02"/>
        </w:trPr>
        <w:tc>
          <w:tcPr>
            <w:tcW w:w="18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Telit Wireless</w:t>
            </w:r>
          </w:p>
        </w:tc>
        <w:tc>
          <w:tcPr>
            <w:tcW w:w="9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3356</w:t>
            </w:r>
          </w:p>
        </w:tc>
        <w:tc>
          <w:tcPr>
            <w:tcW w:w="84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I</w:t>
            </w:r>
          </w:p>
        </w:tc>
        <w:tc>
          <w:tcPr>
            <w:tcW w:w="120" w:type="dxa"/>
            <w:vAlign w:val="bottom"/>
          </w:tcPr>
          <w:p>
            <w:pPr>
              <w:spacing w:after="0"/>
              <w:rPr>
                <w:sz w:val="17"/>
                <w:szCs w:val="17"/>
                <w:color w:val="auto"/>
              </w:rPr>
            </w:pPr>
          </w:p>
        </w:tc>
        <w:tc>
          <w:tcPr>
            <w:tcW w:w="5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w w:val="99"/>
              </w:rPr>
              <w:t>2500</w:t>
            </w:r>
          </w:p>
        </w:tc>
        <w:tc>
          <w:tcPr>
            <w:tcW w:w="3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CC864 Dual Verizon</w:t>
            </w:r>
          </w:p>
        </w:tc>
        <w:tc>
          <w:tcPr>
            <w:tcW w:w="12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0</w:t>
            </w:r>
          </w:p>
        </w:tc>
        <w:tc>
          <w:tcPr>
            <w:tcW w:w="3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39.70</w:t>
            </w:r>
          </w:p>
        </w:tc>
        <w:tc>
          <w:tcPr>
            <w:tcW w:w="4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99,250.00</w:t>
            </w:r>
          </w:p>
        </w:tc>
      </w:tr>
      <w:tr>
        <w:trPr>
          <w:trHeight w:val="230"/>
        </w:trPr>
        <w:tc>
          <w:tcPr>
            <w:tcW w:w="18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Solutions</w:t>
            </w:r>
          </w:p>
        </w:tc>
        <w:tc>
          <w:tcPr>
            <w:tcW w:w="9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3"/>
        </w:trPr>
        <w:tc>
          <w:tcPr>
            <w:tcW w:w="18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31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02"/>
        </w:trPr>
        <w:tc>
          <w:tcPr>
            <w:tcW w:w="18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Telit Wireless</w:t>
            </w:r>
          </w:p>
        </w:tc>
        <w:tc>
          <w:tcPr>
            <w:tcW w:w="9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5222</w:t>
            </w:r>
          </w:p>
        </w:tc>
        <w:tc>
          <w:tcPr>
            <w:tcW w:w="84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I</w:t>
            </w:r>
          </w:p>
        </w:tc>
        <w:tc>
          <w:tcPr>
            <w:tcW w:w="120" w:type="dxa"/>
            <w:vAlign w:val="bottom"/>
          </w:tcPr>
          <w:p>
            <w:pPr>
              <w:spacing w:after="0"/>
              <w:rPr>
                <w:sz w:val="17"/>
                <w:szCs w:val="17"/>
                <w:color w:val="auto"/>
              </w:rPr>
            </w:pPr>
          </w:p>
        </w:tc>
        <w:tc>
          <w:tcPr>
            <w:tcW w:w="5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w w:val="99"/>
              </w:rPr>
              <w:t>2000</w:t>
            </w:r>
          </w:p>
        </w:tc>
        <w:tc>
          <w:tcPr>
            <w:tcW w:w="3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CC864 Dual Verizon</w:t>
            </w:r>
          </w:p>
        </w:tc>
        <w:tc>
          <w:tcPr>
            <w:tcW w:w="12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0</w:t>
            </w:r>
          </w:p>
        </w:tc>
        <w:tc>
          <w:tcPr>
            <w:tcW w:w="3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36.00</w:t>
            </w:r>
          </w:p>
        </w:tc>
        <w:tc>
          <w:tcPr>
            <w:tcW w:w="4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72,000.00</w:t>
            </w:r>
          </w:p>
        </w:tc>
      </w:tr>
      <w:tr>
        <w:trPr>
          <w:trHeight w:val="230"/>
        </w:trPr>
        <w:tc>
          <w:tcPr>
            <w:tcW w:w="18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Solutions</w:t>
            </w:r>
          </w:p>
        </w:tc>
        <w:tc>
          <w:tcPr>
            <w:tcW w:w="9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3"/>
        </w:trPr>
        <w:tc>
          <w:tcPr>
            <w:tcW w:w="18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31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02"/>
        </w:trPr>
        <w:tc>
          <w:tcPr>
            <w:tcW w:w="18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Telit Wireless</w:t>
            </w:r>
          </w:p>
        </w:tc>
        <w:tc>
          <w:tcPr>
            <w:tcW w:w="9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5840</w:t>
            </w:r>
          </w:p>
        </w:tc>
        <w:tc>
          <w:tcPr>
            <w:tcW w:w="84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5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w w:val="99"/>
              </w:rPr>
              <w:t>2000</w:t>
            </w:r>
          </w:p>
        </w:tc>
        <w:tc>
          <w:tcPr>
            <w:tcW w:w="3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CC864 Dual Verizon</w:t>
            </w:r>
          </w:p>
        </w:tc>
        <w:tc>
          <w:tcPr>
            <w:tcW w:w="12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0</w:t>
            </w:r>
          </w:p>
        </w:tc>
        <w:tc>
          <w:tcPr>
            <w:tcW w:w="3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36.00</w:t>
            </w:r>
          </w:p>
        </w:tc>
        <w:tc>
          <w:tcPr>
            <w:tcW w:w="4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72,000.00</w:t>
            </w:r>
          </w:p>
        </w:tc>
      </w:tr>
      <w:tr>
        <w:trPr>
          <w:trHeight w:val="230"/>
        </w:trPr>
        <w:tc>
          <w:tcPr>
            <w:tcW w:w="18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Solutions</w:t>
            </w:r>
          </w:p>
        </w:tc>
        <w:tc>
          <w:tcPr>
            <w:tcW w:w="9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3"/>
        </w:trPr>
        <w:tc>
          <w:tcPr>
            <w:tcW w:w="18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31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7234555</wp:posOffset>
            </wp:positionH>
            <wp:positionV relativeFrom="paragraph">
              <wp:posOffset>-7734935</wp:posOffset>
            </wp:positionV>
            <wp:extent cx="17145" cy="84658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 cy="84658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-8043545</wp:posOffset>
            </wp:positionV>
            <wp:extent cx="17145" cy="8774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 cy="8774430"/>
                    </a:xfrm>
                    <a:prstGeom prst="rect">
                      <a:avLst/>
                    </a:prstGeom>
                    <a:noFill/>
                  </pic:spPr>
                </pic:pic>
              </a:graphicData>
            </a:graphic>
          </wp:anchor>
        </w:drawing>
      </w:r>
    </w:p>
    <w:p>
      <w:pPr>
        <w:jc w:val="both"/>
        <w:ind w:left="180" w:right="160"/>
        <w:spacing w:after="0" w:line="295" w:lineRule="auto"/>
        <w:rPr>
          <w:sz w:val="20"/>
          <w:szCs w:val="20"/>
          <w:color w:val="auto"/>
        </w:rPr>
      </w:pPr>
      <w:r>
        <w:rPr>
          <w:rFonts w:ascii="Arial" w:cs="Arial" w:eastAsia="Arial" w:hAnsi="Arial"/>
          <w:sz w:val="16"/>
          <w:szCs w:val="16"/>
          <w:b w:val="1"/>
          <w:bCs w:val="1"/>
          <w:color w:val="auto"/>
        </w:rPr>
        <w:t>together with all additions, alterations, accessions and modifications thereto and replacements of any part thereof, and substitutions therefore, all accessories, and attachments, in whole or in part. Any related software (embedded therein or otherwise), all intangibles and other rights associated with such equipment, including without limitation any licenses to use or own such equipment, any manufacturer’s or other warranties with respect to such equipment, all goods, refunds, rebates, remittances, insurance and insurance proceeds, and all rights related</w:t>
      </w:r>
    </w:p>
    <w:p>
      <w:pPr>
        <w:sectPr>
          <w:pgSz w:w="11900" w:h="16838" w:orient="portrait"/>
          <w:cols w:equalWidth="0" w:num="1">
            <w:col w:w="11420"/>
          </w:cols>
          <w:pgMar w:left="240" w:top="891" w:right="239" w:bottom="0" w:gutter="0" w:footer="0" w:header="0"/>
        </w:sectPr>
      </w:pPr>
    </w:p>
    <w:bookmarkStart w:id="162" w:name="page163"/>
    <w:bookmarkEnd w:id="162"/>
    <w:p>
      <w:pPr>
        <w:spacing w:after="0" w:line="282" w:lineRule="auto"/>
        <w:rPr>
          <w:sz w:val="20"/>
          <w:szCs w:val="20"/>
          <w:color w:val="auto"/>
        </w:rPr>
      </w:pPr>
      <w:r>
        <w:rPr>
          <w:rFonts w:ascii="Arial" w:cs="Arial" w:eastAsia="Arial" w:hAnsi="Arial"/>
          <w:sz w:val="18"/>
          <w:szCs w:val="18"/>
          <w:b w:val="1"/>
          <w:bCs w:val="1"/>
          <w:color w:val="auto"/>
        </w:rPr>
        <w:t>thereto, and other property or rights to which the Lessee may be or become entitled by reason of Lessee’s interest in the equipment, software or personal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-296545</wp:posOffset>
            </wp:positionV>
            <wp:extent cx="7246620" cy="4286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560070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420" w:top="121" w:right="41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10.34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Varilease Finance,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6340 South 3000 East,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 84121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www.varilease.com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801.733.8100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801.733.8900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SALE LEASEBACK AGREEMENT</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SALE LEASEBACK AGREEMENT (“Agreement”), between USA TECHNOLOGIES, INC., a Pennsylvania corporation, having its chief executive offices at 100 Deerfield Lane, Suite 140 , Malvern, PA 19355 (“Seller”) and VARILEASE FINANCE, INC., a Michigan corporation, having its chief executive offices at 6340 South 3000 East, Suite 400, Salt Lake City, UT 84121 (“Purchaser”) is dated and effective this April 30, 2014.</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WHEREAS, Purchaser, as Lessor, and Seller, as Lessee, have entered into Schedule No. 03 dated April 30, 2014 (the “Schedule”) as it incorporates the terms and conditions of Master Lease Agreement dated April 30, 2014 (the “Master Agreement”). The Schedule and Master Agreement shall hereinafter be referred to collectively, as the “Lease”;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WHEREAS, Seller desires Purchaser to purchase from Seller property and equipment listed on one or more Authorizations for Progress Payment and/or an Installation Certificate (collectively, “Authorizations” and individually, “Authorization”) (collectively, the “Equipment” and individually, an “Item of Equipment”), and lease the Equipment back from Purchaser; and,</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Purchaser desires to buy the Equipment from Seller and lease the Equipment to Seller under the terms and conditions of this Agreement, the Authorizations and the Lease.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NOW, THEREFORE, in consideration of the foregoing and in further consideration of the representations and covenants contained herein, the parties agree as follows:</w:t>
      </w:r>
    </w:p>
    <w:p>
      <w:pPr>
        <w:spacing w:after="0" w:line="197" w:lineRule="exact"/>
        <w:rPr>
          <w:sz w:val="20"/>
          <w:szCs w:val="20"/>
          <w:color w:val="auto"/>
        </w:rPr>
      </w:pPr>
    </w:p>
    <w:p>
      <w:pPr>
        <w:jc w:val="both"/>
        <w:ind w:left="660" w:hanging="328"/>
        <w:spacing w:after="0" w:line="279" w:lineRule="auto"/>
        <w:tabs>
          <w:tab w:leader="none" w:pos="660"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Purchase and Sale</w:t>
      </w:r>
      <w:r>
        <w:rPr>
          <w:rFonts w:ascii="Arial" w:cs="Arial" w:eastAsia="Arial" w:hAnsi="Arial"/>
          <w:sz w:val="17"/>
          <w:szCs w:val="17"/>
          <w:color w:val="auto"/>
        </w:rPr>
        <w:t>. Seller hereby sells and Purchaser hereby purchases the Equipment (including all maintenance records, schematics, logic books, manuals, cables, kick plates, form stands, diagnostics and microfiche necessary for the installation, maintenance and operation of the Equipment) described in one or more Authorizations signed by Seller. Each Authorization upon the execution and delivery thereof, shall be incorporated into this Agreement by this reference, and collectively, the Authorizations shall comprise the Equipment.</w:t>
      </w:r>
    </w:p>
    <w:p>
      <w:pPr>
        <w:spacing w:after="0" w:line="19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Purchaser and Seller hereby agree that the purchase price to be paid to Seller by Purchaser for the Equipment shall be $1,099,944.86 which shall be payable to Seller under the terms and conditions of this Agreement, the Authorizations and the Lease.</w:t>
      </w:r>
    </w:p>
    <w:p>
      <w:pPr>
        <w:spacing w:after="0" w:line="197"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Seller represents and warrants that it is responsible for and it has paid all sales and use, property and other taxes assessed or due in connection with Seller’s purchase, use and possession of the Equipment prior to this sale to Purchaser. Seller will pay all taxes in the nature of excise, sales or use taxes imposed upon Seller by any state or political subdivision by reason of the sale provided for herein. Notwithstanding the foregoing, Purchaser warrants that this purchase is for resale and will provide Seller with Purchaser’s resale exemption certificate number.</w:t>
      </w:r>
    </w:p>
    <w:p>
      <w:pPr>
        <w:spacing w:after="0" w:line="198" w:lineRule="exact"/>
        <w:rPr>
          <w:rFonts w:ascii="Arial" w:cs="Arial" w:eastAsia="Arial" w:hAnsi="Arial"/>
          <w:sz w:val="17"/>
          <w:szCs w:val="17"/>
          <w:color w:val="auto"/>
        </w:rPr>
      </w:pPr>
    </w:p>
    <w:p>
      <w:pPr>
        <w:jc w:val="both"/>
        <w:ind w:left="660" w:hanging="328"/>
        <w:spacing w:after="0" w:line="285" w:lineRule="auto"/>
        <w:tabs>
          <w:tab w:leader="none" w:pos="660"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Warranty of Title</w:t>
      </w:r>
      <w:r>
        <w:rPr>
          <w:rFonts w:ascii="Arial" w:cs="Arial" w:eastAsia="Arial" w:hAnsi="Arial"/>
          <w:sz w:val="16"/>
          <w:szCs w:val="16"/>
          <w:color w:val="auto"/>
        </w:rPr>
        <w:t>. SELLER HEREBY WARRANTS TO PURCHASER, ITS SUCCESSORS AND ASSIGNS, THAT SELLER HAS GOOD AND MARKETABLE TITLE TO THE EQUIPMENT, FREE AND CLEAR OF ALL CLAIMS, LIENS, ENCUMBRANCES AND RIGHTS OF OTHERS OF ANY NATURE WHATSOEVER OTHER THAN ANY ASSIGNMENT, SUBLEASE, RENTAL, OR PROCESSING OR SIMILAR AGREEMENTS ENTERED OR TO BE ENTERED INTO FROM TIME TO TIME BETWEEN THE SELLER AND ITS CUSTOMERS OR AGENTS RELATING TO THE EQUIPMENT AND THE USE THEREOF BY ITS CUSTOMERS (“CUSTOMER AGREEMENTS”). BY THIS AGREEMENT, AND SUBJECT TO THE TERMS OF THE LEASE, THE PARTIES AGREE THAT TITLE AND OWNERSHIP OF THOSE ITEMS OF EQUIPMENT SPECIFIED IN ANY AUTHORIZATION SHALL PASS TO PURCHASER AT THE TIME SELLER SIGNS SUCH AUTHORIZATION, AT WHICH TIME SELLER SHALL GRANT, BARGAIN, SELL, TRANSFER AND DELIVER TO PURCHASER ALL OF SELLER’S RIGHT, TITLE AND INTEREST IN THE ITEMS OF EQUIPMENT DESIGNATED ON THE AUTHORIZATION, TO HAVE AND TO HOLD EACH ITEM OF EQUIPMENT UNTO PURCHASER, ITS SUCCESSORS AND ASSIGNS, BY EXECUTING A BILL OF SALE IN FAVOR OF PURCHASER. SUBJECT TO THE CUSTOMER AGREEMENTS, SELLER HEREBY INDEMNIFIES PURCHASER AGAINST ALL CLAIMS AND COSTS INCURRED IN THE DEFENSE OF TITLE TO THE EQUIPMENT BY ANYONE CLAIMING BY OR THROUGH SELLER. Seller is transferring to Purchaser good title to the Equipment, free and clear of all liens and encumbrances of any kind or description other than the Customer Agreements, and each Item of Equipment will be at the time of signing of each Authorization, in good operating condition and appearance and installed (if applicable) and operating in accordance with all manufacturer specifications. Effective at the time of signing of each Authorization, Seller assigns to Purchaser all of its rights and interests in and to any software specified in each Authorization, together with all vendor representations, warranties and indemnities pertaining thereto, and in any license agreement entered into by Seller in connection with such software. Provided no Event of Default has occurred and is continuing under the Lease, Seller is hereby authorized to use such software consistent with the license agreement relating thereto, and to communicate directly with any licensor in all matters relating to the software and license agreement. Seller agrees to perform and discharge when due each and every obligation of licensee under each license agreement and to not breach any provision of the license. Seller assumes and indemnifies Purchaser against all liabilities or claims arising in connection with such license.</w:t>
      </w:r>
    </w:p>
    <w:p>
      <w:pPr>
        <w:spacing w:after="0" w:line="200" w:lineRule="exact"/>
        <w:rPr>
          <w:rFonts w:ascii="Arial" w:cs="Arial" w:eastAsia="Arial" w:hAnsi="Arial"/>
          <w:sz w:val="16"/>
          <w:szCs w:val="16"/>
          <w:color w:val="auto"/>
        </w:rPr>
      </w:pPr>
    </w:p>
    <w:p>
      <w:pPr>
        <w:spacing w:after="0" w:line="211"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Manufacturer’s Warranties</w:t>
      </w:r>
      <w:r>
        <w:rPr>
          <w:rFonts w:ascii="Arial" w:cs="Arial" w:eastAsia="Arial" w:hAnsi="Arial"/>
          <w:sz w:val="18"/>
          <w:szCs w:val="18"/>
          <w:color w:val="auto"/>
        </w:rPr>
        <w:t>. Seller hereby assigns to Purchaser all warranties and indemnities with respect to the Equipment made by the manufacturer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164" w:name="page165"/>
    <w:bookmarkEnd w:id="164"/>
    <w:p>
      <w:pPr>
        <w:ind w:left="328" w:right="20" w:hanging="328"/>
        <w:spacing w:after="0" w:line="277" w:lineRule="auto"/>
        <w:tabs>
          <w:tab w:leader="none" w:pos="328"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Security Interest</w:t>
      </w:r>
      <w:r>
        <w:rPr>
          <w:rFonts w:ascii="Arial" w:cs="Arial" w:eastAsia="Arial" w:hAnsi="Arial"/>
          <w:sz w:val="18"/>
          <w:szCs w:val="18"/>
          <w:color w:val="auto"/>
        </w:rPr>
        <w:t>. Seller hereby reserves a security interest in the Equipment, which interest shall be automatically terminated upon payment by Purchaser of the purchase price as set forth in each Authorization.</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Purchaser’s Obligations</w:t>
      </w:r>
      <w:r>
        <w:rPr>
          <w:rFonts w:ascii="Arial" w:cs="Arial" w:eastAsia="Arial" w:hAnsi="Arial"/>
          <w:sz w:val="17"/>
          <w:szCs w:val="17"/>
          <w:color w:val="auto"/>
        </w:rPr>
        <w:t>. Seller hereby acknowledges that Purchaser’s obligations hereunder are expressly subject to the following conditions:</w:t>
      </w:r>
    </w:p>
    <w:p>
      <w:pPr>
        <w:spacing w:after="0" w:line="263" w:lineRule="exact"/>
        <w:rPr>
          <w:rFonts w:ascii="Arial" w:cs="Arial" w:eastAsia="Arial" w:hAnsi="Arial"/>
          <w:sz w:val="17"/>
          <w:szCs w:val="17"/>
          <w:color w:val="auto"/>
        </w:rPr>
      </w:pPr>
    </w:p>
    <w:p>
      <w:pPr>
        <w:ind w:left="968" w:hanging="320"/>
        <w:spacing w:after="0"/>
        <w:tabs>
          <w:tab w:leader="none" w:pos="968" w:val="left"/>
        </w:tabs>
        <w:numPr>
          <w:ilvl w:val="1"/>
          <w:numId w:val="124"/>
        </w:numPr>
        <w:rPr>
          <w:rFonts w:ascii="Arial" w:cs="Arial" w:eastAsia="Arial" w:hAnsi="Arial"/>
          <w:sz w:val="16"/>
          <w:szCs w:val="16"/>
          <w:color w:val="auto"/>
        </w:rPr>
      </w:pPr>
      <w:r>
        <w:rPr>
          <w:rFonts w:ascii="Arial" w:cs="Arial" w:eastAsia="Arial" w:hAnsi="Arial"/>
          <w:sz w:val="16"/>
          <w:szCs w:val="16"/>
          <w:color w:val="auto"/>
        </w:rPr>
        <w:t>Purchaser’s receipt of the Master Agreement, Schedule, and supplemental documentation pursuant to section 10 of the Schedule within five</w:t>
      </w:r>
    </w:p>
    <w:p>
      <w:pPr>
        <w:spacing w:after="0" w:line="46" w:lineRule="exact"/>
        <w:rPr>
          <w:rFonts w:ascii="Arial" w:cs="Arial" w:eastAsia="Arial" w:hAnsi="Arial"/>
          <w:sz w:val="16"/>
          <w:szCs w:val="16"/>
          <w:color w:val="auto"/>
        </w:rPr>
      </w:pPr>
    </w:p>
    <w:p>
      <w:pPr>
        <w:ind w:left="968"/>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(5) business days from the date of this Agreement. Should the Lease not be executed and delivered by Seller within such five-day period then, at the option of Purchaser, this Agreement shall be null and void </w:t>
      </w:r>
      <w:r>
        <w:rPr>
          <w:rFonts w:ascii="Arial" w:cs="Arial" w:eastAsia="Arial" w:hAnsi="Arial"/>
          <w:sz w:val="18"/>
          <w:szCs w:val="18"/>
          <w:u w:val="single" w:color="auto"/>
          <w:color w:val="auto"/>
        </w:rPr>
        <w:t>ab initio</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968" w:hanging="320"/>
        <w:spacing w:after="0"/>
        <w:tabs>
          <w:tab w:leader="none" w:pos="96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Purchaser’s receipt of properly executed Authorization(s) and Bill(s) of Sale given by Seller in favor of Purchaser.</w:t>
      </w:r>
    </w:p>
    <w:p>
      <w:pPr>
        <w:spacing w:after="0" w:line="252" w:lineRule="exact"/>
        <w:rPr>
          <w:rFonts w:ascii="Arial" w:cs="Arial" w:eastAsia="Arial" w:hAnsi="Arial"/>
          <w:sz w:val="18"/>
          <w:szCs w:val="18"/>
          <w:color w:val="auto"/>
        </w:rPr>
      </w:pPr>
    </w:p>
    <w:p>
      <w:pPr>
        <w:jc w:val="both"/>
        <w:ind w:left="968" w:hanging="320"/>
        <w:spacing w:after="0" w:line="264" w:lineRule="auto"/>
        <w:tabs>
          <w:tab w:leader="none" w:pos="96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Purchaser’s receipt and review of certified UCC searches, or standard UCC searches if certified UCC searches are not available, against Seller showing no security interests, liens or encumbrances on any Item of Equipment, or partial releases of any UCC liens or encumbrances and/or subordinations from lien holders, in a form reasonably acceptable to Purchaser.</w:t>
      </w:r>
    </w:p>
    <w:p>
      <w:pPr>
        <w:spacing w:after="0" w:line="208" w:lineRule="exact"/>
        <w:rPr>
          <w:rFonts w:ascii="Arial" w:cs="Arial" w:eastAsia="Arial" w:hAnsi="Arial"/>
          <w:sz w:val="18"/>
          <w:szCs w:val="18"/>
          <w:color w:val="auto"/>
        </w:rPr>
      </w:pPr>
    </w:p>
    <w:p>
      <w:pPr>
        <w:ind w:left="968" w:hanging="320"/>
        <w:spacing w:after="0"/>
        <w:tabs>
          <w:tab w:leader="none" w:pos="96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Purchaser’s receipt and review of evidence of Seller’s ownership of the Equipment.</w:t>
      </w:r>
    </w:p>
    <w:p>
      <w:pPr>
        <w:spacing w:after="0" w:line="252" w:lineRule="exact"/>
        <w:rPr>
          <w:rFonts w:ascii="Arial" w:cs="Arial" w:eastAsia="Arial" w:hAnsi="Arial"/>
          <w:sz w:val="18"/>
          <w:szCs w:val="18"/>
          <w:color w:val="auto"/>
        </w:rPr>
      </w:pPr>
    </w:p>
    <w:p>
      <w:pPr>
        <w:ind w:left="968" w:hanging="320"/>
        <w:spacing w:after="0"/>
        <w:tabs>
          <w:tab w:leader="none" w:pos="96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other documentation reasonably required by Purchaser</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Seller’s Representations and Warranties</w:t>
      </w:r>
      <w:r>
        <w:rPr>
          <w:rFonts w:ascii="Arial" w:cs="Arial" w:eastAsia="Arial" w:hAnsi="Arial"/>
          <w:sz w:val="18"/>
          <w:szCs w:val="18"/>
          <w:color w:val="auto"/>
        </w:rPr>
        <w:t>. Seller represents and warrants to Purchaser that:</w:t>
      </w:r>
    </w:p>
    <w:p>
      <w:pPr>
        <w:spacing w:after="0" w:line="252"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Seller is duly organized, validly existing and in good standing under the laws of the state of its organization and in all jurisdictions where such qualification is required for it to conduct its business.</w:t>
      </w:r>
    </w:p>
    <w:p>
      <w:pPr>
        <w:spacing w:after="0" w:line="197" w:lineRule="exact"/>
        <w:rPr>
          <w:rFonts w:ascii="Arial" w:cs="Arial" w:eastAsia="Arial" w:hAnsi="Arial"/>
          <w:sz w:val="18"/>
          <w:szCs w:val="18"/>
          <w:color w:val="auto"/>
        </w:rPr>
      </w:pPr>
    </w:p>
    <w:p>
      <w:pPr>
        <w:ind w:left="968" w:right="20" w:hanging="320"/>
        <w:spacing w:after="0" w:line="277" w:lineRule="auto"/>
        <w:tabs>
          <w:tab w:leader="none" w:pos="96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This Agreement has been duly authorized by Seller, and upon execution and delivery by the parties thereto, shall constitute the valid, legal and binding obligation of Seller enforceable in accordance with its terms.</w:t>
      </w:r>
    </w:p>
    <w:p>
      <w:pPr>
        <w:spacing w:after="0" w:line="197" w:lineRule="exact"/>
        <w:rPr>
          <w:rFonts w:ascii="Arial" w:cs="Arial" w:eastAsia="Arial" w:hAnsi="Arial"/>
          <w:sz w:val="18"/>
          <w:szCs w:val="18"/>
          <w:color w:val="auto"/>
        </w:rPr>
      </w:pPr>
    </w:p>
    <w:p>
      <w:pPr>
        <w:jc w:val="both"/>
        <w:ind w:left="968" w:hanging="320"/>
        <w:spacing w:after="0" w:line="286" w:lineRule="auto"/>
        <w:tabs>
          <w:tab w:leader="none" w:pos="968" w:val="left"/>
        </w:tabs>
        <w:numPr>
          <w:ilvl w:val="1"/>
          <w:numId w:val="124"/>
        </w:numPr>
        <w:rPr>
          <w:rFonts w:ascii="Arial" w:cs="Arial" w:eastAsia="Arial" w:hAnsi="Arial"/>
          <w:sz w:val="17"/>
          <w:szCs w:val="17"/>
          <w:color w:val="auto"/>
        </w:rPr>
      </w:pPr>
      <w:r>
        <w:rPr>
          <w:rFonts w:ascii="Arial" w:cs="Arial" w:eastAsia="Arial" w:hAnsi="Arial"/>
          <w:sz w:val="17"/>
          <w:szCs w:val="17"/>
          <w:color w:val="auto"/>
        </w:rPr>
        <w:t>No event has occurred or is continuing which constitutes an event of default under this Agreement or the Lease. No consent, approval or authorization of or by any court, administrative agency or other governmental authority is required in connection with the execution, delivery or performance by Seller of, or the consummation by Seller of the transaction contemplated by this Agreement.</w:t>
      </w:r>
    </w:p>
    <w:p>
      <w:pPr>
        <w:spacing w:after="0" w:line="192" w:lineRule="exact"/>
        <w:rPr>
          <w:rFonts w:ascii="Arial" w:cs="Arial" w:eastAsia="Arial" w:hAnsi="Arial"/>
          <w:sz w:val="17"/>
          <w:szCs w:val="17"/>
          <w:color w:val="auto"/>
        </w:rPr>
      </w:pPr>
    </w:p>
    <w:p>
      <w:pPr>
        <w:ind w:left="968" w:hanging="320"/>
        <w:spacing w:after="0" w:line="277" w:lineRule="auto"/>
        <w:tabs>
          <w:tab w:leader="none" w:pos="96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transaction contemplated by this Agreement complies with all applicable federal and state laws, rules and regulations applicable to Seller.</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Purchaser’s Representations and Warranties</w:t>
      </w:r>
      <w:r>
        <w:rPr>
          <w:rFonts w:ascii="Arial" w:cs="Arial" w:eastAsia="Arial" w:hAnsi="Arial"/>
          <w:sz w:val="18"/>
          <w:szCs w:val="18"/>
          <w:color w:val="auto"/>
        </w:rPr>
        <w:t>. Purchaser represents and warrants to Seller that:</w:t>
      </w:r>
    </w:p>
    <w:p>
      <w:pPr>
        <w:spacing w:after="0" w:line="252"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Purchaser is a corporation duly organized, validly existing and in good standing under the laws of the State of Michigan and in all jurisdictions where such qualification is required for it to conduct its business.</w:t>
      </w:r>
    </w:p>
    <w:p>
      <w:pPr>
        <w:spacing w:after="0" w:line="197"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This Agreement has been duly authorized by Purchaser, and upon the execution and delivery by the parties thereto, shall constitute the valid, legal and binding obligation of Purchaser enforceable in accordance with its terms.</w:t>
      </w:r>
    </w:p>
    <w:p>
      <w:pPr>
        <w:spacing w:after="0" w:line="197"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transactions contemplated by this Agreement comply with all material federal and state laws, rules and regulations applicable to Purchaser.</w:t>
      </w:r>
    </w:p>
    <w:p>
      <w:pPr>
        <w:spacing w:after="0" w:line="197" w:lineRule="exact"/>
        <w:rPr>
          <w:rFonts w:ascii="Arial" w:cs="Arial" w:eastAsia="Arial" w:hAnsi="Arial"/>
          <w:sz w:val="18"/>
          <w:szCs w:val="18"/>
          <w:color w:val="auto"/>
        </w:rPr>
      </w:pPr>
    </w:p>
    <w:p>
      <w:pPr>
        <w:jc w:val="both"/>
        <w:ind w:left="328" w:hanging="328"/>
        <w:spacing w:after="0" w:line="279" w:lineRule="auto"/>
        <w:tabs>
          <w:tab w:leader="none" w:pos="328"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Default and Remedies</w:t>
      </w:r>
      <w:r>
        <w:rPr>
          <w:rFonts w:ascii="Arial" w:cs="Arial" w:eastAsia="Arial" w:hAnsi="Arial"/>
          <w:sz w:val="17"/>
          <w:szCs w:val="17"/>
          <w:color w:val="auto"/>
        </w:rPr>
        <w:t>. In the event any of Seller’s representations made hereunder should be false or misleading in any material respect, or in the event Seller should breach any of its warranties or obligations under this Agreement, Purchaser shall be entitled to exercise all rights and remedies available to it at law or in equity together with all of its rights and remedies under the Lease in Purchaser’s discretion as if they were set forth in this Agreement, and for purposes hereof all such rights and remedies shall be incorporated herein by this reference.</w:t>
      </w:r>
    </w:p>
    <w:p>
      <w:pPr>
        <w:spacing w:after="0" w:line="198" w:lineRule="exact"/>
        <w:rPr>
          <w:rFonts w:ascii="Arial" w:cs="Arial" w:eastAsia="Arial" w:hAnsi="Arial"/>
          <w:sz w:val="17"/>
          <w:szCs w:val="17"/>
          <w:color w:val="auto"/>
        </w:rPr>
      </w:pPr>
    </w:p>
    <w:p>
      <w:pPr>
        <w:jc w:val="both"/>
        <w:ind w:left="328" w:hanging="328"/>
        <w:spacing w:after="0" w:line="259" w:lineRule="auto"/>
        <w:tabs>
          <w:tab w:leader="none" w:pos="328"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Purchaser and Seller agree that this Agreement shall inure to the benefit of and shall be binding upon Seller and Purchaser, their respective successors and assigns. Any assignment by Purchaser shall not require Seller’s prior written approval provided such assignee agrees to observe Purchaser’s covenant of quiet enjoyment under the Master Agreement. Seller shall not assign any interest in this Agreement without Purchaser’s prior written consent.</w:t>
      </w:r>
    </w:p>
    <w:p>
      <w:pPr>
        <w:spacing w:after="0" w:line="213"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Survival of Covenants</w:t>
      </w:r>
      <w:r>
        <w:rPr>
          <w:rFonts w:ascii="Arial" w:cs="Arial" w:eastAsia="Arial" w:hAnsi="Arial"/>
          <w:sz w:val="18"/>
          <w:szCs w:val="18"/>
          <w:color w:val="auto"/>
        </w:rPr>
        <w:t>. Purchaser and Seller agree that the warranties, covenants and agreements contained in this Agreement shall survive the passing of title to the Equipment.</w:t>
      </w:r>
    </w:p>
    <w:p>
      <w:pPr>
        <w:spacing w:after="0" w:line="197"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Seller and Purchaser agree that this Agreement and the Lease, together with any amendments, supplements or riders thereto, shall constitute the entire agreement between the parties with respect to the Equipment and shall supersede all proposals, oral or written, all prior negotiations and all other communications.</w:t>
      </w:r>
    </w:p>
    <w:p>
      <w:pPr>
        <w:spacing w:after="0" w:line="208" w:lineRule="exact"/>
        <w:rPr>
          <w:rFonts w:ascii="Arial" w:cs="Arial" w:eastAsia="Arial" w:hAnsi="Arial"/>
          <w:sz w:val="18"/>
          <w:szCs w:val="18"/>
          <w:color w:val="auto"/>
        </w:rPr>
      </w:pPr>
    </w:p>
    <w:p>
      <w:pPr>
        <w:jc w:val="both"/>
        <w:ind w:left="328" w:hanging="328"/>
        <w:spacing w:after="0" w:line="259" w:lineRule="auto"/>
        <w:tabs>
          <w:tab w:leader="none" w:pos="328"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This Agreement may only be modified by a subsequent writing executed by both parties. If any provision of this Agreement shall be held to be invalid, illegal or unenforceable, the validity, legality and enforceability of the remaining provisions shall not in any way be affected or impaired thereby. This Agreement shall be governed by the laws of the State of Michigan without giving effect to the principles of conflict of laws. Section headings are for convenience only and shall not be construed as 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419100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22" w:right="239" w:bottom="521"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t>IN WITNESS WHEREOF, the parties have executed this Sale Leaseback Agreement on the date shown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PURCHASER:</w:t>
            </w:r>
          </w:p>
        </w:tc>
        <w:tc>
          <w:tcPr>
            <w:tcW w:w="7540" w:type="dxa"/>
            <w:vAlign w:val="bottom"/>
            <w:gridSpan w:val="3"/>
          </w:tcPr>
          <w:p>
            <w:pPr>
              <w:ind w:left="1620"/>
              <w:spacing w:after="0"/>
              <w:rPr>
                <w:sz w:val="20"/>
                <w:szCs w:val="20"/>
                <w:color w:val="auto"/>
              </w:rPr>
            </w:pPr>
            <w:r>
              <w:rPr>
                <w:rFonts w:ascii="Arial" w:cs="Arial" w:eastAsia="Arial" w:hAnsi="Arial"/>
                <w:sz w:val="18"/>
                <w:szCs w:val="18"/>
                <w:color w:val="auto"/>
              </w:rPr>
              <w:t>SELLER:</w:t>
            </w:r>
          </w:p>
        </w:tc>
      </w:tr>
      <w:tr>
        <w:trPr>
          <w:trHeight w:val="230"/>
        </w:trPr>
        <w:tc>
          <w:tcPr>
            <w:tcW w:w="3880" w:type="dxa"/>
            <w:vAlign w:val="bottom"/>
            <w:gridSpan w:val="3"/>
          </w:tcPr>
          <w:p>
            <w:pPr>
              <w:spacing w:after="0"/>
              <w:rPr>
                <w:sz w:val="20"/>
                <w:szCs w:val="20"/>
                <w:color w:val="auto"/>
              </w:rPr>
            </w:pPr>
            <w:r>
              <w:rPr>
                <w:rFonts w:ascii="Arial" w:cs="Arial" w:eastAsia="Arial" w:hAnsi="Arial"/>
                <w:sz w:val="18"/>
                <w:szCs w:val="18"/>
                <w:color w:val="auto"/>
              </w:rPr>
              <w:t>VARILEASE FINANCE, INC.</w:t>
            </w:r>
          </w:p>
        </w:tc>
        <w:tc>
          <w:tcPr>
            <w:tcW w:w="7540" w:type="dxa"/>
            <w:vAlign w:val="bottom"/>
            <w:gridSpan w:val="3"/>
          </w:tcPr>
          <w:p>
            <w:pPr>
              <w:ind w:left="1620"/>
              <w:spacing w:after="0"/>
              <w:rPr>
                <w:sz w:val="20"/>
                <w:szCs w:val="20"/>
                <w:color w:val="auto"/>
              </w:rPr>
            </w:pPr>
            <w:r>
              <w:rPr>
                <w:rFonts w:ascii="Arial" w:cs="Arial" w:eastAsia="Arial" w:hAnsi="Arial"/>
                <w:sz w:val="18"/>
                <w:szCs w:val="18"/>
                <w:color w:val="auto"/>
              </w:rPr>
              <w:t>USA TECHNOLOGIES, INC.</w:t>
            </w:r>
          </w:p>
        </w:tc>
      </w:tr>
      <w:tr>
        <w:trPr>
          <w:trHeight w:val="432"/>
        </w:trPr>
        <w:tc>
          <w:tcPr>
            <w:tcW w:w="3880" w:type="dxa"/>
            <w:vAlign w:val="bottom"/>
            <w:gridSpan w:val="3"/>
          </w:tcPr>
          <w:p>
            <w:pPr>
              <w:spacing w:after="0"/>
              <w:rPr>
                <w:sz w:val="20"/>
                <w:szCs w:val="20"/>
                <w:color w:val="auto"/>
              </w:rPr>
            </w:pPr>
            <w:r>
              <w:rPr>
                <w:rFonts w:ascii="Arial" w:cs="Arial" w:eastAsia="Arial" w:hAnsi="Arial"/>
                <w:sz w:val="18"/>
                <w:szCs w:val="18"/>
                <w:color w:val="auto"/>
              </w:rPr>
              <w:t>By: /s/ Kristy Phillips</w:t>
            </w:r>
          </w:p>
        </w:tc>
        <w:tc>
          <w:tcPr>
            <w:tcW w:w="7540" w:type="dxa"/>
            <w:vAlign w:val="bottom"/>
            <w:gridSpan w:val="3"/>
          </w:tcPr>
          <w:p>
            <w:pPr>
              <w:ind w:left="1620"/>
              <w:spacing w:after="0"/>
              <w:rPr>
                <w:sz w:val="20"/>
                <w:szCs w:val="20"/>
                <w:color w:val="auto"/>
              </w:rPr>
            </w:pPr>
            <w:r>
              <w:rPr>
                <w:rFonts w:ascii="Arial" w:cs="Arial" w:eastAsia="Arial" w:hAnsi="Arial"/>
                <w:sz w:val="18"/>
                <w:szCs w:val="18"/>
                <w:color w:val="auto"/>
              </w:rPr>
              <w:t>By:  /s/ David M. DeMedio</w:t>
            </w:r>
          </w:p>
        </w:tc>
      </w:tr>
      <w:tr>
        <w:trPr>
          <w:trHeight w:val="27"/>
        </w:trPr>
        <w:tc>
          <w:tcPr>
            <w:tcW w:w="3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3880" w:type="dxa"/>
            <w:vAlign w:val="bottom"/>
          </w:tcPr>
          <w:p>
            <w:pPr>
              <w:spacing w:after="0"/>
              <w:rPr>
                <w:sz w:val="2"/>
                <w:szCs w:val="2"/>
                <w:color w:val="auto"/>
              </w:rPr>
            </w:pPr>
          </w:p>
        </w:tc>
      </w:tr>
      <w:tr>
        <w:trPr>
          <w:trHeight w:val="202"/>
        </w:trPr>
        <w:tc>
          <w:tcPr>
            <w:tcW w:w="1600" w:type="dxa"/>
            <w:vAlign w:val="bottom"/>
            <w:gridSpan w:val="2"/>
          </w:tcPr>
          <w:p>
            <w:pPr>
              <w:spacing w:after="0" w:line="201" w:lineRule="exact"/>
              <w:rPr>
                <w:sz w:val="20"/>
                <w:szCs w:val="20"/>
                <w:color w:val="auto"/>
              </w:rPr>
            </w:pPr>
            <w:r>
              <w:rPr>
                <w:rFonts w:ascii="Arial" w:cs="Arial" w:eastAsia="Arial" w:hAnsi="Arial"/>
                <w:sz w:val="18"/>
                <w:szCs w:val="18"/>
                <w:color w:val="auto"/>
                <w:w w:val="95"/>
              </w:rPr>
              <w:t>Name: Kristy Phillips</w:t>
            </w:r>
          </w:p>
        </w:tc>
        <w:tc>
          <w:tcPr>
            <w:tcW w:w="2280" w:type="dxa"/>
            <w:vAlign w:val="bottom"/>
          </w:tcPr>
          <w:p>
            <w:pPr>
              <w:spacing w:after="0"/>
              <w:rPr>
                <w:sz w:val="17"/>
                <w:szCs w:val="17"/>
                <w:color w:val="auto"/>
              </w:rPr>
            </w:pPr>
          </w:p>
        </w:tc>
        <w:tc>
          <w:tcPr>
            <w:tcW w:w="7540" w:type="dxa"/>
            <w:vAlign w:val="bottom"/>
            <w:gridSpan w:val="3"/>
          </w:tcPr>
          <w:p>
            <w:pPr>
              <w:ind w:left="1620"/>
              <w:spacing w:after="0" w:line="201" w:lineRule="exact"/>
              <w:rPr>
                <w:sz w:val="20"/>
                <w:szCs w:val="20"/>
                <w:color w:val="auto"/>
              </w:rPr>
            </w:pPr>
            <w:r>
              <w:rPr>
                <w:rFonts w:ascii="Arial" w:cs="Arial" w:eastAsia="Arial" w:hAnsi="Arial"/>
                <w:sz w:val="18"/>
                <w:szCs w:val="18"/>
                <w:color w:val="auto"/>
              </w:rPr>
              <w:t>Name: David M. DeMedio</w:t>
            </w:r>
          </w:p>
        </w:tc>
      </w:tr>
      <w:tr>
        <w:trPr>
          <w:trHeight w:val="230"/>
        </w:trPr>
        <w:tc>
          <w:tcPr>
            <w:tcW w:w="3880" w:type="dxa"/>
            <w:vAlign w:val="bottom"/>
            <w:gridSpan w:val="3"/>
          </w:tcPr>
          <w:p>
            <w:pPr>
              <w:spacing w:after="0"/>
              <w:rPr>
                <w:sz w:val="20"/>
                <w:szCs w:val="20"/>
                <w:color w:val="auto"/>
              </w:rPr>
            </w:pPr>
            <w:r>
              <w:rPr>
                <w:rFonts w:ascii="Arial" w:cs="Arial" w:eastAsia="Arial" w:hAnsi="Arial"/>
                <w:sz w:val="18"/>
                <w:szCs w:val="18"/>
                <w:color w:val="auto"/>
              </w:rPr>
              <w:t>Title: Vice President</w:t>
            </w:r>
          </w:p>
        </w:tc>
        <w:tc>
          <w:tcPr>
            <w:tcW w:w="7540" w:type="dxa"/>
            <w:vAlign w:val="bottom"/>
            <w:gridSpan w:val="3"/>
          </w:tcPr>
          <w:p>
            <w:pPr>
              <w:ind w:left="1620"/>
              <w:spacing w:after="0"/>
              <w:rPr>
                <w:sz w:val="20"/>
                <w:szCs w:val="20"/>
                <w:color w:val="auto"/>
              </w:rPr>
            </w:pPr>
            <w:r>
              <w:rPr>
                <w:rFonts w:ascii="Arial" w:cs="Arial" w:eastAsia="Arial" w:hAnsi="Arial"/>
                <w:sz w:val="18"/>
                <w:szCs w:val="18"/>
                <w:color w:val="auto"/>
              </w:rPr>
              <w:t>Title: CFO</w:t>
            </w:r>
          </w:p>
        </w:tc>
      </w:tr>
      <w:tr>
        <w:trPr>
          <w:trHeight w:val="675"/>
        </w:trPr>
        <w:tc>
          <w:tcPr>
            <w:tcW w:w="340" w:type="dxa"/>
            <w:vAlign w:val="bottom"/>
            <w:tcBorders>
              <w:bottom w:val="single" w:sz="8" w:color="DCDCDC"/>
            </w:tcBorders>
          </w:tcPr>
          <w:p>
            <w:pPr>
              <w:spacing w:after="0"/>
              <w:rPr>
                <w:sz w:val="24"/>
                <w:szCs w:val="24"/>
                <w:color w:val="auto"/>
              </w:rPr>
            </w:pPr>
          </w:p>
        </w:tc>
        <w:tc>
          <w:tcPr>
            <w:tcW w:w="1260" w:type="dxa"/>
            <w:vAlign w:val="bottom"/>
            <w:tcBorders>
              <w:bottom w:val="single" w:sz="8" w:color="DCDCDC"/>
            </w:tcBorders>
          </w:tcPr>
          <w:p>
            <w:pPr>
              <w:spacing w:after="0"/>
              <w:rPr>
                <w:sz w:val="24"/>
                <w:szCs w:val="24"/>
                <w:color w:val="auto"/>
              </w:rPr>
            </w:pPr>
          </w:p>
        </w:tc>
        <w:tc>
          <w:tcPr>
            <w:tcW w:w="2280" w:type="dxa"/>
            <w:vAlign w:val="bottom"/>
            <w:tcBorders>
              <w:bottom w:val="single" w:sz="8" w:color="DCDCDC"/>
            </w:tcBorders>
          </w:tcPr>
          <w:p>
            <w:pPr>
              <w:spacing w:after="0"/>
              <w:rPr>
                <w:sz w:val="24"/>
                <w:szCs w:val="24"/>
                <w:color w:val="auto"/>
              </w:rPr>
            </w:pPr>
          </w:p>
        </w:tc>
        <w:tc>
          <w:tcPr>
            <w:tcW w:w="1960" w:type="dxa"/>
            <w:vAlign w:val="bottom"/>
            <w:tcBorders>
              <w:bottom w:val="single" w:sz="8" w:color="DCDCDC"/>
            </w:tcBorders>
          </w:tcPr>
          <w:p>
            <w:pPr>
              <w:spacing w:after="0"/>
              <w:rPr>
                <w:sz w:val="24"/>
                <w:szCs w:val="24"/>
                <w:color w:val="auto"/>
              </w:rPr>
            </w:pPr>
          </w:p>
        </w:tc>
        <w:tc>
          <w:tcPr>
            <w:tcW w:w="1700" w:type="dxa"/>
            <w:vAlign w:val="bottom"/>
            <w:tcBorders>
              <w:bottom w:val="single" w:sz="8" w:color="DCDCDC"/>
            </w:tcBorders>
          </w:tcPr>
          <w:p>
            <w:pPr>
              <w:spacing w:after="0"/>
              <w:rPr>
                <w:sz w:val="24"/>
                <w:szCs w:val="24"/>
                <w:color w:val="auto"/>
              </w:rPr>
            </w:pPr>
          </w:p>
        </w:tc>
        <w:tc>
          <w:tcPr>
            <w:tcW w:w="38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22" w:right="2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t>Varilease Finance,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6340 South 3000 East,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 84121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www.varilease.com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801.733.8100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801.733.8900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NO. 03</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SCHEDULE NO. 03 dated April 30, 2014 (the “Schedule”) between VARILEASE FINANCE, INC. (the “Lessor”) and USA TECHNOLOGIES, INC. (the “Lessee”) incorporates by reference the terms and conditions of Master Lease Agreement dated April 30, 2014 between Lessor and Lessee (the “Master Agreement”) and constitutes a separate lease between Lessor and Lessee. The Schedule and Master Agreement are hereinafter referred to collectively, as the “Lease”. All capitalized terms used herein but not defined herein shall have the same meanings ascribed to them in the Master Agreement.</w:t>
      </w:r>
    </w:p>
    <w:p>
      <w:pPr>
        <w:spacing w:after="0" w:line="181" w:lineRule="exact"/>
        <w:rPr>
          <w:sz w:val="20"/>
          <w:szCs w:val="20"/>
          <w:color w:val="auto"/>
        </w:rPr>
      </w:pPr>
    </w:p>
    <w:p>
      <w:pPr>
        <w:ind w:left="340" w:hanging="332"/>
        <w:spacing w:after="0" w:line="277" w:lineRule="auto"/>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Equipment:</w:t>
      </w:r>
      <w:r>
        <w:rPr>
          <w:rFonts w:ascii="Arial" w:cs="Arial" w:eastAsia="Arial" w:hAnsi="Arial"/>
          <w:sz w:val="18"/>
          <w:szCs w:val="18"/>
          <w:color w:val="auto"/>
        </w:rPr>
        <w:t xml:space="preserve"> Remote cashless point of sale Eport equipment as more fully described in the attached Exhibit A of one (1) page which by this reference becomes a part hereof.</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Equipment Location:</w:t>
      </w:r>
      <w:r>
        <w:rPr>
          <w:rFonts w:ascii="Arial" w:cs="Arial" w:eastAsia="Arial" w:hAnsi="Arial"/>
          <w:sz w:val="18"/>
          <w:szCs w:val="18"/>
          <w:color w:val="auto"/>
        </w:rPr>
        <w:t xml:space="preserve"> Headquartered at 100 Deerfield Lane, Suite 140, Malvern, PA 19355.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3.</w:t>
            </w:r>
          </w:p>
        </w:tc>
        <w:tc>
          <w:tcPr>
            <w:tcW w:w="162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9"/>
              </w:rPr>
              <w:t>Total Equipment Cost:</w:t>
            </w:r>
          </w:p>
        </w:tc>
        <w:tc>
          <w:tcPr>
            <w:tcW w:w="20" w:type="dxa"/>
            <w:vAlign w:val="bottom"/>
          </w:tcPr>
          <w:p>
            <w:pPr>
              <w:spacing w:after="0"/>
              <w:rPr>
                <w:sz w:val="17"/>
                <w:szCs w:val="17"/>
                <w:color w:val="auto"/>
              </w:rPr>
            </w:pPr>
          </w:p>
        </w:tc>
        <w:tc>
          <w:tcPr>
            <w:tcW w:w="9440" w:type="dxa"/>
            <w:vAlign w:val="bottom"/>
          </w:tcPr>
          <w:p>
            <w:pPr>
              <w:ind w:left="300"/>
              <w:spacing w:after="0"/>
              <w:rPr>
                <w:sz w:val="20"/>
                <w:szCs w:val="20"/>
                <w:color w:val="auto"/>
              </w:rPr>
            </w:pPr>
            <w:r>
              <w:rPr>
                <w:rFonts w:ascii="Arial" w:cs="Arial" w:eastAsia="Arial" w:hAnsi="Arial"/>
                <w:sz w:val="18"/>
                <w:szCs w:val="18"/>
                <w:color w:val="auto"/>
              </w:rPr>
              <w:t>$1,099,944.86</w:t>
            </w:r>
          </w:p>
        </w:tc>
      </w:tr>
      <w:tr>
        <w:trPr>
          <w:trHeight w:val="439"/>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4.</w:t>
            </w:r>
          </w:p>
        </w:tc>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5"/>
              </w:rPr>
              <w:t>Base Term:</w:t>
            </w:r>
          </w:p>
        </w:tc>
        <w:tc>
          <w:tcPr>
            <w:tcW w:w="820" w:type="dxa"/>
            <w:vAlign w:val="bottom"/>
            <w:gridSpan w:val="4"/>
          </w:tcPr>
          <w:p>
            <w:pPr>
              <w:spacing w:after="0"/>
              <w:rPr>
                <w:sz w:val="24"/>
                <w:szCs w:val="24"/>
                <w:color w:val="auto"/>
              </w:rPr>
            </w:pPr>
          </w:p>
        </w:tc>
        <w:tc>
          <w:tcPr>
            <w:tcW w:w="9440" w:type="dxa"/>
            <w:vAlign w:val="bottom"/>
          </w:tcPr>
          <w:p>
            <w:pPr>
              <w:ind w:left="300"/>
              <w:spacing w:after="0"/>
              <w:rPr>
                <w:sz w:val="20"/>
                <w:szCs w:val="20"/>
                <w:color w:val="auto"/>
              </w:rPr>
            </w:pPr>
            <w:r>
              <w:rPr>
                <w:rFonts w:ascii="Arial" w:cs="Arial" w:eastAsia="Arial" w:hAnsi="Arial"/>
                <w:sz w:val="18"/>
                <w:szCs w:val="18"/>
                <w:color w:val="auto"/>
              </w:rPr>
              <w:t>36 Months</w:t>
            </w:r>
          </w:p>
        </w:tc>
      </w:tr>
      <w:tr>
        <w:trPr>
          <w:trHeight w:val="439"/>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5.</w:t>
            </w:r>
          </w:p>
        </w:tc>
        <w:tc>
          <w:tcPr>
            <w:tcW w:w="15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1"/>
              </w:rPr>
              <w:t>Base Monthly Rental:</w:t>
            </w:r>
          </w:p>
        </w:tc>
        <w:tc>
          <w:tcPr>
            <w:tcW w:w="60" w:type="dxa"/>
            <w:vAlign w:val="bottom"/>
            <w:gridSpan w:val="2"/>
          </w:tcPr>
          <w:p>
            <w:pPr>
              <w:spacing w:after="0"/>
              <w:rPr>
                <w:sz w:val="24"/>
                <w:szCs w:val="24"/>
                <w:color w:val="auto"/>
              </w:rPr>
            </w:pPr>
          </w:p>
        </w:tc>
        <w:tc>
          <w:tcPr>
            <w:tcW w:w="9440" w:type="dxa"/>
            <w:vAlign w:val="bottom"/>
          </w:tcPr>
          <w:p>
            <w:pPr>
              <w:ind w:left="300"/>
              <w:spacing w:after="0"/>
              <w:rPr>
                <w:sz w:val="20"/>
                <w:szCs w:val="20"/>
                <w:color w:val="auto"/>
              </w:rPr>
            </w:pPr>
            <w:r>
              <w:rPr>
                <w:rFonts w:ascii="Arial" w:cs="Arial" w:eastAsia="Arial" w:hAnsi="Arial"/>
                <w:sz w:val="18"/>
                <w:szCs w:val="18"/>
                <w:color w:val="auto"/>
              </w:rPr>
              <w:t>$30,050.49 (plus applicable sales/use tax)</w:t>
            </w:r>
          </w:p>
        </w:tc>
      </w:tr>
      <w:tr>
        <w:trPr>
          <w:trHeight w:val="439"/>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6.</w:t>
            </w:r>
          </w:p>
        </w:tc>
        <w:tc>
          <w:tcPr>
            <w:tcW w:w="1640" w:type="dxa"/>
            <w:vAlign w:val="bottom"/>
            <w:gridSpan w:val="7"/>
          </w:tcPr>
          <w:p>
            <w:pPr>
              <w:spacing w:after="0"/>
              <w:rPr>
                <w:sz w:val="20"/>
                <w:szCs w:val="20"/>
                <w:color w:val="auto"/>
              </w:rPr>
            </w:pPr>
            <w:r>
              <w:rPr>
                <w:rFonts w:ascii="Arial" w:cs="Arial" w:eastAsia="Arial" w:hAnsi="Arial"/>
                <w:sz w:val="18"/>
                <w:szCs w:val="18"/>
                <w:color w:val="auto"/>
              </w:rPr>
              <w:t>Deposit:</w:t>
            </w:r>
          </w:p>
        </w:tc>
        <w:tc>
          <w:tcPr>
            <w:tcW w:w="9440" w:type="dxa"/>
            <w:vAlign w:val="bottom"/>
          </w:tcPr>
          <w:p>
            <w:pPr>
              <w:ind w:left="540"/>
              <w:spacing w:after="0"/>
              <w:rPr>
                <w:sz w:val="20"/>
                <w:szCs w:val="20"/>
                <w:color w:val="auto"/>
              </w:rPr>
            </w:pPr>
            <w:r>
              <w:rPr>
                <w:rFonts w:ascii="Arial" w:cs="Arial" w:eastAsia="Arial" w:hAnsi="Arial"/>
                <w:sz w:val="18"/>
                <w:szCs w:val="18"/>
                <w:color w:val="auto"/>
                <w:w w:val="91"/>
              </w:rPr>
              <w:t>$30,050.49 applied to the last Base Monthly Rental (plus applicable sales/use tax). Lessee shall pay the last Base Monthly</w:t>
            </w:r>
          </w:p>
        </w:tc>
      </w:tr>
      <w:tr>
        <w:trPr>
          <w:trHeight w:val="20"/>
        </w:trPr>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940" w:type="dxa"/>
            <w:vAlign w:val="bottom"/>
            <w:gridSpan w:val="4"/>
          </w:tcPr>
          <w:p>
            <w:pPr>
              <w:spacing w:after="0" w:line="20" w:lineRule="exact"/>
              <w:rPr>
                <w:sz w:val="1"/>
                <w:szCs w:val="1"/>
                <w:color w:val="auto"/>
              </w:rPr>
            </w:pPr>
          </w:p>
        </w:tc>
      </w:tr>
      <w:tr>
        <w:trPr>
          <w:trHeight w:val="222"/>
        </w:trPr>
        <w:tc>
          <w:tcPr>
            <w:tcW w:w="340" w:type="dxa"/>
            <w:vAlign w:val="bottom"/>
          </w:tcPr>
          <w:p>
            <w:pPr>
              <w:spacing w:after="0"/>
              <w:rPr>
                <w:sz w:val="19"/>
                <w:szCs w:val="19"/>
                <w:color w:val="auto"/>
              </w:rPr>
            </w:pPr>
          </w:p>
        </w:tc>
        <w:tc>
          <w:tcPr>
            <w:tcW w:w="11080" w:type="dxa"/>
            <w:vAlign w:val="bottom"/>
            <w:gridSpan w:val="8"/>
          </w:tcPr>
          <w:p>
            <w:pPr>
              <w:spacing w:after="0"/>
              <w:rPr>
                <w:sz w:val="20"/>
                <w:szCs w:val="20"/>
                <w:color w:val="auto"/>
              </w:rPr>
            </w:pPr>
            <w:r>
              <w:rPr>
                <w:rFonts w:ascii="Arial" w:cs="Arial" w:eastAsia="Arial" w:hAnsi="Arial"/>
                <w:sz w:val="18"/>
                <w:szCs w:val="18"/>
                <w:color w:val="auto"/>
                <w:w w:val="93"/>
              </w:rPr>
              <w:t>Rental in advance upon the execution of this Schedule.  Lessee acknowledges and agrees that, notwithstanding anything to the contrary herein, this</w:t>
            </w:r>
          </w:p>
        </w:tc>
      </w:tr>
      <w:tr>
        <w:trPr>
          <w:trHeight w:val="216"/>
        </w:trPr>
        <w:tc>
          <w:tcPr>
            <w:tcW w:w="340" w:type="dxa"/>
            <w:vAlign w:val="bottom"/>
          </w:tcPr>
          <w:p>
            <w:pPr>
              <w:spacing w:after="0"/>
              <w:rPr>
                <w:sz w:val="18"/>
                <w:szCs w:val="18"/>
                <w:color w:val="auto"/>
              </w:rPr>
            </w:pPr>
          </w:p>
        </w:tc>
        <w:tc>
          <w:tcPr>
            <w:tcW w:w="11080" w:type="dxa"/>
            <w:vAlign w:val="bottom"/>
            <w:gridSpan w:val="8"/>
          </w:tcPr>
          <w:p>
            <w:pPr>
              <w:spacing w:after="0"/>
              <w:rPr>
                <w:sz w:val="20"/>
                <w:szCs w:val="20"/>
                <w:color w:val="auto"/>
              </w:rPr>
            </w:pPr>
            <w:r>
              <w:rPr>
                <w:rFonts w:ascii="Arial" w:cs="Arial" w:eastAsia="Arial" w:hAnsi="Arial"/>
                <w:sz w:val="18"/>
                <w:szCs w:val="18"/>
                <w:color w:val="auto"/>
                <w:w w:val="91"/>
              </w:rPr>
              <w:t>payment is non-refundable to Lessee under any circumstances, including, without limitation, any termination of this Lease for any reason prior to the end</w:t>
            </w:r>
          </w:p>
        </w:tc>
      </w:tr>
      <w:tr>
        <w:trPr>
          <w:trHeight w:val="216"/>
        </w:trPr>
        <w:tc>
          <w:tcPr>
            <w:tcW w:w="340" w:type="dxa"/>
            <w:vAlign w:val="bottom"/>
          </w:tcPr>
          <w:p>
            <w:pPr>
              <w:spacing w:after="0"/>
              <w:rPr>
                <w:sz w:val="18"/>
                <w:szCs w:val="18"/>
                <w:color w:val="auto"/>
              </w:rPr>
            </w:pPr>
          </w:p>
        </w:tc>
        <w:tc>
          <w:tcPr>
            <w:tcW w:w="11080" w:type="dxa"/>
            <w:vAlign w:val="bottom"/>
            <w:gridSpan w:val="8"/>
          </w:tcPr>
          <w:p>
            <w:pPr>
              <w:spacing w:after="0"/>
              <w:rPr>
                <w:sz w:val="20"/>
                <w:szCs w:val="20"/>
                <w:color w:val="auto"/>
              </w:rPr>
            </w:pPr>
            <w:r>
              <w:rPr>
                <w:rFonts w:ascii="Arial" w:cs="Arial" w:eastAsia="Arial" w:hAnsi="Arial"/>
                <w:sz w:val="18"/>
                <w:szCs w:val="18"/>
                <w:color w:val="auto"/>
                <w:w w:val="93"/>
              </w:rPr>
              <w:t>of its scheduled term.  This payment shall be deemed earned by Lessor, and upon receipt by Lessor, shall immediately be applied to satisfy Lessee’s</w:t>
            </w:r>
          </w:p>
        </w:tc>
      </w:tr>
      <w:tr>
        <w:trPr>
          <w:trHeight w:val="216"/>
        </w:trPr>
        <w:tc>
          <w:tcPr>
            <w:tcW w:w="340" w:type="dxa"/>
            <w:vAlign w:val="bottom"/>
          </w:tcPr>
          <w:p>
            <w:pPr>
              <w:spacing w:after="0"/>
              <w:rPr>
                <w:sz w:val="18"/>
                <w:szCs w:val="18"/>
                <w:color w:val="auto"/>
              </w:rPr>
            </w:pPr>
          </w:p>
        </w:tc>
        <w:tc>
          <w:tcPr>
            <w:tcW w:w="11080" w:type="dxa"/>
            <w:vAlign w:val="bottom"/>
            <w:gridSpan w:val="8"/>
          </w:tcPr>
          <w:p>
            <w:pPr>
              <w:spacing w:after="0"/>
              <w:rPr>
                <w:sz w:val="20"/>
                <w:szCs w:val="20"/>
                <w:color w:val="auto"/>
              </w:rPr>
            </w:pPr>
            <w:r>
              <w:rPr>
                <w:rFonts w:ascii="Arial" w:cs="Arial" w:eastAsia="Arial" w:hAnsi="Arial"/>
                <w:sz w:val="18"/>
                <w:szCs w:val="18"/>
                <w:color w:val="auto"/>
                <w:w w:val="91"/>
              </w:rPr>
              <w:t>obligation to make the last Base Monthly Rental. Lessee and Lessor acknowledge that the $50,000 previously paid to Lessor by Lessee shall be applied</w:t>
            </w:r>
          </w:p>
        </w:tc>
      </w:tr>
      <w:tr>
        <w:trPr>
          <w:trHeight w:val="230"/>
        </w:trPr>
        <w:tc>
          <w:tcPr>
            <w:tcW w:w="340" w:type="dxa"/>
            <w:vAlign w:val="bottom"/>
          </w:tcPr>
          <w:p>
            <w:pPr>
              <w:spacing w:after="0"/>
              <w:rPr>
                <w:sz w:val="20"/>
                <w:szCs w:val="20"/>
                <w:color w:val="auto"/>
              </w:rPr>
            </w:pPr>
          </w:p>
        </w:tc>
        <w:tc>
          <w:tcPr>
            <w:tcW w:w="11080" w:type="dxa"/>
            <w:vAlign w:val="bottom"/>
            <w:gridSpan w:val="8"/>
          </w:tcPr>
          <w:p>
            <w:pPr>
              <w:spacing w:after="0"/>
              <w:rPr>
                <w:sz w:val="20"/>
                <w:szCs w:val="20"/>
                <w:color w:val="auto"/>
              </w:rPr>
            </w:pPr>
            <w:r>
              <w:rPr>
                <w:rFonts w:ascii="Arial" w:cs="Arial" w:eastAsia="Arial" w:hAnsi="Arial"/>
                <w:sz w:val="18"/>
                <w:szCs w:val="18"/>
                <w:color w:val="auto"/>
              </w:rPr>
              <w:t>by Lessor as a credit towards the deposit due hereunder.</w:t>
            </w:r>
          </w:p>
        </w:tc>
      </w:tr>
      <w:tr>
        <w:trPr>
          <w:trHeight w:val="419"/>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7.</w:t>
            </w:r>
          </w:p>
        </w:tc>
        <w:tc>
          <w:tcPr>
            <w:tcW w:w="1640" w:type="dxa"/>
            <w:vAlign w:val="bottom"/>
            <w:gridSpan w:val="7"/>
          </w:tcPr>
          <w:p>
            <w:pPr>
              <w:spacing w:after="0"/>
              <w:rPr>
                <w:sz w:val="20"/>
                <w:szCs w:val="20"/>
                <w:color w:val="auto"/>
              </w:rPr>
            </w:pPr>
            <w:r>
              <w:rPr>
                <w:rFonts w:ascii="Arial" w:cs="Arial" w:eastAsia="Arial" w:hAnsi="Arial"/>
                <w:sz w:val="18"/>
                <w:szCs w:val="18"/>
                <w:color w:val="auto"/>
              </w:rPr>
              <w:t>Base Lease Rate</w:t>
            </w:r>
          </w:p>
        </w:tc>
        <w:tc>
          <w:tcPr>
            <w:tcW w:w="9440" w:type="dxa"/>
            <w:vAlign w:val="bottom"/>
          </w:tcPr>
          <w:p>
            <w:pPr>
              <w:ind w:left="40"/>
              <w:spacing w:after="0"/>
              <w:rPr>
                <w:sz w:val="20"/>
                <w:szCs w:val="20"/>
                <w:color w:val="auto"/>
              </w:rPr>
            </w:pPr>
            <w:r>
              <w:rPr>
                <w:rFonts w:ascii="Arial" w:cs="Arial" w:eastAsia="Arial" w:hAnsi="Arial"/>
                <w:sz w:val="18"/>
                <w:szCs w:val="18"/>
                <w:color w:val="auto"/>
              </w:rPr>
              <w:t>0.02732</w:t>
            </w:r>
          </w:p>
        </w:tc>
      </w:tr>
      <w:tr>
        <w:trPr>
          <w:trHeight w:val="196"/>
        </w:trPr>
        <w:tc>
          <w:tcPr>
            <w:tcW w:w="340" w:type="dxa"/>
            <w:vAlign w:val="bottom"/>
          </w:tcPr>
          <w:p>
            <w:pPr>
              <w:spacing w:after="0"/>
              <w:rPr>
                <w:sz w:val="17"/>
                <w:szCs w:val="17"/>
                <w:color w:val="auto"/>
              </w:rPr>
            </w:pPr>
          </w:p>
        </w:tc>
        <w:tc>
          <w:tcPr>
            <w:tcW w:w="114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rPr>
              <w:t>Factor:</w:t>
            </w:r>
          </w:p>
        </w:tc>
        <w:tc>
          <w:tcPr>
            <w:tcW w:w="500" w:type="dxa"/>
            <w:vAlign w:val="bottom"/>
            <w:gridSpan w:val="3"/>
          </w:tcPr>
          <w:p>
            <w:pPr>
              <w:spacing w:after="0"/>
              <w:rPr>
                <w:sz w:val="17"/>
                <w:szCs w:val="17"/>
                <w:color w:val="auto"/>
              </w:rPr>
            </w:pPr>
          </w:p>
        </w:tc>
        <w:tc>
          <w:tcPr>
            <w:tcW w:w="9440" w:type="dxa"/>
            <w:vAlign w:val="bottom"/>
          </w:tcPr>
          <w:p>
            <w:pPr>
              <w:spacing w:after="0"/>
              <w:rPr>
                <w:sz w:val="17"/>
                <w:szCs w:val="17"/>
                <w:color w:val="auto"/>
              </w:rPr>
            </w:pPr>
          </w:p>
        </w:tc>
      </w:tr>
      <w:tr>
        <w:trPr>
          <w:trHeight w:val="20"/>
        </w:trPr>
        <w:tc>
          <w:tcPr>
            <w:tcW w:w="3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340" w:hanging="332"/>
        <w:spacing w:after="0" w:line="259" w:lineRule="auto"/>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Floating Lease Rate Factor:</w:t>
      </w:r>
      <w:r>
        <w:rPr>
          <w:rFonts w:ascii="Arial" w:cs="Arial" w:eastAsia="Arial" w:hAnsi="Arial"/>
          <w:sz w:val="18"/>
          <w:szCs w:val="18"/>
          <w:color w:val="auto"/>
        </w:rPr>
        <w:t xml:space="preserve"> The Base Lease Rate Factor shown in Section 7, which is used to calculate the Base Monthly Rental, shall increase 0.00008775 for every five (5) basis point increase in 36-month U.S. Treasury Notes, until all Items of Equipment have been installed, at which point the date set forth on the Installation Certificate of the Lease shall have occurred. The 36-month U.S. Treasury Note yield used as the basis for the derivation of the Base Lease Rate Factor contained herein is 0.82%.</w:t>
      </w:r>
    </w:p>
    <w:p>
      <w:pPr>
        <w:spacing w:after="0" w:line="213" w:lineRule="exact"/>
        <w:rPr>
          <w:rFonts w:ascii="Arial" w:cs="Arial" w:eastAsia="Arial" w:hAnsi="Arial"/>
          <w:sz w:val="18"/>
          <w:szCs w:val="18"/>
          <w:color w:val="auto"/>
        </w:rPr>
      </w:pPr>
    </w:p>
    <w:p>
      <w:pPr>
        <w:ind w:left="340" w:hanging="332"/>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Equipment Return Location:</w:t>
      </w:r>
      <w:r>
        <w:rPr>
          <w:rFonts w:ascii="Arial" w:cs="Arial" w:eastAsia="Arial" w:hAnsi="Arial"/>
          <w:sz w:val="18"/>
          <w:szCs w:val="18"/>
          <w:color w:val="auto"/>
        </w:rPr>
        <w:t xml:space="preserve"> To Be Advised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Special Terms:</w:t>
      </w:r>
    </w:p>
    <w:p>
      <w:pPr>
        <w:spacing w:after="0" w:line="252" w:lineRule="exact"/>
        <w:rPr>
          <w:rFonts w:ascii="Arial" w:cs="Arial" w:eastAsia="Arial" w:hAnsi="Arial"/>
          <w:sz w:val="18"/>
          <w:szCs w:val="18"/>
          <w:color w:val="auto"/>
        </w:rPr>
      </w:pPr>
    </w:p>
    <w:p>
      <w:pPr>
        <w:jc w:val="both"/>
        <w:ind w:left="980" w:hanging="324"/>
        <w:spacing w:after="0" w:line="254" w:lineRule="auto"/>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Self Maintenance</w:t>
      </w:r>
      <w:r>
        <w:rPr>
          <w:rFonts w:ascii="Arial" w:cs="Arial" w:eastAsia="Arial" w:hAnsi="Arial"/>
          <w:sz w:val="18"/>
          <w:szCs w:val="18"/>
          <w:color w:val="auto"/>
        </w:rPr>
        <w:t>: For this Schedule only, Lessee shall, during the term of the Lease, self-maintain the Equipment, including Improvements, in accordance with manufacturer recommendations, or engage the services of a maintenance organization (the “Maintenance Organization”) to maintain the Equipment, including Improvements, and provide Lessor upon request with a copy of such maintenance contract as amended or supplemented, if applicable. During the term of the Lease, Lessee shall, at its expense, keep the Equipment, including Improvements, in good working order, repair, appearance and condition and make all necessary adjustments, repairs and replacements, all of which shall become the property of Lessor. Lessee shall not use or permit the use of the Equipment, including Improvements, for any purpose for which, in the opinion of the manufacturer of the Equipment, including Improvements, or Maintenance Organization, the Equipment, including Improvements, is not designed or intended.</w:t>
      </w:r>
    </w:p>
    <w:p>
      <w:pPr>
        <w:spacing w:after="0" w:line="219"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Authorization for Automatic Withdrawals</w:t>
      </w:r>
      <w:r>
        <w:rPr>
          <w:rFonts w:ascii="Arial" w:cs="Arial" w:eastAsia="Arial" w:hAnsi="Arial"/>
          <w:sz w:val="18"/>
          <w:szCs w:val="18"/>
          <w:color w:val="auto"/>
        </w:rPr>
        <w:t>: Lessee hereby authorizes Lessor or its assigns to electronically transfer all rental payments and other sums required to fulfill Lessee’s contractual obligation under the Lease from Lessee’s account maintained with its financial institution, and Lessee agrees to execute and deliver an Authorization Agreement for Automatic Withdrawals to Lessor to effect such transfers. Failure or refusal of Lessee to authorize such transfers or failure of Lessor or its assigns to receive such payments by electronic transfer shall constitute an additional Event of Default under Section 16(a) of the Master Agreement.</w:t>
      </w:r>
    </w:p>
    <w:p>
      <w:pPr>
        <w:spacing w:after="0" w:line="215" w:lineRule="exact"/>
        <w:rPr>
          <w:sz w:val="20"/>
          <w:szCs w:val="20"/>
          <w:color w:val="auto"/>
        </w:rPr>
      </w:pPr>
    </w:p>
    <w:p>
      <w:pPr>
        <w:ind w:left="9880"/>
        <w:spacing w:after="0"/>
        <w:rPr>
          <w:sz w:val="20"/>
          <w:szCs w:val="20"/>
          <w:color w:val="auto"/>
        </w:rPr>
      </w:pPr>
      <w:r>
        <w:rPr>
          <w:rFonts w:ascii="Arial" w:cs="Arial" w:eastAsia="Arial" w:hAnsi="Arial"/>
          <w:sz w:val="16"/>
          <w:szCs w:val="16"/>
          <w:color w:val="auto"/>
        </w:rPr>
        <w:t xml:space="preserve">Lessee Initials: </w:t>
      </w:r>
      <w:r>
        <w:rPr>
          <w:rFonts w:ascii="Arial" w:cs="Arial" w:eastAsia="Arial" w:hAnsi="Arial"/>
          <w:sz w:val="16"/>
          <w:szCs w:val="16"/>
          <w:u w:val="single" w:color="auto"/>
          <w:color w:val="auto"/>
        </w:rPr>
        <w:t>DMD</w:t>
      </w:r>
    </w:p>
    <w:p>
      <w:pPr>
        <w:spacing w:after="0" w:line="275" w:lineRule="exact"/>
        <w:rPr>
          <w:sz w:val="20"/>
          <w:szCs w:val="20"/>
          <w:color w:val="auto"/>
        </w:rPr>
      </w:pPr>
    </w:p>
    <w:p>
      <w:pPr>
        <w:jc w:val="both"/>
        <w:ind w:left="980" w:hanging="324"/>
        <w:spacing w:after="0" w:line="264" w:lineRule="auto"/>
        <w:tabs>
          <w:tab w:leader="none" w:pos="98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Guaranty</w:t>
      </w:r>
      <w:r>
        <w:rPr>
          <w:rFonts w:ascii="Arial" w:cs="Arial" w:eastAsia="Arial" w:hAnsi="Arial"/>
          <w:sz w:val="18"/>
          <w:szCs w:val="18"/>
          <w:color w:val="auto"/>
        </w:rPr>
        <w:t>: Notwithstanding anything to the contrary herein, the parties acknowledge and agree that this Lease is guaranteed by Stitch Networks Corporation and USAT Capital Corp, LLC as set forth in the Guaranty documents, each dated April 30, 2014, copies of which are attached hereto and incorporated herein.</w:t>
      </w:r>
    </w:p>
    <w:p>
      <w:pPr>
        <w:spacing w:after="0" w:line="208" w:lineRule="exact"/>
        <w:rPr>
          <w:sz w:val="20"/>
          <w:szCs w:val="20"/>
          <w:color w:val="auto"/>
        </w:rPr>
      </w:pPr>
    </w:p>
    <w:p>
      <w:pPr>
        <w:spacing w:after="0"/>
        <w:tabs>
          <w:tab w:leader="none" w:pos="9520" w:val="left"/>
        </w:tabs>
        <w:rPr>
          <w:sz w:val="20"/>
          <w:szCs w:val="20"/>
          <w:color w:val="auto"/>
        </w:rPr>
      </w:pPr>
      <w:r>
        <w:rPr>
          <w:rFonts w:ascii="Arial" w:cs="Arial" w:eastAsia="Arial" w:hAnsi="Arial"/>
          <w:sz w:val="18"/>
          <w:szCs w:val="18"/>
          <w:color w:val="auto"/>
        </w:rPr>
        <w:t xml:space="preserve">Lessor Initials: </w:t>
      </w:r>
      <w:r>
        <w:rPr>
          <w:rFonts w:ascii="Arial" w:cs="Arial" w:eastAsia="Arial" w:hAnsi="Arial"/>
          <w:sz w:val="18"/>
          <w:szCs w:val="18"/>
          <w:u w:val="single" w:color="auto"/>
          <w:color w:val="auto"/>
        </w:rPr>
        <w:t>KP</w:t>
      </w:r>
      <w:r>
        <w:rPr>
          <w:sz w:val="20"/>
          <w:szCs w:val="20"/>
          <w:color w:val="auto"/>
        </w:rPr>
        <w:tab/>
      </w:r>
      <w:r>
        <w:rPr>
          <w:rFonts w:ascii="Arial" w:cs="Arial" w:eastAsia="Arial" w:hAnsi="Arial"/>
          <w:sz w:val="16"/>
          <w:szCs w:val="16"/>
          <w:color w:val="auto"/>
        </w:rPr>
        <w:t xml:space="preserve">Lessee Initials: </w:t>
      </w:r>
      <w:r>
        <w:rPr>
          <w:rFonts w:ascii="Arial" w:cs="Arial" w:eastAsia="Arial" w:hAnsi="Arial"/>
          <w:sz w:val="16"/>
          <w:szCs w:val="16"/>
          <w:u w:val="single" w:color="auto"/>
          <w:color w:val="auto"/>
        </w:rPr>
        <w:t>DMD</w:t>
      </w:r>
    </w:p>
    <w:p>
      <w:pPr>
        <w:spacing w:after="0" w:line="23" w:lineRule="exact"/>
        <w:rPr>
          <w:sz w:val="20"/>
          <w:szCs w:val="20"/>
          <w:color w:val="auto"/>
        </w:rPr>
      </w:pPr>
    </w:p>
    <w:p>
      <w:pPr>
        <w:jc w:val="both"/>
        <w:ind w:left="980" w:hanging="324"/>
        <w:spacing w:after="0" w:line="254" w:lineRule="auto"/>
        <w:tabs>
          <w:tab w:leader="none" w:pos="98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Sale Leaseback:</w:t>
      </w:r>
      <w:r>
        <w:rPr>
          <w:rFonts w:ascii="Arial" w:cs="Arial" w:eastAsia="Arial" w:hAnsi="Arial"/>
          <w:sz w:val="18"/>
          <w:szCs w:val="18"/>
          <w:color w:val="auto"/>
        </w:rPr>
        <w:t xml:space="preserve"> Notwithstanding anything to the contrary herein, the parties acknowledge and agree that this transaction is structured as a sale leaseback, whereby Lessor shall purchase the equipment from Lessee for purposes of leasing the equipment back to Lessee in accordance with the terms and conditions set forth in the Sale Leaseback Agreement dated April 30, 2014, a copy of which is attached hereto and incorporated herein.</w:t>
      </w:r>
    </w:p>
    <w:p>
      <w:pPr>
        <w:sectPr>
          <w:pgSz w:w="11900" w:h="16838" w:orient="portrait"/>
          <w:cols w:equalWidth="0" w:num="1">
            <w:col w:w="11420"/>
          </w:cols>
          <w:pgMar w:left="240" w:top="922" w:right="239" w:bottom="0" w:gutter="0" w:footer="0" w:header="0"/>
        </w:sectPr>
      </w:pPr>
    </w:p>
    <w:bookmarkStart w:id="167" w:name="page168"/>
    <w:bookmarkEnd w:id="167"/>
    <w:p>
      <w:pPr>
        <w:jc w:val="both"/>
        <w:spacing w:after="0" w:line="254"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both"/>
        <w:ind w:left="980" w:hanging="324"/>
        <w:spacing w:after="0" w:line="254" w:lineRule="auto"/>
        <w:tabs>
          <w:tab w:leader="none" w:pos="98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Master Agreement Amendment</w:t>
      </w:r>
      <w:r>
        <w:rPr>
          <w:rFonts w:ascii="Arial" w:cs="Arial" w:eastAsia="Arial" w:hAnsi="Arial"/>
          <w:sz w:val="18"/>
          <w:szCs w:val="18"/>
          <w:color w:val="auto"/>
        </w:rPr>
        <w:t>: For purposes of this Schedule only, the following shall be added as the last sentence of Section 19(b) of the Master Agreement “At the conclusion of option (ii) above and upon Lessee’s payment to Lessor of (i) all unpaid Rental Payments, including any applicable sales tax, (ii) all unpaid property taxes, (iii) all accrued but unbilled property taxes, and (iv) all unpaid late charges, any and all of the Lessor’s and/or any Assignee’s right, title and interest in and to the Equipment shall pass to Lessee, or if the Equipment includes software which is subject to a license, then any and all of Lessor’s or any Assignee’s rights, title, and interests in and to the software shall pass to Lessee, and the Lease shall terminate. At the time of such termination, Lessor shall remove of record any and all UCC financing statements and any other applicable filings and recordings evidencing the Lease”. All other terms and conditions of the Master Agreement shall remain in full force and effect without change.</w:t>
      </w:r>
    </w:p>
    <w:p>
      <w:pPr>
        <w:spacing w:after="0" w:line="219" w:lineRule="exact"/>
        <w:rPr>
          <w:rFonts w:ascii="Arial" w:cs="Arial" w:eastAsia="Arial" w:hAnsi="Arial"/>
          <w:sz w:val="18"/>
          <w:szCs w:val="18"/>
          <w:color w:val="auto"/>
        </w:rPr>
      </w:pPr>
    </w:p>
    <w:p>
      <w:pPr>
        <w:jc w:val="both"/>
        <w:ind w:left="980" w:hanging="324"/>
        <w:spacing w:after="0" w:line="270" w:lineRule="auto"/>
        <w:tabs>
          <w:tab w:leader="none" w:pos="980"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Tax Payment and Indemnification</w:t>
      </w:r>
      <w:r>
        <w:rPr>
          <w:rFonts w:ascii="Arial" w:cs="Arial" w:eastAsia="Arial" w:hAnsi="Arial"/>
          <w:sz w:val="17"/>
          <w:szCs w:val="17"/>
          <w:color w:val="auto"/>
        </w:rPr>
        <w:t>: Notwithstanding anything to the contrary in the Master Agreement, for this Schedule only, during the term of the Lease, Lessee shall pay directly all taxes, fees, and assessments, including, but not limited to, sales, use and property tax, that may be imposed by any taxing authority on the Equipment, on its purchase, ownership, delivery, possession, operation, rental, return to Lessor or its purchase by Lessee (collectively, “Taxes”). Lessee hereby agrees to indemnify and hold Lessor harmless from and against any and all losses incurred by Lessor arising out of Lessee’s absolute and unconditional obligation to remit any and all Taxes directly to the taxing authority as required under the laws of the state where any Item of Equipment is located (“Jurisdiction”), and to provide quarterly and/or annual reports, as applicable, to Lessor verifying that all Taxes have been paid in accordance with the laws of each applicable Jurisdiction. Lessee further agrees to indemnify, defend and hold Lessor harmless from and against any and all demands, claims, costs, expenses, attorney fees or liabilities that may result therefrom or from enforcement of this Indemnification.</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Lessee Initials: </w:t>
      </w:r>
      <w:r>
        <w:rPr>
          <w:rFonts w:ascii="Arial" w:cs="Arial" w:eastAsia="Arial" w:hAnsi="Arial"/>
          <w:sz w:val="18"/>
          <w:szCs w:val="18"/>
          <w:u w:val="single" w:color="auto"/>
          <w:color w:val="auto"/>
        </w:rPr>
        <w:t>DMD</w:t>
      </w:r>
    </w:p>
    <w:p>
      <w:pPr>
        <w:spacing w:after="0" w:line="252" w:lineRule="exact"/>
        <w:rPr>
          <w:sz w:val="20"/>
          <w:szCs w:val="20"/>
          <w:color w:val="auto"/>
        </w:rPr>
      </w:pPr>
    </w:p>
    <w:p>
      <w:pPr>
        <w:jc w:val="both"/>
        <w:ind w:left="980" w:hanging="324"/>
        <w:spacing w:after="0" w:line="291" w:lineRule="auto"/>
        <w:tabs>
          <w:tab w:leader="none" w:pos="980"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Tracking Report</w:t>
      </w:r>
      <w:r>
        <w:rPr>
          <w:rFonts w:ascii="Arial" w:cs="Arial" w:eastAsia="Arial" w:hAnsi="Arial"/>
          <w:sz w:val="16"/>
          <w:szCs w:val="16"/>
          <w:color w:val="auto"/>
        </w:rPr>
        <w:t xml:space="preserve">: Lessee hereby agrees to provide to Lessor, on a quarterly basis or as requested by Lessor, a current location tracking report for all Items of Equipment, in a form satisfactory to Lessor in its sole discretion. </w:t>
      </w:r>
      <w:r>
        <w:rPr>
          <w:rFonts w:ascii="Arial" w:cs="Arial" w:eastAsia="Arial" w:hAnsi="Arial"/>
          <w:sz w:val="16"/>
          <w:szCs w:val="16"/>
          <w:b w:val="1"/>
          <w:bCs w:val="1"/>
          <w:color w:val="auto"/>
        </w:rPr>
        <w:t>FAILURE OF LESSEE TO PROVIDE THE TRACKING</w:t>
      </w:r>
    </w:p>
    <w:p>
      <w:pPr>
        <w:ind w:left="980"/>
        <w:spacing w:after="0"/>
        <w:rPr>
          <w:rFonts w:ascii="Arial" w:cs="Arial" w:eastAsia="Arial" w:hAnsi="Arial"/>
          <w:sz w:val="16"/>
          <w:szCs w:val="16"/>
          <w:color w:val="auto"/>
        </w:rPr>
      </w:pPr>
      <w:r>
        <w:rPr>
          <w:rFonts w:ascii="Arial" w:cs="Arial" w:eastAsia="Arial" w:hAnsi="Arial"/>
          <w:sz w:val="18"/>
          <w:szCs w:val="18"/>
          <w:b w:val="1"/>
          <w:bCs w:val="1"/>
          <w:color w:val="auto"/>
        </w:rPr>
        <w:t>REPORT TO LESSOR AS PROVIDED HEREIN SHALL CONSTITUTE AN EVENT OF DEFAULT UNDER SECTION 16(a)(IV)</w:t>
      </w:r>
    </w:p>
    <w:p>
      <w:pPr>
        <w:spacing w:after="0" w:line="9"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b w:val="1"/>
          <w:bCs w:val="1"/>
          <w:color w:val="auto"/>
        </w:rPr>
        <w:t>OF THE MASTER AGREEMENT</w:t>
      </w:r>
      <w:r>
        <w:rPr>
          <w:rFonts w:ascii="Arial" w:cs="Arial" w:eastAsia="Arial" w:hAnsi="Arial"/>
          <w:sz w:val="18"/>
          <w:szCs w:val="18"/>
          <w:color w:val="auto"/>
        </w:rPr>
        <w:t>.</w:t>
      </w:r>
    </w:p>
    <w:p>
      <w:pPr>
        <w:spacing w:after="0" w:line="237" w:lineRule="exact"/>
        <w:rPr>
          <w:rFonts w:ascii="Arial" w:cs="Arial" w:eastAsia="Arial" w:hAnsi="Arial"/>
          <w:sz w:val="16"/>
          <w:szCs w:val="16"/>
          <w:color w:val="auto"/>
        </w:rPr>
      </w:pPr>
    </w:p>
    <w:p>
      <w:pPr>
        <w:ind w:left="980" w:hanging="324"/>
        <w:spacing w:after="0"/>
        <w:tabs>
          <w:tab w:leader="none" w:pos="98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Master Agreement Amendment</w:t>
      </w:r>
      <w:r>
        <w:rPr>
          <w:rFonts w:ascii="Arial" w:cs="Arial" w:eastAsia="Arial" w:hAnsi="Arial"/>
          <w:sz w:val="18"/>
          <w:szCs w:val="18"/>
          <w:color w:val="auto"/>
        </w:rPr>
        <w:t>: For this Schedule only, the Master Agreement shall further be amended as follows:</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fourth line of Section 2(a) shall be amended by deleting “calendar quarter” and replacing it with “month”.</w:t>
      </w:r>
    </w:p>
    <w:p>
      <w:pPr>
        <w:spacing w:after="0" w:line="252" w:lineRule="exact"/>
        <w:rPr>
          <w:rFonts w:ascii="Arial" w:cs="Arial" w:eastAsia="Arial" w:hAnsi="Arial"/>
          <w:sz w:val="18"/>
          <w:szCs w:val="18"/>
          <w:color w:val="auto"/>
        </w:rPr>
      </w:pPr>
    </w:p>
    <w:p>
      <w:pPr>
        <w:ind w:left="1620" w:hanging="315"/>
        <w:spacing w:after="0" w:line="277" w:lineRule="auto"/>
        <w:tabs>
          <w:tab w:leader="none" w:pos="16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Section 3(a) shall be amended by deleting the phrase “from the date such Item was installed” and replacing it with “from the Installation Date”.</w:t>
      </w:r>
    </w:p>
    <w:p>
      <w:pPr>
        <w:spacing w:after="0" w:line="197" w:lineRule="exact"/>
        <w:rPr>
          <w:rFonts w:ascii="Arial" w:cs="Arial" w:eastAsia="Arial" w:hAnsi="Arial"/>
          <w:sz w:val="18"/>
          <w:szCs w:val="18"/>
          <w:color w:val="auto"/>
        </w:rPr>
      </w:pPr>
    </w:p>
    <w:p>
      <w:pPr>
        <w:jc w:val="both"/>
        <w:ind w:left="1620" w:hanging="315"/>
        <w:spacing w:after="0" w:line="272" w:lineRule="auto"/>
        <w:tabs>
          <w:tab w:leader="none" w:pos="162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Section 6(b) of the Master Agreement shall be deleted in its entirety and replaced with the following: “(b) Provided that no Event of Default shall have occurred, Lessee and/or its assigns, agents, customers, or sublesses shall, at all times during the term of the Lease, be entitled to unlimited use and enjoyment of the Equipment. In no event shall the Equipment be moved outside the continental, contiguous United States. Lessee and/or its assigns, customers, agents, or sublesses of the equipment will comply with all laws, regulations, and ordinances, and all applicable requirements of the manufacturer of the Equipment that apply to the physical possession, use, operation, condition, and maintenance of the Equipment. Lessee agrees to obtain, or to require its customers or agents to obtain, all permits and licenses necessary for the operation of the Equipment.”</w:t>
      </w:r>
    </w:p>
    <w:p>
      <w:pPr>
        <w:spacing w:after="0" w:line="204" w:lineRule="exact"/>
        <w:rPr>
          <w:rFonts w:ascii="Arial" w:cs="Arial" w:eastAsia="Arial" w:hAnsi="Arial"/>
          <w:sz w:val="17"/>
          <w:szCs w:val="17"/>
          <w:color w:val="auto"/>
        </w:rPr>
      </w:pPr>
    </w:p>
    <w:p>
      <w:pPr>
        <w:ind w:left="1620" w:right="20" w:hanging="315"/>
        <w:spacing w:after="0" w:line="308" w:lineRule="auto"/>
        <w:tabs>
          <w:tab w:leader="none" w:pos="162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The first sentence of Section 6(c) shall be amended by adding “; provided, however, that the foregoing shall not refer to or include any firmware of Lessee or any other intellectual property of Lessee, including Lessee’s software” before the parenthetical phrase.</w:t>
      </w:r>
    </w:p>
    <w:p>
      <w:pPr>
        <w:spacing w:after="0" w:line="173" w:lineRule="exact"/>
        <w:rPr>
          <w:rFonts w:ascii="Arial" w:cs="Arial" w:eastAsia="Arial" w:hAnsi="Arial"/>
          <w:sz w:val="17"/>
          <w:szCs w:val="17"/>
          <w:color w:val="auto"/>
        </w:rPr>
      </w:pPr>
    </w:p>
    <w:p>
      <w:pPr>
        <w:ind w:left="1620" w:hanging="315"/>
        <w:spacing w:after="0"/>
        <w:tabs>
          <w:tab w:leader="none" w:pos="16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first sentence of Section 8(a) shall be deleted.</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Section 8(c) shall be amended as follows:</w:t>
      </w:r>
    </w:p>
    <w:p>
      <w:pPr>
        <w:spacing w:after="0" w:line="252" w:lineRule="exact"/>
        <w:rPr>
          <w:rFonts w:ascii="Arial" w:cs="Arial" w:eastAsia="Arial" w:hAnsi="Arial"/>
          <w:sz w:val="18"/>
          <w:szCs w:val="18"/>
          <w:color w:val="auto"/>
        </w:rPr>
      </w:pPr>
    </w:p>
    <w:p>
      <w:pPr>
        <w:jc w:val="both"/>
        <w:ind w:left="2280" w:hanging="260"/>
        <w:spacing w:after="0" w:line="257" w:lineRule="auto"/>
        <w:tabs>
          <w:tab w:leader="none" w:pos="228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 PROVIDED, HOWEVER, THAT LESSEE MAY AND IS HEREBY SPECIFICIALLY AUTHORIZED TO FROM TIME TO TIME OR AT ANY TIME TO, ASSIGN, SUBLET, RENT, OR TRANSFER ITS RIGHTS TO THE EQUIPMENT HEREUNDER TO ANY CUSTOMER OR AGENT PURSUANT TO A LEASE, SUBLEASE, RENTAL, PROCESSING AGREEMENT, OR OTHER SIMILAR AGREEMENT (“CUSTOMER AGREEMENT”)” shall be added after “CONSENT OF LESSOR.”</w:t>
      </w:r>
    </w:p>
    <w:p>
      <w:pPr>
        <w:spacing w:after="0" w:line="215" w:lineRule="exact"/>
        <w:rPr>
          <w:rFonts w:ascii="Arial" w:cs="Arial" w:eastAsia="Arial" w:hAnsi="Arial"/>
          <w:sz w:val="18"/>
          <w:szCs w:val="18"/>
          <w:color w:val="auto"/>
        </w:rPr>
      </w:pPr>
    </w:p>
    <w:p>
      <w:pPr>
        <w:ind w:left="2280" w:hanging="310"/>
        <w:spacing w:after="0" w:line="277" w:lineRule="auto"/>
        <w:tabs>
          <w:tab w:leader="none" w:pos="228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“Lessee grants to Lessor the right of first refusal on any sublease or other grant of Lessee’s rights to the Equipment.” shall be deleted.</w:t>
      </w:r>
    </w:p>
    <w:p>
      <w:pPr>
        <w:spacing w:after="0" w:line="197" w:lineRule="exact"/>
        <w:rPr>
          <w:rFonts w:ascii="Arial" w:cs="Arial" w:eastAsia="Arial" w:hAnsi="Arial"/>
          <w:sz w:val="18"/>
          <w:szCs w:val="18"/>
          <w:color w:val="auto"/>
        </w:rPr>
      </w:pPr>
    </w:p>
    <w:p>
      <w:pPr>
        <w:ind w:left="1620" w:hanging="315"/>
        <w:spacing w:after="0"/>
        <w:tabs>
          <w:tab w:leader="none" w:pos="16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Section 11 shall be deleted in its entirety and replaced with the following:</w:t>
      </w: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11. QUIET ENJOYMENT.</w:t>
      </w:r>
      <w:r>
        <w:rPr>
          <w:rFonts w:ascii="Arial" w:cs="Arial" w:eastAsia="Arial" w:hAnsi="Arial"/>
          <w:sz w:val="17"/>
          <w:szCs w:val="17"/>
          <w:color w:val="auto"/>
        </w:rPr>
        <w:t xml:space="preserve"> Lessor and /or any Assignee covenants that so long as Lessee is not in default under a Lease, Lessor</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ind w:left="260"/>
              <w:spacing w:after="0"/>
              <w:rPr>
                <w:sz w:val="20"/>
                <w:szCs w:val="20"/>
                <w:color w:val="auto"/>
              </w:rPr>
            </w:pPr>
            <w:r>
              <w:rPr>
                <w:rFonts w:ascii="Arial" w:cs="Arial" w:eastAsia="Arial" w:hAnsi="Arial"/>
                <w:sz w:val="18"/>
                <w:szCs w:val="18"/>
                <w:color w:val="auto"/>
                <w:w w:val="91"/>
              </w:rPr>
              <w:t>and/or any Assignee shall</w:t>
            </w:r>
          </w:p>
        </w:tc>
        <w:tc>
          <w:tcPr>
            <w:tcW w:w="7440" w:type="dxa"/>
            <w:vAlign w:val="bottom"/>
            <w:gridSpan w:val="2"/>
          </w:tcPr>
          <w:p>
            <w:pPr>
              <w:ind w:left="60"/>
              <w:spacing w:after="0"/>
              <w:rPr>
                <w:sz w:val="20"/>
                <w:szCs w:val="20"/>
                <w:color w:val="auto"/>
              </w:rPr>
            </w:pPr>
            <w:r>
              <w:rPr>
                <w:rFonts w:ascii="Arial" w:cs="Arial" w:eastAsia="Arial" w:hAnsi="Arial"/>
                <w:sz w:val="18"/>
                <w:szCs w:val="18"/>
                <w:color w:val="auto"/>
                <w:w w:val="99"/>
              </w:rPr>
              <w:t>take no action to interfere with Lessee’s assignment, rental, enjoyment, sublease, transfer, or</w:t>
            </w:r>
          </w:p>
        </w:tc>
      </w:tr>
      <w:tr>
        <w:trPr>
          <w:trHeight w:val="404"/>
        </w:trPr>
        <w:tc>
          <w:tcPr>
            <w:tcW w:w="3520" w:type="dxa"/>
            <w:vAlign w:val="bottom"/>
            <w:gridSpan w:val="3"/>
          </w:tcPr>
          <w:p>
            <w:pPr>
              <w:spacing w:after="0"/>
              <w:rPr>
                <w:sz w:val="20"/>
                <w:szCs w:val="20"/>
                <w:color w:val="auto"/>
              </w:rPr>
            </w:pPr>
            <w:r>
              <w:rPr>
                <w:rFonts w:ascii="Arial" w:cs="Arial" w:eastAsia="Arial" w:hAnsi="Arial"/>
                <w:sz w:val="18"/>
                <w:szCs w:val="18"/>
                <w:color w:val="auto"/>
              </w:rPr>
              <w:t>Lessor Initials: KP</w:t>
            </w:r>
          </w:p>
        </w:tc>
        <w:tc>
          <w:tcPr>
            <w:tcW w:w="7440" w:type="dxa"/>
            <w:vAlign w:val="bottom"/>
            <w:gridSpan w:val="2"/>
          </w:tcPr>
          <w:p>
            <w:pPr>
              <w:ind w:left="5900"/>
              <w:spacing w:after="0"/>
              <w:rPr>
                <w:sz w:val="20"/>
                <w:szCs w:val="20"/>
                <w:color w:val="auto"/>
              </w:rPr>
            </w:pPr>
            <w:r>
              <w:rPr>
                <w:rFonts w:ascii="Arial" w:cs="Arial" w:eastAsia="Arial" w:hAnsi="Arial"/>
                <w:sz w:val="18"/>
                <w:szCs w:val="18"/>
                <w:color w:val="auto"/>
                <w:w w:val="92"/>
              </w:rPr>
              <w:t>Lessee Initials: DMD</w:t>
            </w:r>
          </w:p>
        </w:tc>
      </w:tr>
      <w:tr>
        <w:trPr>
          <w:trHeight w:val="20"/>
        </w:trPr>
        <w:tc>
          <w:tcPr>
            <w:tcW w:w="1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p>
      <w:pPr>
        <w:ind w:left="1620"/>
        <w:spacing w:after="0" w:line="277" w:lineRule="auto"/>
        <w:rPr>
          <w:sz w:val="20"/>
          <w:szCs w:val="20"/>
          <w:color w:val="auto"/>
        </w:rPr>
      </w:pPr>
      <w:r>
        <w:rPr>
          <w:rFonts w:ascii="Arial" w:cs="Arial" w:eastAsia="Arial" w:hAnsi="Arial"/>
          <w:sz w:val="18"/>
          <w:szCs w:val="18"/>
          <w:color w:val="auto"/>
        </w:rPr>
        <w:t>other unlimited possession and use of the Equipment or interfere with a Customer Agreement, subject to and in accordance with the provisions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855" w:gutter="0" w:footer="0" w:header="0"/>
        </w:sectPr>
      </w:pPr>
    </w:p>
    <w:bookmarkStart w:id="169" w:name="page170"/>
    <w:bookmarkEnd w:id="169"/>
    <w:p>
      <w:pPr>
        <w:ind w:left="1620" w:hanging="315"/>
        <w:spacing w:after="0"/>
        <w:tabs>
          <w:tab w:leader="none" w:pos="16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following phrase shall be deleted from Section 15(a)(iii) “and in any jurisdiction in which any of the Equipment is located”.</w:t>
      </w:r>
    </w:p>
    <w:p>
      <w:pPr>
        <w:spacing w:after="0" w:line="263" w:lineRule="exact"/>
        <w:rPr>
          <w:rFonts w:ascii="Arial" w:cs="Arial" w:eastAsia="Arial" w:hAnsi="Arial"/>
          <w:sz w:val="17"/>
          <w:szCs w:val="17"/>
          <w:color w:val="auto"/>
        </w:rPr>
      </w:pPr>
    </w:p>
    <w:p>
      <w:pPr>
        <w:ind w:left="1620" w:hanging="315"/>
        <w:spacing w:after="0"/>
        <w:tabs>
          <w:tab w:leader="none" w:pos="16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Section 16(a)(ii) shall be amended by deleting “remove,”.</w:t>
      </w:r>
    </w:p>
    <w:p>
      <w:pPr>
        <w:spacing w:after="0" w:line="252" w:lineRule="exact"/>
        <w:rPr>
          <w:rFonts w:ascii="Arial" w:cs="Arial" w:eastAsia="Arial" w:hAnsi="Arial"/>
          <w:sz w:val="18"/>
          <w:szCs w:val="18"/>
          <w:color w:val="auto"/>
        </w:rPr>
      </w:pPr>
    </w:p>
    <w:p>
      <w:pPr>
        <w:ind w:left="1620" w:hanging="315"/>
        <w:spacing w:after="0" w:line="277" w:lineRule="auto"/>
        <w:tabs>
          <w:tab w:leader="none" w:pos="16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Section 19(g) shall be amended by deleting “, and, upon Lessor’s request, Lessee shall secure from its mortgagee, landlord or owner of the premises a waiver in form and substance reasonably satisfactory to Lessor”.</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 other terms and conditions of the Master Agreement shall remain in full force and effect without change.</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Lessee’s execution and delivery of this Schedule shall constitute its offer to lease the Equipment described herein upon the terms and conditions set forth herein. Lessor’s subsequent execution of this Schedule in Michigan and delivery to Lessee shall constitute its acceptance of the Lease. The Lease shall be deemed made in Michigan.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anything herein or in the Master Agreement to the contrary, Lessee acknowledges and agrees, that Lessor shall be entitled to claim for federal income tax purposes, without limitation, all benefits, credits and deductions related to the Equipment.</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undersigned Lessee acknowledges that this Schedule authorizes the Lessor or its agents or assignee(s) to sign, execute and file on its behalf any and all necessary documents, including UCC financing statements and other filings and recordings, to make public this lease transaction. The parties intend this transaction to be a true lease, but if any court or tribunal, having power to bind the parties, should conclude that all or part of this Schedule is not a true lease but is in the nature of a sale, consignment, or other transaction, the parties intend and the Lessee hereby grants a continuing security interest in the Equipment from the date of this Schedule to secure the payment of all Lessee’s indebtedness to Lessor. In the event serial numbers for Items are unavailable upon execution hereof, Lessee authorizes Lessor to amend this Schedule by inserting correct serial numbers with respect to those Items.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SCHEDULE TOGETHER WITH THE MASTER AGREEMENT AND ANY ADDITIONAL PROVISION(S) REFERRED TO IN ITEM 10 CONSTITUTE THE ENTIRE AGREEMENT BETWEEN THE LESSOR AND LESSEE AS TO THE LEASE AND THE EQUIPMENT.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LESSOR:</w:t>
            </w:r>
          </w:p>
        </w:tc>
        <w:tc>
          <w:tcPr>
            <w:tcW w:w="7540" w:type="dxa"/>
            <w:vAlign w:val="bottom"/>
            <w:gridSpan w:val="3"/>
          </w:tcPr>
          <w:p>
            <w:pPr>
              <w:ind w:left="1620"/>
              <w:spacing w:after="0"/>
              <w:rPr>
                <w:sz w:val="20"/>
                <w:szCs w:val="20"/>
                <w:color w:val="auto"/>
              </w:rPr>
            </w:pPr>
            <w:r>
              <w:rPr>
                <w:rFonts w:ascii="Arial" w:cs="Arial" w:eastAsia="Arial" w:hAnsi="Arial"/>
                <w:sz w:val="18"/>
                <w:szCs w:val="18"/>
                <w:color w:val="auto"/>
              </w:rPr>
              <w:t>LESSEE:</w:t>
            </w:r>
          </w:p>
        </w:tc>
      </w:tr>
      <w:tr>
        <w:trPr>
          <w:trHeight w:val="230"/>
        </w:trPr>
        <w:tc>
          <w:tcPr>
            <w:tcW w:w="3880" w:type="dxa"/>
            <w:vAlign w:val="bottom"/>
            <w:gridSpan w:val="3"/>
          </w:tcPr>
          <w:p>
            <w:pPr>
              <w:spacing w:after="0"/>
              <w:rPr>
                <w:sz w:val="20"/>
                <w:szCs w:val="20"/>
                <w:color w:val="auto"/>
              </w:rPr>
            </w:pPr>
            <w:r>
              <w:rPr>
                <w:rFonts w:ascii="Arial" w:cs="Arial" w:eastAsia="Arial" w:hAnsi="Arial"/>
                <w:sz w:val="18"/>
                <w:szCs w:val="18"/>
                <w:color w:val="auto"/>
              </w:rPr>
              <w:t>VARILEASE FINANCE, INC.</w:t>
            </w:r>
          </w:p>
        </w:tc>
        <w:tc>
          <w:tcPr>
            <w:tcW w:w="7540" w:type="dxa"/>
            <w:vAlign w:val="bottom"/>
            <w:gridSpan w:val="3"/>
          </w:tcPr>
          <w:p>
            <w:pPr>
              <w:ind w:left="1620"/>
              <w:spacing w:after="0"/>
              <w:rPr>
                <w:sz w:val="20"/>
                <w:szCs w:val="20"/>
                <w:color w:val="auto"/>
              </w:rPr>
            </w:pPr>
            <w:r>
              <w:rPr>
                <w:rFonts w:ascii="Arial" w:cs="Arial" w:eastAsia="Arial" w:hAnsi="Arial"/>
                <w:sz w:val="18"/>
                <w:szCs w:val="18"/>
                <w:color w:val="auto"/>
              </w:rPr>
              <w:t>USA TECHNOLOGIES, INC.</w:t>
            </w:r>
          </w:p>
        </w:tc>
      </w:tr>
      <w:tr>
        <w:trPr>
          <w:trHeight w:val="432"/>
        </w:trPr>
        <w:tc>
          <w:tcPr>
            <w:tcW w:w="3880" w:type="dxa"/>
            <w:vAlign w:val="bottom"/>
            <w:gridSpan w:val="3"/>
          </w:tcPr>
          <w:p>
            <w:pPr>
              <w:spacing w:after="0"/>
              <w:rPr>
                <w:sz w:val="20"/>
                <w:szCs w:val="20"/>
                <w:color w:val="auto"/>
              </w:rPr>
            </w:pPr>
            <w:r>
              <w:rPr>
                <w:rFonts w:ascii="Arial" w:cs="Arial" w:eastAsia="Arial" w:hAnsi="Arial"/>
                <w:sz w:val="18"/>
                <w:szCs w:val="18"/>
                <w:color w:val="auto"/>
              </w:rPr>
              <w:t>By: /s/ Kristy Phillips</w:t>
            </w:r>
          </w:p>
        </w:tc>
        <w:tc>
          <w:tcPr>
            <w:tcW w:w="7540" w:type="dxa"/>
            <w:vAlign w:val="bottom"/>
            <w:gridSpan w:val="3"/>
          </w:tcPr>
          <w:p>
            <w:pPr>
              <w:ind w:left="1620"/>
              <w:spacing w:after="0"/>
              <w:rPr>
                <w:sz w:val="20"/>
                <w:szCs w:val="20"/>
                <w:color w:val="auto"/>
              </w:rPr>
            </w:pPr>
            <w:r>
              <w:rPr>
                <w:rFonts w:ascii="Arial" w:cs="Arial" w:eastAsia="Arial" w:hAnsi="Arial"/>
                <w:sz w:val="18"/>
                <w:szCs w:val="18"/>
                <w:color w:val="auto"/>
              </w:rPr>
              <w:t>By:  /s/ David M. DeMedio</w:t>
            </w:r>
          </w:p>
        </w:tc>
      </w:tr>
      <w:tr>
        <w:trPr>
          <w:trHeight w:val="27"/>
        </w:trPr>
        <w:tc>
          <w:tcPr>
            <w:tcW w:w="3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3880" w:type="dxa"/>
            <w:vAlign w:val="bottom"/>
          </w:tcPr>
          <w:p>
            <w:pPr>
              <w:spacing w:after="0"/>
              <w:rPr>
                <w:sz w:val="2"/>
                <w:szCs w:val="2"/>
                <w:color w:val="auto"/>
              </w:rPr>
            </w:pPr>
          </w:p>
        </w:tc>
      </w:tr>
      <w:tr>
        <w:trPr>
          <w:trHeight w:val="202"/>
        </w:trPr>
        <w:tc>
          <w:tcPr>
            <w:tcW w:w="1600" w:type="dxa"/>
            <w:vAlign w:val="bottom"/>
            <w:gridSpan w:val="2"/>
          </w:tcPr>
          <w:p>
            <w:pPr>
              <w:spacing w:after="0" w:line="201" w:lineRule="exact"/>
              <w:rPr>
                <w:sz w:val="20"/>
                <w:szCs w:val="20"/>
                <w:color w:val="auto"/>
              </w:rPr>
            </w:pPr>
            <w:r>
              <w:rPr>
                <w:rFonts w:ascii="Arial" w:cs="Arial" w:eastAsia="Arial" w:hAnsi="Arial"/>
                <w:sz w:val="18"/>
                <w:szCs w:val="18"/>
                <w:color w:val="auto"/>
                <w:w w:val="95"/>
              </w:rPr>
              <w:t>Name: Kristy Phillips</w:t>
            </w:r>
          </w:p>
        </w:tc>
        <w:tc>
          <w:tcPr>
            <w:tcW w:w="2280" w:type="dxa"/>
            <w:vAlign w:val="bottom"/>
          </w:tcPr>
          <w:p>
            <w:pPr>
              <w:spacing w:after="0"/>
              <w:rPr>
                <w:sz w:val="17"/>
                <w:szCs w:val="17"/>
                <w:color w:val="auto"/>
              </w:rPr>
            </w:pPr>
          </w:p>
        </w:tc>
        <w:tc>
          <w:tcPr>
            <w:tcW w:w="7540" w:type="dxa"/>
            <w:vAlign w:val="bottom"/>
            <w:gridSpan w:val="3"/>
          </w:tcPr>
          <w:p>
            <w:pPr>
              <w:ind w:left="1620"/>
              <w:spacing w:after="0" w:line="201" w:lineRule="exact"/>
              <w:rPr>
                <w:sz w:val="20"/>
                <w:szCs w:val="20"/>
                <w:color w:val="auto"/>
              </w:rPr>
            </w:pPr>
            <w:r>
              <w:rPr>
                <w:rFonts w:ascii="Arial" w:cs="Arial" w:eastAsia="Arial" w:hAnsi="Arial"/>
                <w:sz w:val="18"/>
                <w:szCs w:val="18"/>
                <w:color w:val="auto"/>
              </w:rPr>
              <w:t>Name: David M. DeMedio</w:t>
            </w:r>
          </w:p>
        </w:tc>
      </w:tr>
      <w:tr>
        <w:trPr>
          <w:trHeight w:val="230"/>
        </w:trPr>
        <w:tc>
          <w:tcPr>
            <w:tcW w:w="3880" w:type="dxa"/>
            <w:vAlign w:val="bottom"/>
            <w:gridSpan w:val="3"/>
          </w:tcPr>
          <w:p>
            <w:pPr>
              <w:spacing w:after="0"/>
              <w:rPr>
                <w:sz w:val="20"/>
                <w:szCs w:val="20"/>
                <w:color w:val="auto"/>
              </w:rPr>
            </w:pPr>
            <w:r>
              <w:rPr>
                <w:rFonts w:ascii="Arial" w:cs="Arial" w:eastAsia="Arial" w:hAnsi="Arial"/>
                <w:sz w:val="18"/>
                <w:szCs w:val="18"/>
                <w:color w:val="auto"/>
              </w:rPr>
              <w:t>Title: Vice President</w:t>
            </w:r>
          </w:p>
        </w:tc>
        <w:tc>
          <w:tcPr>
            <w:tcW w:w="7540" w:type="dxa"/>
            <w:vAlign w:val="bottom"/>
            <w:gridSpan w:val="3"/>
          </w:tcPr>
          <w:p>
            <w:pPr>
              <w:ind w:left="1620"/>
              <w:spacing w:after="0"/>
              <w:rPr>
                <w:sz w:val="20"/>
                <w:szCs w:val="20"/>
                <w:color w:val="auto"/>
              </w:rPr>
            </w:pPr>
            <w:r>
              <w:rPr>
                <w:rFonts w:ascii="Arial" w:cs="Arial" w:eastAsia="Arial" w:hAnsi="Arial"/>
                <w:sz w:val="18"/>
                <w:szCs w:val="18"/>
                <w:color w:val="auto"/>
              </w:rPr>
              <w:t>Title: CFO</w:t>
            </w:r>
          </w:p>
        </w:tc>
      </w:tr>
      <w:tr>
        <w:trPr>
          <w:trHeight w:val="675"/>
        </w:trPr>
        <w:tc>
          <w:tcPr>
            <w:tcW w:w="340" w:type="dxa"/>
            <w:vAlign w:val="bottom"/>
            <w:tcBorders>
              <w:bottom w:val="single" w:sz="8" w:color="DCDCDC"/>
            </w:tcBorders>
          </w:tcPr>
          <w:p>
            <w:pPr>
              <w:spacing w:after="0"/>
              <w:rPr>
                <w:sz w:val="24"/>
                <w:szCs w:val="24"/>
                <w:color w:val="auto"/>
              </w:rPr>
            </w:pPr>
          </w:p>
        </w:tc>
        <w:tc>
          <w:tcPr>
            <w:tcW w:w="1260" w:type="dxa"/>
            <w:vAlign w:val="bottom"/>
            <w:tcBorders>
              <w:bottom w:val="single" w:sz="8" w:color="DCDCDC"/>
            </w:tcBorders>
          </w:tcPr>
          <w:p>
            <w:pPr>
              <w:spacing w:after="0"/>
              <w:rPr>
                <w:sz w:val="24"/>
                <w:szCs w:val="24"/>
                <w:color w:val="auto"/>
              </w:rPr>
            </w:pPr>
          </w:p>
        </w:tc>
        <w:tc>
          <w:tcPr>
            <w:tcW w:w="2280" w:type="dxa"/>
            <w:vAlign w:val="bottom"/>
            <w:tcBorders>
              <w:bottom w:val="single" w:sz="8" w:color="DCDCDC"/>
            </w:tcBorders>
          </w:tcPr>
          <w:p>
            <w:pPr>
              <w:spacing w:after="0"/>
              <w:rPr>
                <w:sz w:val="24"/>
                <w:szCs w:val="24"/>
                <w:color w:val="auto"/>
              </w:rPr>
            </w:pPr>
          </w:p>
        </w:tc>
        <w:tc>
          <w:tcPr>
            <w:tcW w:w="1960" w:type="dxa"/>
            <w:vAlign w:val="bottom"/>
            <w:tcBorders>
              <w:bottom w:val="single" w:sz="8" w:color="DCDCDC"/>
            </w:tcBorders>
          </w:tcPr>
          <w:p>
            <w:pPr>
              <w:spacing w:after="0"/>
              <w:rPr>
                <w:sz w:val="24"/>
                <w:szCs w:val="24"/>
                <w:color w:val="auto"/>
              </w:rPr>
            </w:pPr>
          </w:p>
        </w:tc>
        <w:tc>
          <w:tcPr>
            <w:tcW w:w="1700" w:type="dxa"/>
            <w:vAlign w:val="bottom"/>
            <w:tcBorders>
              <w:bottom w:val="single" w:sz="8" w:color="DCDCDC"/>
            </w:tcBorders>
          </w:tcPr>
          <w:p>
            <w:pPr>
              <w:spacing w:after="0"/>
              <w:rPr>
                <w:sz w:val="24"/>
                <w:szCs w:val="24"/>
                <w:color w:val="auto"/>
              </w:rPr>
            </w:pPr>
          </w:p>
        </w:tc>
        <w:tc>
          <w:tcPr>
            <w:tcW w:w="38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22" w:right="239" w:bottom="1440" w:gutter="0" w:footer="0" w:header="0"/>
        </w:sectPr>
      </w:pPr>
    </w:p>
    <w:bookmarkStart w:id="170" w:name="page171"/>
    <w:bookmarkEnd w:id="1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40" w:type="dxa"/>
            <w:vAlign w:val="bottom"/>
          </w:tcPr>
          <w:p>
            <w:pPr>
              <w:ind w:left="780"/>
              <w:spacing w:after="0"/>
              <w:rPr>
                <w:sz w:val="20"/>
                <w:szCs w:val="20"/>
                <w:color w:val="auto"/>
              </w:rPr>
            </w:pPr>
            <w:r>
              <w:rPr>
                <w:rFonts w:ascii="Arial" w:cs="Arial" w:eastAsia="Arial" w:hAnsi="Arial"/>
                <w:sz w:val="18"/>
                <w:szCs w:val="18"/>
                <w:b w:val="1"/>
                <w:bCs w:val="1"/>
                <w:color w:val="auto"/>
              </w:rPr>
              <w:t>EXHIBIT A</w:t>
            </w: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59"/>
        </w:trPr>
        <w:tc>
          <w:tcPr>
            <w:tcW w:w="1840" w:type="dxa"/>
            <w:vAlign w:val="bottom"/>
          </w:tcPr>
          <w:p>
            <w:pPr>
              <w:ind w:left="120"/>
              <w:spacing w:after="0"/>
              <w:rPr>
                <w:sz w:val="20"/>
                <w:szCs w:val="20"/>
                <w:color w:val="auto"/>
              </w:rPr>
            </w:pPr>
            <w:r>
              <w:rPr>
                <w:rFonts w:ascii="Arial" w:cs="Arial" w:eastAsia="Arial" w:hAnsi="Arial"/>
                <w:sz w:val="18"/>
                <w:szCs w:val="18"/>
                <w:b w:val="1"/>
                <w:bCs w:val="1"/>
                <w:color w:val="auto"/>
              </w:rPr>
              <w:t>Lessee:</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w w:val="94"/>
              </w:rPr>
              <w:t>USA Technologies, Inc.</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1840" w:type="dxa"/>
            <w:vAlign w:val="bottom"/>
          </w:tcPr>
          <w:p>
            <w:pPr>
              <w:ind w:left="120"/>
              <w:spacing w:after="0"/>
              <w:rPr>
                <w:sz w:val="20"/>
                <w:szCs w:val="20"/>
                <w:color w:val="auto"/>
              </w:rPr>
            </w:pPr>
            <w:r>
              <w:rPr>
                <w:rFonts w:ascii="Arial" w:cs="Arial" w:eastAsia="Arial" w:hAnsi="Arial"/>
                <w:sz w:val="18"/>
                <w:szCs w:val="18"/>
                <w:b w:val="1"/>
                <w:bCs w:val="1"/>
                <w:color w:val="auto"/>
              </w:rPr>
              <w:t>ML dated:</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April 30, 2014</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1840" w:type="dxa"/>
            <w:vAlign w:val="bottom"/>
          </w:tcPr>
          <w:p>
            <w:pPr>
              <w:ind w:left="120"/>
              <w:spacing w:after="0"/>
              <w:rPr>
                <w:sz w:val="20"/>
                <w:szCs w:val="20"/>
                <w:color w:val="auto"/>
              </w:rPr>
            </w:pPr>
            <w:r>
              <w:rPr>
                <w:rFonts w:ascii="Arial" w:cs="Arial" w:eastAsia="Arial" w:hAnsi="Arial"/>
                <w:sz w:val="18"/>
                <w:szCs w:val="18"/>
                <w:b w:val="1"/>
                <w:bCs w:val="1"/>
                <w:color w:val="auto"/>
              </w:rPr>
              <w:t>Schedule No.:</w:t>
            </w:r>
          </w:p>
        </w:tc>
        <w:tc>
          <w:tcPr>
            <w:tcW w:w="1040" w:type="dxa"/>
            <w:vAlign w:val="bottom"/>
          </w:tcPr>
          <w:p>
            <w:pPr>
              <w:ind w:left="120"/>
              <w:spacing w:after="0"/>
              <w:rPr>
                <w:sz w:val="20"/>
                <w:szCs w:val="20"/>
                <w:color w:val="auto"/>
              </w:rPr>
            </w:pPr>
            <w:r>
              <w:rPr>
                <w:rFonts w:ascii="Arial" w:cs="Arial" w:eastAsia="Arial" w:hAnsi="Arial"/>
                <w:sz w:val="18"/>
                <w:szCs w:val="18"/>
                <w:color w:val="auto"/>
              </w:rPr>
              <w:t>03</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b w:val="1"/>
                <w:bCs w:val="1"/>
                <w:color w:val="auto"/>
              </w:rPr>
              <w:t>$ 1,099,944.86</w:t>
            </w:r>
          </w:p>
        </w:tc>
      </w:tr>
      <w:tr>
        <w:trPr>
          <w:trHeight w:val="439"/>
        </w:trPr>
        <w:tc>
          <w:tcPr>
            <w:tcW w:w="18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Location:</w:t>
            </w:r>
          </w:p>
        </w:tc>
        <w:tc>
          <w:tcPr>
            <w:tcW w:w="576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color w:val="auto"/>
              </w:rPr>
              <w:t>Headquartered at 100 Deerfield Lane, Suite 140, Malvern, PA 19355</w:t>
            </w:r>
          </w:p>
        </w:tc>
        <w:tc>
          <w:tcPr>
            <w:tcW w:w="1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198"/>
        </w:trPr>
        <w:tc>
          <w:tcPr>
            <w:tcW w:w="1840" w:type="dxa"/>
            <w:vAlign w:val="bottom"/>
            <w:tcBorders>
              <w:right w:val="single" w:sz="8" w:color="auto"/>
            </w:tcBorders>
          </w:tcPr>
          <w:p>
            <w:pPr>
              <w:ind w:left="120"/>
              <w:spacing w:after="0" w:line="198" w:lineRule="exact"/>
              <w:rPr>
                <w:sz w:val="20"/>
                <w:szCs w:val="20"/>
                <w:color w:val="auto"/>
              </w:rPr>
            </w:pPr>
            <w:r>
              <w:rPr>
                <w:rFonts w:ascii="Arial" w:cs="Arial" w:eastAsia="Arial" w:hAnsi="Arial"/>
                <w:sz w:val="18"/>
                <w:szCs w:val="18"/>
                <w:b w:val="1"/>
                <w:bCs w:val="1"/>
                <w:color w:val="auto"/>
              </w:rPr>
              <w:t>Vendor</w:t>
            </w:r>
          </w:p>
        </w:tc>
        <w:tc>
          <w:tcPr>
            <w:tcW w:w="1040" w:type="dxa"/>
            <w:vAlign w:val="bottom"/>
            <w:tcBorders>
              <w:right w:val="single" w:sz="8" w:color="auto"/>
            </w:tcBorders>
          </w:tcPr>
          <w:p>
            <w:pPr>
              <w:ind w:left="120"/>
              <w:spacing w:after="0" w:line="198" w:lineRule="exact"/>
              <w:rPr>
                <w:sz w:val="20"/>
                <w:szCs w:val="20"/>
                <w:color w:val="auto"/>
              </w:rPr>
            </w:pPr>
            <w:r>
              <w:rPr>
                <w:rFonts w:ascii="Arial" w:cs="Arial" w:eastAsia="Arial" w:hAnsi="Arial"/>
                <w:sz w:val="18"/>
                <w:szCs w:val="18"/>
                <w:b w:val="1"/>
                <w:bCs w:val="1"/>
                <w:color w:val="auto"/>
              </w:rPr>
              <w:t>Invoice</w:t>
            </w:r>
          </w:p>
        </w:tc>
        <w:tc>
          <w:tcPr>
            <w:tcW w:w="90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b w:val="1"/>
                <w:bCs w:val="1"/>
                <w:color w:val="auto"/>
              </w:rPr>
              <w:t>Auth</w:t>
            </w:r>
          </w:p>
        </w:tc>
        <w:tc>
          <w:tcPr>
            <w:tcW w:w="520" w:type="dxa"/>
            <w:vAlign w:val="bottom"/>
          </w:tcPr>
          <w:p>
            <w:pPr>
              <w:ind w:left="120"/>
              <w:spacing w:after="0" w:line="198" w:lineRule="exact"/>
              <w:rPr>
                <w:sz w:val="20"/>
                <w:szCs w:val="20"/>
                <w:color w:val="auto"/>
              </w:rPr>
            </w:pPr>
            <w:r>
              <w:rPr>
                <w:rFonts w:ascii="Arial" w:cs="Arial" w:eastAsia="Arial" w:hAnsi="Arial"/>
                <w:sz w:val="18"/>
                <w:szCs w:val="18"/>
                <w:b w:val="1"/>
                <w:bCs w:val="1"/>
                <w:color w:val="auto"/>
              </w:rPr>
              <w:t>Qty</w:t>
            </w:r>
          </w:p>
        </w:tc>
        <w:tc>
          <w:tcPr>
            <w:tcW w:w="160" w:type="dxa"/>
            <w:vAlign w:val="bottom"/>
            <w:tcBorders>
              <w:right w:val="single" w:sz="8" w:color="auto"/>
            </w:tcBorders>
          </w:tcPr>
          <w:p>
            <w:pPr>
              <w:spacing w:after="0"/>
              <w:rPr>
                <w:sz w:val="17"/>
                <w:szCs w:val="17"/>
                <w:color w:val="auto"/>
              </w:rPr>
            </w:pPr>
          </w:p>
        </w:tc>
        <w:tc>
          <w:tcPr>
            <w:tcW w:w="3140" w:type="dxa"/>
            <w:vAlign w:val="bottom"/>
            <w:tcBorders>
              <w:right w:val="single" w:sz="8" w:color="auto"/>
            </w:tcBorders>
          </w:tcPr>
          <w:p>
            <w:pPr>
              <w:ind w:left="120"/>
              <w:spacing w:after="0" w:line="198" w:lineRule="exact"/>
              <w:rPr>
                <w:sz w:val="20"/>
                <w:szCs w:val="20"/>
                <w:color w:val="auto"/>
              </w:rPr>
            </w:pPr>
            <w:r>
              <w:rPr>
                <w:rFonts w:ascii="Arial" w:cs="Arial" w:eastAsia="Arial" w:hAnsi="Arial"/>
                <w:sz w:val="18"/>
                <w:szCs w:val="18"/>
                <w:b w:val="1"/>
                <w:bCs w:val="1"/>
                <w:color w:val="auto"/>
              </w:rPr>
              <w:t>Description</w:t>
            </w:r>
          </w:p>
        </w:tc>
        <w:tc>
          <w:tcPr>
            <w:tcW w:w="12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b w:val="1"/>
                <w:bCs w:val="1"/>
                <w:color w:val="auto"/>
              </w:rPr>
              <w:t>Serial</w:t>
            </w:r>
          </w:p>
        </w:tc>
        <w:tc>
          <w:tcPr>
            <w:tcW w:w="1160" w:type="dxa"/>
            <w:vAlign w:val="bottom"/>
            <w:tcBorders>
              <w:right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Cost</w:t>
            </w:r>
          </w:p>
        </w:tc>
        <w:tc>
          <w:tcPr>
            <w:tcW w:w="140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rPr>
              <w:t>Total</w:t>
            </w:r>
          </w:p>
        </w:tc>
      </w:tr>
      <w:tr>
        <w:trPr>
          <w:trHeight w:val="241"/>
        </w:trPr>
        <w:tc>
          <w:tcPr>
            <w:tcW w:w="18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No.</w:t>
            </w:r>
          </w:p>
        </w:tc>
        <w:tc>
          <w:tcPr>
            <w:tcW w:w="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No.</w:t>
            </w:r>
          </w:p>
        </w:tc>
        <w:tc>
          <w:tcPr>
            <w:tcW w:w="5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31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No.</w:t>
            </w:r>
          </w:p>
        </w:tc>
        <w:tc>
          <w:tcPr>
            <w:tcW w:w="11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per Item</w:t>
            </w:r>
          </w:p>
        </w:tc>
        <w:tc>
          <w:tcPr>
            <w:tcW w:w="1400" w:type="dxa"/>
            <w:vAlign w:val="bottom"/>
            <w:tcBorders>
              <w:bottom w:val="single" w:sz="8" w:color="auto"/>
            </w:tcBorders>
          </w:tcPr>
          <w:p>
            <w:pPr>
              <w:spacing w:after="0"/>
              <w:rPr>
                <w:sz w:val="20"/>
                <w:szCs w:val="20"/>
                <w:color w:val="auto"/>
              </w:rPr>
            </w:pPr>
          </w:p>
        </w:tc>
      </w:tr>
      <w:tr>
        <w:trPr>
          <w:trHeight w:val="223"/>
        </w:trPr>
        <w:tc>
          <w:tcPr>
            <w:tcW w:w="18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02"/>
        </w:trPr>
        <w:tc>
          <w:tcPr>
            <w:tcW w:w="18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0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113505</w:t>
            </w:r>
          </w:p>
        </w:tc>
        <w:tc>
          <w:tcPr>
            <w:tcW w:w="9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520" w:type="dxa"/>
            <w:vAlign w:val="bottom"/>
          </w:tcPr>
          <w:p>
            <w:pPr>
              <w:ind w:left="120"/>
              <w:spacing w:after="0" w:line="201" w:lineRule="exact"/>
              <w:rPr>
                <w:sz w:val="20"/>
                <w:szCs w:val="20"/>
                <w:color w:val="auto"/>
              </w:rPr>
            </w:pPr>
            <w:r>
              <w:rPr>
                <w:rFonts w:ascii="Arial" w:cs="Arial" w:eastAsia="Arial" w:hAnsi="Arial"/>
                <w:sz w:val="18"/>
                <w:szCs w:val="18"/>
                <w:color w:val="auto"/>
              </w:rPr>
              <w:t>198</w:t>
            </w:r>
          </w:p>
        </w:tc>
        <w:tc>
          <w:tcPr>
            <w:tcW w:w="160" w:type="dxa"/>
            <w:vAlign w:val="bottom"/>
            <w:tcBorders>
              <w:right w:val="single" w:sz="8" w:color="auto"/>
            </w:tcBorders>
          </w:tcPr>
          <w:p>
            <w:pPr>
              <w:spacing w:after="0"/>
              <w:rPr>
                <w:sz w:val="17"/>
                <w:szCs w:val="17"/>
                <w:color w:val="auto"/>
              </w:rPr>
            </w:pPr>
          </w:p>
        </w:tc>
        <w:tc>
          <w:tcPr>
            <w:tcW w:w="31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Gray</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0</w:t>
            </w:r>
          </w:p>
        </w:tc>
        <w:tc>
          <w:tcPr>
            <w:tcW w:w="116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$149.57</w:t>
            </w:r>
          </w:p>
        </w:tc>
        <w:tc>
          <w:tcPr>
            <w:tcW w:w="14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$ 29,614.86</w:t>
            </w:r>
          </w:p>
        </w:tc>
      </w:tr>
      <w:tr>
        <w:trPr>
          <w:trHeight w:val="216"/>
        </w:trPr>
        <w:tc>
          <w:tcPr>
            <w:tcW w:w="18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0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G8ePort Verizon CDMA</w:t>
            </w:r>
          </w:p>
        </w:tc>
        <w:tc>
          <w:tcPr>
            <w:tcW w:w="12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r>
        <w:trPr>
          <w:trHeight w:val="237"/>
        </w:trPr>
        <w:tc>
          <w:tcPr>
            <w:tcW w:w="18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3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Wireless with RFID card</w:t>
            </w:r>
          </w:p>
        </w:tc>
        <w:tc>
          <w:tcPr>
            <w:tcW w:w="126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02"/>
        </w:trPr>
        <w:tc>
          <w:tcPr>
            <w:tcW w:w="18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On Track</w:t>
            </w:r>
          </w:p>
        </w:tc>
        <w:tc>
          <w:tcPr>
            <w:tcW w:w="10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111011</w:t>
            </w:r>
          </w:p>
        </w:tc>
        <w:tc>
          <w:tcPr>
            <w:tcW w:w="9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520" w:type="dxa"/>
            <w:vAlign w:val="bottom"/>
          </w:tcPr>
          <w:p>
            <w:pPr>
              <w:ind w:left="120"/>
              <w:spacing w:after="0" w:line="201" w:lineRule="exact"/>
              <w:rPr>
                <w:sz w:val="20"/>
                <w:szCs w:val="20"/>
                <w:color w:val="auto"/>
              </w:rPr>
            </w:pPr>
            <w:r>
              <w:rPr>
                <w:rFonts w:ascii="Arial" w:cs="Arial" w:eastAsia="Arial" w:hAnsi="Arial"/>
                <w:sz w:val="18"/>
                <w:szCs w:val="18"/>
                <w:color w:val="auto"/>
                <w:w w:val="94"/>
              </w:rPr>
              <w:t>1200</w:t>
            </w:r>
          </w:p>
        </w:tc>
        <w:tc>
          <w:tcPr>
            <w:tcW w:w="160" w:type="dxa"/>
            <w:vAlign w:val="bottom"/>
            <w:tcBorders>
              <w:right w:val="single" w:sz="8" w:color="auto"/>
            </w:tcBorders>
          </w:tcPr>
          <w:p>
            <w:pPr>
              <w:spacing w:after="0"/>
              <w:rPr>
                <w:sz w:val="17"/>
                <w:szCs w:val="17"/>
                <w:color w:val="auto"/>
              </w:rPr>
            </w:pPr>
          </w:p>
        </w:tc>
        <w:tc>
          <w:tcPr>
            <w:tcW w:w="31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Saturn 6500 G6A-RS232</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0</w:t>
            </w:r>
          </w:p>
        </w:tc>
        <w:tc>
          <w:tcPr>
            <w:tcW w:w="116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$ 69.95</w:t>
            </w:r>
          </w:p>
        </w:tc>
        <w:tc>
          <w:tcPr>
            <w:tcW w:w="14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$ 83,940.00</w:t>
            </w:r>
          </w:p>
        </w:tc>
      </w:tr>
      <w:tr>
        <w:trPr>
          <w:trHeight w:val="230"/>
        </w:trPr>
        <w:tc>
          <w:tcPr>
            <w:tcW w:w="18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Innovations Ltd.</w:t>
            </w:r>
          </w:p>
        </w:tc>
        <w:tc>
          <w:tcPr>
            <w:tcW w:w="104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with Extension Kit</w:t>
            </w:r>
          </w:p>
        </w:tc>
        <w:tc>
          <w:tcPr>
            <w:tcW w:w="12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223"/>
        </w:trPr>
        <w:tc>
          <w:tcPr>
            <w:tcW w:w="18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02"/>
        </w:trPr>
        <w:tc>
          <w:tcPr>
            <w:tcW w:w="18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On Track</w:t>
            </w:r>
          </w:p>
        </w:tc>
        <w:tc>
          <w:tcPr>
            <w:tcW w:w="10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111012</w:t>
            </w:r>
          </w:p>
        </w:tc>
        <w:tc>
          <w:tcPr>
            <w:tcW w:w="9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520" w:type="dxa"/>
            <w:vAlign w:val="bottom"/>
          </w:tcPr>
          <w:p>
            <w:pPr>
              <w:ind w:left="120"/>
              <w:spacing w:after="0" w:line="201" w:lineRule="exact"/>
              <w:rPr>
                <w:sz w:val="20"/>
                <w:szCs w:val="20"/>
                <w:color w:val="auto"/>
              </w:rPr>
            </w:pPr>
            <w:r>
              <w:rPr>
                <w:rFonts w:ascii="Arial" w:cs="Arial" w:eastAsia="Arial" w:hAnsi="Arial"/>
                <w:sz w:val="18"/>
                <w:szCs w:val="18"/>
                <w:color w:val="auto"/>
                <w:w w:val="94"/>
              </w:rPr>
              <w:t>2040</w:t>
            </w:r>
          </w:p>
        </w:tc>
        <w:tc>
          <w:tcPr>
            <w:tcW w:w="160" w:type="dxa"/>
            <w:vAlign w:val="bottom"/>
            <w:tcBorders>
              <w:right w:val="single" w:sz="8" w:color="auto"/>
            </w:tcBorders>
          </w:tcPr>
          <w:p>
            <w:pPr>
              <w:spacing w:after="0"/>
              <w:rPr>
                <w:sz w:val="17"/>
                <w:szCs w:val="17"/>
                <w:color w:val="auto"/>
              </w:rPr>
            </w:pPr>
          </w:p>
        </w:tc>
        <w:tc>
          <w:tcPr>
            <w:tcW w:w="31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Saturn 6500 G6A-RS232</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0</w:t>
            </w:r>
          </w:p>
        </w:tc>
        <w:tc>
          <w:tcPr>
            <w:tcW w:w="116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$ 69.95</w:t>
            </w:r>
          </w:p>
        </w:tc>
        <w:tc>
          <w:tcPr>
            <w:tcW w:w="14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$142,698.00</w:t>
            </w:r>
          </w:p>
        </w:tc>
      </w:tr>
      <w:tr>
        <w:trPr>
          <w:trHeight w:val="230"/>
        </w:trPr>
        <w:tc>
          <w:tcPr>
            <w:tcW w:w="18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Innovations Ltd.</w:t>
            </w:r>
          </w:p>
        </w:tc>
        <w:tc>
          <w:tcPr>
            <w:tcW w:w="104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with Extension Kit</w:t>
            </w:r>
          </w:p>
        </w:tc>
        <w:tc>
          <w:tcPr>
            <w:tcW w:w="12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223"/>
        </w:trPr>
        <w:tc>
          <w:tcPr>
            <w:tcW w:w="18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02"/>
        </w:trPr>
        <w:tc>
          <w:tcPr>
            <w:tcW w:w="18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On Track</w:t>
            </w:r>
          </w:p>
        </w:tc>
        <w:tc>
          <w:tcPr>
            <w:tcW w:w="10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111014</w:t>
            </w:r>
          </w:p>
        </w:tc>
        <w:tc>
          <w:tcPr>
            <w:tcW w:w="9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520" w:type="dxa"/>
            <w:vAlign w:val="bottom"/>
          </w:tcPr>
          <w:p>
            <w:pPr>
              <w:ind w:left="120"/>
              <w:spacing w:after="0" w:line="201" w:lineRule="exact"/>
              <w:rPr>
                <w:sz w:val="20"/>
                <w:szCs w:val="20"/>
                <w:color w:val="auto"/>
              </w:rPr>
            </w:pPr>
            <w:r>
              <w:rPr>
                <w:rFonts w:ascii="Arial" w:cs="Arial" w:eastAsia="Arial" w:hAnsi="Arial"/>
                <w:sz w:val="18"/>
                <w:szCs w:val="18"/>
                <w:color w:val="auto"/>
              </w:rPr>
              <w:t>720</w:t>
            </w:r>
          </w:p>
        </w:tc>
        <w:tc>
          <w:tcPr>
            <w:tcW w:w="160" w:type="dxa"/>
            <w:vAlign w:val="bottom"/>
            <w:tcBorders>
              <w:right w:val="single" w:sz="8" w:color="auto"/>
            </w:tcBorders>
          </w:tcPr>
          <w:p>
            <w:pPr>
              <w:spacing w:after="0"/>
              <w:rPr>
                <w:sz w:val="17"/>
                <w:szCs w:val="17"/>
                <w:color w:val="auto"/>
              </w:rPr>
            </w:pPr>
          </w:p>
        </w:tc>
        <w:tc>
          <w:tcPr>
            <w:tcW w:w="31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Saturn 6500 G6A-RS232</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0</w:t>
            </w:r>
          </w:p>
        </w:tc>
        <w:tc>
          <w:tcPr>
            <w:tcW w:w="116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$ 69.95</w:t>
            </w:r>
          </w:p>
        </w:tc>
        <w:tc>
          <w:tcPr>
            <w:tcW w:w="14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$ 50,364.00</w:t>
            </w:r>
          </w:p>
        </w:tc>
      </w:tr>
      <w:tr>
        <w:trPr>
          <w:trHeight w:val="230"/>
        </w:trPr>
        <w:tc>
          <w:tcPr>
            <w:tcW w:w="18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Innovations Ltd.</w:t>
            </w:r>
          </w:p>
        </w:tc>
        <w:tc>
          <w:tcPr>
            <w:tcW w:w="104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with Extension Kit</w:t>
            </w:r>
          </w:p>
        </w:tc>
        <w:tc>
          <w:tcPr>
            <w:tcW w:w="12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223"/>
        </w:trPr>
        <w:tc>
          <w:tcPr>
            <w:tcW w:w="18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02"/>
        </w:trPr>
        <w:tc>
          <w:tcPr>
            <w:tcW w:w="18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On Track</w:t>
            </w:r>
          </w:p>
        </w:tc>
        <w:tc>
          <w:tcPr>
            <w:tcW w:w="10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111070</w:t>
            </w:r>
          </w:p>
        </w:tc>
        <w:tc>
          <w:tcPr>
            <w:tcW w:w="9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520" w:type="dxa"/>
            <w:vAlign w:val="bottom"/>
          </w:tcPr>
          <w:p>
            <w:pPr>
              <w:ind w:left="120"/>
              <w:spacing w:after="0" w:line="201" w:lineRule="exact"/>
              <w:rPr>
                <w:sz w:val="20"/>
                <w:szCs w:val="20"/>
                <w:color w:val="auto"/>
              </w:rPr>
            </w:pPr>
            <w:r>
              <w:rPr>
                <w:rFonts w:ascii="Arial" w:cs="Arial" w:eastAsia="Arial" w:hAnsi="Arial"/>
                <w:sz w:val="18"/>
                <w:szCs w:val="18"/>
                <w:color w:val="auto"/>
                <w:w w:val="94"/>
              </w:rPr>
              <w:t>1400</w:t>
            </w:r>
          </w:p>
        </w:tc>
        <w:tc>
          <w:tcPr>
            <w:tcW w:w="160" w:type="dxa"/>
            <w:vAlign w:val="bottom"/>
            <w:tcBorders>
              <w:right w:val="single" w:sz="8" w:color="auto"/>
            </w:tcBorders>
          </w:tcPr>
          <w:p>
            <w:pPr>
              <w:spacing w:after="0"/>
              <w:rPr>
                <w:sz w:val="17"/>
                <w:szCs w:val="17"/>
                <w:color w:val="auto"/>
              </w:rPr>
            </w:pPr>
          </w:p>
        </w:tc>
        <w:tc>
          <w:tcPr>
            <w:tcW w:w="31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Saturn 6500 G6A-RS232</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0</w:t>
            </w:r>
          </w:p>
        </w:tc>
        <w:tc>
          <w:tcPr>
            <w:tcW w:w="116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$ 69.95</w:t>
            </w:r>
          </w:p>
        </w:tc>
        <w:tc>
          <w:tcPr>
            <w:tcW w:w="14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$ 97,930.00</w:t>
            </w:r>
          </w:p>
        </w:tc>
      </w:tr>
      <w:tr>
        <w:trPr>
          <w:trHeight w:val="230"/>
        </w:trPr>
        <w:tc>
          <w:tcPr>
            <w:tcW w:w="18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Innovations Ltd.</w:t>
            </w:r>
          </w:p>
        </w:tc>
        <w:tc>
          <w:tcPr>
            <w:tcW w:w="104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with Extension Kit</w:t>
            </w:r>
          </w:p>
        </w:tc>
        <w:tc>
          <w:tcPr>
            <w:tcW w:w="12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223"/>
        </w:trPr>
        <w:tc>
          <w:tcPr>
            <w:tcW w:w="18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02"/>
        </w:trPr>
        <w:tc>
          <w:tcPr>
            <w:tcW w:w="18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On Track</w:t>
            </w:r>
          </w:p>
        </w:tc>
        <w:tc>
          <w:tcPr>
            <w:tcW w:w="10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111070</w:t>
            </w:r>
          </w:p>
        </w:tc>
        <w:tc>
          <w:tcPr>
            <w:tcW w:w="9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520" w:type="dxa"/>
            <w:vAlign w:val="bottom"/>
          </w:tcPr>
          <w:p>
            <w:pPr>
              <w:ind w:left="120"/>
              <w:spacing w:after="0" w:line="201" w:lineRule="exact"/>
              <w:rPr>
                <w:sz w:val="20"/>
                <w:szCs w:val="20"/>
                <w:color w:val="auto"/>
              </w:rPr>
            </w:pPr>
            <w:r>
              <w:rPr>
                <w:rFonts w:ascii="Arial" w:cs="Arial" w:eastAsia="Arial" w:hAnsi="Arial"/>
                <w:sz w:val="18"/>
                <w:szCs w:val="18"/>
                <w:color w:val="auto"/>
              </w:rPr>
              <w:t>314</w:t>
            </w:r>
          </w:p>
        </w:tc>
        <w:tc>
          <w:tcPr>
            <w:tcW w:w="160" w:type="dxa"/>
            <w:vAlign w:val="bottom"/>
            <w:tcBorders>
              <w:right w:val="single" w:sz="8" w:color="auto"/>
            </w:tcBorders>
          </w:tcPr>
          <w:p>
            <w:pPr>
              <w:spacing w:after="0"/>
              <w:rPr>
                <w:sz w:val="17"/>
                <w:szCs w:val="17"/>
                <w:color w:val="auto"/>
              </w:rPr>
            </w:pPr>
          </w:p>
        </w:tc>
        <w:tc>
          <w:tcPr>
            <w:tcW w:w="31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Saturn 6500 G6A-RS232</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0</w:t>
            </w:r>
          </w:p>
        </w:tc>
        <w:tc>
          <w:tcPr>
            <w:tcW w:w="116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$ 69.95</w:t>
            </w:r>
          </w:p>
        </w:tc>
        <w:tc>
          <w:tcPr>
            <w:tcW w:w="14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$ 21,964.30</w:t>
            </w:r>
          </w:p>
        </w:tc>
      </w:tr>
      <w:tr>
        <w:trPr>
          <w:trHeight w:val="230"/>
        </w:trPr>
        <w:tc>
          <w:tcPr>
            <w:tcW w:w="18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Innovations Ltd.</w:t>
            </w:r>
          </w:p>
        </w:tc>
        <w:tc>
          <w:tcPr>
            <w:tcW w:w="104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with Extension Kit</w:t>
            </w:r>
          </w:p>
        </w:tc>
        <w:tc>
          <w:tcPr>
            <w:tcW w:w="12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223"/>
        </w:trPr>
        <w:tc>
          <w:tcPr>
            <w:tcW w:w="18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02"/>
        </w:trPr>
        <w:tc>
          <w:tcPr>
            <w:tcW w:w="18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On Track</w:t>
            </w:r>
          </w:p>
        </w:tc>
        <w:tc>
          <w:tcPr>
            <w:tcW w:w="10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111070</w:t>
            </w:r>
          </w:p>
        </w:tc>
        <w:tc>
          <w:tcPr>
            <w:tcW w:w="9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520" w:type="dxa"/>
            <w:vAlign w:val="bottom"/>
          </w:tcPr>
          <w:p>
            <w:pPr>
              <w:ind w:left="120"/>
              <w:spacing w:after="0" w:line="201" w:lineRule="exact"/>
              <w:rPr>
                <w:sz w:val="20"/>
                <w:szCs w:val="20"/>
                <w:color w:val="auto"/>
              </w:rPr>
            </w:pPr>
            <w:r>
              <w:rPr>
                <w:rFonts w:ascii="Arial" w:cs="Arial" w:eastAsia="Arial" w:hAnsi="Arial"/>
                <w:sz w:val="18"/>
                <w:szCs w:val="18"/>
                <w:color w:val="auto"/>
              </w:rPr>
              <w:t>543</w:t>
            </w:r>
          </w:p>
        </w:tc>
        <w:tc>
          <w:tcPr>
            <w:tcW w:w="160" w:type="dxa"/>
            <w:vAlign w:val="bottom"/>
            <w:tcBorders>
              <w:right w:val="single" w:sz="8" w:color="auto"/>
            </w:tcBorders>
          </w:tcPr>
          <w:p>
            <w:pPr>
              <w:spacing w:after="0"/>
              <w:rPr>
                <w:sz w:val="17"/>
                <w:szCs w:val="17"/>
                <w:color w:val="auto"/>
              </w:rPr>
            </w:pPr>
          </w:p>
        </w:tc>
        <w:tc>
          <w:tcPr>
            <w:tcW w:w="31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Saturn 6500 G6A-RS232</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0</w:t>
            </w:r>
          </w:p>
        </w:tc>
        <w:tc>
          <w:tcPr>
            <w:tcW w:w="116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$ 69.95</w:t>
            </w:r>
          </w:p>
        </w:tc>
        <w:tc>
          <w:tcPr>
            <w:tcW w:w="14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$ 37,982.85</w:t>
            </w:r>
          </w:p>
        </w:tc>
      </w:tr>
      <w:tr>
        <w:trPr>
          <w:trHeight w:val="230"/>
        </w:trPr>
        <w:tc>
          <w:tcPr>
            <w:tcW w:w="18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Innovations Ltd.</w:t>
            </w:r>
          </w:p>
        </w:tc>
        <w:tc>
          <w:tcPr>
            <w:tcW w:w="104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with Extension Kit</w:t>
            </w:r>
          </w:p>
        </w:tc>
        <w:tc>
          <w:tcPr>
            <w:tcW w:w="12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223"/>
        </w:trPr>
        <w:tc>
          <w:tcPr>
            <w:tcW w:w="18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02"/>
        </w:trPr>
        <w:tc>
          <w:tcPr>
            <w:tcW w:w="18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On Track</w:t>
            </w:r>
          </w:p>
        </w:tc>
        <w:tc>
          <w:tcPr>
            <w:tcW w:w="10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111089</w:t>
            </w:r>
          </w:p>
        </w:tc>
        <w:tc>
          <w:tcPr>
            <w:tcW w:w="9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520" w:type="dxa"/>
            <w:vAlign w:val="bottom"/>
          </w:tcPr>
          <w:p>
            <w:pPr>
              <w:ind w:left="120"/>
              <w:spacing w:after="0" w:line="201" w:lineRule="exact"/>
              <w:rPr>
                <w:sz w:val="20"/>
                <w:szCs w:val="20"/>
                <w:color w:val="auto"/>
              </w:rPr>
            </w:pPr>
            <w:r>
              <w:rPr>
                <w:rFonts w:ascii="Arial" w:cs="Arial" w:eastAsia="Arial" w:hAnsi="Arial"/>
                <w:sz w:val="18"/>
                <w:szCs w:val="18"/>
                <w:color w:val="auto"/>
              </w:rPr>
              <w:t>20</w:t>
            </w:r>
          </w:p>
        </w:tc>
        <w:tc>
          <w:tcPr>
            <w:tcW w:w="160" w:type="dxa"/>
            <w:vAlign w:val="bottom"/>
            <w:tcBorders>
              <w:right w:val="single" w:sz="8" w:color="auto"/>
            </w:tcBorders>
          </w:tcPr>
          <w:p>
            <w:pPr>
              <w:spacing w:after="0"/>
              <w:rPr>
                <w:sz w:val="17"/>
                <w:szCs w:val="17"/>
                <w:color w:val="auto"/>
              </w:rPr>
            </w:pPr>
          </w:p>
        </w:tc>
        <w:tc>
          <w:tcPr>
            <w:tcW w:w="31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Saturn 6500 G6A-RS232</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0</w:t>
            </w:r>
          </w:p>
        </w:tc>
        <w:tc>
          <w:tcPr>
            <w:tcW w:w="116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$ 69.95</w:t>
            </w:r>
          </w:p>
        </w:tc>
        <w:tc>
          <w:tcPr>
            <w:tcW w:w="14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  1,399.00</w:t>
            </w:r>
          </w:p>
        </w:tc>
      </w:tr>
      <w:tr>
        <w:trPr>
          <w:trHeight w:val="230"/>
        </w:trPr>
        <w:tc>
          <w:tcPr>
            <w:tcW w:w="18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Innovations Ltd.</w:t>
            </w:r>
          </w:p>
        </w:tc>
        <w:tc>
          <w:tcPr>
            <w:tcW w:w="104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with Extension Kit</w:t>
            </w:r>
          </w:p>
        </w:tc>
        <w:tc>
          <w:tcPr>
            <w:tcW w:w="12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223"/>
        </w:trPr>
        <w:tc>
          <w:tcPr>
            <w:tcW w:w="18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02"/>
        </w:trPr>
        <w:tc>
          <w:tcPr>
            <w:tcW w:w="18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On Track</w:t>
            </w:r>
          </w:p>
        </w:tc>
        <w:tc>
          <w:tcPr>
            <w:tcW w:w="10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111089</w:t>
            </w:r>
          </w:p>
        </w:tc>
        <w:tc>
          <w:tcPr>
            <w:tcW w:w="9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520" w:type="dxa"/>
            <w:vAlign w:val="bottom"/>
          </w:tcPr>
          <w:p>
            <w:pPr>
              <w:ind w:left="120"/>
              <w:spacing w:after="0" w:line="201" w:lineRule="exact"/>
              <w:rPr>
                <w:sz w:val="20"/>
                <w:szCs w:val="20"/>
                <w:color w:val="auto"/>
              </w:rPr>
            </w:pPr>
            <w:r>
              <w:rPr>
                <w:rFonts w:ascii="Arial" w:cs="Arial" w:eastAsia="Arial" w:hAnsi="Arial"/>
                <w:sz w:val="18"/>
                <w:szCs w:val="18"/>
                <w:color w:val="auto"/>
                <w:w w:val="94"/>
              </w:rPr>
              <w:t>1297</w:t>
            </w:r>
          </w:p>
        </w:tc>
        <w:tc>
          <w:tcPr>
            <w:tcW w:w="160" w:type="dxa"/>
            <w:vAlign w:val="bottom"/>
            <w:tcBorders>
              <w:right w:val="single" w:sz="8" w:color="auto"/>
            </w:tcBorders>
          </w:tcPr>
          <w:p>
            <w:pPr>
              <w:spacing w:after="0"/>
              <w:rPr>
                <w:sz w:val="17"/>
                <w:szCs w:val="17"/>
                <w:color w:val="auto"/>
              </w:rPr>
            </w:pPr>
          </w:p>
        </w:tc>
        <w:tc>
          <w:tcPr>
            <w:tcW w:w="31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Saturn 6500 G6A-RS232</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0</w:t>
            </w:r>
          </w:p>
        </w:tc>
        <w:tc>
          <w:tcPr>
            <w:tcW w:w="116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$ 69.95</w:t>
            </w:r>
          </w:p>
        </w:tc>
        <w:tc>
          <w:tcPr>
            <w:tcW w:w="14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$ 90,725.15</w:t>
            </w:r>
          </w:p>
        </w:tc>
      </w:tr>
      <w:tr>
        <w:trPr>
          <w:trHeight w:val="230"/>
        </w:trPr>
        <w:tc>
          <w:tcPr>
            <w:tcW w:w="18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Innovations Ltd.</w:t>
            </w:r>
          </w:p>
        </w:tc>
        <w:tc>
          <w:tcPr>
            <w:tcW w:w="104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with Extension Kit</w:t>
            </w:r>
          </w:p>
        </w:tc>
        <w:tc>
          <w:tcPr>
            <w:tcW w:w="12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223"/>
        </w:trPr>
        <w:tc>
          <w:tcPr>
            <w:tcW w:w="18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02"/>
        </w:trPr>
        <w:tc>
          <w:tcPr>
            <w:tcW w:w="18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On Track</w:t>
            </w:r>
          </w:p>
        </w:tc>
        <w:tc>
          <w:tcPr>
            <w:tcW w:w="10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111089</w:t>
            </w:r>
          </w:p>
        </w:tc>
        <w:tc>
          <w:tcPr>
            <w:tcW w:w="9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520" w:type="dxa"/>
            <w:vAlign w:val="bottom"/>
          </w:tcPr>
          <w:p>
            <w:pPr>
              <w:ind w:left="120"/>
              <w:spacing w:after="0" w:line="201" w:lineRule="exact"/>
              <w:rPr>
                <w:sz w:val="20"/>
                <w:szCs w:val="20"/>
                <w:color w:val="auto"/>
              </w:rPr>
            </w:pPr>
            <w:r>
              <w:rPr>
                <w:rFonts w:ascii="Arial" w:cs="Arial" w:eastAsia="Arial" w:hAnsi="Arial"/>
                <w:sz w:val="18"/>
                <w:szCs w:val="18"/>
                <w:color w:val="auto"/>
              </w:rPr>
              <w:t>543</w:t>
            </w:r>
          </w:p>
        </w:tc>
        <w:tc>
          <w:tcPr>
            <w:tcW w:w="160" w:type="dxa"/>
            <w:vAlign w:val="bottom"/>
            <w:tcBorders>
              <w:right w:val="single" w:sz="8" w:color="auto"/>
            </w:tcBorders>
          </w:tcPr>
          <w:p>
            <w:pPr>
              <w:spacing w:after="0"/>
              <w:rPr>
                <w:sz w:val="17"/>
                <w:szCs w:val="17"/>
                <w:color w:val="auto"/>
              </w:rPr>
            </w:pPr>
          </w:p>
        </w:tc>
        <w:tc>
          <w:tcPr>
            <w:tcW w:w="31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Saturn 6500 G6A-RS232</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0</w:t>
            </w:r>
          </w:p>
        </w:tc>
        <w:tc>
          <w:tcPr>
            <w:tcW w:w="116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$ 69.95</w:t>
            </w:r>
          </w:p>
        </w:tc>
        <w:tc>
          <w:tcPr>
            <w:tcW w:w="14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$ 37,982.85</w:t>
            </w:r>
          </w:p>
        </w:tc>
      </w:tr>
      <w:tr>
        <w:trPr>
          <w:trHeight w:val="230"/>
        </w:trPr>
        <w:tc>
          <w:tcPr>
            <w:tcW w:w="18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Innovations Ltd.</w:t>
            </w:r>
          </w:p>
        </w:tc>
        <w:tc>
          <w:tcPr>
            <w:tcW w:w="104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with Extension Kit</w:t>
            </w:r>
          </w:p>
        </w:tc>
        <w:tc>
          <w:tcPr>
            <w:tcW w:w="12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223"/>
        </w:trPr>
        <w:tc>
          <w:tcPr>
            <w:tcW w:w="18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02"/>
        </w:trPr>
        <w:tc>
          <w:tcPr>
            <w:tcW w:w="18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On Track</w:t>
            </w:r>
          </w:p>
        </w:tc>
        <w:tc>
          <w:tcPr>
            <w:tcW w:w="10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111126</w:t>
            </w:r>
          </w:p>
        </w:tc>
        <w:tc>
          <w:tcPr>
            <w:tcW w:w="9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520" w:type="dxa"/>
            <w:vAlign w:val="bottom"/>
          </w:tcPr>
          <w:p>
            <w:pPr>
              <w:ind w:left="120"/>
              <w:spacing w:after="0" w:line="201" w:lineRule="exact"/>
              <w:rPr>
                <w:sz w:val="20"/>
                <w:szCs w:val="20"/>
                <w:color w:val="auto"/>
              </w:rPr>
            </w:pPr>
            <w:r>
              <w:rPr>
                <w:rFonts w:ascii="Arial" w:cs="Arial" w:eastAsia="Arial" w:hAnsi="Arial"/>
                <w:sz w:val="18"/>
                <w:szCs w:val="18"/>
                <w:color w:val="auto"/>
                <w:w w:val="94"/>
              </w:rPr>
              <w:t>1523</w:t>
            </w:r>
          </w:p>
        </w:tc>
        <w:tc>
          <w:tcPr>
            <w:tcW w:w="160" w:type="dxa"/>
            <w:vAlign w:val="bottom"/>
            <w:tcBorders>
              <w:right w:val="single" w:sz="8" w:color="auto"/>
            </w:tcBorders>
          </w:tcPr>
          <w:p>
            <w:pPr>
              <w:spacing w:after="0"/>
              <w:rPr>
                <w:sz w:val="17"/>
                <w:szCs w:val="17"/>
                <w:color w:val="auto"/>
              </w:rPr>
            </w:pPr>
          </w:p>
        </w:tc>
        <w:tc>
          <w:tcPr>
            <w:tcW w:w="31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Saturn 6500 G6A-RS232</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0</w:t>
            </w:r>
          </w:p>
        </w:tc>
        <w:tc>
          <w:tcPr>
            <w:tcW w:w="116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$ 69.95</w:t>
            </w:r>
          </w:p>
        </w:tc>
        <w:tc>
          <w:tcPr>
            <w:tcW w:w="14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$106,533.85</w:t>
            </w:r>
          </w:p>
        </w:tc>
      </w:tr>
      <w:tr>
        <w:trPr>
          <w:trHeight w:val="230"/>
        </w:trPr>
        <w:tc>
          <w:tcPr>
            <w:tcW w:w="18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Innovations Ltd.</w:t>
            </w:r>
          </w:p>
        </w:tc>
        <w:tc>
          <w:tcPr>
            <w:tcW w:w="104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with Extension Kit</w:t>
            </w:r>
          </w:p>
        </w:tc>
        <w:tc>
          <w:tcPr>
            <w:tcW w:w="12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223"/>
        </w:trPr>
        <w:tc>
          <w:tcPr>
            <w:tcW w:w="18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02"/>
        </w:trPr>
        <w:tc>
          <w:tcPr>
            <w:tcW w:w="18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Telit Wireless</w:t>
            </w:r>
          </w:p>
        </w:tc>
        <w:tc>
          <w:tcPr>
            <w:tcW w:w="10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2700</w:t>
            </w:r>
          </w:p>
        </w:tc>
        <w:tc>
          <w:tcPr>
            <w:tcW w:w="9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520" w:type="dxa"/>
            <w:vAlign w:val="bottom"/>
          </w:tcPr>
          <w:p>
            <w:pPr>
              <w:ind w:left="120"/>
              <w:spacing w:after="0" w:line="201" w:lineRule="exact"/>
              <w:rPr>
                <w:sz w:val="20"/>
                <w:szCs w:val="20"/>
                <w:color w:val="auto"/>
              </w:rPr>
            </w:pPr>
            <w:r>
              <w:rPr>
                <w:rFonts w:ascii="Arial" w:cs="Arial" w:eastAsia="Arial" w:hAnsi="Arial"/>
                <w:sz w:val="18"/>
                <w:szCs w:val="18"/>
                <w:color w:val="auto"/>
                <w:w w:val="94"/>
              </w:rPr>
              <w:t>2600</w:t>
            </w:r>
          </w:p>
        </w:tc>
        <w:tc>
          <w:tcPr>
            <w:tcW w:w="160" w:type="dxa"/>
            <w:vAlign w:val="bottom"/>
            <w:tcBorders>
              <w:right w:val="single" w:sz="8" w:color="auto"/>
            </w:tcBorders>
          </w:tcPr>
          <w:p>
            <w:pPr>
              <w:spacing w:after="0"/>
              <w:rPr>
                <w:sz w:val="17"/>
                <w:szCs w:val="17"/>
                <w:color w:val="auto"/>
              </w:rPr>
            </w:pPr>
          </w:p>
        </w:tc>
        <w:tc>
          <w:tcPr>
            <w:tcW w:w="31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CC864 Dual Verizon</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0</w:t>
            </w:r>
          </w:p>
        </w:tc>
        <w:tc>
          <w:tcPr>
            <w:tcW w:w="116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$ 49.35</w:t>
            </w:r>
          </w:p>
        </w:tc>
        <w:tc>
          <w:tcPr>
            <w:tcW w:w="14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$128,310.00</w:t>
            </w:r>
          </w:p>
        </w:tc>
      </w:tr>
      <w:tr>
        <w:trPr>
          <w:trHeight w:val="230"/>
        </w:trPr>
        <w:tc>
          <w:tcPr>
            <w:tcW w:w="18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Solutions</w:t>
            </w:r>
          </w:p>
        </w:tc>
        <w:tc>
          <w:tcPr>
            <w:tcW w:w="104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223"/>
        </w:trPr>
        <w:tc>
          <w:tcPr>
            <w:tcW w:w="18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02"/>
        </w:trPr>
        <w:tc>
          <w:tcPr>
            <w:tcW w:w="18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Telit Wireless</w:t>
            </w:r>
          </w:p>
        </w:tc>
        <w:tc>
          <w:tcPr>
            <w:tcW w:w="10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2983</w:t>
            </w:r>
          </w:p>
        </w:tc>
        <w:tc>
          <w:tcPr>
            <w:tcW w:w="9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520" w:type="dxa"/>
            <w:vAlign w:val="bottom"/>
          </w:tcPr>
          <w:p>
            <w:pPr>
              <w:ind w:left="120"/>
              <w:spacing w:after="0" w:line="201" w:lineRule="exact"/>
              <w:rPr>
                <w:sz w:val="20"/>
                <w:szCs w:val="20"/>
                <w:color w:val="auto"/>
              </w:rPr>
            </w:pPr>
            <w:r>
              <w:rPr>
                <w:rFonts w:ascii="Arial" w:cs="Arial" w:eastAsia="Arial" w:hAnsi="Arial"/>
                <w:sz w:val="18"/>
                <w:szCs w:val="18"/>
                <w:color w:val="auto"/>
                <w:w w:val="94"/>
              </w:rPr>
              <w:t>5000</w:t>
            </w:r>
          </w:p>
        </w:tc>
        <w:tc>
          <w:tcPr>
            <w:tcW w:w="160" w:type="dxa"/>
            <w:vAlign w:val="bottom"/>
            <w:tcBorders>
              <w:right w:val="single" w:sz="8" w:color="auto"/>
            </w:tcBorders>
          </w:tcPr>
          <w:p>
            <w:pPr>
              <w:spacing w:after="0"/>
              <w:rPr>
                <w:sz w:val="17"/>
                <w:szCs w:val="17"/>
                <w:color w:val="auto"/>
              </w:rPr>
            </w:pPr>
          </w:p>
        </w:tc>
        <w:tc>
          <w:tcPr>
            <w:tcW w:w="31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CC864 Dual Verizon</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0</w:t>
            </w:r>
          </w:p>
        </w:tc>
        <w:tc>
          <w:tcPr>
            <w:tcW w:w="116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$ 39.70</w:t>
            </w:r>
          </w:p>
        </w:tc>
        <w:tc>
          <w:tcPr>
            <w:tcW w:w="14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$198,500.00</w:t>
            </w:r>
          </w:p>
        </w:tc>
      </w:tr>
      <w:tr>
        <w:trPr>
          <w:trHeight w:val="230"/>
        </w:trPr>
        <w:tc>
          <w:tcPr>
            <w:tcW w:w="18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Solutions</w:t>
            </w:r>
          </w:p>
        </w:tc>
        <w:tc>
          <w:tcPr>
            <w:tcW w:w="104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223"/>
        </w:trPr>
        <w:tc>
          <w:tcPr>
            <w:tcW w:w="18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02"/>
        </w:trPr>
        <w:tc>
          <w:tcPr>
            <w:tcW w:w="18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Telit Wireless</w:t>
            </w:r>
          </w:p>
        </w:tc>
        <w:tc>
          <w:tcPr>
            <w:tcW w:w="10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5064</w:t>
            </w:r>
          </w:p>
        </w:tc>
        <w:tc>
          <w:tcPr>
            <w:tcW w:w="9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I</w:t>
            </w:r>
          </w:p>
        </w:tc>
        <w:tc>
          <w:tcPr>
            <w:tcW w:w="520" w:type="dxa"/>
            <w:vAlign w:val="bottom"/>
          </w:tcPr>
          <w:p>
            <w:pPr>
              <w:ind w:left="120"/>
              <w:spacing w:after="0" w:line="201" w:lineRule="exact"/>
              <w:rPr>
                <w:sz w:val="20"/>
                <w:szCs w:val="20"/>
                <w:color w:val="auto"/>
              </w:rPr>
            </w:pPr>
            <w:r>
              <w:rPr>
                <w:rFonts w:ascii="Arial" w:cs="Arial" w:eastAsia="Arial" w:hAnsi="Arial"/>
                <w:sz w:val="18"/>
                <w:szCs w:val="18"/>
                <w:color w:val="auto"/>
                <w:w w:val="94"/>
              </w:rPr>
              <w:t>2000</w:t>
            </w:r>
          </w:p>
        </w:tc>
        <w:tc>
          <w:tcPr>
            <w:tcW w:w="160" w:type="dxa"/>
            <w:vAlign w:val="bottom"/>
            <w:tcBorders>
              <w:right w:val="single" w:sz="8" w:color="auto"/>
            </w:tcBorders>
          </w:tcPr>
          <w:p>
            <w:pPr>
              <w:spacing w:after="0"/>
              <w:rPr>
                <w:sz w:val="17"/>
                <w:szCs w:val="17"/>
                <w:color w:val="auto"/>
              </w:rPr>
            </w:pPr>
          </w:p>
        </w:tc>
        <w:tc>
          <w:tcPr>
            <w:tcW w:w="31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CC864 Dual Verizon</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0</w:t>
            </w:r>
          </w:p>
        </w:tc>
        <w:tc>
          <w:tcPr>
            <w:tcW w:w="1160" w:type="dxa"/>
            <w:vAlign w:val="bottom"/>
            <w:tcBorders>
              <w:right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$ 36.00</w:t>
            </w:r>
          </w:p>
        </w:tc>
        <w:tc>
          <w:tcPr>
            <w:tcW w:w="14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$ 72,000.00</w:t>
            </w:r>
          </w:p>
        </w:tc>
      </w:tr>
      <w:tr>
        <w:trPr>
          <w:trHeight w:val="230"/>
        </w:trPr>
        <w:tc>
          <w:tcPr>
            <w:tcW w:w="18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Solutions</w:t>
            </w:r>
          </w:p>
        </w:tc>
        <w:tc>
          <w:tcPr>
            <w:tcW w:w="104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14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223"/>
        </w:trPr>
        <w:tc>
          <w:tcPr>
            <w:tcW w:w="18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18"/>
        </w:trPr>
        <w:tc>
          <w:tcPr>
            <w:tcW w:w="4300" w:type="dxa"/>
            <w:vAlign w:val="bottom"/>
            <w:gridSpan w:val="4"/>
          </w:tcPr>
          <w:p>
            <w:pPr>
              <w:ind w:left="120"/>
              <w:spacing w:after="0"/>
              <w:rPr>
                <w:sz w:val="20"/>
                <w:szCs w:val="20"/>
                <w:color w:val="auto"/>
              </w:rPr>
            </w:pPr>
            <w:r>
              <w:rPr>
                <w:rFonts w:ascii="Arial" w:cs="Arial" w:eastAsia="Arial" w:hAnsi="Arial"/>
                <w:sz w:val="18"/>
                <w:szCs w:val="18"/>
                <w:b w:val="1"/>
                <w:bCs w:val="1"/>
                <w:color w:val="auto"/>
                <w:w w:val="88"/>
              </w:rPr>
              <w:t>together with all additions, alterations, accessions and</w:t>
            </w:r>
          </w:p>
        </w:tc>
        <w:tc>
          <w:tcPr>
            <w:tcW w:w="712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89"/>
              </w:rPr>
              <w:t>modifications thereto and replacements of any part thereof, and substitutions therefore, all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-6604000</wp:posOffset>
            </wp:positionV>
            <wp:extent cx="7246620" cy="73063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7306310"/>
                    </a:xfrm>
                    <a:prstGeom prst="rect">
                      <a:avLst/>
                    </a:prstGeom>
                    <a:noFill/>
                  </pic:spPr>
                </pic:pic>
              </a:graphicData>
            </a:graphic>
          </wp:anchor>
        </w:drawing>
      </w:r>
    </w:p>
    <w:p>
      <w:pPr>
        <w:jc w:val="both"/>
        <w:ind w:left="120" w:right="120"/>
        <w:spacing w:after="0" w:line="252" w:lineRule="auto"/>
        <w:rPr>
          <w:sz w:val="20"/>
          <w:szCs w:val="20"/>
          <w:color w:val="auto"/>
        </w:rPr>
      </w:pPr>
      <w:r>
        <w:rPr>
          <w:rFonts w:ascii="Arial" w:cs="Arial" w:eastAsia="Arial" w:hAnsi="Arial"/>
          <w:sz w:val="18"/>
          <w:szCs w:val="18"/>
          <w:b w:val="1"/>
          <w:bCs w:val="1"/>
          <w:color w:val="auto"/>
        </w:rPr>
        <w:t>accessories, and attachments, in whole or in part. Any related software (embedded therein or otherwise), all intangibles and other rights associated with such equipment, including without limitation any licenses to use or own such equipment, any manufacturer’s or other warranties with respect to such equipment, all goods, refunds, rebates, remittances, insurance and insurance proceeds, and all rights related thereto, and other property or rights to which the Lessee may be or become entitled by reason of Lessee’s interest in the equipment, software or personal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10.35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Varilease Finance,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6340 South 3000 East,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 84121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www.varilease.com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801.733.8100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801.733.8900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SALE LEASEBACK AGREEMENT</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SALE LEASEBACK AGREEMENT (“Agreement”), between USA TECHNOLOGIES, INC., a Pennsylvania corporation, having its chief executive offices at 100 Deerfield Lane, Suite 140 , Malvern, PA 19355 (“Seller”) and VARILEASE FINANCE, INC., a Michigan corporation, having its chief executive offices at 6340 South 3000 East, Suite 400, Salt Lake City, UT 84121 (“Purchaser”) is dated and effective this April 30, 2014.</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WHEREAS, Purchaser, as Lessor, and Seller, as Lessee, have entered into Schedule No. 04 dated April 30, 2014 (the “Schedule”) as it incorporates the terms and conditions of Master Lease Agreement dated April 30, 2014 (the “Master Agreement”). The Schedule and Master Agreement shall hereinafter be referred to collectively, as the “Lease”;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WHEREAS, Seller desires Purchaser to purchase from Seller property and equipment listed on one or more Authorizations for Progress Payment and/or an Installation Certificate (collectively, “Authorizations” and individually, “Authorization”) (collectively, the “Equipment” and individually, an “Item of Equipment”), and lease the Equipment back from Purchaser; and,</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Purchaser desires to buy the Equipment from Seller and lease the Equipment to Seller under the terms and conditions of this Agreement, the Authorizations and the Lease.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NOW, THEREFORE, in consideration of the foregoing and in further consideration of the representations and covenants contained herein, the parties agree as follows:</w:t>
      </w:r>
    </w:p>
    <w:p>
      <w:pPr>
        <w:spacing w:after="0" w:line="197" w:lineRule="exact"/>
        <w:rPr>
          <w:sz w:val="20"/>
          <w:szCs w:val="20"/>
          <w:color w:val="auto"/>
        </w:rPr>
      </w:pPr>
    </w:p>
    <w:p>
      <w:pPr>
        <w:jc w:val="both"/>
        <w:ind w:left="660" w:hanging="328"/>
        <w:spacing w:after="0" w:line="279" w:lineRule="auto"/>
        <w:tabs>
          <w:tab w:leader="none" w:pos="660"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Purchase and Sale</w:t>
      </w:r>
      <w:r>
        <w:rPr>
          <w:rFonts w:ascii="Arial" w:cs="Arial" w:eastAsia="Arial" w:hAnsi="Arial"/>
          <w:sz w:val="17"/>
          <w:szCs w:val="17"/>
          <w:color w:val="auto"/>
        </w:rPr>
        <w:t>. Seller hereby sells and Purchaser hereby purchases the Equipment (including all maintenance records, schematics, logic books, manuals, cables, kick plates, form stands, diagnostics and microfiche necessary for the installation, maintenance and operation of the Equipment) described in one or more Authorizations signed by Seller. Each Authorization upon the execution and delivery thereof, shall be incorporated into this Agreement by this reference, and collectively, the Authorizations shall comprise the Equipment.</w:t>
      </w:r>
    </w:p>
    <w:p>
      <w:pPr>
        <w:spacing w:after="0" w:line="19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Purchaser and Seller hereby agree that the purchase price to be paid to Seller by Purchaser for the Equipment shall be $1,303,176.78 which shall be payable to Seller under the terms and conditions of this Agreement, the Authorizations and the Lease.</w:t>
      </w:r>
    </w:p>
    <w:p>
      <w:pPr>
        <w:spacing w:after="0" w:line="197"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Seller represents and warrants that it is responsible for and it has paid all sales and use, property and other taxes assessed or due in connection with Seller’s purchase, use and possession of the Equipment prior to this sale to Purchaser. Seller will pay all taxes in the nature of excise, sales or use taxes imposed upon Seller by any state or political subdivision by reason of the sale provided for herein. Notwithstanding the foregoing, Purchaser warrants that this purchase is for resale and will provide Seller with Purchaser’s resale exemption certificate number.</w:t>
      </w:r>
    </w:p>
    <w:p>
      <w:pPr>
        <w:spacing w:after="0" w:line="198" w:lineRule="exact"/>
        <w:rPr>
          <w:rFonts w:ascii="Arial" w:cs="Arial" w:eastAsia="Arial" w:hAnsi="Arial"/>
          <w:sz w:val="17"/>
          <w:szCs w:val="17"/>
          <w:color w:val="auto"/>
        </w:rPr>
      </w:pPr>
    </w:p>
    <w:p>
      <w:pPr>
        <w:jc w:val="both"/>
        <w:ind w:left="660" w:hanging="328"/>
        <w:spacing w:after="0" w:line="285" w:lineRule="auto"/>
        <w:tabs>
          <w:tab w:leader="none" w:pos="660"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Warranty of Title</w:t>
      </w:r>
      <w:r>
        <w:rPr>
          <w:rFonts w:ascii="Arial" w:cs="Arial" w:eastAsia="Arial" w:hAnsi="Arial"/>
          <w:sz w:val="16"/>
          <w:szCs w:val="16"/>
          <w:color w:val="auto"/>
        </w:rPr>
        <w:t>. SELLER HEREBY WARRANTS TO PURCHASER, ITS SUCCESSORS AND ASSIGNS, THAT SELLER HAS GOOD AND MARKETABLE TITLE TO THE EQUIPMENT, FREE AND CLEAR OF ALL CLAIMS, LIENS, ENCUMBRANCES AND RIGHTS OF OTHERS OF ANY NATURE WHATSOEVER OTHER THAN ANY ASSIGNMENT, SUBLEASE, RENTAL, OR PROCESSING OR SIMILAR AGREEMENTS ENTERED OR TO BE ENTERED INTO FROM TIME TO TIME BETWEEN THE SELLER AND ITS CUSTOMERS OR AGENTS RELATING TO THE EQUIPMENT AND THE USE THEREOF BY ITS CUSTOMERS (“CUSTOMER AGREEMENTS”). BY THIS AGREEMENT, AND SUBJECT TO THE TERMS OF THE LEASE, THE PARTIES AGREE THAT TITLE AND OWNERSHIP OF THOSE ITEMS OF EQUIPMENT SPECIFIED IN ANY AUTHORIZATION SHALL PASS TO PURCHASER AT THE TIME SELLER SIGNS SUCH AUTHORIZATION, AT WHICH TIME SELLER SHALL GRANT, BARGAIN, SELL, TRANSFER AND DELIVER TO PURCHASER ALL OF SELLER’S RIGHT, TITLE AND INTEREST IN THE ITEMS OF EQUIPMENT DESIGNATED ON THE AUTHORIZATION, TO HAVE AND TO HOLD EACH ITEM OF EQUIPMENT UNTO PURCHASER, ITS SUCCESSORS AND ASSIGNS, BY EXECUTING A BILL OF SALE IN FAVOR OF PURCHASER. SUBJECT TO THE CUSTOMER AGREEMENTS, SELLER HEREBY INDEMNIFIES PURCHASER AGAINST ALL CLAIMS AND COSTS INCURRED IN THE DEFENSE OF TITLE TO THE EQUIPMENT BY ANYONE CLAIMING BY OR THROUGH SELLER. Seller is transferring to Purchaser good title to the Equipment, free and clear of all liens and encumbrances of any kind or description other than the Customer Agreements, and each Item of Equipment will be at the time of signing of each Authorization, in good operating condition and appearance and installed (if applicable) and operating in accordance with all manufacturer specifications. Effective at the time of signing of each Authorization, Seller assigns to Purchaser all of its rights and interests in and to any software specified in each Authorization, together with all vendor representations, warranties and indemnities pertaining thereto, and in any license agreement entered into by Seller in connection with such software. Provided no Event of Default has occurred and is continuing under the Lease, Seller is hereby authorized to use such software consistent with the license agreement relating thereto, and to communicate directly with any licensor in all matters relating to the software and license agreement. Seller agrees to perform and discharge when due each and every obligation of licensee under each license agreement and to not breach any provision of the license. Seller assumes and indemnifies Purchaser against all liabilities or claims arising in connection with such license.</w:t>
      </w:r>
    </w:p>
    <w:p>
      <w:pPr>
        <w:spacing w:after="0" w:line="200" w:lineRule="exact"/>
        <w:rPr>
          <w:rFonts w:ascii="Arial" w:cs="Arial" w:eastAsia="Arial" w:hAnsi="Arial"/>
          <w:sz w:val="16"/>
          <w:szCs w:val="16"/>
          <w:color w:val="auto"/>
        </w:rPr>
      </w:pPr>
    </w:p>
    <w:p>
      <w:pPr>
        <w:spacing w:after="0" w:line="211"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Manufacturer’s Warranties</w:t>
      </w:r>
      <w:r>
        <w:rPr>
          <w:rFonts w:ascii="Arial" w:cs="Arial" w:eastAsia="Arial" w:hAnsi="Arial"/>
          <w:sz w:val="18"/>
          <w:szCs w:val="18"/>
          <w:color w:val="auto"/>
        </w:rPr>
        <w:t>. Seller hereby assigns to Purchaser all warranties and indemnities with respect to the Equipment made by the manufacturer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172" w:name="page173"/>
    <w:bookmarkEnd w:id="172"/>
    <w:p>
      <w:pPr>
        <w:ind w:left="328" w:right="20" w:hanging="328"/>
        <w:spacing w:after="0" w:line="277" w:lineRule="auto"/>
        <w:tabs>
          <w:tab w:leader="none" w:pos="328"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Security Interest</w:t>
      </w:r>
      <w:r>
        <w:rPr>
          <w:rFonts w:ascii="Arial" w:cs="Arial" w:eastAsia="Arial" w:hAnsi="Arial"/>
          <w:sz w:val="18"/>
          <w:szCs w:val="18"/>
          <w:color w:val="auto"/>
        </w:rPr>
        <w:t>. Seller hereby reserves a security interest in the Equipment, which interest shall be automatically terminated upon payment by Purchaser of the purchase price as set forth in each Authorization.</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Purchaser’s Obligations</w:t>
      </w:r>
      <w:r>
        <w:rPr>
          <w:rFonts w:ascii="Arial" w:cs="Arial" w:eastAsia="Arial" w:hAnsi="Arial"/>
          <w:sz w:val="17"/>
          <w:szCs w:val="17"/>
          <w:color w:val="auto"/>
        </w:rPr>
        <w:t>. Seller hereby acknowledges that Purchaser’s obligations hereunder are expressly subject to the following conditions:</w:t>
      </w:r>
    </w:p>
    <w:p>
      <w:pPr>
        <w:spacing w:after="0" w:line="263" w:lineRule="exact"/>
        <w:rPr>
          <w:rFonts w:ascii="Arial" w:cs="Arial" w:eastAsia="Arial" w:hAnsi="Arial"/>
          <w:sz w:val="17"/>
          <w:szCs w:val="17"/>
          <w:color w:val="auto"/>
        </w:rPr>
      </w:pPr>
    </w:p>
    <w:p>
      <w:pPr>
        <w:ind w:left="968" w:hanging="320"/>
        <w:spacing w:after="0"/>
        <w:tabs>
          <w:tab w:leader="none" w:pos="968" w:val="left"/>
        </w:tabs>
        <w:numPr>
          <w:ilvl w:val="1"/>
          <w:numId w:val="133"/>
        </w:numPr>
        <w:rPr>
          <w:rFonts w:ascii="Arial" w:cs="Arial" w:eastAsia="Arial" w:hAnsi="Arial"/>
          <w:sz w:val="16"/>
          <w:szCs w:val="16"/>
          <w:color w:val="auto"/>
        </w:rPr>
      </w:pPr>
      <w:r>
        <w:rPr>
          <w:rFonts w:ascii="Arial" w:cs="Arial" w:eastAsia="Arial" w:hAnsi="Arial"/>
          <w:sz w:val="16"/>
          <w:szCs w:val="16"/>
          <w:color w:val="auto"/>
        </w:rPr>
        <w:t>Purchaser’s receipt of the Master Agreement, Schedule, and supplemental documentation pursuant to section 10 of the Schedule within five</w:t>
      </w:r>
    </w:p>
    <w:p>
      <w:pPr>
        <w:spacing w:after="0" w:line="46" w:lineRule="exact"/>
        <w:rPr>
          <w:rFonts w:ascii="Arial" w:cs="Arial" w:eastAsia="Arial" w:hAnsi="Arial"/>
          <w:sz w:val="16"/>
          <w:szCs w:val="16"/>
          <w:color w:val="auto"/>
        </w:rPr>
      </w:pPr>
    </w:p>
    <w:p>
      <w:pPr>
        <w:ind w:left="968"/>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(5) business days from the date of this Agreement. Should the Lease not be executed and delivered by Seller within such five-day period then, at the option of Purchaser, this Agreement shall be null and void </w:t>
      </w:r>
      <w:r>
        <w:rPr>
          <w:rFonts w:ascii="Arial" w:cs="Arial" w:eastAsia="Arial" w:hAnsi="Arial"/>
          <w:sz w:val="18"/>
          <w:szCs w:val="18"/>
          <w:u w:val="single" w:color="auto"/>
          <w:color w:val="auto"/>
        </w:rPr>
        <w:t>ab initio</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968" w:hanging="320"/>
        <w:spacing w:after="0"/>
        <w:tabs>
          <w:tab w:leader="none" w:pos="96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Purchaser’s receipt of properly executed Authorization(s) and Bill(s) of Sale given by Seller in favor of Purchaser.</w:t>
      </w:r>
    </w:p>
    <w:p>
      <w:pPr>
        <w:spacing w:after="0" w:line="252" w:lineRule="exact"/>
        <w:rPr>
          <w:rFonts w:ascii="Arial" w:cs="Arial" w:eastAsia="Arial" w:hAnsi="Arial"/>
          <w:sz w:val="18"/>
          <w:szCs w:val="18"/>
          <w:color w:val="auto"/>
        </w:rPr>
      </w:pPr>
    </w:p>
    <w:p>
      <w:pPr>
        <w:jc w:val="both"/>
        <w:ind w:left="968" w:hanging="320"/>
        <w:spacing w:after="0" w:line="264" w:lineRule="auto"/>
        <w:tabs>
          <w:tab w:leader="none" w:pos="96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Purchaser’s receipt and review of certified UCC searches, or standard UCC searches if certified UCC searches are not available, against Seller showing no security interests, liens or encumbrances on any Item of Equipment, or partial releases of any UCC liens or encumbrances and/or subordinations from lien holders, in a form reasonably acceptable to Purchaser.</w:t>
      </w:r>
    </w:p>
    <w:p>
      <w:pPr>
        <w:spacing w:after="0" w:line="208" w:lineRule="exact"/>
        <w:rPr>
          <w:rFonts w:ascii="Arial" w:cs="Arial" w:eastAsia="Arial" w:hAnsi="Arial"/>
          <w:sz w:val="18"/>
          <w:szCs w:val="18"/>
          <w:color w:val="auto"/>
        </w:rPr>
      </w:pPr>
    </w:p>
    <w:p>
      <w:pPr>
        <w:ind w:left="968" w:hanging="320"/>
        <w:spacing w:after="0"/>
        <w:tabs>
          <w:tab w:leader="none" w:pos="96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Purchaser’s receipt and review of evidence of Seller’s ownership of the Equipment.</w:t>
      </w:r>
    </w:p>
    <w:p>
      <w:pPr>
        <w:spacing w:after="0" w:line="252" w:lineRule="exact"/>
        <w:rPr>
          <w:rFonts w:ascii="Arial" w:cs="Arial" w:eastAsia="Arial" w:hAnsi="Arial"/>
          <w:sz w:val="18"/>
          <w:szCs w:val="18"/>
          <w:color w:val="auto"/>
        </w:rPr>
      </w:pPr>
    </w:p>
    <w:p>
      <w:pPr>
        <w:ind w:left="968" w:hanging="320"/>
        <w:spacing w:after="0"/>
        <w:tabs>
          <w:tab w:leader="none" w:pos="96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other documentation reasonably required by Purchaser</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Seller’s Representations and Warranties</w:t>
      </w:r>
      <w:r>
        <w:rPr>
          <w:rFonts w:ascii="Arial" w:cs="Arial" w:eastAsia="Arial" w:hAnsi="Arial"/>
          <w:sz w:val="18"/>
          <w:szCs w:val="18"/>
          <w:color w:val="auto"/>
        </w:rPr>
        <w:t>. Seller represents and warrants to Purchaser that:</w:t>
      </w:r>
    </w:p>
    <w:p>
      <w:pPr>
        <w:spacing w:after="0" w:line="252"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Seller is duly organized, validly existing and in good standing under the laws of the state of its organization and in all jurisdictions where such qualification is required for it to conduct its business.</w:t>
      </w:r>
    </w:p>
    <w:p>
      <w:pPr>
        <w:spacing w:after="0" w:line="197" w:lineRule="exact"/>
        <w:rPr>
          <w:rFonts w:ascii="Arial" w:cs="Arial" w:eastAsia="Arial" w:hAnsi="Arial"/>
          <w:sz w:val="18"/>
          <w:szCs w:val="18"/>
          <w:color w:val="auto"/>
        </w:rPr>
      </w:pPr>
    </w:p>
    <w:p>
      <w:pPr>
        <w:ind w:left="968" w:right="20" w:hanging="320"/>
        <w:spacing w:after="0" w:line="277" w:lineRule="auto"/>
        <w:tabs>
          <w:tab w:leader="none" w:pos="96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This Agreement has been duly authorized by Seller, and upon execution and delivery by the parties thereto, shall constitute the valid, legal and binding obligation of Seller enforceable in accordance with its terms.</w:t>
      </w:r>
    </w:p>
    <w:p>
      <w:pPr>
        <w:spacing w:after="0" w:line="197" w:lineRule="exact"/>
        <w:rPr>
          <w:rFonts w:ascii="Arial" w:cs="Arial" w:eastAsia="Arial" w:hAnsi="Arial"/>
          <w:sz w:val="18"/>
          <w:szCs w:val="18"/>
          <w:color w:val="auto"/>
        </w:rPr>
      </w:pPr>
    </w:p>
    <w:p>
      <w:pPr>
        <w:jc w:val="both"/>
        <w:ind w:left="968" w:hanging="320"/>
        <w:spacing w:after="0" w:line="286" w:lineRule="auto"/>
        <w:tabs>
          <w:tab w:leader="none" w:pos="968" w:val="left"/>
        </w:tabs>
        <w:numPr>
          <w:ilvl w:val="1"/>
          <w:numId w:val="133"/>
        </w:numPr>
        <w:rPr>
          <w:rFonts w:ascii="Arial" w:cs="Arial" w:eastAsia="Arial" w:hAnsi="Arial"/>
          <w:sz w:val="17"/>
          <w:szCs w:val="17"/>
          <w:color w:val="auto"/>
        </w:rPr>
      </w:pPr>
      <w:r>
        <w:rPr>
          <w:rFonts w:ascii="Arial" w:cs="Arial" w:eastAsia="Arial" w:hAnsi="Arial"/>
          <w:sz w:val="17"/>
          <w:szCs w:val="17"/>
          <w:color w:val="auto"/>
        </w:rPr>
        <w:t>No event has occurred or is continuing which constitutes an event of default under this Agreement or the Lease. No consent, approval or authorization of or by any court, administrative agency or other governmental authority is required in connection with the execution, delivery or performance by Seller of, or the consummation by Seller of the transaction contemplated by this Agreement.</w:t>
      </w:r>
    </w:p>
    <w:p>
      <w:pPr>
        <w:spacing w:after="0" w:line="192" w:lineRule="exact"/>
        <w:rPr>
          <w:rFonts w:ascii="Arial" w:cs="Arial" w:eastAsia="Arial" w:hAnsi="Arial"/>
          <w:sz w:val="17"/>
          <w:szCs w:val="17"/>
          <w:color w:val="auto"/>
        </w:rPr>
      </w:pPr>
    </w:p>
    <w:p>
      <w:pPr>
        <w:ind w:left="968" w:hanging="320"/>
        <w:spacing w:after="0" w:line="277" w:lineRule="auto"/>
        <w:tabs>
          <w:tab w:leader="none" w:pos="96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transaction contemplated by this Agreement complies with all applicable federal and state laws, rules and regulations applicable to Seller.</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Purchaser’s Representations and Warranties</w:t>
      </w:r>
      <w:r>
        <w:rPr>
          <w:rFonts w:ascii="Arial" w:cs="Arial" w:eastAsia="Arial" w:hAnsi="Arial"/>
          <w:sz w:val="18"/>
          <w:szCs w:val="18"/>
          <w:color w:val="auto"/>
        </w:rPr>
        <w:t>. Purchaser represents and warrants to Seller that:</w:t>
      </w:r>
    </w:p>
    <w:p>
      <w:pPr>
        <w:spacing w:after="0" w:line="252"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Purchaser is a corporation duly organized, validly existing and in good standing under the laws of the State of Michigan and in all jurisdictions where such qualification is required for it to conduct its business.</w:t>
      </w:r>
    </w:p>
    <w:p>
      <w:pPr>
        <w:spacing w:after="0" w:line="197"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This Agreement has been duly authorized by Purchaser, and upon the execution and delivery by the parties thereto, shall constitute the valid, legal and binding obligation of Purchaser enforceable in accordance with its terms.</w:t>
      </w:r>
    </w:p>
    <w:p>
      <w:pPr>
        <w:spacing w:after="0" w:line="197"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transactions contemplated by this Agreement comply with all material federal and state laws, rules and regulations applicable to Purchaser.</w:t>
      </w:r>
    </w:p>
    <w:p>
      <w:pPr>
        <w:spacing w:after="0" w:line="197" w:lineRule="exact"/>
        <w:rPr>
          <w:rFonts w:ascii="Arial" w:cs="Arial" w:eastAsia="Arial" w:hAnsi="Arial"/>
          <w:sz w:val="18"/>
          <w:szCs w:val="18"/>
          <w:color w:val="auto"/>
        </w:rPr>
      </w:pPr>
    </w:p>
    <w:p>
      <w:pPr>
        <w:jc w:val="both"/>
        <w:ind w:left="328" w:hanging="328"/>
        <w:spacing w:after="0" w:line="279" w:lineRule="auto"/>
        <w:tabs>
          <w:tab w:leader="none" w:pos="328"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Default and Remedies</w:t>
      </w:r>
      <w:r>
        <w:rPr>
          <w:rFonts w:ascii="Arial" w:cs="Arial" w:eastAsia="Arial" w:hAnsi="Arial"/>
          <w:sz w:val="17"/>
          <w:szCs w:val="17"/>
          <w:color w:val="auto"/>
        </w:rPr>
        <w:t>. In the event any of Seller’s representations made hereunder should be false or misleading in any material respect, or in the event Seller should breach any of its warranties or obligations under this Agreement, Purchaser shall be entitled to exercise all rights and remedies available to it at law or in equity together with all of its rights and remedies under the Lease in Purchaser’s discretion as if they were set forth in this Agreement, and for purposes hereof all such rights and remedies shall be incorporated herein by this reference.</w:t>
      </w:r>
    </w:p>
    <w:p>
      <w:pPr>
        <w:spacing w:after="0" w:line="198" w:lineRule="exact"/>
        <w:rPr>
          <w:rFonts w:ascii="Arial" w:cs="Arial" w:eastAsia="Arial" w:hAnsi="Arial"/>
          <w:sz w:val="17"/>
          <w:szCs w:val="17"/>
          <w:color w:val="auto"/>
        </w:rPr>
      </w:pPr>
    </w:p>
    <w:p>
      <w:pPr>
        <w:jc w:val="both"/>
        <w:ind w:left="328" w:hanging="328"/>
        <w:spacing w:after="0" w:line="259" w:lineRule="auto"/>
        <w:tabs>
          <w:tab w:leader="none" w:pos="328"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Purchaser and Seller agree that this Agreement shall inure to the benefit of and shall be binding upon Seller and Purchaser, their respective successors and assigns. Any assignment by Purchaser shall not require Seller’s prior written approval provided such assignee agrees to observe Purchaser’s covenant of quiet enjoyment under the Master Agreement. Seller shall not assign any interest in this Agreement without Purchaser’s prior written consent.</w:t>
      </w:r>
    </w:p>
    <w:p>
      <w:pPr>
        <w:spacing w:after="0" w:line="213"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Survival of Covenants</w:t>
      </w:r>
      <w:r>
        <w:rPr>
          <w:rFonts w:ascii="Arial" w:cs="Arial" w:eastAsia="Arial" w:hAnsi="Arial"/>
          <w:sz w:val="18"/>
          <w:szCs w:val="18"/>
          <w:color w:val="auto"/>
        </w:rPr>
        <w:t>. Purchaser and Seller agree that the warranties, covenants and agreements contained in this Agreement shall survive the passing of title to the Equipment.</w:t>
      </w:r>
    </w:p>
    <w:p>
      <w:pPr>
        <w:spacing w:after="0" w:line="197"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Seller and Purchaser agree that this Agreement and the Lease, together with any amendments, supplements or riders thereto, shall constitute the entire agreement between the parties with respect to the Equipment and shall supersede all proposals, oral or written, all prior negotiations and all other communications.</w:t>
      </w:r>
    </w:p>
    <w:p>
      <w:pPr>
        <w:spacing w:after="0" w:line="208" w:lineRule="exact"/>
        <w:rPr>
          <w:rFonts w:ascii="Arial" w:cs="Arial" w:eastAsia="Arial" w:hAnsi="Arial"/>
          <w:sz w:val="18"/>
          <w:szCs w:val="18"/>
          <w:color w:val="auto"/>
        </w:rPr>
      </w:pPr>
    </w:p>
    <w:p>
      <w:pPr>
        <w:jc w:val="both"/>
        <w:ind w:left="328" w:hanging="328"/>
        <w:spacing w:after="0" w:line="259" w:lineRule="auto"/>
        <w:tabs>
          <w:tab w:leader="none" w:pos="328"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This Agreement may only be modified by a subsequent writing executed by both parties. If any provision of this Agreement shall be held to be invalid, illegal or unenforceable, the validity, legality and enforceability of the remaining provisions shall not in any way be affected or impaired thereby. This Agreement shall be governed by the laws of the State of Michigan without giving effect to the principles of conflict of laws. Section headings are for convenience only and shall not be construed as 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281940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22" w:right="239" w:bottom="52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IN WITNESS WHEREOF, the parties have executed this Sale Leaseback Agreement on the date shown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PURCHASER:</w:t>
            </w:r>
          </w:p>
        </w:tc>
        <w:tc>
          <w:tcPr>
            <w:tcW w:w="7480" w:type="dxa"/>
            <w:vAlign w:val="bottom"/>
            <w:gridSpan w:val="3"/>
          </w:tcPr>
          <w:p>
            <w:pPr>
              <w:ind w:left="1700"/>
              <w:spacing w:after="0"/>
              <w:rPr>
                <w:sz w:val="20"/>
                <w:szCs w:val="20"/>
                <w:color w:val="auto"/>
              </w:rPr>
            </w:pPr>
            <w:r>
              <w:rPr>
                <w:rFonts w:ascii="Arial" w:cs="Arial" w:eastAsia="Arial" w:hAnsi="Arial"/>
                <w:sz w:val="18"/>
                <w:szCs w:val="18"/>
                <w:color w:val="auto"/>
              </w:rPr>
              <w:t>SELLER:</w:t>
            </w:r>
          </w:p>
        </w:tc>
      </w:t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VARILEASE FINANCE, INC.</w:t>
            </w:r>
          </w:p>
        </w:tc>
        <w:tc>
          <w:tcPr>
            <w:tcW w:w="7480" w:type="dxa"/>
            <w:vAlign w:val="bottom"/>
            <w:gridSpan w:val="3"/>
          </w:tcPr>
          <w:p>
            <w:pPr>
              <w:ind w:left="1700"/>
              <w:spacing w:after="0"/>
              <w:rPr>
                <w:sz w:val="20"/>
                <w:szCs w:val="20"/>
                <w:color w:val="auto"/>
              </w:rPr>
            </w:pPr>
            <w:r>
              <w:rPr>
                <w:rFonts w:ascii="Arial" w:cs="Arial" w:eastAsia="Arial" w:hAnsi="Arial"/>
                <w:sz w:val="18"/>
                <w:szCs w:val="18"/>
                <w:color w:val="auto"/>
              </w:rPr>
              <w:t>USA TECHNOLOGIES, INC.</w:t>
            </w:r>
          </w:p>
        </w:tc>
      </w:tr>
      <w:tr>
        <w:trPr>
          <w:trHeight w:val="432"/>
        </w:trPr>
        <w:tc>
          <w:tcPr>
            <w:tcW w:w="3940" w:type="dxa"/>
            <w:vAlign w:val="bottom"/>
            <w:gridSpan w:val="3"/>
          </w:tcPr>
          <w:p>
            <w:pPr>
              <w:spacing w:after="0"/>
              <w:rPr>
                <w:sz w:val="20"/>
                <w:szCs w:val="20"/>
                <w:color w:val="auto"/>
              </w:rPr>
            </w:pPr>
            <w:r>
              <w:rPr>
                <w:rFonts w:ascii="Arial" w:cs="Arial" w:eastAsia="Arial" w:hAnsi="Arial"/>
                <w:sz w:val="18"/>
                <w:szCs w:val="18"/>
                <w:color w:val="auto"/>
              </w:rPr>
              <w:t>By: /s/ Kristy Phillips</w:t>
            </w:r>
          </w:p>
        </w:tc>
        <w:tc>
          <w:tcPr>
            <w:tcW w:w="7480" w:type="dxa"/>
            <w:vAlign w:val="bottom"/>
            <w:gridSpan w:val="3"/>
          </w:tcPr>
          <w:p>
            <w:pPr>
              <w:ind w:left="1700"/>
              <w:spacing w:after="0"/>
              <w:rPr>
                <w:sz w:val="20"/>
                <w:szCs w:val="20"/>
                <w:color w:val="auto"/>
              </w:rPr>
            </w:pPr>
            <w:r>
              <w:rPr>
                <w:rFonts w:ascii="Arial" w:cs="Arial" w:eastAsia="Arial" w:hAnsi="Arial"/>
                <w:sz w:val="18"/>
                <w:szCs w:val="18"/>
                <w:color w:val="auto"/>
              </w:rPr>
              <w:t>By: /s/ David M. DeMedio</w:t>
            </w:r>
          </w:p>
        </w:tc>
      </w:tr>
      <w:tr>
        <w:trPr>
          <w:trHeight w:val="27"/>
        </w:trPr>
        <w:tc>
          <w:tcPr>
            <w:tcW w:w="3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3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3800" w:type="dxa"/>
            <w:vAlign w:val="bottom"/>
          </w:tcPr>
          <w:p>
            <w:pPr>
              <w:spacing w:after="0"/>
              <w:rPr>
                <w:sz w:val="2"/>
                <w:szCs w:val="2"/>
                <w:color w:val="auto"/>
              </w:rPr>
            </w:pPr>
          </w:p>
        </w:tc>
      </w:tr>
      <w:tr>
        <w:trPr>
          <w:trHeight w:val="202"/>
        </w:trPr>
        <w:tc>
          <w:tcPr>
            <w:tcW w:w="1600" w:type="dxa"/>
            <w:vAlign w:val="bottom"/>
            <w:gridSpan w:val="2"/>
          </w:tcPr>
          <w:p>
            <w:pPr>
              <w:spacing w:after="0" w:line="201" w:lineRule="exact"/>
              <w:rPr>
                <w:sz w:val="20"/>
                <w:szCs w:val="20"/>
                <w:color w:val="auto"/>
              </w:rPr>
            </w:pPr>
            <w:r>
              <w:rPr>
                <w:rFonts w:ascii="Arial" w:cs="Arial" w:eastAsia="Arial" w:hAnsi="Arial"/>
                <w:sz w:val="18"/>
                <w:szCs w:val="18"/>
                <w:color w:val="auto"/>
                <w:w w:val="95"/>
              </w:rPr>
              <w:t>Name: Kristy Phillips</w:t>
            </w:r>
          </w:p>
        </w:tc>
        <w:tc>
          <w:tcPr>
            <w:tcW w:w="2340" w:type="dxa"/>
            <w:vAlign w:val="bottom"/>
          </w:tcPr>
          <w:p>
            <w:pPr>
              <w:spacing w:after="0"/>
              <w:rPr>
                <w:sz w:val="17"/>
                <w:szCs w:val="17"/>
                <w:color w:val="auto"/>
              </w:rPr>
            </w:pPr>
          </w:p>
        </w:tc>
        <w:tc>
          <w:tcPr>
            <w:tcW w:w="7480" w:type="dxa"/>
            <w:vAlign w:val="bottom"/>
            <w:gridSpan w:val="3"/>
          </w:tcPr>
          <w:p>
            <w:pPr>
              <w:ind w:left="1700"/>
              <w:spacing w:after="0" w:line="201" w:lineRule="exact"/>
              <w:rPr>
                <w:sz w:val="20"/>
                <w:szCs w:val="20"/>
                <w:color w:val="auto"/>
              </w:rPr>
            </w:pPr>
            <w:r>
              <w:rPr>
                <w:rFonts w:ascii="Arial" w:cs="Arial" w:eastAsia="Arial" w:hAnsi="Arial"/>
                <w:sz w:val="18"/>
                <w:szCs w:val="18"/>
                <w:color w:val="auto"/>
              </w:rPr>
              <w:t>Name: David M. DeMedio</w:t>
            </w:r>
          </w:p>
        </w:tc>
      </w:t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Title: Vice President</w:t>
            </w:r>
          </w:p>
        </w:tc>
        <w:tc>
          <w:tcPr>
            <w:tcW w:w="7480" w:type="dxa"/>
            <w:vAlign w:val="bottom"/>
            <w:gridSpan w:val="3"/>
          </w:tcPr>
          <w:p>
            <w:pPr>
              <w:ind w:left="1700"/>
              <w:spacing w:after="0"/>
              <w:rPr>
                <w:sz w:val="20"/>
                <w:szCs w:val="20"/>
                <w:color w:val="auto"/>
              </w:rPr>
            </w:pPr>
            <w:r>
              <w:rPr>
                <w:rFonts w:ascii="Arial" w:cs="Arial" w:eastAsia="Arial" w:hAnsi="Arial"/>
                <w:sz w:val="18"/>
                <w:szCs w:val="18"/>
                <w:color w:val="auto"/>
              </w:rPr>
              <w:t>Title: CFO</w:t>
            </w:r>
          </w:p>
        </w:tc>
      </w:tr>
      <w:tr>
        <w:trPr>
          <w:trHeight w:val="675"/>
        </w:trPr>
        <w:tc>
          <w:tcPr>
            <w:tcW w:w="340" w:type="dxa"/>
            <w:vAlign w:val="bottom"/>
            <w:tcBorders>
              <w:bottom w:val="single" w:sz="8" w:color="DCDCDC"/>
            </w:tcBorders>
          </w:tcPr>
          <w:p>
            <w:pPr>
              <w:spacing w:after="0"/>
              <w:rPr>
                <w:sz w:val="24"/>
                <w:szCs w:val="24"/>
                <w:color w:val="auto"/>
              </w:rPr>
            </w:pPr>
          </w:p>
        </w:tc>
        <w:tc>
          <w:tcPr>
            <w:tcW w:w="1260" w:type="dxa"/>
            <w:vAlign w:val="bottom"/>
            <w:tcBorders>
              <w:bottom w:val="single" w:sz="8" w:color="DCDCDC"/>
            </w:tcBorders>
          </w:tcPr>
          <w:p>
            <w:pPr>
              <w:spacing w:after="0"/>
              <w:rPr>
                <w:sz w:val="24"/>
                <w:szCs w:val="24"/>
                <w:color w:val="auto"/>
              </w:rPr>
            </w:pPr>
          </w:p>
        </w:tc>
        <w:tc>
          <w:tcPr>
            <w:tcW w:w="2340" w:type="dxa"/>
            <w:vAlign w:val="bottom"/>
            <w:tcBorders>
              <w:bottom w:val="single" w:sz="8" w:color="DCDCDC"/>
            </w:tcBorders>
          </w:tcPr>
          <w:p>
            <w:pPr>
              <w:spacing w:after="0"/>
              <w:rPr>
                <w:sz w:val="24"/>
                <w:szCs w:val="24"/>
                <w:color w:val="auto"/>
              </w:rPr>
            </w:pPr>
          </w:p>
        </w:tc>
        <w:tc>
          <w:tcPr>
            <w:tcW w:w="2040" w:type="dxa"/>
            <w:vAlign w:val="bottom"/>
            <w:tcBorders>
              <w:bottom w:val="single" w:sz="8" w:color="DCDCDC"/>
            </w:tcBorders>
          </w:tcPr>
          <w:p>
            <w:pPr>
              <w:spacing w:after="0"/>
              <w:rPr>
                <w:sz w:val="24"/>
                <w:szCs w:val="24"/>
                <w:color w:val="auto"/>
              </w:rPr>
            </w:pPr>
          </w:p>
        </w:tc>
        <w:tc>
          <w:tcPr>
            <w:tcW w:w="1640" w:type="dxa"/>
            <w:vAlign w:val="bottom"/>
            <w:tcBorders>
              <w:bottom w:val="single" w:sz="8" w:color="DCDCDC"/>
            </w:tcBorders>
          </w:tcPr>
          <w:p>
            <w:pPr>
              <w:spacing w:after="0"/>
              <w:rPr>
                <w:sz w:val="24"/>
                <w:szCs w:val="24"/>
                <w:color w:val="auto"/>
              </w:rPr>
            </w:pPr>
          </w:p>
        </w:tc>
        <w:tc>
          <w:tcPr>
            <w:tcW w:w="38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22" w:right="2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t>Varilease Finance,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6340 South 3000 East,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 84121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www.varilease.com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801.733.8100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801.733.8900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NO. 04</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SCHEDULE NO. 04 dated April 30, 2014 (the “Schedule”) between VARILEASE FINANCE, INC. (the “Lessor”) and USA TECHNOLOGIES, INC. (the “Lessee”) incorporates by reference the terms and conditions of Master Lease Agreement dated April 30, 2014 between Lessor and Lessee (the “Master Agreement”) and constitutes a separate lease between Lessor and Lessee. The Schedule and Master Agreement are hereinafter referred to collectively, as the “Lease”. All capitalized terms used herein but not defined herein shall have the same meanings ascribed to them in the Master Agreement.</w:t>
      </w:r>
    </w:p>
    <w:p>
      <w:pPr>
        <w:spacing w:after="0" w:line="181" w:lineRule="exact"/>
        <w:rPr>
          <w:sz w:val="20"/>
          <w:szCs w:val="20"/>
          <w:color w:val="auto"/>
        </w:rPr>
      </w:pPr>
    </w:p>
    <w:p>
      <w:pPr>
        <w:ind w:left="340" w:hanging="332"/>
        <w:spacing w:after="0" w:line="277" w:lineRule="auto"/>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Equipment:</w:t>
      </w:r>
      <w:r>
        <w:rPr>
          <w:rFonts w:ascii="Arial" w:cs="Arial" w:eastAsia="Arial" w:hAnsi="Arial"/>
          <w:sz w:val="18"/>
          <w:szCs w:val="18"/>
          <w:color w:val="auto"/>
        </w:rPr>
        <w:t xml:space="preserve"> Remote cashless point of sale Eport equipment as more fully described in the attached Exhibit A of one (1) page which by this reference becomes a part hereof.</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Equipment Location:</w:t>
      </w:r>
      <w:r>
        <w:rPr>
          <w:rFonts w:ascii="Arial" w:cs="Arial" w:eastAsia="Arial" w:hAnsi="Arial"/>
          <w:sz w:val="18"/>
          <w:szCs w:val="18"/>
          <w:color w:val="auto"/>
        </w:rPr>
        <w:t xml:space="preserve"> Headquartered at 100 Deerfield Lane, Suite 140, Malvern, PA 19355.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3.</w:t>
            </w:r>
          </w:p>
        </w:tc>
        <w:tc>
          <w:tcPr>
            <w:tcW w:w="16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9"/>
              </w:rPr>
              <w:t>Total Equipment Cost:</w:t>
            </w:r>
          </w:p>
        </w:tc>
        <w:tc>
          <w:tcPr>
            <w:tcW w:w="160" w:type="dxa"/>
            <w:vAlign w:val="bottom"/>
          </w:tcPr>
          <w:p>
            <w:pPr>
              <w:spacing w:after="0"/>
              <w:rPr>
                <w:sz w:val="17"/>
                <w:szCs w:val="17"/>
                <w:color w:val="auto"/>
              </w:rPr>
            </w:pPr>
          </w:p>
        </w:tc>
        <w:tc>
          <w:tcPr>
            <w:tcW w:w="9300" w:type="dxa"/>
            <w:vAlign w:val="bottom"/>
          </w:tcPr>
          <w:p>
            <w:pPr>
              <w:ind w:left="160"/>
              <w:spacing w:after="0"/>
              <w:rPr>
                <w:sz w:val="20"/>
                <w:szCs w:val="20"/>
                <w:color w:val="auto"/>
              </w:rPr>
            </w:pPr>
            <w:r>
              <w:rPr>
                <w:rFonts w:ascii="Arial" w:cs="Arial" w:eastAsia="Arial" w:hAnsi="Arial"/>
                <w:sz w:val="18"/>
                <w:szCs w:val="18"/>
                <w:color w:val="auto"/>
              </w:rPr>
              <w:t>$1,303,176.78</w:t>
            </w:r>
          </w:p>
        </w:tc>
      </w:tr>
      <w:tr>
        <w:trPr>
          <w:trHeight w:val="439"/>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4.</w:t>
            </w: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Base Term:</w:t>
            </w:r>
          </w:p>
        </w:tc>
        <w:tc>
          <w:tcPr>
            <w:tcW w:w="960" w:type="dxa"/>
            <w:vAlign w:val="bottom"/>
            <w:gridSpan w:val="3"/>
          </w:tcPr>
          <w:p>
            <w:pPr>
              <w:spacing w:after="0"/>
              <w:rPr>
                <w:sz w:val="24"/>
                <w:szCs w:val="24"/>
                <w:color w:val="auto"/>
              </w:rPr>
            </w:pPr>
          </w:p>
        </w:tc>
        <w:tc>
          <w:tcPr>
            <w:tcW w:w="9300" w:type="dxa"/>
            <w:vAlign w:val="bottom"/>
          </w:tcPr>
          <w:p>
            <w:pPr>
              <w:ind w:left="160"/>
              <w:spacing w:after="0"/>
              <w:rPr>
                <w:sz w:val="20"/>
                <w:szCs w:val="20"/>
                <w:color w:val="auto"/>
              </w:rPr>
            </w:pPr>
            <w:r>
              <w:rPr>
                <w:rFonts w:ascii="Arial" w:cs="Arial" w:eastAsia="Arial" w:hAnsi="Arial"/>
                <w:sz w:val="18"/>
                <w:szCs w:val="18"/>
                <w:color w:val="auto"/>
              </w:rPr>
              <w:t>36 Months</w:t>
            </w:r>
          </w:p>
        </w:tc>
      </w:tr>
      <w:tr>
        <w:trPr>
          <w:trHeight w:val="439"/>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5.</w:t>
            </w: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Base Monthly Rental:</w:t>
            </w:r>
          </w:p>
        </w:tc>
        <w:tc>
          <w:tcPr>
            <w:tcW w:w="200" w:type="dxa"/>
            <w:vAlign w:val="bottom"/>
            <w:gridSpan w:val="2"/>
          </w:tcPr>
          <w:p>
            <w:pPr>
              <w:spacing w:after="0"/>
              <w:rPr>
                <w:sz w:val="24"/>
                <w:szCs w:val="24"/>
                <w:color w:val="auto"/>
              </w:rPr>
            </w:pPr>
          </w:p>
        </w:tc>
        <w:tc>
          <w:tcPr>
            <w:tcW w:w="9300" w:type="dxa"/>
            <w:vAlign w:val="bottom"/>
          </w:tcPr>
          <w:p>
            <w:pPr>
              <w:ind w:left="160"/>
              <w:spacing w:after="0"/>
              <w:rPr>
                <w:sz w:val="20"/>
                <w:szCs w:val="20"/>
                <w:color w:val="auto"/>
              </w:rPr>
            </w:pPr>
            <w:r>
              <w:rPr>
                <w:rFonts w:ascii="Arial" w:cs="Arial" w:eastAsia="Arial" w:hAnsi="Arial"/>
                <w:sz w:val="18"/>
                <w:szCs w:val="18"/>
                <w:color w:val="auto"/>
              </w:rPr>
              <w:t>$35,602.79 (plus applicable sales/use tax)</w:t>
            </w:r>
          </w:p>
        </w:tc>
      </w:tr>
      <w:tr>
        <w:trPr>
          <w:trHeight w:val="439"/>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6.</w:t>
            </w:r>
          </w:p>
        </w:tc>
        <w:tc>
          <w:tcPr>
            <w:tcW w:w="1780" w:type="dxa"/>
            <w:vAlign w:val="bottom"/>
            <w:gridSpan w:val="5"/>
          </w:tcPr>
          <w:p>
            <w:pPr>
              <w:spacing w:after="0"/>
              <w:rPr>
                <w:sz w:val="20"/>
                <w:szCs w:val="20"/>
                <w:color w:val="auto"/>
              </w:rPr>
            </w:pPr>
            <w:r>
              <w:rPr>
                <w:rFonts w:ascii="Arial" w:cs="Arial" w:eastAsia="Arial" w:hAnsi="Arial"/>
                <w:sz w:val="18"/>
                <w:szCs w:val="18"/>
                <w:color w:val="auto"/>
              </w:rPr>
              <w:t>Deposit:</w:t>
            </w:r>
          </w:p>
        </w:tc>
        <w:tc>
          <w:tcPr>
            <w:tcW w:w="9300" w:type="dxa"/>
            <w:vAlign w:val="bottom"/>
          </w:tcPr>
          <w:p>
            <w:pPr>
              <w:ind w:left="380"/>
              <w:spacing w:after="0"/>
              <w:rPr>
                <w:sz w:val="20"/>
                <w:szCs w:val="20"/>
                <w:color w:val="auto"/>
              </w:rPr>
            </w:pPr>
            <w:r>
              <w:rPr>
                <w:rFonts w:ascii="Arial" w:cs="Arial" w:eastAsia="Arial" w:hAnsi="Arial"/>
                <w:sz w:val="18"/>
                <w:szCs w:val="18"/>
                <w:color w:val="auto"/>
                <w:w w:val="91"/>
              </w:rPr>
              <w:t xml:space="preserve">$35,602.79 applied to the last Base Monthly Rental (plus applicable sales/use tax). Lessee shall pay the </w:t>
            </w:r>
            <w:r>
              <w:rPr>
                <w:rFonts w:ascii="Arial" w:cs="Arial" w:eastAsia="Arial" w:hAnsi="Arial"/>
                <w:sz w:val="18"/>
                <w:szCs w:val="18"/>
                <w:i w:val="1"/>
                <w:iCs w:val="1"/>
                <w:color w:val="auto"/>
                <w:w w:val="91"/>
              </w:rPr>
              <w:t>last</w:t>
            </w:r>
            <w:r>
              <w:rPr>
                <w:rFonts w:ascii="Arial" w:cs="Arial" w:eastAsia="Arial" w:hAnsi="Arial"/>
                <w:sz w:val="18"/>
                <w:szCs w:val="18"/>
                <w:color w:val="auto"/>
                <w:w w:val="91"/>
              </w:rPr>
              <w:t xml:space="preserve"> Base Monthly</w:t>
            </w:r>
          </w:p>
        </w:tc>
      </w:tr>
      <w:tr>
        <w:trPr>
          <w:trHeight w:val="20"/>
        </w:trPr>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Rental in advance upon the execution of this Schedule. Lessee acknowledges and agrees that, notwithstanding anything to the contrary herein, this payment is non-refundable to Lessee under any circumstances, including, without limitation, any termination of this Lease for any reason prior to the end of its scheduled term. This payment shall be deemed earned by Lessor, and upon receipt by Lessor, shall immediately be applied to satisfy Lessee’s obligation to make the last Base Monthly Rental. Lessee and Lessor acknowledge that the $50,000 previously paid to Lessor by Lessee shall be applied by Lessor as a credit towards the deposit due hereunder.</w:t>
      </w:r>
    </w:p>
    <w:p>
      <w:pPr>
        <w:spacing w:after="0" w:line="188" w:lineRule="exact"/>
        <w:rPr>
          <w:sz w:val="20"/>
          <w:szCs w:val="20"/>
          <w:color w:val="auto"/>
        </w:rPr>
      </w:pPr>
    </w:p>
    <w:p>
      <w:pPr>
        <w:ind w:left="340" w:hanging="332"/>
        <w:spacing w:after="0"/>
        <w:tabs>
          <w:tab w:leader="none" w:pos="34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Base Lease Rate Factor:</w:t>
      </w:r>
      <w:r>
        <w:rPr>
          <w:rFonts w:ascii="Arial" w:cs="Arial" w:eastAsia="Arial" w:hAnsi="Arial"/>
          <w:sz w:val="18"/>
          <w:szCs w:val="18"/>
          <w:color w:val="auto"/>
        </w:rPr>
        <w:t xml:space="preserve">  0.02732</w:t>
      </w:r>
    </w:p>
    <w:p>
      <w:pPr>
        <w:spacing w:after="0" w:line="248" w:lineRule="exact"/>
        <w:rPr>
          <w:rFonts w:ascii="Arial" w:cs="Arial" w:eastAsia="Arial" w:hAnsi="Arial"/>
          <w:sz w:val="18"/>
          <w:szCs w:val="18"/>
          <w:color w:val="auto"/>
        </w:rPr>
      </w:pPr>
    </w:p>
    <w:p>
      <w:pPr>
        <w:jc w:val="both"/>
        <w:ind w:left="340" w:hanging="332"/>
        <w:spacing w:after="0" w:line="261" w:lineRule="auto"/>
        <w:tabs>
          <w:tab w:leader="none" w:pos="34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Floating Lease Rate Factor:</w:t>
      </w:r>
      <w:r>
        <w:rPr>
          <w:rFonts w:ascii="Arial" w:cs="Arial" w:eastAsia="Arial" w:hAnsi="Arial"/>
          <w:sz w:val="18"/>
          <w:szCs w:val="18"/>
          <w:color w:val="auto"/>
        </w:rPr>
        <w:t xml:space="preserve"> The Base Lease Rate Factor shown in Section 7, </w:t>
      </w:r>
      <w:r>
        <w:rPr>
          <w:rFonts w:ascii="Arial" w:cs="Arial" w:eastAsia="Arial" w:hAnsi="Arial"/>
          <w:sz w:val="18"/>
          <w:szCs w:val="18"/>
          <w:b w:val="1"/>
          <w:bCs w:val="1"/>
          <w:color w:val="auto"/>
        </w:rPr>
        <w:t>which is used to calculate the Base Monthly Rental,</w:t>
      </w:r>
      <w:r>
        <w:rPr>
          <w:rFonts w:ascii="Arial" w:cs="Arial" w:eastAsia="Arial" w:hAnsi="Arial"/>
          <w:sz w:val="18"/>
          <w:szCs w:val="18"/>
          <w:color w:val="auto"/>
        </w:rPr>
        <w:t xml:space="preserve"> shall increase 0.00008775 for every five (5) basis point increase in 36-month U.S. Treasury Notes, until all Items of Equipment have been installed, at which point the date set forth on the Installation Certificate of the Lease shall have occurred. The 36-month U.S. Treasury Note yield used as the basis for the derivation of the Base Lease Rate Factor contained herein is 0.82%.</w:t>
      </w:r>
    </w:p>
    <w:p>
      <w:pPr>
        <w:spacing w:after="0" w:line="211" w:lineRule="exact"/>
        <w:rPr>
          <w:rFonts w:ascii="Arial" w:cs="Arial" w:eastAsia="Arial" w:hAnsi="Arial"/>
          <w:sz w:val="18"/>
          <w:szCs w:val="18"/>
          <w:color w:val="auto"/>
        </w:rPr>
      </w:pPr>
    </w:p>
    <w:p>
      <w:pPr>
        <w:ind w:left="340" w:hanging="332"/>
        <w:spacing w:after="0"/>
        <w:tabs>
          <w:tab w:leader="none" w:pos="34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Equipment Return Location:</w:t>
      </w:r>
      <w:r>
        <w:rPr>
          <w:rFonts w:ascii="Arial" w:cs="Arial" w:eastAsia="Arial" w:hAnsi="Arial"/>
          <w:sz w:val="18"/>
          <w:szCs w:val="18"/>
          <w:color w:val="auto"/>
        </w:rPr>
        <w:t xml:space="preserve"> To Be Advised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Special Terms:</w:t>
      </w:r>
    </w:p>
    <w:p>
      <w:pPr>
        <w:spacing w:after="0" w:line="252" w:lineRule="exact"/>
        <w:rPr>
          <w:rFonts w:ascii="Arial" w:cs="Arial" w:eastAsia="Arial" w:hAnsi="Arial"/>
          <w:sz w:val="18"/>
          <w:szCs w:val="18"/>
          <w:color w:val="auto"/>
        </w:rPr>
      </w:pPr>
    </w:p>
    <w:p>
      <w:pPr>
        <w:jc w:val="both"/>
        <w:ind w:left="980" w:hanging="324"/>
        <w:spacing w:after="0" w:line="254" w:lineRule="auto"/>
        <w:tabs>
          <w:tab w:leader="none" w:pos="980"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Self Maintenance</w:t>
      </w:r>
      <w:r>
        <w:rPr>
          <w:rFonts w:ascii="Arial" w:cs="Arial" w:eastAsia="Arial" w:hAnsi="Arial"/>
          <w:sz w:val="18"/>
          <w:szCs w:val="18"/>
          <w:color w:val="auto"/>
        </w:rPr>
        <w:t>: For this Schedule only, Lessee shall, during the term of the Lease, self-maintain the Equipment, including Improvements, in accordance with manufacturer recommendations, or engage the services of a maintenance organization (the “Maintenance Organization”) to maintain the Equipment, including Improvements, and provide Lessor upon request with a copy of such maintenance contract as amended or supplemented, if applicable. During the term of the Lease, Lessee shall, at its expense, keep the Equipment, including Improvements, in good working order, repair, appearance and condition and make all necessary adjustments, repairs and replacements, all of which shall become the property of Lessor. Lessee shall not use or permit the use of the Equipment, including Improvements, for any purpose for which, in the opinion of the manufacturer of the Equipment, including Improvements, or Maintenance Organization, the Equipment, including Improvements, is not designed or intended.</w:t>
      </w:r>
    </w:p>
    <w:p>
      <w:pPr>
        <w:spacing w:after="0" w:line="219"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Authorization for Automatic Withdrawals</w:t>
      </w:r>
      <w:r>
        <w:rPr>
          <w:rFonts w:ascii="Arial" w:cs="Arial" w:eastAsia="Arial" w:hAnsi="Arial"/>
          <w:sz w:val="18"/>
          <w:szCs w:val="18"/>
          <w:color w:val="auto"/>
        </w:rPr>
        <w:t>: Lessee hereby authorizes Lessor or its assigns to electronically transfer all rental payments and other sums required to fulfill Lessee’s contractual obligation under the Lease from Lessee’s account maintained with its financial institution, and Lessee agrees to execute and deliver an Authorization Agreement for Automatic Withdrawals to Lessor to effect such transfers. Failure or refusal of Lessee to authorize such transfers or failure of Lessor or its assigns to receive such payments by electronic transfer shall constitute an additional Event of Default under Section 16(a) of the Master Agreement.</w:t>
      </w:r>
    </w:p>
    <w:p>
      <w:pPr>
        <w:spacing w:after="0" w:line="215" w:lineRule="exact"/>
        <w:rPr>
          <w:sz w:val="20"/>
          <w:szCs w:val="20"/>
          <w:color w:val="auto"/>
        </w:rPr>
      </w:pPr>
    </w:p>
    <w:p>
      <w:pPr>
        <w:ind w:left="9880"/>
        <w:spacing w:after="0"/>
        <w:rPr>
          <w:sz w:val="20"/>
          <w:szCs w:val="20"/>
          <w:color w:val="auto"/>
        </w:rPr>
      </w:pPr>
      <w:r>
        <w:rPr>
          <w:rFonts w:ascii="Arial" w:cs="Arial" w:eastAsia="Arial" w:hAnsi="Arial"/>
          <w:sz w:val="16"/>
          <w:szCs w:val="16"/>
          <w:color w:val="auto"/>
        </w:rPr>
        <w:t xml:space="preserve">Lessee Initials: </w:t>
      </w:r>
      <w:r>
        <w:rPr>
          <w:rFonts w:ascii="Arial" w:cs="Arial" w:eastAsia="Arial" w:hAnsi="Arial"/>
          <w:sz w:val="16"/>
          <w:szCs w:val="16"/>
          <w:u w:val="single" w:color="auto"/>
          <w:color w:val="auto"/>
        </w:rPr>
        <w:t>DMD</w:t>
      </w:r>
    </w:p>
    <w:p>
      <w:pPr>
        <w:spacing w:after="0" w:line="275" w:lineRule="exact"/>
        <w:rPr>
          <w:sz w:val="20"/>
          <w:szCs w:val="20"/>
          <w:color w:val="auto"/>
        </w:rPr>
      </w:pPr>
    </w:p>
    <w:p>
      <w:pPr>
        <w:jc w:val="both"/>
        <w:ind w:left="980" w:hanging="324"/>
        <w:spacing w:after="0" w:line="264" w:lineRule="auto"/>
        <w:tabs>
          <w:tab w:leader="none" w:pos="98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Guaranty</w:t>
      </w:r>
      <w:r>
        <w:rPr>
          <w:rFonts w:ascii="Arial" w:cs="Arial" w:eastAsia="Arial" w:hAnsi="Arial"/>
          <w:sz w:val="18"/>
          <w:szCs w:val="18"/>
          <w:color w:val="auto"/>
        </w:rPr>
        <w:t>: Notwithstanding anything to the contrary herein, the parties acknowledge and agree that this Lease is guaranteed by Stitch Networks Corporation and USAT Capital Corp, LLC as set forth in the Guaranty documents, each dated April 30, 2014, copies of which are attached hereto and incorporated herein.</w:t>
      </w:r>
    </w:p>
    <w:p>
      <w:pPr>
        <w:spacing w:after="0" w:line="208" w:lineRule="exact"/>
        <w:rPr>
          <w:sz w:val="20"/>
          <w:szCs w:val="20"/>
          <w:color w:val="auto"/>
        </w:rPr>
      </w:pPr>
    </w:p>
    <w:p>
      <w:pPr>
        <w:spacing w:after="0"/>
        <w:tabs>
          <w:tab w:leader="none" w:pos="9520" w:val="left"/>
        </w:tabs>
        <w:rPr>
          <w:sz w:val="20"/>
          <w:szCs w:val="20"/>
          <w:color w:val="auto"/>
        </w:rPr>
      </w:pPr>
      <w:r>
        <w:rPr>
          <w:rFonts w:ascii="Arial" w:cs="Arial" w:eastAsia="Arial" w:hAnsi="Arial"/>
          <w:sz w:val="18"/>
          <w:szCs w:val="18"/>
          <w:color w:val="auto"/>
        </w:rPr>
        <w:t xml:space="preserve">Lessor Initials: </w:t>
      </w:r>
      <w:r>
        <w:rPr>
          <w:rFonts w:ascii="Arial" w:cs="Arial" w:eastAsia="Arial" w:hAnsi="Arial"/>
          <w:sz w:val="18"/>
          <w:szCs w:val="18"/>
          <w:u w:val="single" w:color="auto"/>
          <w:color w:val="auto"/>
        </w:rPr>
        <w:t>KP</w:t>
      </w:r>
      <w:r>
        <w:rPr>
          <w:sz w:val="20"/>
          <w:szCs w:val="20"/>
          <w:color w:val="auto"/>
        </w:rPr>
        <w:tab/>
      </w:r>
      <w:r>
        <w:rPr>
          <w:rFonts w:ascii="Arial" w:cs="Arial" w:eastAsia="Arial" w:hAnsi="Arial"/>
          <w:sz w:val="17"/>
          <w:szCs w:val="17"/>
          <w:color w:val="auto"/>
        </w:rPr>
        <w:t xml:space="preserve">Lessee Initials: </w:t>
      </w:r>
      <w:r>
        <w:rPr>
          <w:rFonts w:ascii="Arial" w:cs="Arial" w:eastAsia="Arial" w:hAnsi="Arial"/>
          <w:sz w:val="17"/>
          <w:szCs w:val="17"/>
          <w:u w:val="single" w:color="auto"/>
          <w:color w:val="auto"/>
        </w:rPr>
        <w:t>DMD</w:t>
      </w:r>
    </w:p>
    <w:p>
      <w:pPr>
        <w:spacing w:after="0" w:line="23" w:lineRule="exact"/>
        <w:rPr>
          <w:sz w:val="20"/>
          <w:szCs w:val="20"/>
          <w:color w:val="auto"/>
        </w:rPr>
      </w:pPr>
    </w:p>
    <w:p>
      <w:pPr>
        <w:jc w:val="both"/>
        <w:ind w:left="980" w:hanging="324"/>
        <w:spacing w:after="0" w:line="254" w:lineRule="auto"/>
        <w:tabs>
          <w:tab w:leader="none" w:pos="98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Sale Leaseback:</w:t>
      </w:r>
      <w:r>
        <w:rPr>
          <w:rFonts w:ascii="Arial" w:cs="Arial" w:eastAsia="Arial" w:hAnsi="Arial"/>
          <w:sz w:val="18"/>
          <w:szCs w:val="18"/>
          <w:color w:val="auto"/>
        </w:rPr>
        <w:t xml:space="preserve"> Notwithstanding anything to the contrary herein, the parties acknowledge and agree that this transaction is structured as a sale leaseback, whereby Lessor shall purchase the equipment from Lessee for purposes of leasing the equipment back to Lessee in accordance with the terms and conditions set forth in the Sale Leaseback Agreement dated April 30, 2014, a copy of which is attached hereto and incorporated herein.</w:t>
      </w:r>
    </w:p>
    <w:p>
      <w:pPr>
        <w:sectPr>
          <w:pgSz w:w="11900" w:h="16838" w:orient="portrait"/>
          <w:cols w:equalWidth="0" w:num="1">
            <w:col w:w="11420"/>
          </w:cols>
          <w:pgMar w:left="240" w:top="922" w:right="239" w:bottom="226" w:gutter="0" w:footer="0" w:header="0"/>
        </w:sectPr>
      </w:pPr>
    </w:p>
    <w:bookmarkStart w:id="175" w:name="page176"/>
    <w:bookmarkEnd w:id="175"/>
    <w:p>
      <w:pPr>
        <w:jc w:val="both"/>
        <w:spacing w:after="0" w:line="254"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both"/>
        <w:ind w:left="980" w:hanging="324"/>
        <w:spacing w:after="0" w:line="254" w:lineRule="auto"/>
        <w:tabs>
          <w:tab w:leader="none" w:pos="98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Master Agreement Amendment</w:t>
      </w:r>
      <w:r>
        <w:rPr>
          <w:rFonts w:ascii="Arial" w:cs="Arial" w:eastAsia="Arial" w:hAnsi="Arial"/>
          <w:sz w:val="18"/>
          <w:szCs w:val="18"/>
          <w:color w:val="auto"/>
        </w:rPr>
        <w:t>: For purposes of this Schedule only, the following shall be added as the last sentence of Section 19(b) of the Master Agreement “At the conclusion of option (ii) above and upon Lessee’s payment to Lessor of (i) all unpaid Rental Payments, including any applicable sales tax, (ii) all unpaid property taxes, (iii) all accrued but unbilled property taxes, and (iv) all unpaid late charges, any and all of the Lessor’s and/or any Assignee’s right, title and interest in and to the Equipment shall pass to Lessee, or if the Equipment includes software which is subject to a license, then any and all of Lessor’s or any Assignee’s rights, title, and interests in and to the software shall pass to Lessee, and the Lease shall terminate. At the time of such termination, Lessor shall remove of record any and all UCC financing statements and any other applicable filings and recordings evidencing the Lease”. All other terms and conditions of the Master Agreement shall remain in full force and effect without change.</w:t>
      </w:r>
    </w:p>
    <w:p>
      <w:pPr>
        <w:spacing w:after="0" w:line="219" w:lineRule="exact"/>
        <w:rPr>
          <w:rFonts w:ascii="Arial" w:cs="Arial" w:eastAsia="Arial" w:hAnsi="Arial"/>
          <w:sz w:val="18"/>
          <w:szCs w:val="18"/>
          <w:color w:val="auto"/>
        </w:rPr>
      </w:pPr>
    </w:p>
    <w:p>
      <w:pPr>
        <w:jc w:val="both"/>
        <w:ind w:left="980" w:hanging="324"/>
        <w:spacing w:after="0" w:line="270" w:lineRule="auto"/>
        <w:tabs>
          <w:tab w:leader="none" w:pos="980"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Tax Payment and Indemnification</w:t>
      </w:r>
      <w:r>
        <w:rPr>
          <w:rFonts w:ascii="Arial" w:cs="Arial" w:eastAsia="Arial" w:hAnsi="Arial"/>
          <w:sz w:val="17"/>
          <w:szCs w:val="17"/>
          <w:color w:val="auto"/>
        </w:rPr>
        <w:t>: Notwithstanding anything to the contrary in the Master Agreement, for this Schedule only, during the term of the Lease, Lessee shall pay directly all taxes, fees, and assessments, including, but not limited to, sales, use and property tax, that may be imposed by any taxing authority on the Equipment, on its purchase, ownership, delivery, possession, operation, rental, return to Lessor or its purchase by Lessee (collectively, “Taxes”). Lessee hereby agrees to indemnify and hold Lessor harmless from and against any and all losses incurred by Lessor arising out of Lessee’s absolute and unconditional obligation to remit any and all Taxes directly to the taxing authority as required under the laws of the state where any Item of Equipment is located (“Jurisdiction”), and to provide quarterly and/or annual reports, as applicable, to Lessor verifying that all Taxes have been paid in accordance with the laws of each applicable Jurisdiction. Lessee further agrees to indemnify, defend and hold Lessor harmless from and against any and all demands, claims, costs, expenses, attorney fees or liabilities that may result therefrom or from enforcement of this Indemnification.</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Lessee Initials: </w:t>
      </w:r>
      <w:r>
        <w:rPr>
          <w:rFonts w:ascii="Arial" w:cs="Arial" w:eastAsia="Arial" w:hAnsi="Arial"/>
          <w:sz w:val="18"/>
          <w:szCs w:val="18"/>
          <w:u w:val="single" w:color="auto"/>
          <w:color w:val="auto"/>
        </w:rPr>
        <w:t>DMD</w:t>
      </w:r>
    </w:p>
    <w:p>
      <w:pPr>
        <w:spacing w:after="0" w:line="252" w:lineRule="exact"/>
        <w:rPr>
          <w:sz w:val="20"/>
          <w:szCs w:val="20"/>
          <w:color w:val="auto"/>
        </w:rPr>
      </w:pPr>
    </w:p>
    <w:p>
      <w:pPr>
        <w:jc w:val="both"/>
        <w:ind w:left="980" w:hanging="324"/>
        <w:spacing w:after="0" w:line="291" w:lineRule="auto"/>
        <w:tabs>
          <w:tab w:leader="none" w:pos="980"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Tracking Report</w:t>
      </w:r>
      <w:r>
        <w:rPr>
          <w:rFonts w:ascii="Arial" w:cs="Arial" w:eastAsia="Arial" w:hAnsi="Arial"/>
          <w:sz w:val="16"/>
          <w:szCs w:val="16"/>
          <w:color w:val="auto"/>
        </w:rPr>
        <w:t xml:space="preserve">: Lessee hereby agrees to provide to Lessor, on a quarterly basis or as requested by Lessor, a current location tracking report for all Items of Equipment, in a form satisfactory to Lessor in its sole discretion. </w:t>
      </w:r>
      <w:r>
        <w:rPr>
          <w:rFonts w:ascii="Arial" w:cs="Arial" w:eastAsia="Arial" w:hAnsi="Arial"/>
          <w:sz w:val="16"/>
          <w:szCs w:val="16"/>
          <w:b w:val="1"/>
          <w:bCs w:val="1"/>
          <w:color w:val="auto"/>
        </w:rPr>
        <w:t>FAILURE OF LESSEE TO PROVIDE THE TRACKING</w:t>
      </w:r>
    </w:p>
    <w:p>
      <w:pPr>
        <w:ind w:left="980"/>
        <w:spacing w:after="0"/>
        <w:rPr>
          <w:rFonts w:ascii="Arial" w:cs="Arial" w:eastAsia="Arial" w:hAnsi="Arial"/>
          <w:sz w:val="16"/>
          <w:szCs w:val="16"/>
          <w:color w:val="auto"/>
        </w:rPr>
      </w:pPr>
      <w:r>
        <w:rPr>
          <w:rFonts w:ascii="Arial" w:cs="Arial" w:eastAsia="Arial" w:hAnsi="Arial"/>
          <w:sz w:val="18"/>
          <w:szCs w:val="18"/>
          <w:b w:val="1"/>
          <w:bCs w:val="1"/>
          <w:color w:val="auto"/>
        </w:rPr>
        <w:t>REPORT TO LESSOR AS PROVIDED HEREIN SHALL CONSTITUTE AN EVENT OF DEFAULT UNDER SECTION 16(a)(IV)</w:t>
      </w:r>
    </w:p>
    <w:p>
      <w:pPr>
        <w:spacing w:after="0" w:line="9"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b w:val="1"/>
          <w:bCs w:val="1"/>
          <w:color w:val="auto"/>
        </w:rPr>
        <w:t>OF THE MASTER AGREEMENT</w:t>
      </w:r>
      <w:r>
        <w:rPr>
          <w:rFonts w:ascii="Arial" w:cs="Arial" w:eastAsia="Arial" w:hAnsi="Arial"/>
          <w:sz w:val="18"/>
          <w:szCs w:val="18"/>
          <w:color w:val="auto"/>
        </w:rPr>
        <w:t>.</w:t>
      </w:r>
    </w:p>
    <w:p>
      <w:pPr>
        <w:spacing w:after="0" w:line="237" w:lineRule="exact"/>
        <w:rPr>
          <w:rFonts w:ascii="Arial" w:cs="Arial" w:eastAsia="Arial" w:hAnsi="Arial"/>
          <w:sz w:val="16"/>
          <w:szCs w:val="16"/>
          <w:color w:val="auto"/>
        </w:rPr>
      </w:pPr>
    </w:p>
    <w:p>
      <w:pPr>
        <w:ind w:left="980" w:hanging="324"/>
        <w:spacing w:after="0"/>
        <w:tabs>
          <w:tab w:leader="none" w:pos="98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Master Agreement Amendment</w:t>
      </w:r>
      <w:r>
        <w:rPr>
          <w:rFonts w:ascii="Arial" w:cs="Arial" w:eastAsia="Arial" w:hAnsi="Arial"/>
          <w:sz w:val="18"/>
          <w:szCs w:val="18"/>
          <w:color w:val="auto"/>
        </w:rPr>
        <w:t>: For this Schedule only, the Master Agreement shall further be amended as follows:</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fourth line of Section 2(a) shall be amended by deleting “calendar quarter” and replacing it with “month”.</w:t>
      </w:r>
    </w:p>
    <w:p>
      <w:pPr>
        <w:spacing w:after="0" w:line="252" w:lineRule="exact"/>
        <w:rPr>
          <w:rFonts w:ascii="Arial" w:cs="Arial" w:eastAsia="Arial" w:hAnsi="Arial"/>
          <w:sz w:val="18"/>
          <w:szCs w:val="18"/>
          <w:color w:val="auto"/>
        </w:rPr>
      </w:pPr>
    </w:p>
    <w:p>
      <w:pPr>
        <w:ind w:left="1620" w:hanging="315"/>
        <w:spacing w:after="0" w:line="277" w:lineRule="auto"/>
        <w:tabs>
          <w:tab w:leader="none" w:pos="16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Section 3(a) shall be amended by deleting the phrase “from the date such Item was installed” and replacing it with “from the Installation Date”.</w:t>
      </w:r>
    </w:p>
    <w:p>
      <w:pPr>
        <w:spacing w:after="0" w:line="197" w:lineRule="exact"/>
        <w:rPr>
          <w:rFonts w:ascii="Arial" w:cs="Arial" w:eastAsia="Arial" w:hAnsi="Arial"/>
          <w:sz w:val="18"/>
          <w:szCs w:val="18"/>
          <w:color w:val="auto"/>
        </w:rPr>
      </w:pPr>
    </w:p>
    <w:p>
      <w:pPr>
        <w:jc w:val="both"/>
        <w:ind w:left="1620" w:hanging="315"/>
        <w:spacing w:after="0" w:line="272" w:lineRule="auto"/>
        <w:tabs>
          <w:tab w:leader="none" w:pos="162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Section 6(b) of the Master Agreement shall be deleted in its entirety and replaced with the following: “(b) Provided that no Event of Default shall have occurred, Lessee and/or its assigns, agents, customers, or sublesses shall, at all times during the term of the Lease, be entitled to unlimited use and enjoyment of the Equipment. In no event shall the Equipment be moved outside the continental, contiguous United States. Lessee and/or its assigns, customers, agents, or sublesses of the equipment will comply with all laws, regulations, and ordinances, and all applicable requirements of the manufacturer of the Equipment that apply to the physical possession, use, operation, condition, and maintenance of the Equipment. Lessee agrees to obtain, or to require its customers or agents to obtain, all permits and licenses necessary for the operation of the Equipment.”</w:t>
      </w:r>
    </w:p>
    <w:p>
      <w:pPr>
        <w:spacing w:after="0" w:line="204" w:lineRule="exact"/>
        <w:rPr>
          <w:rFonts w:ascii="Arial" w:cs="Arial" w:eastAsia="Arial" w:hAnsi="Arial"/>
          <w:sz w:val="17"/>
          <w:szCs w:val="17"/>
          <w:color w:val="auto"/>
        </w:rPr>
      </w:pPr>
    </w:p>
    <w:p>
      <w:pPr>
        <w:ind w:left="1620" w:right="20" w:hanging="315"/>
        <w:spacing w:after="0" w:line="308" w:lineRule="auto"/>
        <w:tabs>
          <w:tab w:leader="none" w:pos="162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The first sentence of Section 6(c) shall be amended by adding “; provided, however, that the foregoing shall not refer to or include any firmware of Lessee or any other intellectual property of Lessee, including Lessee’s software” before the parenthetical phrase.</w:t>
      </w:r>
    </w:p>
    <w:p>
      <w:pPr>
        <w:spacing w:after="0" w:line="173" w:lineRule="exact"/>
        <w:rPr>
          <w:rFonts w:ascii="Arial" w:cs="Arial" w:eastAsia="Arial" w:hAnsi="Arial"/>
          <w:sz w:val="17"/>
          <w:szCs w:val="17"/>
          <w:color w:val="auto"/>
        </w:rPr>
      </w:pPr>
    </w:p>
    <w:p>
      <w:pPr>
        <w:ind w:left="1620" w:hanging="315"/>
        <w:spacing w:after="0"/>
        <w:tabs>
          <w:tab w:leader="none" w:pos="16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first sentence of Section 8(a) shall be deleted.</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Section 8(c) shall be amended as follows:</w:t>
      </w:r>
    </w:p>
    <w:p>
      <w:pPr>
        <w:spacing w:after="0" w:line="252" w:lineRule="exact"/>
        <w:rPr>
          <w:rFonts w:ascii="Arial" w:cs="Arial" w:eastAsia="Arial" w:hAnsi="Arial"/>
          <w:sz w:val="18"/>
          <w:szCs w:val="18"/>
          <w:color w:val="auto"/>
        </w:rPr>
      </w:pPr>
    </w:p>
    <w:p>
      <w:pPr>
        <w:jc w:val="both"/>
        <w:ind w:left="2280" w:hanging="327"/>
        <w:spacing w:after="0" w:line="257" w:lineRule="auto"/>
        <w:tabs>
          <w:tab w:leader="none" w:pos="228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 PROVIDED, HOWEVER, THAT LESSEE MAY AND IS HEREBY SPECIFICIALLY AUTHORIZED TO FROM TIME TO TIME OR AT ANY TIME TO, ASSIGN, SUBLET, RENT, OR TRANSFER ITS RIGHTS TO THE EQUIPMENT HEREUNDER TO ANY CUSTOMER OR AGENT PURSUANT TO A LEASE, SUBLEASE, RENTAL, PROCESSING AGREEMENT, OR OTHER SIMILAR AGREEMENT (“CUSTOMER AGREEMENT”)” shall be added after “CONSENT OF LESSOR.”</w:t>
      </w:r>
    </w:p>
    <w:p>
      <w:pPr>
        <w:spacing w:after="0" w:line="215" w:lineRule="exact"/>
        <w:rPr>
          <w:rFonts w:ascii="Arial" w:cs="Arial" w:eastAsia="Arial" w:hAnsi="Arial"/>
          <w:sz w:val="18"/>
          <w:szCs w:val="18"/>
          <w:color w:val="auto"/>
        </w:rPr>
      </w:pPr>
    </w:p>
    <w:p>
      <w:pPr>
        <w:ind w:left="2280" w:hanging="327"/>
        <w:spacing w:after="0" w:line="277" w:lineRule="auto"/>
        <w:tabs>
          <w:tab w:leader="none" w:pos="228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“Lessee grants to Lessor the right of first refusal on any sublease or other grant of Lessee’s rights to the Equipment.” shall be deleted.</w:t>
      </w:r>
    </w:p>
    <w:p>
      <w:pPr>
        <w:spacing w:after="0" w:line="197" w:lineRule="exact"/>
        <w:rPr>
          <w:rFonts w:ascii="Arial" w:cs="Arial" w:eastAsia="Arial" w:hAnsi="Arial"/>
          <w:sz w:val="18"/>
          <w:szCs w:val="18"/>
          <w:color w:val="auto"/>
        </w:rPr>
      </w:pPr>
    </w:p>
    <w:p>
      <w:pPr>
        <w:ind w:left="1620" w:hanging="315"/>
        <w:spacing w:after="0"/>
        <w:tabs>
          <w:tab w:leader="none" w:pos="16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Section 11 shall be deleted in its entirety and replaced with the following:</w:t>
      </w: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11. QUIET ENJOYMENT.</w:t>
      </w:r>
      <w:r>
        <w:rPr>
          <w:rFonts w:ascii="Arial" w:cs="Arial" w:eastAsia="Arial" w:hAnsi="Arial"/>
          <w:sz w:val="17"/>
          <w:szCs w:val="17"/>
          <w:color w:val="auto"/>
        </w:rPr>
        <w:t xml:space="preserve"> Lessor and /or any Assignee covenants that so long as Lessee is not in default under a Lease, Lessor</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ind w:left="260"/>
              <w:spacing w:after="0"/>
              <w:rPr>
                <w:sz w:val="20"/>
                <w:szCs w:val="20"/>
                <w:color w:val="auto"/>
              </w:rPr>
            </w:pPr>
            <w:r>
              <w:rPr>
                <w:rFonts w:ascii="Arial" w:cs="Arial" w:eastAsia="Arial" w:hAnsi="Arial"/>
                <w:sz w:val="18"/>
                <w:szCs w:val="18"/>
                <w:color w:val="auto"/>
                <w:w w:val="91"/>
              </w:rPr>
              <w:t>and/or any Assignee shall</w:t>
            </w:r>
          </w:p>
        </w:tc>
        <w:tc>
          <w:tcPr>
            <w:tcW w:w="7460" w:type="dxa"/>
            <w:vAlign w:val="bottom"/>
            <w:gridSpan w:val="2"/>
          </w:tcPr>
          <w:p>
            <w:pPr>
              <w:ind w:left="60"/>
              <w:spacing w:after="0"/>
              <w:rPr>
                <w:sz w:val="20"/>
                <w:szCs w:val="20"/>
                <w:color w:val="auto"/>
              </w:rPr>
            </w:pPr>
            <w:r>
              <w:rPr>
                <w:rFonts w:ascii="Arial" w:cs="Arial" w:eastAsia="Arial" w:hAnsi="Arial"/>
                <w:sz w:val="18"/>
                <w:szCs w:val="18"/>
                <w:color w:val="auto"/>
                <w:w w:val="99"/>
              </w:rPr>
              <w:t>take no action to interfere with Lessee’s assignment, rental, enjoyment, sublease, transfer, or</w:t>
            </w:r>
          </w:p>
        </w:tc>
      </w:tr>
      <w:tr>
        <w:trPr>
          <w:trHeight w:val="404"/>
        </w:trPr>
        <w:tc>
          <w:tcPr>
            <w:tcW w:w="3520" w:type="dxa"/>
            <w:vAlign w:val="bottom"/>
            <w:gridSpan w:val="3"/>
          </w:tcPr>
          <w:p>
            <w:pPr>
              <w:spacing w:after="0"/>
              <w:rPr>
                <w:sz w:val="20"/>
                <w:szCs w:val="20"/>
                <w:color w:val="auto"/>
              </w:rPr>
            </w:pPr>
            <w:r>
              <w:rPr>
                <w:rFonts w:ascii="Arial" w:cs="Arial" w:eastAsia="Arial" w:hAnsi="Arial"/>
                <w:sz w:val="18"/>
                <w:szCs w:val="18"/>
                <w:color w:val="auto"/>
              </w:rPr>
              <w:t>Lessor Initials: KP</w:t>
            </w:r>
          </w:p>
        </w:tc>
        <w:tc>
          <w:tcPr>
            <w:tcW w:w="7460" w:type="dxa"/>
            <w:vAlign w:val="bottom"/>
            <w:gridSpan w:val="2"/>
          </w:tcPr>
          <w:p>
            <w:pPr>
              <w:ind w:left="5900"/>
              <w:spacing w:after="0"/>
              <w:rPr>
                <w:sz w:val="20"/>
                <w:szCs w:val="20"/>
                <w:color w:val="auto"/>
              </w:rPr>
            </w:pPr>
            <w:r>
              <w:rPr>
                <w:rFonts w:ascii="Arial" w:cs="Arial" w:eastAsia="Arial" w:hAnsi="Arial"/>
                <w:sz w:val="18"/>
                <w:szCs w:val="18"/>
                <w:color w:val="auto"/>
                <w:w w:val="93"/>
              </w:rPr>
              <w:t>Lessee Initials: DMD</w:t>
            </w:r>
          </w:p>
        </w:tc>
      </w:tr>
      <w:tr>
        <w:trPr>
          <w:trHeight w:val="20"/>
        </w:trPr>
        <w:tc>
          <w:tcPr>
            <w:tcW w:w="1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p>
      <w:pPr>
        <w:ind w:left="1620"/>
        <w:spacing w:after="0" w:line="277" w:lineRule="auto"/>
        <w:rPr>
          <w:sz w:val="20"/>
          <w:szCs w:val="20"/>
          <w:color w:val="auto"/>
        </w:rPr>
      </w:pPr>
      <w:r>
        <w:rPr>
          <w:rFonts w:ascii="Arial" w:cs="Arial" w:eastAsia="Arial" w:hAnsi="Arial"/>
          <w:sz w:val="18"/>
          <w:szCs w:val="18"/>
          <w:color w:val="auto"/>
        </w:rPr>
        <w:t>other unlimited possession and use of the Equipment or interfere with a Customer Agreement, subject to and in accordance with the provisions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855" w:gutter="0" w:footer="0" w:header="0"/>
        </w:sectPr>
      </w:pPr>
    </w:p>
    <w:bookmarkStart w:id="177" w:name="page178"/>
    <w:bookmarkEnd w:id="177"/>
    <w:p>
      <w:pPr>
        <w:ind w:left="1620" w:hanging="315"/>
        <w:spacing w:after="0"/>
        <w:tabs>
          <w:tab w:leader="none" w:pos="16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following phrase shall be deleted from Section 15(a)(iii) “and in any jurisdiction in which any of the Equipment is located”.</w:t>
      </w:r>
    </w:p>
    <w:p>
      <w:pPr>
        <w:spacing w:after="0" w:line="263" w:lineRule="exact"/>
        <w:rPr>
          <w:rFonts w:ascii="Arial" w:cs="Arial" w:eastAsia="Arial" w:hAnsi="Arial"/>
          <w:sz w:val="17"/>
          <w:szCs w:val="17"/>
          <w:color w:val="auto"/>
        </w:rPr>
      </w:pPr>
    </w:p>
    <w:p>
      <w:pPr>
        <w:ind w:left="1620" w:hanging="315"/>
        <w:spacing w:after="0"/>
        <w:tabs>
          <w:tab w:leader="none" w:pos="16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Section 16(a)(ii) shall be amended by deleting “remove,”.</w:t>
      </w:r>
    </w:p>
    <w:p>
      <w:pPr>
        <w:spacing w:after="0" w:line="252" w:lineRule="exact"/>
        <w:rPr>
          <w:rFonts w:ascii="Arial" w:cs="Arial" w:eastAsia="Arial" w:hAnsi="Arial"/>
          <w:sz w:val="18"/>
          <w:szCs w:val="18"/>
          <w:color w:val="auto"/>
        </w:rPr>
      </w:pPr>
    </w:p>
    <w:p>
      <w:pPr>
        <w:ind w:left="1620" w:hanging="315"/>
        <w:spacing w:after="0" w:line="277" w:lineRule="auto"/>
        <w:tabs>
          <w:tab w:leader="none" w:pos="16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Section 19(g) shall be amended by deleting “, and, upon Lessor’s request, Lessee shall secure from its mortgagee, landlord or owner of the premises a waiver in form and substance reasonably satisfactory to Lessor”.</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 other terms and conditions of the Master Agreement shall remain in full force and effect without change.</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Lessee’s execution and delivery of this Schedule shall constitute its offer to lease the Equipment described herein upon the terms and conditions set forth herein. Lessor’s subsequent execution of this Schedule in Michigan and delivery to Lessee shall constitute its acceptance of the Lease. The Lease shall be deemed made in Michigan.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anything herein or in the Master Agreement to the contrary, Lessee acknowledges and agrees, that Lessor shall be entitled to claim for federal income tax purposes, without limitation, all benefits, credits and deductions related to the Equipment.</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undersigned Lessee acknowledges that this Schedule authorizes the Lessor or its agents or assignee(s) to sign, execute and file on its behalf any and all necessary documents, including UCC financing statements and other filings and recordings, to make public this lease transaction. The parties intend this transaction to be a true lease, but if any court or tribunal, having power to bind the parties, should conclude that all or part of this Schedule is not a true lease but is in the nature of a sale, consignment, or other transaction, the parties intend and the Lessee hereby grants a continuing security interest in the Equipment from the date of this Schedule to secure the payment of all Lessee’s indebtedness to Lessor. In the event serial numbers for Items are unavailable upon execution hereof, Lessee authorizes Lessor to amend this Schedule by inserting correct serial numbers with respect to those Items.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SCHEDULE TOGETHER WITH THE MASTER AGREEMENT AND ANY ADDITIONAL PROVISION(S) REFERRED TO IN ITEM 10 CONSTITUTE THE ENTIRE AGREEMENT BETWEEN THE LESSOR AND LESSEE AS TO THE LEASE AND THE EQUIPMENT.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LESSOR:</w:t>
            </w:r>
          </w:p>
        </w:tc>
        <w:tc>
          <w:tcPr>
            <w:tcW w:w="7480" w:type="dxa"/>
            <w:vAlign w:val="bottom"/>
            <w:gridSpan w:val="3"/>
          </w:tcPr>
          <w:p>
            <w:pPr>
              <w:ind w:left="1700"/>
              <w:spacing w:after="0"/>
              <w:rPr>
                <w:sz w:val="20"/>
                <w:szCs w:val="20"/>
                <w:color w:val="auto"/>
              </w:rPr>
            </w:pPr>
            <w:r>
              <w:rPr>
                <w:rFonts w:ascii="Arial" w:cs="Arial" w:eastAsia="Arial" w:hAnsi="Arial"/>
                <w:sz w:val="18"/>
                <w:szCs w:val="18"/>
                <w:color w:val="auto"/>
              </w:rPr>
              <w:t>LESSEE:</w:t>
            </w:r>
          </w:p>
        </w:tc>
      </w:t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VARILEASE FINANCE, INC.</w:t>
            </w:r>
          </w:p>
        </w:tc>
        <w:tc>
          <w:tcPr>
            <w:tcW w:w="7480" w:type="dxa"/>
            <w:vAlign w:val="bottom"/>
            <w:gridSpan w:val="3"/>
          </w:tcPr>
          <w:p>
            <w:pPr>
              <w:ind w:left="1700"/>
              <w:spacing w:after="0"/>
              <w:rPr>
                <w:sz w:val="20"/>
                <w:szCs w:val="20"/>
                <w:color w:val="auto"/>
              </w:rPr>
            </w:pPr>
            <w:r>
              <w:rPr>
                <w:rFonts w:ascii="Arial" w:cs="Arial" w:eastAsia="Arial" w:hAnsi="Arial"/>
                <w:sz w:val="18"/>
                <w:szCs w:val="18"/>
                <w:color w:val="auto"/>
              </w:rPr>
              <w:t>USA TECHNOLOGIES, INC.</w:t>
            </w:r>
          </w:p>
        </w:tc>
      </w:tr>
      <w:tr>
        <w:trPr>
          <w:trHeight w:val="432"/>
        </w:trPr>
        <w:tc>
          <w:tcPr>
            <w:tcW w:w="3940" w:type="dxa"/>
            <w:vAlign w:val="bottom"/>
            <w:gridSpan w:val="3"/>
          </w:tcPr>
          <w:p>
            <w:pPr>
              <w:spacing w:after="0"/>
              <w:rPr>
                <w:sz w:val="20"/>
                <w:szCs w:val="20"/>
                <w:color w:val="auto"/>
              </w:rPr>
            </w:pPr>
            <w:r>
              <w:rPr>
                <w:rFonts w:ascii="Arial" w:cs="Arial" w:eastAsia="Arial" w:hAnsi="Arial"/>
                <w:sz w:val="18"/>
                <w:szCs w:val="18"/>
                <w:color w:val="auto"/>
              </w:rPr>
              <w:t>By: /s/ Kristy Phillips</w:t>
            </w:r>
          </w:p>
        </w:tc>
        <w:tc>
          <w:tcPr>
            <w:tcW w:w="7480" w:type="dxa"/>
            <w:vAlign w:val="bottom"/>
            <w:gridSpan w:val="3"/>
          </w:tcPr>
          <w:p>
            <w:pPr>
              <w:ind w:left="1700"/>
              <w:spacing w:after="0"/>
              <w:rPr>
                <w:sz w:val="20"/>
                <w:szCs w:val="20"/>
                <w:color w:val="auto"/>
              </w:rPr>
            </w:pPr>
            <w:r>
              <w:rPr>
                <w:rFonts w:ascii="Arial" w:cs="Arial" w:eastAsia="Arial" w:hAnsi="Arial"/>
                <w:sz w:val="18"/>
                <w:szCs w:val="18"/>
                <w:color w:val="auto"/>
              </w:rPr>
              <w:t>By: /s/ David M. DeMedio</w:t>
            </w:r>
          </w:p>
        </w:tc>
      </w:tr>
      <w:tr>
        <w:trPr>
          <w:trHeight w:val="27"/>
        </w:trPr>
        <w:tc>
          <w:tcPr>
            <w:tcW w:w="3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3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3800" w:type="dxa"/>
            <w:vAlign w:val="bottom"/>
          </w:tcPr>
          <w:p>
            <w:pPr>
              <w:spacing w:after="0"/>
              <w:rPr>
                <w:sz w:val="2"/>
                <w:szCs w:val="2"/>
                <w:color w:val="auto"/>
              </w:rPr>
            </w:pPr>
          </w:p>
        </w:tc>
      </w:tr>
      <w:tr>
        <w:trPr>
          <w:trHeight w:val="202"/>
        </w:trPr>
        <w:tc>
          <w:tcPr>
            <w:tcW w:w="1620" w:type="dxa"/>
            <w:vAlign w:val="bottom"/>
            <w:gridSpan w:val="2"/>
          </w:tcPr>
          <w:p>
            <w:pPr>
              <w:spacing w:after="0" w:line="201" w:lineRule="exact"/>
              <w:rPr>
                <w:sz w:val="20"/>
                <w:szCs w:val="20"/>
                <w:color w:val="auto"/>
              </w:rPr>
            </w:pPr>
            <w:r>
              <w:rPr>
                <w:rFonts w:ascii="Arial" w:cs="Arial" w:eastAsia="Arial" w:hAnsi="Arial"/>
                <w:sz w:val="18"/>
                <w:szCs w:val="18"/>
                <w:color w:val="auto"/>
                <w:w w:val="96"/>
              </w:rPr>
              <w:t>Name: Kristy Phillips</w:t>
            </w:r>
          </w:p>
        </w:tc>
        <w:tc>
          <w:tcPr>
            <w:tcW w:w="2320" w:type="dxa"/>
            <w:vAlign w:val="bottom"/>
          </w:tcPr>
          <w:p>
            <w:pPr>
              <w:spacing w:after="0"/>
              <w:rPr>
                <w:sz w:val="17"/>
                <w:szCs w:val="17"/>
                <w:color w:val="auto"/>
              </w:rPr>
            </w:pPr>
          </w:p>
        </w:tc>
        <w:tc>
          <w:tcPr>
            <w:tcW w:w="7480" w:type="dxa"/>
            <w:vAlign w:val="bottom"/>
            <w:gridSpan w:val="3"/>
          </w:tcPr>
          <w:p>
            <w:pPr>
              <w:ind w:left="1700"/>
              <w:spacing w:after="0" w:line="201" w:lineRule="exact"/>
              <w:rPr>
                <w:sz w:val="20"/>
                <w:szCs w:val="20"/>
                <w:color w:val="auto"/>
              </w:rPr>
            </w:pPr>
            <w:r>
              <w:rPr>
                <w:rFonts w:ascii="Arial" w:cs="Arial" w:eastAsia="Arial" w:hAnsi="Arial"/>
                <w:sz w:val="18"/>
                <w:szCs w:val="18"/>
                <w:color w:val="auto"/>
              </w:rPr>
              <w:t>Name: David M. DeMedio</w:t>
            </w:r>
          </w:p>
        </w:tc>
      </w:t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Title: Vice President</w:t>
            </w:r>
          </w:p>
        </w:tc>
        <w:tc>
          <w:tcPr>
            <w:tcW w:w="7480" w:type="dxa"/>
            <w:vAlign w:val="bottom"/>
            <w:gridSpan w:val="3"/>
          </w:tcPr>
          <w:p>
            <w:pPr>
              <w:ind w:left="1700"/>
              <w:spacing w:after="0"/>
              <w:rPr>
                <w:sz w:val="20"/>
                <w:szCs w:val="20"/>
                <w:color w:val="auto"/>
              </w:rPr>
            </w:pPr>
            <w:r>
              <w:rPr>
                <w:rFonts w:ascii="Arial" w:cs="Arial" w:eastAsia="Arial" w:hAnsi="Arial"/>
                <w:sz w:val="18"/>
                <w:szCs w:val="18"/>
                <w:color w:val="auto"/>
              </w:rPr>
              <w:t>Title: CFO</w:t>
            </w:r>
          </w:p>
        </w:tc>
      </w:tr>
      <w:tr>
        <w:trPr>
          <w:trHeight w:val="675"/>
        </w:trPr>
        <w:tc>
          <w:tcPr>
            <w:tcW w:w="360" w:type="dxa"/>
            <w:vAlign w:val="bottom"/>
            <w:tcBorders>
              <w:bottom w:val="single" w:sz="8" w:color="DCDCDC"/>
            </w:tcBorders>
          </w:tcPr>
          <w:p>
            <w:pPr>
              <w:spacing w:after="0"/>
              <w:rPr>
                <w:sz w:val="24"/>
                <w:szCs w:val="24"/>
                <w:color w:val="auto"/>
              </w:rPr>
            </w:pPr>
          </w:p>
        </w:tc>
        <w:tc>
          <w:tcPr>
            <w:tcW w:w="1260" w:type="dxa"/>
            <w:vAlign w:val="bottom"/>
            <w:tcBorders>
              <w:bottom w:val="single" w:sz="8" w:color="DCDCDC"/>
            </w:tcBorders>
          </w:tcPr>
          <w:p>
            <w:pPr>
              <w:spacing w:after="0"/>
              <w:rPr>
                <w:sz w:val="24"/>
                <w:szCs w:val="24"/>
                <w:color w:val="auto"/>
              </w:rPr>
            </w:pPr>
          </w:p>
        </w:tc>
        <w:tc>
          <w:tcPr>
            <w:tcW w:w="2320" w:type="dxa"/>
            <w:vAlign w:val="bottom"/>
            <w:tcBorders>
              <w:bottom w:val="single" w:sz="8" w:color="DCDCDC"/>
            </w:tcBorders>
          </w:tcPr>
          <w:p>
            <w:pPr>
              <w:spacing w:after="0"/>
              <w:rPr>
                <w:sz w:val="24"/>
                <w:szCs w:val="24"/>
                <w:color w:val="auto"/>
              </w:rPr>
            </w:pPr>
          </w:p>
        </w:tc>
        <w:tc>
          <w:tcPr>
            <w:tcW w:w="2060" w:type="dxa"/>
            <w:vAlign w:val="bottom"/>
            <w:tcBorders>
              <w:bottom w:val="single" w:sz="8" w:color="DCDCDC"/>
            </w:tcBorders>
          </w:tcPr>
          <w:p>
            <w:pPr>
              <w:spacing w:after="0"/>
              <w:rPr>
                <w:sz w:val="24"/>
                <w:szCs w:val="24"/>
                <w:color w:val="auto"/>
              </w:rPr>
            </w:pPr>
          </w:p>
        </w:tc>
        <w:tc>
          <w:tcPr>
            <w:tcW w:w="1620" w:type="dxa"/>
            <w:vAlign w:val="bottom"/>
            <w:tcBorders>
              <w:bottom w:val="single" w:sz="8" w:color="DCDCDC"/>
            </w:tcBorders>
          </w:tcPr>
          <w:p>
            <w:pPr>
              <w:spacing w:after="0"/>
              <w:rPr>
                <w:sz w:val="24"/>
                <w:szCs w:val="24"/>
                <w:color w:val="auto"/>
              </w:rPr>
            </w:pPr>
          </w:p>
        </w:tc>
        <w:tc>
          <w:tcPr>
            <w:tcW w:w="38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22" w:right="239" w:bottom="1440" w:gutter="0" w:footer="0" w:header="0"/>
        </w:sectPr>
      </w:pPr>
    </w:p>
    <w:bookmarkStart w:id="178" w:name="page179"/>
    <w:bookmarkEnd w:id="1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Pr>
          <w:p>
            <w:pPr>
              <w:ind w:left="800"/>
              <w:spacing w:after="0"/>
              <w:rPr>
                <w:sz w:val="20"/>
                <w:szCs w:val="20"/>
                <w:color w:val="auto"/>
              </w:rPr>
            </w:pPr>
            <w:r>
              <w:rPr>
                <w:rFonts w:ascii="Arial" w:cs="Arial" w:eastAsia="Arial" w:hAnsi="Arial"/>
                <w:sz w:val="18"/>
                <w:szCs w:val="18"/>
                <w:b w:val="1"/>
                <w:bCs w:val="1"/>
                <w:color w:val="auto"/>
              </w:rPr>
              <w:t>EXHIBIT A</w:t>
            </w: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1740" w:type="dxa"/>
            <w:vAlign w:val="bottom"/>
          </w:tcPr>
          <w:p>
            <w:pPr>
              <w:ind w:left="180"/>
              <w:spacing w:after="0"/>
              <w:rPr>
                <w:sz w:val="20"/>
                <w:szCs w:val="20"/>
                <w:color w:val="auto"/>
              </w:rPr>
            </w:pPr>
            <w:r>
              <w:rPr>
                <w:rFonts w:ascii="Arial" w:cs="Arial" w:eastAsia="Arial" w:hAnsi="Arial"/>
                <w:sz w:val="18"/>
                <w:szCs w:val="18"/>
                <w:b w:val="1"/>
                <w:bCs w:val="1"/>
                <w:color w:val="auto"/>
              </w:rPr>
              <w:t>Lessee:</w:t>
            </w:r>
          </w:p>
        </w:tc>
        <w:tc>
          <w:tcPr>
            <w:tcW w:w="2000" w:type="dxa"/>
            <w:vAlign w:val="bottom"/>
            <w:gridSpan w:val="3"/>
          </w:tcPr>
          <w:p>
            <w:pPr>
              <w:ind w:left="160"/>
              <w:spacing w:after="0"/>
              <w:rPr>
                <w:sz w:val="20"/>
                <w:szCs w:val="20"/>
                <w:color w:val="auto"/>
              </w:rPr>
            </w:pPr>
            <w:r>
              <w:rPr>
                <w:rFonts w:ascii="Arial" w:cs="Arial" w:eastAsia="Arial" w:hAnsi="Arial"/>
                <w:sz w:val="18"/>
                <w:szCs w:val="18"/>
                <w:color w:val="auto"/>
                <w:w w:val="95"/>
              </w:rPr>
              <w:t>USA Technologies, Inc.</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740" w:type="dxa"/>
            <w:vAlign w:val="bottom"/>
          </w:tcPr>
          <w:p>
            <w:pPr>
              <w:ind w:left="180"/>
              <w:spacing w:after="0"/>
              <w:rPr>
                <w:sz w:val="20"/>
                <w:szCs w:val="20"/>
                <w:color w:val="auto"/>
              </w:rPr>
            </w:pPr>
            <w:r>
              <w:rPr>
                <w:rFonts w:ascii="Arial" w:cs="Arial" w:eastAsia="Arial" w:hAnsi="Arial"/>
                <w:sz w:val="18"/>
                <w:szCs w:val="18"/>
                <w:b w:val="1"/>
                <w:bCs w:val="1"/>
                <w:color w:val="auto"/>
              </w:rPr>
              <w:t>ML dated:</w:t>
            </w: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w w:val="97"/>
              </w:rPr>
              <w:t>April 30, 2014</w:t>
            </w: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740" w:type="dxa"/>
            <w:vAlign w:val="bottom"/>
          </w:tcPr>
          <w:p>
            <w:pPr>
              <w:ind w:left="180"/>
              <w:spacing w:after="0"/>
              <w:rPr>
                <w:sz w:val="20"/>
                <w:szCs w:val="20"/>
                <w:color w:val="auto"/>
              </w:rPr>
            </w:pPr>
            <w:r>
              <w:rPr>
                <w:rFonts w:ascii="Arial" w:cs="Arial" w:eastAsia="Arial" w:hAnsi="Arial"/>
                <w:sz w:val="18"/>
                <w:szCs w:val="18"/>
                <w:b w:val="1"/>
                <w:bCs w:val="1"/>
                <w:color w:val="auto"/>
              </w:rPr>
              <w:t>Schedule No.:</w:t>
            </w:r>
          </w:p>
        </w:tc>
        <w:tc>
          <w:tcPr>
            <w:tcW w:w="1160" w:type="dxa"/>
            <w:vAlign w:val="bottom"/>
          </w:tcPr>
          <w:p>
            <w:pPr>
              <w:ind w:left="16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$1,303,176.78</w:t>
            </w:r>
          </w:p>
        </w:tc>
      </w:tr>
      <w:tr>
        <w:trPr>
          <w:trHeight w:val="439"/>
        </w:trPr>
        <w:tc>
          <w:tcPr>
            <w:tcW w:w="17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Location:</w:t>
            </w:r>
          </w:p>
        </w:tc>
        <w:tc>
          <w:tcPr>
            <w:tcW w:w="5800" w:type="dxa"/>
            <w:vAlign w:val="bottom"/>
            <w:tcBorders>
              <w:bottom w:val="single" w:sz="8" w:color="auto"/>
            </w:tcBorders>
            <w:gridSpan w:val="6"/>
          </w:tcPr>
          <w:p>
            <w:pPr>
              <w:ind w:left="160"/>
              <w:spacing w:after="0"/>
              <w:rPr>
                <w:sz w:val="20"/>
                <w:szCs w:val="20"/>
                <w:color w:val="auto"/>
              </w:rPr>
            </w:pPr>
            <w:r>
              <w:rPr>
                <w:rFonts w:ascii="Arial" w:cs="Arial" w:eastAsia="Arial" w:hAnsi="Arial"/>
                <w:sz w:val="18"/>
                <w:szCs w:val="18"/>
                <w:color w:val="auto"/>
              </w:rPr>
              <w:t>Headquartered at 100 Deerfield Lane, Suite 140, Malvern, PA 19355</w:t>
            </w:r>
          </w:p>
        </w:tc>
        <w:tc>
          <w:tcPr>
            <w:tcW w:w="1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98"/>
        </w:trPr>
        <w:tc>
          <w:tcPr>
            <w:tcW w:w="1740" w:type="dxa"/>
            <w:vAlign w:val="bottom"/>
            <w:tcBorders>
              <w:right w:val="single" w:sz="8" w:color="auto"/>
            </w:tcBorders>
          </w:tcPr>
          <w:p>
            <w:pPr>
              <w:ind w:left="200"/>
              <w:spacing w:after="0" w:line="198" w:lineRule="exact"/>
              <w:rPr>
                <w:sz w:val="20"/>
                <w:szCs w:val="20"/>
                <w:color w:val="auto"/>
              </w:rPr>
            </w:pPr>
            <w:r>
              <w:rPr>
                <w:rFonts w:ascii="Arial" w:cs="Arial" w:eastAsia="Arial" w:hAnsi="Arial"/>
                <w:sz w:val="18"/>
                <w:szCs w:val="18"/>
                <w:b w:val="1"/>
                <w:bCs w:val="1"/>
                <w:color w:val="auto"/>
              </w:rPr>
              <w:t>Vendor</w:t>
            </w:r>
          </w:p>
        </w:tc>
        <w:tc>
          <w:tcPr>
            <w:tcW w:w="116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b w:val="1"/>
                <w:bCs w:val="1"/>
                <w:color w:val="auto"/>
                <w:w w:val="99"/>
              </w:rPr>
              <w:t>Invoice No.</w:t>
            </w:r>
          </w:p>
        </w:tc>
        <w:tc>
          <w:tcPr>
            <w:tcW w:w="100" w:type="dxa"/>
            <w:vAlign w:val="bottom"/>
          </w:tcPr>
          <w:p>
            <w:pPr>
              <w:spacing w:after="0"/>
              <w:rPr>
                <w:sz w:val="17"/>
                <w:szCs w:val="17"/>
                <w:color w:val="auto"/>
              </w:rPr>
            </w:pPr>
          </w:p>
        </w:tc>
        <w:tc>
          <w:tcPr>
            <w:tcW w:w="740" w:type="dxa"/>
            <w:vAlign w:val="bottom"/>
            <w:tcBorders>
              <w:right w:val="single" w:sz="8" w:color="auto"/>
            </w:tcBorders>
          </w:tcPr>
          <w:p>
            <w:pPr>
              <w:ind w:left="60"/>
              <w:spacing w:after="0" w:line="198" w:lineRule="exact"/>
              <w:rPr>
                <w:sz w:val="20"/>
                <w:szCs w:val="20"/>
                <w:color w:val="auto"/>
              </w:rPr>
            </w:pPr>
            <w:r>
              <w:rPr>
                <w:rFonts w:ascii="Arial" w:cs="Arial" w:eastAsia="Arial" w:hAnsi="Arial"/>
                <w:sz w:val="18"/>
                <w:szCs w:val="18"/>
                <w:b w:val="1"/>
                <w:bCs w:val="1"/>
                <w:color w:val="auto"/>
              </w:rPr>
              <w:t>Auth</w:t>
            </w:r>
          </w:p>
        </w:tc>
        <w:tc>
          <w:tcPr>
            <w:tcW w:w="620" w:type="dxa"/>
            <w:vAlign w:val="bottom"/>
            <w:tcBorders>
              <w:right w:val="single" w:sz="8" w:color="auto"/>
            </w:tcBorders>
          </w:tcPr>
          <w:p>
            <w:pPr>
              <w:ind w:left="180"/>
              <w:spacing w:after="0" w:line="198" w:lineRule="exact"/>
              <w:rPr>
                <w:sz w:val="20"/>
                <w:szCs w:val="20"/>
                <w:color w:val="auto"/>
              </w:rPr>
            </w:pPr>
            <w:r>
              <w:rPr>
                <w:rFonts w:ascii="Arial" w:cs="Arial" w:eastAsia="Arial" w:hAnsi="Arial"/>
                <w:sz w:val="18"/>
                <w:szCs w:val="18"/>
                <w:b w:val="1"/>
                <w:bCs w:val="1"/>
                <w:color w:val="auto"/>
              </w:rPr>
              <w:t>Qty</w:t>
            </w:r>
          </w:p>
        </w:tc>
        <w:tc>
          <w:tcPr>
            <w:tcW w:w="80" w:type="dxa"/>
            <w:vAlign w:val="bottom"/>
          </w:tcPr>
          <w:p>
            <w:pPr>
              <w:spacing w:after="0"/>
              <w:rPr>
                <w:sz w:val="17"/>
                <w:szCs w:val="17"/>
                <w:color w:val="auto"/>
              </w:rPr>
            </w:pPr>
          </w:p>
        </w:tc>
        <w:tc>
          <w:tcPr>
            <w:tcW w:w="310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Description</w:t>
            </w:r>
          </w:p>
        </w:tc>
        <w:tc>
          <w:tcPr>
            <w:tcW w:w="122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b w:val="1"/>
                <w:bCs w:val="1"/>
                <w:color w:val="auto"/>
              </w:rPr>
              <w:t>Serial No.</w:t>
            </w:r>
          </w:p>
        </w:tc>
        <w:tc>
          <w:tcPr>
            <w:tcW w:w="1220" w:type="dxa"/>
            <w:vAlign w:val="bottom"/>
            <w:tcBorders>
              <w:right w:val="single" w:sz="8" w:color="auto"/>
            </w:tcBorders>
            <w:gridSpan w:val="2"/>
          </w:tcPr>
          <w:p>
            <w:pPr>
              <w:jc w:val="right"/>
              <w:ind w:right="90"/>
              <w:spacing w:after="0" w:line="198" w:lineRule="exact"/>
              <w:rPr>
                <w:sz w:val="20"/>
                <w:szCs w:val="20"/>
                <w:color w:val="auto"/>
              </w:rPr>
            </w:pPr>
            <w:r>
              <w:rPr>
                <w:rFonts w:ascii="Arial" w:cs="Arial" w:eastAsia="Arial" w:hAnsi="Arial"/>
                <w:sz w:val="18"/>
                <w:szCs w:val="18"/>
                <w:b w:val="1"/>
                <w:bCs w:val="1"/>
                <w:color w:val="auto"/>
              </w:rPr>
              <w:t>Cost per</w:t>
            </w:r>
          </w:p>
        </w:tc>
        <w:tc>
          <w:tcPr>
            <w:tcW w:w="600" w:type="dxa"/>
            <w:vAlign w:val="bottom"/>
          </w:tcPr>
          <w:p>
            <w:pPr>
              <w:spacing w:after="0"/>
              <w:rPr>
                <w:sz w:val="17"/>
                <w:szCs w:val="17"/>
                <w:color w:val="auto"/>
              </w:rPr>
            </w:pPr>
          </w:p>
        </w:tc>
        <w:tc>
          <w:tcPr>
            <w:tcW w:w="84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rPr>
              <w:t>Total</w:t>
            </w:r>
          </w:p>
        </w:tc>
      </w:tr>
      <w:tr>
        <w:trPr>
          <w:trHeight w:val="241"/>
        </w:trPr>
        <w:tc>
          <w:tcPr>
            <w:tcW w:w="17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No.</w:t>
            </w:r>
          </w:p>
        </w:tc>
        <w:tc>
          <w:tcPr>
            <w:tcW w:w="6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1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Item</w:t>
            </w:r>
          </w:p>
        </w:tc>
        <w:tc>
          <w:tcPr>
            <w:tcW w:w="6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02"/>
        </w:trPr>
        <w:tc>
          <w:tcPr>
            <w:tcW w:w="174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115155</w:t>
            </w:r>
          </w:p>
        </w:tc>
        <w:tc>
          <w:tcPr>
            <w:tcW w:w="100" w:type="dxa"/>
            <w:vAlign w:val="bottom"/>
          </w:tcPr>
          <w:p>
            <w:pPr>
              <w:spacing w:after="0"/>
              <w:rPr>
                <w:sz w:val="17"/>
                <w:szCs w:val="17"/>
                <w:color w:val="auto"/>
              </w:rPr>
            </w:pPr>
          </w:p>
        </w:tc>
        <w:tc>
          <w:tcPr>
            <w:tcW w:w="74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I</w:t>
            </w:r>
          </w:p>
        </w:tc>
        <w:tc>
          <w:tcPr>
            <w:tcW w:w="6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68</w:t>
            </w:r>
          </w:p>
        </w:tc>
        <w:tc>
          <w:tcPr>
            <w:tcW w:w="80" w:type="dxa"/>
            <w:vAlign w:val="bottom"/>
          </w:tcPr>
          <w:p>
            <w:pPr>
              <w:spacing w:after="0"/>
              <w:rPr>
                <w:sz w:val="17"/>
                <w:szCs w:val="17"/>
                <w:color w:val="auto"/>
              </w:rPr>
            </w:pPr>
          </w:p>
        </w:tc>
        <w:tc>
          <w:tcPr>
            <w:tcW w:w="31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w w:val="97"/>
              </w:rPr>
              <w:t>Top Assembly - Gray G8ePort Verizon</w:t>
            </w:r>
          </w:p>
        </w:tc>
        <w:tc>
          <w:tcPr>
            <w:tcW w:w="122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0</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94"/>
              </w:rPr>
              <w:t>145.87</w:t>
            </w:r>
          </w:p>
        </w:tc>
        <w:tc>
          <w:tcPr>
            <w:tcW w:w="6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line="201" w:lineRule="exact"/>
              <w:rPr>
                <w:sz w:val="20"/>
                <w:szCs w:val="20"/>
                <w:color w:val="auto"/>
              </w:rPr>
            </w:pPr>
            <w:r>
              <w:rPr>
                <w:rFonts w:ascii="Arial" w:cs="Arial" w:eastAsia="Arial" w:hAnsi="Arial"/>
                <w:sz w:val="18"/>
                <w:szCs w:val="18"/>
                <w:color w:val="auto"/>
                <w:w w:val="99"/>
              </w:rPr>
              <w:t>9,919.16</w:t>
            </w:r>
          </w:p>
        </w:tc>
      </w:tr>
      <w:tr>
        <w:trPr>
          <w:trHeight w:val="230"/>
        </w:trPr>
        <w:tc>
          <w:tcPr>
            <w:tcW w:w="17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CDMA Wireless with RFID card</w:t>
            </w:r>
          </w:p>
        </w:tc>
        <w:tc>
          <w:tcPr>
            <w:tcW w:w="122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02"/>
        </w:trPr>
        <w:tc>
          <w:tcPr>
            <w:tcW w:w="174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119027</w:t>
            </w:r>
          </w:p>
        </w:tc>
        <w:tc>
          <w:tcPr>
            <w:tcW w:w="100" w:type="dxa"/>
            <w:vAlign w:val="bottom"/>
          </w:tcPr>
          <w:p>
            <w:pPr>
              <w:spacing w:after="0"/>
              <w:rPr>
                <w:sz w:val="17"/>
                <w:szCs w:val="17"/>
                <w:color w:val="auto"/>
              </w:rPr>
            </w:pPr>
          </w:p>
        </w:tc>
        <w:tc>
          <w:tcPr>
            <w:tcW w:w="74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I</w:t>
            </w:r>
          </w:p>
        </w:tc>
        <w:tc>
          <w:tcPr>
            <w:tcW w:w="6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80</w:t>
            </w:r>
          </w:p>
        </w:tc>
        <w:tc>
          <w:tcPr>
            <w:tcW w:w="80" w:type="dxa"/>
            <w:vAlign w:val="bottom"/>
          </w:tcPr>
          <w:p>
            <w:pPr>
              <w:spacing w:after="0"/>
              <w:rPr>
                <w:sz w:val="17"/>
                <w:szCs w:val="17"/>
                <w:color w:val="auto"/>
              </w:rPr>
            </w:pPr>
          </w:p>
        </w:tc>
        <w:tc>
          <w:tcPr>
            <w:tcW w:w="31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Top Assembly - G8ePort</w:t>
            </w:r>
          </w:p>
        </w:tc>
        <w:tc>
          <w:tcPr>
            <w:tcW w:w="122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0</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94"/>
              </w:rPr>
              <w:t>104.47</w:t>
            </w:r>
          </w:p>
        </w:tc>
        <w:tc>
          <w:tcPr>
            <w:tcW w:w="6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line="201" w:lineRule="exact"/>
              <w:rPr>
                <w:sz w:val="20"/>
                <w:szCs w:val="20"/>
                <w:color w:val="auto"/>
              </w:rPr>
            </w:pPr>
            <w:r>
              <w:rPr>
                <w:rFonts w:ascii="Arial" w:cs="Arial" w:eastAsia="Arial" w:hAnsi="Arial"/>
                <w:sz w:val="18"/>
                <w:szCs w:val="18"/>
                <w:color w:val="auto"/>
                <w:w w:val="99"/>
              </w:rPr>
              <w:t>8,357.60</w:t>
            </w:r>
          </w:p>
        </w:tc>
      </w:tr>
      <w:tr>
        <w:trPr>
          <w:trHeight w:val="230"/>
        </w:trPr>
        <w:tc>
          <w:tcPr>
            <w:tcW w:w="17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CDMA Wireless with RFID card</w:t>
            </w:r>
          </w:p>
        </w:tc>
        <w:tc>
          <w:tcPr>
            <w:tcW w:w="122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02"/>
        </w:trPr>
        <w:tc>
          <w:tcPr>
            <w:tcW w:w="174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120813</w:t>
            </w:r>
          </w:p>
        </w:tc>
        <w:tc>
          <w:tcPr>
            <w:tcW w:w="100" w:type="dxa"/>
            <w:vAlign w:val="bottom"/>
          </w:tcPr>
          <w:p>
            <w:pPr>
              <w:spacing w:after="0"/>
              <w:rPr>
                <w:sz w:val="17"/>
                <w:szCs w:val="17"/>
                <w:color w:val="auto"/>
              </w:rPr>
            </w:pPr>
          </w:p>
        </w:tc>
        <w:tc>
          <w:tcPr>
            <w:tcW w:w="74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I</w:t>
            </w:r>
          </w:p>
        </w:tc>
        <w:tc>
          <w:tcPr>
            <w:tcW w:w="6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66</w:t>
            </w:r>
          </w:p>
        </w:tc>
        <w:tc>
          <w:tcPr>
            <w:tcW w:w="80" w:type="dxa"/>
            <w:vAlign w:val="bottom"/>
          </w:tcPr>
          <w:p>
            <w:pPr>
              <w:spacing w:after="0"/>
              <w:rPr>
                <w:sz w:val="17"/>
                <w:szCs w:val="17"/>
                <w:color w:val="auto"/>
              </w:rPr>
            </w:pPr>
          </w:p>
        </w:tc>
        <w:tc>
          <w:tcPr>
            <w:tcW w:w="31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Top Assembly - G8ePort</w:t>
            </w:r>
          </w:p>
        </w:tc>
        <w:tc>
          <w:tcPr>
            <w:tcW w:w="122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0</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94"/>
              </w:rPr>
              <w:t>104.47</w:t>
            </w:r>
          </w:p>
        </w:tc>
        <w:tc>
          <w:tcPr>
            <w:tcW w:w="6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line="201" w:lineRule="exact"/>
              <w:rPr>
                <w:sz w:val="20"/>
                <w:szCs w:val="20"/>
                <w:color w:val="auto"/>
              </w:rPr>
            </w:pPr>
            <w:r>
              <w:rPr>
                <w:rFonts w:ascii="Arial" w:cs="Arial" w:eastAsia="Arial" w:hAnsi="Arial"/>
                <w:sz w:val="18"/>
                <w:szCs w:val="18"/>
                <w:color w:val="auto"/>
                <w:w w:val="99"/>
              </w:rPr>
              <w:t>6,895.02</w:t>
            </w:r>
          </w:p>
        </w:tc>
      </w:tr>
      <w:tr>
        <w:trPr>
          <w:trHeight w:val="230"/>
        </w:trPr>
        <w:tc>
          <w:tcPr>
            <w:tcW w:w="17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CDMA Wireless with RFID card</w:t>
            </w:r>
          </w:p>
        </w:tc>
        <w:tc>
          <w:tcPr>
            <w:tcW w:w="122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02"/>
        </w:trPr>
        <w:tc>
          <w:tcPr>
            <w:tcW w:w="174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On Track</w:t>
            </w:r>
          </w:p>
        </w:tc>
        <w:tc>
          <w:tcPr>
            <w:tcW w:w="1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109969</w:t>
            </w:r>
          </w:p>
        </w:tc>
        <w:tc>
          <w:tcPr>
            <w:tcW w:w="100" w:type="dxa"/>
            <w:vAlign w:val="bottom"/>
          </w:tcPr>
          <w:p>
            <w:pPr>
              <w:spacing w:after="0"/>
              <w:rPr>
                <w:sz w:val="17"/>
                <w:szCs w:val="17"/>
                <w:color w:val="auto"/>
              </w:rPr>
            </w:pPr>
          </w:p>
        </w:tc>
        <w:tc>
          <w:tcPr>
            <w:tcW w:w="74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I</w:t>
            </w:r>
          </w:p>
        </w:tc>
        <w:tc>
          <w:tcPr>
            <w:tcW w:w="6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40</w:t>
            </w:r>
          </w:p>
        </w:tc>
        <w:tc>
          <w:tcPr>
            <w:tcW w:w="80" w:type="dxa"/>
            <w:vAlign w:val="bottom"/>
          </w:tcPr>
          <w:p>
            <w:pPr>
              <w:spacing w:after="0"/>
              <w:rPr>
                <w:sz w:val="17"/>
                <w:szCs w:val="17"/>
                <w:color w:val="auto"/>
              </w:rPr>
            </w:pPr>
          </w:p>
        </w:tc>
        <w:tc>
          <w:tcPr>
            <w:tcW w:w="31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w w:val="92"/>
              </w:rPr>
              <w:t>Saturn 6500 G6A-RS232 with Extension</w:t>
            </w:r>
          </w:p>
        </w:tc>
        <w:tc>
          <w:tcPr>
            <w:tcW w:w="122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0</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79.95</w:t>
            </w:r>
          </w:p>
        </w:tc>
        <w:tc>
          <w:tcPr>
            <w:tcW w:w="6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line="201" w:lineRule="exact"/>
              <w:rPr>
                <w:sz w:val="20"/>
                <w:szCs w:val="20"/>
                <w:color w:val="auto"/>
              </w:rPr>
            </w:pPr>
            <w:r>
              <w:rPr>
                <w:rFonts w:ascii="Arial" w:cs="Arial" w:eastAsia="Arial" w:hAnsi="Arial"/>
                <w:sz w:val="18"/>
                <w:szCs w:val="18"/>
                <w:color w:val="auto"/>
                <w:w w:val="99"/>
              </w:rPr>
              <w:t>3,198.00</w:t>
            </w:r>
          </w:p>
        </w:tc>
      </w:tr>
      <w:tr>
        <w:trPr>
          <w:trHeight w:val="230"/>
        </w:trPr>
        <w:tc>
          <w:tcPr>
            <w:tcW w:w="17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Innovations Ltd.</w:t>
            </w:r>
          </w:p>
        </w:tc>
        <w:tc>
          <w:tcPr>
            <w:tcW w:w="1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Kit</w:t>
            </w:r>
          </w:p>
        </w:tc>
        <w:tc>
          <w:tcPr>
            <w:tcW w:w="122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gridSpan w:val="2"/>
          </w:tcPr>
          <w:p>
            <w:pPr>
              <w:spacing w:after="0"/>
              <w:rPr>
                <w:sz w:val="19"/>
                <w:szCs w:val="19"/>
                <w:color w:val="auto"/>
              </w:rPr>
            </w:pPr>
          </w:p>
        </w:tc>
      </w:tr>
      <w:tr>
        <w:trPr>
          <w:trHeight w:val="202"/>
        </w:trPr>
        <w:tc>
          <w:tcPr>
            <w:tcW w:w="174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On Track</w:t>
            </w:r>
          </w:p>
        </w:tc>
        <w:tc>
          <w:tcPr>
            <w:tcW w:w="1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110050</w:t>
            </w:r>
          </w:p>
        </w:tc>
        <w:tc>
          <w:tcPr>
            <w:tcW w:w="100" w:type="dxa"/>
            <w:vAlign w:val="bottom"/>
          </w:tcPr>
          <w:p>
            <w:pPr>
              <w:spacing w:after="0"/>
              <w:rPr>
                <w:sz w:val="17"/>
                <w:szCs w:val="17"/>
                <w:color w:val="auto"/>
              </w:rPr>
            </w:pPr>
          </w:p>
        </w:tc>
        <w:tc>
          <w:tcPr>
            <w:tcW w:w="74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I</w:t>
            </w:r>
          </w:p>
        </w:tc>
        <w:tc>
          <w:tcPr>
            <w:tcW w:w="6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w w:val="99"/>
              </w:rPr>
              <w:t>1440</w:t>
            </w:r>
          </w:p>
        </w:tc>
        <w:tc>
          <w:tcPr>
            <w:tcW w:w="80" w:type="dxa"/>
            <w:vAlign w:val="bottom"/>
          </w:tcPr>
          <w:p>
            <w:pPr>
              <w:spacing w:after="0"/>
              <w:rPr>
                <w:sz w:val="17"/>
                <w:szCs w:val="17"/>
                <w:color w:val="auto"/>
              </w:rPr>
            </w:pPr>
          </w:p>
        </w:tc>
        <w:tc>
          <w:tcPr>
            <w:tcW w:w="31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w w:val="92"/>
              </w:rPr>
              <w:t>Saturn 6500 G6A-RS232 with Extension</w:t>
            </w:r>
          </w:p>
        </w:tc>
        <w:tc>
          <w:tcPr>
            <w:tcW w:w="122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0</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79.95</w:t>
            </w:r>
          </w:p>
        </w:tc>
        <w:tc>
          <w:tcPr>
            <w:tcW w:w="144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$115,128.00</w:t>
            </w:r>
          </w:p>
        </w:tc>
      </w:tr>
      <w:tr>
        <w:trPr>
          <w:trHeight w:val="230"/>
        </w:trPr>
        <w:tc>
          <w:tcPr>
            <w:tcW w:w="17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Innovations Ltd.</w:t>
            </w:r>
          </w:p>
        </w:tc>
        <w:tc>
          <w:tcPr>
            <w:tcW w:w="1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Kit</w:t>
            </w:r>
          </w:p>
        </w:tc>
        <w:tc>
          <w:tcPr>
            <w:tcW w:w="122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gridSpan w:val="2"/>
          </w:tcPr>
          <w:p>
            <w:pPr>
              <w:spacing w:after="0"/>
              <w:rPr>
                <w:sz w:val="19"/>
                <w:szCs w:val="19"/>
                <w:color w:val="auto"/>
              </w:rPr>
            </w:pPr>
          </w:p>
        </w:tc>
      </w:tr>
      <w:tr>
        <w:trPr>
          <w:trHeight w:val="202"/>
        </w:trPr>
        <w:tc>
          <w:tcPr>
            <w:tcW w:w="174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On Track</w:t>
            </w:r>
          </w:p>
        </w:tc>
        <w:tc>
          <w:tcPr>
            <w:tcW w:w="1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110139</w:t>
            </w:r>
          </w:p>
        </w:tc>
        <w:tc>
          <w:tcPr>
            <w:tcW w:w="100" w:type="dxa"/>
            <w:vAlign w:val="bottom"/>
          </w:tcPr>
          <w:p>
            <w:pPr>
              <w:spacing w:after="0"/>
              <w:rPr>
                <w:sz w:val="17"/>
                <w:szCs w:val="17"/>
                <w:color w:val="auto"/>
              </w:rPr>
            </w:pPr>
          </w:p>
        </w:tc>
        <w:tc>
          <w:tcPr>
            <w:tcW w:w="74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I</w:t>
            </w:r>
          </w:p>
        </w:tc>
        <w:tc>
          <w:tcPr>
            <w:tcW w:w="6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w w:val="99"/>
              </w:rPr>
              <w:t>1320</w:t>
            </w:r>
          </w:p>
        </w:tc>
        <w:tc>
          <w:tcPr>
            <w:tcW w:w="80" w:type="dxa"/>
            <w:vAlign w:val="bottom"/>
          </w:tcPr>
          <w:p>
            <w:pPr>
              <w:spacing w:after="0"/>
              <w:rPr>
                <w:sz w:val="17"/>
                <w:szCs w:val="17"/>
                <w:color w:val="auto"/>
              </w:rPr>
            </w:pPr>
          </w:p>
        </w:tc>
        <w:tc>
          <w:tcPr>
            <w:tcW w:w="31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w w:val="92"/>
              </w:rPr>
              <w:t>Saturn 6500 G6A-RS232 with Extension</w:t>
            </w:r>
          </w:p>
        </w:tc>
        <w:tc>
          <w:tcPr>
            <w:tcW w:w="122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0</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79.95</w:t>
            </w:r>
          </w:p>
        </w:tc>
        <w:tc>
          <w:tcPr>
            <w:tcW w:w="144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$105,534.00</w:t>
            </w:r>
          </w:p>
        </w:tc>
      </w:tr>
      <w:tr>
        <w:trPr>
          <w:trHeight w:val="230"/>
        </w:trPr>
        <w:tc>
          <w:tcPr>
            <w:tcW w:w="17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Innovations Ltd.</w:t>
            </w:r>
          </w:p>
        </w:tc>
        <w:tc>
          <w:tcPr>
            <w:tcW w:w="1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Kit</w:t>
            </w:r>
          </w:p>
        </w:tc>
        <w:tc>
          <w:tcPr>
            <w:tcW w:w="122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02"/>
        </w:trPr>
        <w:tc>
          <w:tcPr>
            <w:tcW w:w="174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On Track</w:t>
            </w:r>
          </w:p>
        </w:tc>
        <w:tc>
          <w:tcPr>
            <w:tcW w:w="1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110139</w:t>
            </w:r>
          </w:p>
        </w:tc>
        <w:tc>
          <w:tcPr>
            <w:tcW w:w="100" w:type="dxa"/>
            <w:vAlign w:val="bottom"/>
          </w:tcPr>
          <w:p>
            <w:pPr>
              <w:spacing w:after="0"/>
              <w:rPr>
                <w:sz w:val="17"/>
                <w:szCs w:val="17"/>
                <w:color w:val="auto"/>
              </w:rPr>
            </w:pPr>
          </w:p>
        </w:tc>
        <w:tc>
          <w:tcPr>
            <w:tcW w:w="74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I</w:t>
            </w:r>
          </w:p>
        </w:tc>
        <w:tc>
          <w:tcPr>
            <w:tcW w:w="6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120</w:t>
            </w:r>
          </w:p>
        </w:tc>
        <w:tc>
          <w:tcPr>
            <w:tcW w:w="80" w:type="dxa"/>
            <w:vAlign w:val="bottom"/>
          </w:tcPr>
          <w:p>
            <w:pPr>
              <w:spacing w:after="0"/>
              <w:rPr>
                <w:sz w:val="17"/>
                <w:szCs w:val="17"/>
                <w:color w:val="auto"/>
              </w:rPr>
            </w:pPr>
          </w:p>
        </w:tc>
        <w:tc>
          <w:tcPr>
            <w:tcW w:w="31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w w:val="92"/>
              </w:rPr>
              <w:t>Saturn 6500 G6A-RS232 with Extension</w:t>
            </w:r>
          </w:p>
        </w:tc>
        <w:tc>
          <w:tcPr>
            <w:tcW w:w="122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0</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79.95</w:t>
            </w:r>
          </w:p>
        </w:tc>
        <w:tc>
          <w:tcPr>
            <w:tcW w:w="6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line="201" w:lineRule="exact"/>
              <w:rPr>
                <w:sz w:val="20"/>
                <w:szCs w:val="20"/>
                <w:color w:val="auto"/>
              </w:rPr>
            </w:pPr>
            <w:r>
              <w:rPr>
                <w:rFonts w:ascii="Arial" w:cs="Arial" w:eastAsia="Arial" w:hAnsi="Arial"/>
                <w:sz w:val="18"/>
                <w:szCs w:val="18"/>
                <w:color w:val="auto"/>
                <w:w w:val="99"/>
              </w:rPr>
              <w:t>9,594.00</w:t>
            </w:r>
          </w:p>
        </w:tc>
      </w:tr>
      <w:tr>
        <w:trPr>
          <w:trHeight w:val="230"/>
        </w:trPr>
        <w:tc>
          <w:tcPr>
            <w:tcW w:w="17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Innovations Ltd.</w:t>
            </w:r>
          </w:p>
        </w:tc>
        <w:tc>
          <w:tcPr>
            <w:tcW w:w="1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Kit</w:t>
            </w:r>
          </w:p>
        </w:tc>
        <w:tc>
          <w:tcPr>
            <w:tcW w:w="122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gridSpan w:val="2"/>
          </w:tcPr>
          <w:p>
            <w:pPr>
              <w:spacing w:after="0"/>
              <w:rPr>
                <w:sz w:val="19"/>
                <w:szCs w:val="19"/>
                <w:color w:val="auto"/>
              </w:rPr>
            </w:pPr>
          </w:p>
        </w:tc>
      </w:tr>
      <w:tr>
        <w:trPr>
          <w:trHeight w:val="202"/>
        </w:trPr>
        <w:tc>
          <w:tcPr>
            <w:tcW w:w="174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On Track</w:t>
            </w:r>
          </w:p>
        </w:tc>
        <w:tc>
          <w:tcPr>
            <w:tcW w:w="1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110152</w:t>
            </w:r>
          </w:p>
        </w:tc>
        <w:tc>
          <w:tcPr>
            <w:tcW w:w="100" w:type="dxa"/>
            <w:vAlign w:val="bottom"/>
          </w:tcPr>
          <w:p>
            <w:pPr>
              <w:spacing w:after="0"/>
              <w:rPr>
                <w:sz w:val="17"/>
                <w:szCs w:val="17"/>
                <w:color w:val="auto"/>
              </w:rPr>
            </w:pPr>
          </w:p>
        </w:tc>
        <w:tc>
          <w:tcPr>
            <w:tcW w:w="74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I</w:t>
            </w:r>
          </w:p>
        </w:tc>
        <w:tc>
          <w:tcPr>
            <w:tcW w:w="6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w w:val="99"/>
              </w:rPr>
              <w:t>2160</w:t>
            </w:r>
          </w:p>
        </w:tc>
        <w:tc>
          <w:tcPr>
            <w:tcW w:w="80" w:type="dxa"/>
            <w:vAlign w:val="bottom"/>
          </w:tcPr>
          <w:p>
            <w:pPr>
              <w:spacing w:after="0"/>
              <w:rPr>
                <w:sz w:val="17"/>
                <w:szCs w:val="17"/>
                <w:color w:val="auto"/>
              </w:rPr>
            </w:pPr>
          </w:p>
        </w:tc>
        <w:tc>
          <w:tcPr>
            <w:tcW w:w="31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w w:val="92"/>
              </w:rPr>
              <w:t>Saturn 6500 G6A-RS232 with Extension</w:t>
            </w:r>
          </w:p>
        </w:tc>
        <w:tc>
          <w:tcPr>
            <w:tcW w:w="122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0</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79.95</w:t>
            </w:r>
          </w:p>
        </w:tc>
        <w:tc>
          <w:tcPr>
            <w:tcW w:w="144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$172,692.00</w:t>
            </w:r>
          </w:p>
        </w:tc>
      </w:tr>
      <w:tr>
        <w:trPr>
          <w:trHeight w:val="230"/>
        </w:trPr>
        <w:tc>
          <w:tcPr>
            <w:tcW w:w="17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Innovations Ltd.</w:t>
            </w:r>
          </w:p>
        </w:tc>
        <w:tc>
          <w:tcPr>
            <w:tcW w:w="1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Kit</w:t>
            </w:r>
          </w:p>
        </w:tc>
        <w:tc>
          <w:tcPr>
            <w:tcW w:w="122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gridSpan w:val="2"/>
          </w:tcPr>
          <w:p>
            <w:pPr>
              <w:spacing w:after="0"/>
              <w:rPr>
                <w:sz w:val="19"/>
                <w:szCs w:val="19"/>
                <w:color w:val="auto"/>
              </w:rPr>
            </w:pPr>
          </w:p>
        </w:tc>
      </w:tr>
      <w:tr>
        <w:trPr>
          <w:trHeight w:val="202"/>
        </w:trPr>
        <w:tc>
          <w:tcPr>
            <w:tcW w:w="174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On Track</w:t>
            </w:r>
          </w:p>
        </w:tc>
        <w:tc>
          <w:tcPr>
            <w:tcW w:w="1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110174</w:t>
            </w:r>
          </w:p>
        </w:tc>
        <w:tc>
          <w:tcPr>
            <w:tcW w:w="100" w:type="dxa"/>
            <w:vAlign w:val="bottom"/>
          </w:tcPr>
          <w:p>
            <w:pPr>
              <w:spacing w:after="0"/>
              <w:rPr>
                <w:sz w:val="17"/>
                <w:szCs w:val="17"/>
                <w:color w:val="auto"/>
              </w:rPr>
            </w:pPr>
          </w:p>
        </w:tc>
        <w:tc>
          <w:tcPr>
            <w:tcW w:w="74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I</w:t>
            </w:r>
          </w:p>
        </w:tc>
        <w:tc>
          <w:tcPr>
            <w:tcW w:w="6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w w:val="99"/>
              </w:rPr>
              <w:t>1320</w:t>
            </w:r>
          </w:p>
        </w:tc>
        <w:tc>
          <w:tcPr>
            <w:tcW w:w="80" w:type="dxa"/>
            <w:vAlign w:val="bottom"/>
          </w:tcPr>
          <w:p>
            <w:pPr>
              <w:spacing w:after="0"/>
              <w:rPr>
                <w:sz w:val="17"/>
                <w:szCs w:val="17"/>
                <w:color w:val="auto"/>
              </w:rPr>
            </w:pPr>
          </w:p>
        </w:tc>
        <w:tc>
          <w:tcPr>
            <w:tcW w:w="31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w w:val="92"/>
              </w:rPr>
              <w:t>Saturn 6500 G6A-RS232 with Extension</w:t>
            </w:r>
          </w:p>
        </w:tc>
        <w:tc>
          <w:tcPr>
            <w:tcW w:w="122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0</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79.95</w:t>
            </w:r>
          </w:p>
        </w:tc>
        <w:tc>
          <w:tcPr>
            <w:tcW w:w="144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$105,534.00</w:t>
            </w:r>
          </w:p>
        </w:tc>
      </w:tr>
      <w:tr>
        <w:trPr>
          <w:trHeight w:val="230"/>
        </w:trPr>
        <w:tc>
          <w:tcPr>
            <w:tcW w:w="17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Innovations Ltd.</w:t>
            </w:r>
          </w:p>
        </w:tc>
        <w:tc>
          <w:tcPr>
            <w:tcW w:w="1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Kit</w:t>
            </w:r>
          </w:p>
        </w:tc>
        <w:tc>
          <w:tcPr>
            <w:tcW w:w="122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gridSpan w:val="2"/>
          </w:tcPr>
          <w:p>
            <w:pPr>
              <w:spacing w:after="0"/>
              <w:rPr>
                <w:sz w:val="19"/>
                <w:szCs w:val="19"/>
                <w:color w:val="auto"/>
              </w:rPr>
            </w:pPr>
          </w:p>
        </w:tc>
      </w:tr>
      <w:tr>
        <w:trPr>
          <w:trHeight w:val="202"/>
        </w:trPr>
        <w:tc>
          <w:tcPr>
            <w:tcW w:w="174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On Track</w:t>
            </w:r>
          </w:p>
        </w:tc>
        <w:tc>
          <w:tcPr>
            <w:tcW w:w="1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110528</w:t>
            </w:r>
          </w:p>
        </w:tc>
        <w:tc>
          <w:tcPr>
            <w:tcW w:w="100" w:type="dxa"/>
            <w:vAlign w:val="bottom"/>
          </w:tcPr>
          <w:p>
            <w:pPr>
              <w:spacing w:after="0"/>
              <w:rPr>
                <w:sz w:val="17"/>
                <w:szCs w:val="17"/>
                <w:color w:val="auto"/>
              </w:rPr>
            </w:pPr>
          </w:p>
        </w:tc>
        <w:tc>
          <w:tcPr>
            <w:tcW w:w="74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I</w:t>
            </w:r>
          </w:p>
        </w:tc>
        <w:tc>
          <w:tcPr>
            <w:tcW w:w="6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w w:val="99"/>
              </w:rPr>
              <w:t>2160</w:t>
            </w:r>
          </w:p>
        </w:tc>
        <w:tc>
          <w:tcPr>
            <w:tcW w:w="80" w:type="dxa"/>
            <w:vAlign w:val="bottom"/>
          </w:tcPr>
          <w:p>
            <w:pPr>
              <w:spacing w:after="0"/>
              <w:rPr>
                <w:sz w:val="17"/>
                <w:szCs w:val="17"/>
                <w:color w:val="auto"/>
              </w:rPr>
            </w:pPr>
          </w:p>
        </w:tc>
        <w:tc>
          <w:tcPr>
            <w:tcW w:w="31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w w:val="92"/>
              </w:rPr>
              <w:t>Saturn 6500 G6A-RS232 with Extension</w:t>
            </w:r>
          </w:p>
        </w:tc>
        <w:tc>
          <w:tcPr>
            <w:tcW w:w="122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0</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79.95</w:t>
            </w:r>
          </w:p>
        </w:tc>
        <w:tc>
          <w:tcPr>
            <w:tcW w:w="144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$172,692.00</w:t>
            </w:r>
          </w:p>
        </w:tc>
      </w:tr>
      <w:tr>
        <w:trPr>
          <w:trHeight w:val="230"/>
        </w:trPr>
        <w:tc>
          <w:tcPr>
            <w:tcW w:w="17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Innovations Ltd.</w:t>
            </w:r>
          </w:p>
        </w:tc>
        <w:tc>
          <w:tcPr>
            <w:tcW w:w="1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Kit</w:t>
            </w:r>
          </w:p>
        </w:tc>
        <w:tc>
          <w:tcPr>
            <w:tcW w:w="122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gridSpan w:val="2"/>
          </w:tcPr>
          <w:p>
            <w:pPr>
              <w:spacing w:after="0"/>
              <w:rPr>
                <w:sz w:val="19"/>
                <w:szCs w:val="19"/>
                <w:color w:val="auto"/>
              </w:rPr>
            </w:pPr>
          </w:p>
        </w:tc>
      </w:tr>
      <w:tr>
        <w:trPr>
          <w:trHeight w:val="202"/>
        </w:trPr>
        <w:tc>
          <w:tcPr>
            <w:tcW w:w="174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On Track</w:t>
            </w:r>
          </w:p>
        </w:tc>
        <w:tc>
          <w:tcPr>
            <w:tcW w:w="1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110943</w:t>
            </w:r>
          </w:p>
        </w:tc>
        <w:tc>
          <w:tcPr>
            <w:tcW w:w="100" w:type="dxa"/>
            <w:vAlign w:val="bottom"/>
          </w:tcPr>
          <w:p>
            <w:pPr>
              <w:spacing w:after="0"/>
              <w:rPr>
                <w:sz w:val="17"/>
                <w:szCs w:val="17"/>
                <w:color w:val="auto"/>
              </w:rPr>
            </w:pPr>
          </w:p>
        </w:tc>
        <w:tc>
          <w:tcPr>
            <w:tcW w:w="74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I</w:t>
            </w:r>
          </w:p>
        </w:tc>
        <w:tc>
          <w:tcPr>
            <w:tcW w:w="6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w w:val="99"/>
              </w:rPr>
              <w:t>2000</w:t>
            </w:r>
          </w:p>
        </w:tc>
        <w:tc>
          <w:tcPr>
            <w:tcW w:w="80" w:type="dxa"/>
            <w:vAlign w:val="bottom"/>
          </w:tcPr>
          <w:p>
            <w:pPr>
              <w:spacing w:after="0"/>
              <w:rPr>
                <w:sz w:val="17"/>
                <w:szCs w:val="17"/>
                <w:color w:val="auto"/>
              </w:rPr>
            </w:pPr>
          </w:p>
        </w:tc>
        <w:tc>
          <w:tcPr>
            <w:tcW w:w="31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w w:val="92"/>
              </w:rPr>
              <w:t>Saturn 6500 G6A-RS232 with Extension</w:t>
            </w:r>
          </w:p>
        </w:tc>
        <w:tc>
          <w:tcPr>
            <w:tcW w:w="122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0</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69.95</w:t>
            </w:r>
          </w:p>
        </w:tc>
        <w:tc>
          <w:tcPr>
            <w:tcW w:w="144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$139,900.00</w:t>
            </w:r>
          </w:p>
        </w:tc>
      </w:tr>
      <w:tr>
        <w:trPr>
          <w:trHeight w:val="230"/>
        </w:trPr>
        <w:tc>
          <w:tcPr>
            <w:tcW w:w="17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Innovations Ltd.</w:t>
            </w:r>
          </w:p>
        </w:tc>
        <w:tc>
          <w:tcPr>
            <w:tcW w:w="1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Kit</w:t>
            </w:r>
          </w:p>
        </w:tc>
        <w:tc>
          <w:tcPr>
            <w:tcW w:w="122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02"/>
        </w:trPr>
        <w:tc>
          <w:tcPr>
            <w:tcW w:w="174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On Track</w:t>
            </w:r>
          </w:p>
        </w:tc>
        <w:tc>
          <w:tcPr>
            <w:tcW w:w="1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110943</w:t>
            </w:r>
          </w:p>
        </w:tc>
        <w:tc>
          <w:tcPr>
            <w:tcW w:w="100" w:type="dxa"/>
            <w:vAlign w:val="bottom"/>
          </w:tcPr>
          <w:p>
            <w:pPr>
              <w:spacing w:after="0"/>
              <w:rPr>
                <w:sz w:val="17"/>
                <w:szCs w:val="17"/>
                <w:color w:val="auto"/>
              </w:rPr>
            </w:pPr>
          </w:p>
        </w:tc>
        <w:tc>
          <w:tcPr>
            <w:tcW w:w="74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I</w:t>
            </w:r>
          </w:p>
        </w:tc>
        <w:tc>
          <w:tcPr>
            <w:tcW w:w="6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100</w:t>
            </w:r>
          </w:p>
        </w:tc>
        <w:tc>
          <w:tcPr>
            <w:tcW w:w="80" w:type="dxa"/>
            <w:vAlign w:val="bottom"/>
          </w:tcPr>
          <w:p>
            <w:pPr>
              <w:spacing w:after="0"/>
              <w:rPr>
                <w:sz w:val="17"/>
                <w:szCs w:val="17"/>
                <w:color w:val="auto"/>
              </w:rPr>
            </w:pPr>
          </w:p>
        </w:tc>
        <w:tc>
          <w:tcPr>
            <w:tcW w:w="31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w w:val="92"/>
              </w:rPr>
              <w:t>Saturn 6500 G6A-RS232 with Extension</w:t>
            </w:r>
          </w:p>
        </w:tc>
        <w:tc>
          <w:tcPr>
            <w:tcW w:w="122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0</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69.95</w:t>
            </w:r>
          </w:p>
        </w:tc>
        <w:tc>
          <w:tcPr>
            <w:tcW w:w="6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line="201" w:lineRule="exact"/>
              <w:rPr>
                <w:sz w:val="20"/>
                <w:szCs w:val="20"/>
                <w:color w:val="auto"/>
              </w:rPr>
            </w:pPr>
            <w:r>
              <w:rPr>
                <w:rFonts w:ascii="Arial" w:cs="Arial" w:eastAsia="Arial" w:hAnsi="Arial"/>
                <w:sz w:val="18"/>
                <w:szCs w:val="18"/>
                <w:color w:val="auto"/>
                <w:w w:val="99"/>
              </w:rPr>
              <w:t>6,995.00</w:t>
            </w:r>
          </w:p>
        </w:tc>
      </w:tr>
      <w:tr>
        <w:trPr>
          <w:trHeight w:val="230"/>
        </w:trPr>
        <w:tc>
          <w:tcPr>
            <w:tcW w:w="17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Innovations Ltd.</w:t>
            </w:r>
          </w:p>
        </w:tc>
        <w:tc>
          <w:tcPr>
            <w:tcW w:w="1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Kit</w:t>
            </w:r>
          </w:p>
        </w:tc>
        <w:tc>
          <w:tcPr>
            <w:tcW w:w="122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gridSpan w:val="2"/>
          </w:tcPr>
          <w:p>
            <w:pPr>
              <w:spacing w:after="0"/>
              <w:rPr>
                <w:sz w:val="19"/>
                <w:szCs w:val="19"/>
                <w:color w:val="auto"/>
              </w:rPr>
            </w:pPr>
          </w:p>
        </w:tc>
      </w:tr>
      <w:tr>
        <w:trPr>
          <w:trHeight w:val="202"/>
        </w:trPr>
        <w:tc>
          <w:tcPr>
            <w:tcW w:w="174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On Track</w:t>
            </w:r>
          </w:p>
        </w:tc>
        <w:tc>
          <w:tcPr>
            <w:tcW w:w="1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111108</w:t>
            </w:r>
          </w:p>
        </w:tc>
        <w:tc>
          <w:tcPr>
            <w:tcW w:w="100" w:type="dxa"/>
            <w:vAlign w:val="bottom"/>
          </w:tcPr>
          <w:p>
            <w:pPr>
              <w:spacing w:after="0"/>
              <w:rPr>
                <w:sz w:val="17"/>
                <w:szCs w:val="17"/>
                <w:color w:val="auto"/>
              </w:rPr>
            </w:pPr>
          </w:p>
        </w:tc>
        <w:tc>
          <w:tcPr>
            <w:tcW w:w="74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I</w:t>
            </w:r>
          </w:p>
        </w:tc>
        <w:tc>
          <w:tcPr>
            <w:tcW w:w="6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240</w:t>
            </w:r>
          </w:p>
        </w:tc>
        <w:tc>
          <w:tcPr>
            <w:tcW w:w="80" w:type="dxa"/>
            <w:vAlign w:val="bottom"/>
          </w:tcPr>
          <w:p>
            <w:pPr>
              <w:spacing w:after="0"/>
              <w:rPr>
                <w:sz w:val="17"/>
                <w:szCs w:val="17"/>
                <w:color w:val="auto"/>
              </w:rPr>
            </w:pPr>
          </w:p>
        </w:tc>
        <w:tc>
          <w:tcPr>
            <w:tcW w:w="31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w w:val="92"/>
              </w:rPr>
              <w:t>Saturn 6500 G6A-RS232 with Extension</w:t>
            </w:r>
          </w:p>
        </w:tc>
        <w:tc>
          <w:tcPr>
            <w:tcW w:w="122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0</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69.95</w:t>
            </w:r>
          </w:p>
        </w:tc>
        <w:tc>
          <w:tcPr>
            <w:tcW w:w="144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$ 16,788.00</w:t>
            </w:r>
          </w:p>
        </w:tc>
      </w:tr>
      <w:tr>
        <w:trPr>
          <w:trHeight w:val="230"/>
        </w:trPr>
        <w:tc>
          <w:tcPr>
            <w:tcW w:w="17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Innovations Ltd.</w:t>
            </w:r>
          </w:p>
        </w:tc>
        <w:tc>
          <w:tcPr>
            <w:tcW w:w="1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Kit</w:t>
            </w:r>
          </w:p>
        </w:tc>
        <w:tc>
          <w:tcPr>
            <w:tcW w:w="122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gridSpan w:val="2"/>
          </w:tcPr>
          <w:p>
            <w:pPr>
              <w:spacing w:after="0"/>
              <w:rPr>
                <w:sz w:val="19"/>
                <w:szCs w:val="19"/>
                <w:color w:val="auto"/>
              </w:rPr>
            </w:pPr>
          </w:p>
        </w:tc>
      </w:tr>
      <w:tr>
        <w:trPr>
          <w:trHeight w:val="202"/>
        </w:trPr>
        <w:tc>
          <w:tcPr>
            <w:tcW w:w="174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Telit Wireless</w:t>
            </w:r>
          </w:p>
        </w:tc>
        <w:tc>
          <w:tcPr>
            <w:tcW w:w="1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w w:val="95"/>
              </w:rPr>
              <w:t>9830000163</w:t>
            </w:r>
          </w:p>
        </w:tc>
        <w:tc>
          <w:tcPr>
            <w:tcW w:w="100" w:type="dxa"/>
            <w:vAlign w:val="bottom"/>
          </w:tcPr>
          <w:p>
            <w:pPr>
              <w:spacing w:after="0"/>
              <w:rPr>
                <w:sz w:val="17"/>
                <w:szCs w:val="17"/>
                <w:color w:val="auto"/>
              </w:rPr>
            </w:pPr>
          </w:p>
        </w:tc>
        <w:tc>
          <w:tcPr>
            <w:tcW w:w="74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I</w:t>
            </w:r>
          </w:p>
        </w:tc>
        <w:tc>
          <w:tcPr>
            <w:tcW w:w="6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w w:val="99"/>
              </w:rPr>
              <w:t>5000</w:t>
            </w:r>
          </w:p>
        </w:tc>
        <w:tc>
          <w:tcPr>
            <w:tcW w:w="80" w:type="dxa"/>
            <w:vAlign w:val="bottom"/>
          </w:tcPr>
          <w:p>
            <w:pPr>
              <w:spacing w:after="0"/>
              <w:rPr>
                <w:sz w:val="17"/>
                <w:szCs w:val="17"/>
                <w:color w:val="auto"/>
              </w:rPr>
            </w:pPr>
          </w:p>
        </w:tc>
        <w:tc>
          <w:tcPr>
            <w:tcW w:w="31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CC864 Dual Module Verizon</w:t>
            </w:r>
          </w:p>
        </w:tc>
        <w:tc>
          <w:tcPr>
            <w:tcW w:w="122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0</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36.00</w:t>
            </w:r>
          </w:p>
        </w:tc>
        <w:tc>
          <w:tcPr>
            <w:tcW w:w="144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$180,000.00</w:t>
            </w:r>
          </w:p>
        </w:tc>
      </w:tr>
      <w:tr>
        <w:trPr>
          <w:trHeight w:val="230"/>
        </w:trPr>
        <w:tc>
          <w:tcPr>
            <w:tcW w:w="17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Solutions</w:t>
            </w:r>
          </w:p>
        </w:tc>
        <w:tc>
          <w:tcPr>
            <w:tcW w:w="1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gridSpan w:val="2"/>
          </w:tcPr>
          <w:p>
            <w:pPr>
              <w:spacing w:after="0"/>
              <w:rPr>
                <w:sz w:val="19"/>
                <w:szCs w:val="19"/>
                <w:color w:val="auto"/>
              </w:rPr>
            </w:pPr>
          </w:p>
        </w:tc>
      </w:tr>
      <w:tr>
        <w:trPr>
          <w:trHeight w:val="202"/>
        </w:trPr>
        <w:tc>
          <w:tcPr>
            <w:tcW w:w="174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Telit Wireless</w:t>
            </w:r>
          </w:p>
        </w:tc>
        <w:tc>
          <w:tcPr>
            <w:tcW w:w="1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w w:val="95"/>
              </w:rPr>
              <w:t>9830000330</w:t>
            </w:r>
          </w:p>
        </w:tc>
        <w:tc>
          <w:tcPr>
            <w:tcW w:w="100" w:type="dxa"/>
            <w:vAlign w:val="bottom"/>
          </w:tcPr>
          <w:p>
            <w:pPr>
              <w:spacing w:after="0"/>
              <w:rPr>
                <w:sz w:val="17"/>
                <w:szCs w:val="17"/>
                <w:color w:val="auto"/>
              </w:rPr>
            </w:pPr>
          </w:p>
        </w:tc>
        <w:tc>
          <w:tcPr>
            <w:tcW w:w="74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I</w:t>
            </w:r>
          </w:p>
        </w:tc>
        <w:tc>
          <w:tcPr>
            <w:tcW w:w="6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w w:val="99"/>
              </w:rPr>
              <w:t>5000</w:t>
            </w:r>
          </w:p>
        </w:tc>
        <w:tc>
          <w:tcPr>
            <w:tcW w:w="80" w:type="dxa"/>
            <w:vAlign w:val="bottom"/>
          </w:tcPr>
          <w:p>
            <w:pPr>
              <w:spacing w:after="0"/>
              <w:rPr>
                <w:sz w:val="17"/>
                <w:szCs w:val="17"/>
                <w:color w:val="auto"/>
              </w:rPr>
            </w:pPr>
          </w:p>
        </w:tc>
        <w:tc>
          <w:tcPr>
            <w:tcW w:w="31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CC864 Dual Module Verizon</w:t>
            </w:r>
          </w:p>
        </w:tc>
        <w:tc>
          <w:tcPr>
            <w:tcW w:w="122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0</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36.00</w:t>
            </w:r>
          </w:p>
        </w:tc>
        <w:tc>
          <w:tcPr>
            <w:tcW w:w="144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$180,000.00</w:t>
            </w:r>
          </w:p>
        </w:tc>
      </w:tr>
      <w:tr>
        <w:trPr>
          <w:trHeight w:val="230"/>
        </w:trPr>
        <w:tc>
          <w:tcPr>
            <w:tcW w:w="17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Solutions</w:t>
            </w:r>
          </w:p>
        </w:tc>
        <w:tc>
          <w:tcPr>
            <w:tcW w:w="1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gridSpan w:val="2"/>
          </w:tcPr>
          <w:p>
            <w:pPr>
              <w:spacing w:after="0"/>
              <w:rPr>
                <w:sz w:val="19"/>
                <w:szCs w:val="19"/>
                <w:color w:val="auto"/>
              </w:rPr>
            </w:pPr>
          </w:p>
        </w:tc>
      </w:tr>
      <w:tr>
        <w:trPr>
          <w:trHeight w:val="202"/>
        </w:trPr>
        <w:tc>
          <w:tcPr>
            <w:tcW w:w="174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Telit Wireless</w:t>
            </w:r>
          </w:p>
        </w:tc>
        <w:tc>
          <w:tcPr>
            <w:tcW w:w="116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w w:val="95"/>
              </w:rPr>
              <w:t>9830001163</w:t>
            </w:r>
          </w:p>
        </w:tc>
        <w:tc>
          <w:tcPr>
            <w:tcW w:w="100" w:type="dxa"/>
            <w:vAlign w:val="bottom"/>
          </w:tcPr>
          <w:p>
            <w:pPr>
              <w:spacing w:after="0"/>
              <w:rPr>
                <w:sz w:val="17"/>
                <w:szCs w:val="17"/>
                <w:color w:val="auto"/>
              </w:rPr>
            </w:pPr>
          </w:p>
        </w:tc>
        <w:tc>
          <w:tcPr>
            <w:tcW w:w="74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I</w:t>
            </w:r>
          </w:p>
        </w:tc>
        <w:tc>
          <w:tcPr>
            <w:tcW w:w="62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w w:val="99"/>
              </w:rPr>
              <w:t>2500</w:t>
            </w:r>
          </w:p>
        </w:tc>
        <w:tc>
          <w:tcPr>
            <w:tcW w:w="80" w:type="dxa"/>
            <w:vAlign w:val="bottom"/>
          </w:tcPr>
          <w:p>
            <w:pPr>
              <w:spacing w:after="0"/>
              <w:rPr>
                <w:sz w:val="17"/>
                <w:szCs w:val="17"/>
                <w:color w:val="auto"/>
              </w:rPr>
            </w:pPr>
          </w:p>
        </w:tc>
        <w:tc>
          <w:tcPr>
            <w:tcW w:w="31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CE910 Dual Verizon Module</w:t>
            </w:r>
          </w:p>
        </w:tc>
        <w:tc>
          <w:tcPr>
            <w:tcW w:w="1220" w:type="dxa"/>
            <w:vAlign w:val="bottom"/>
            <w:tcBorders>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0</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27.98</w:t>
            </w:r>
          </w:p>
        </w:tc>
        <w:tc>
          <w:tcPr>
            <w:tcW w:w="144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$ 69,950.00</w:t>
            </w:r>
          </w:p>
        </w:tc>
      </w:tr>
      <w:tr>
        <w:trPr>
          <w:trHeight w:val="230"/>
        </w:trPr>
        <w:tc>
          <w:tcPr>
            <w:tcW w:w="17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Solutions</w:t>
            </w:r>
          </w:p>
        </w:tc>
        <w:tc>
          <w:tcPr>
            <w:tcW w:w="1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gridSpan w:val="2"/>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1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gridSpan w:val="2"/>
          </w:tcPr>
          <w:p>
            <w:pPr>
              <w:spacing w:after="0"/>
              <w:rPr>
                <w:sz w:val="19"/>
                <w:szCs w:val="19"/>
                <w:color w:val="auto"/>
              </w:rPr>
            </w:pPr>
          </w:p>
        </w:tc>
        <w:tc>
          <w:tcPr>
            <w:tcW w:w="1440" w:type="dxa"/>
            <w:vAlign w:val="bottom"/>
            <w:tcBorders>
              <w:bottom w:val="single" w:sz="8" w:color="auto"/>
            </w:tcBorders>
            <w:gridSpan w:val="2"/>
          </w:tcPr>
          <w:p>
            <w:pPr>
              <w:spacing w:after="0"/>
              <w:rPr>
                <w:sz w:val="19"/>
                <w:szCs w:val="19"/>
                <w:color w:val="auto"/>
              </w:rPr>
            </w:pPr>
          </w:p>
        </w:tc>
      </w:tr>
      <w:tr>
        <w:trPr>
          <w:trHeight w:val="218"/>
        </w:trPr>
        <w:tc>
          <w:tcPr>
            <w:tcW w:w="4440" w:type="dxa"/>
            <w:vAlign w:val="bottom"/>
            <w:gridSpan w:val="6"/>
          </w:tcPr>
          <w:p>
            <w:pPr>
              <w:ind w:left="200"/>
              <w:spacing w:after="0"/>
              <w:rPr>
                <w:sz w:val="20"/>
                <w:szCs w:val="20"/>
                <w:color w:val="auto"/>
              </w:rPr>
            </w:pPr>
            <w:r>
              <w:rPr>
                <w:rFonts w:ascii="Arial" w:cs="Arial" w:eastAsia="Arial" w:hAnsi="Arial"/>
                <w:sz w:val="18"/>
                <w:szCs w:val="18"/>
                <w:b w:val="1"/>
                <w:bCs w:val="1"/>
                <w:color w:val="auto"/>
                <w:w w:val="90"/>
              </w:rPr>
              <w:t>together with all additions, alterations, accessions and</w:t>
            </w:r>
          </w:p>
        </w:tc>
        <w:tc>
          <w:tcPr>
            <w:tcW w:w="698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w w:val="90"/>
              </w:rPr>
              <w:t>modifications thereto and replacements of any part thereof, and substitutions therefore,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-7461250</wp:posOffset>
            </wp:positionV>
            <wp:extent cx="7246620" cy="83013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301355"/>
                    </a:xfrm>
                    <a:prstGeom prst="rect">
                      <a:avLst/>
                    </a:prstGeom>
                    <a:noFill/>
                  </pic:spPr>
                </pic:pic>
              </a:graphicData>
            </a:graphic>
          </wp:anchor>
        </w:drawing>
      </w:r>
    </w:p>
    <w:p>
      <w:pPr>
        <w:jc w:val="both"/>
        <w:ind w:left="200" w:right="120"/>
        <w:spacing w:after="0" w:line="252" w:lineRule="auto"/>
        <w:rPr>
          <w:sz w:val="20"/>
          <w:szCs w:val="20"/>
          <w:color w:val="auto"/>
        </w:rPr>
      </w:pPr>
      <w:r>
        <w:rPr>
          <w:rFonts w:ascii="Arial" w:cs="Arial" w:eastAsia="Arial" w:hAnsi="Arial"/>
          <w:sz w:val="18"/>
          <w:szCs w:val="18"/>
          <w:b w:val="1"/>
          <w:bCs w:val="1"/>
          <w:color w:val="auto"/>
        </w:rPr>
        <w:t>all accessories, and attachments, in whole or in part. Any related software (embedded therein or otherwise), all intangibles and other rights associated with such equipment, including without limitation any licenses to use or own such equipment, any manufacturer’s or other warranties with respect to such equipment, all goods, refunds, rebates, remittances, insurance and insurance proceeds, and all rights related thereto, and other property or rights to which the Lessee may be or become entitled by reason of Lessee’s interest in the equipment, software or personal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554" w:gutter="0" w:footer="0" w:header="0"/>
        </w:sectPr>
      </w:pPr>
    </w:p>
    <w:bookmarkStart w:id="179" w:name="page180"/>
    <w:bookmarkEnd w:id="17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80" w:name="page181"/>
    <w:bookmarkEnd w:id="180"/>
    <w:p>
      <w:pPr>
        <w:ind w:left="102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10.36</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Varilease Finance,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6340 South 3000 East,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 84121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www.varilease.com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801.733.8100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801.733.8900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SALE LEASEBACK AGREEMENT</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SALE LEASEBACK AGREEMENT (“Agreement”), between USA TECHNOLOGIES, INC., a Pennsylvania corporation, having its chief executive offices at 100 Deerfield Lane, Suite 140 , Malvern, PA 19355 (“Seller”) and VARILEASE FINANCE, INC., a Michigan corporation, having its chief executive offices at 6340 South 3000 East, Suite 400, Salt Lake City, UT 84121 (“Purchaser”) is dated and effective this April 30, 2014.</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WHEREAS, Purchaser, as Lessor, and Seller, as Lessee, have entered into Schedule No. 05 dated April 30, 2014 (the “Schedule”) as it incorporates the terms and conditions of Master Lease Agreement dated April 30, 2014 (the “Master Agreement”). The Schedule and Master Agreement shall hereinafter be referred to collectively, as the “Lease”;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WHEREAS, Seller desires Purchaser to purchase from Seller property and equipment listed on one or more Authorizations for Progress Payment and/or an Installation Certificate (collectively, “Authorizations” and individually, “Authorization”) (collectively, the “Equipment” and individually, an “Item of Equipment”), and lease the Equipment back from Purchaser; and,</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Purchaser desires to buy the Equipment from Seller and lease the Equipment to Seller under the terms and conditions of this Agreement, the Authorizations and the Lease.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NOW, THEREFORE, in consideration of the foregoing and in further consideration of the representations and covenants contained herein, the parties agree as follows:</w:t>
      </w:r>
    </w:p>
    <w:p>
      <w:pPr>
        <w:spacing w:after="0" w:line="197" w:lineRule="exact"/>
        <w:rPr>
          <w:sz w:val="20"/>
          <w:szCs w:val="20"/>
          <w:color w:val="auto"/>
        </w:rPr>
      </w:pPr>
    </w:p>
    <w:p>
      <w:pPr>
        <w:jc w:val="both"/>
        <w:ind w:left="660" w:hanging="328"/>
        <w:spacing w:after="0" w:line="279" w:lineRule="auto"/>
        <w:tabs>
          <w:tab w:leader="none" w:pos="660"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Purchase and Sale</w:t>
      </w:r>
      <w:r>
        <w:rPr>
          <w:rFonts w:ascii="Arial" w:cs="Arial" w:eastAsia="Arial" w:hAnsi="Arial"/>
          <w:sz w:val="17"/>
          <w:szCs w:val="17"/>
          <w:color w:val="auto"/>
        </w:rPr>
        <w:t>. Seller hereby sells and Purchaser hereby purchases the Equipment (including all maintenance records, schematics, logic books, manuals, cables, kick plates, form stands, diagnostics and microfiche necessary for the installation, maintenance and operation of the Equipment) described in one or more Authorizations signed by Seller. Each Authorization upon the execution and delivery thereof, shall be incorporated into this Agreement by this reference, and collectively, the Authorizations shall comprise the Equipment.</w:t>
      </w:r>
    </w:p>
    <w:p>
      <w:pPr>
        <w:spacing w:after="0" w:line="19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Purchaser and Seller hereby agree that the purchase price to be paid to Seller by Purchaser for the Equipment shall be $1,493,190.38 which shall be payable to Seller under the terms and conditions of this Agreement, the Authorizations and the Lease.</w:t>
      </w:r>
    </w:p>
    <w:p>
      <w:pPr>
        <w:spacing w:after="0" w:line="197"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Seller represents and warrants that it is responsible for and it has paid all sales and use, property and other taxes assessed or due in connection with Seller’s purchase, use and possession of the Equipment prior to this sale to Purchaser. Seller will pay all taxes in the nature of excise, sales or use taxes imposed upon Seller by any state or political subdivision by reason of the sale provided for herein. Notwithstanding the foregoing, Purchaser warrants that this purchase is for resale and will provide Seller with Purchaser’s resale exemption certificate number.</w:t>
      </w:r>
    </w:p>
    <w:p>
      <w:pPr>
        <w:spacing w:after="0" w:line="198" w:lineRule="exact"/>
        <w:rPr>
          <w:rFonts w:ascii="Arial" w:cs="Arial" w:eastAsia="Arial" w:hAnsi="Arial"/>
          <w:sz w:val="17"/>
          <w:szCs w:val="17"/>
          <w:color w:val="auto"/>
        </w:rPr>
      </w:pPr>
    </w:p>
    <w:p>
      <w:pPr>
        <w:jc w:val="both"/>
        <w:ind w:left="660" w:hanging="328"/>
        <w:spacing w:after="0" w:line="285" w:lineRule="auto"/>
        <w:tabs>
          <w:tab w:leader="none" w:pos="660"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Warranty of Title</w:t>
      </w:r>
      <w:r>
        <w:rPr>
          <w:rFonts w:ascii="Arial" w:cs="Arial" w:eastAsia="Arial" w:hAnsi="Arial"/>
          <w:sz w:val="16"/>
          <w:szCs w:val="16"/>
          <w:color w:val="auto"/>
        </w:rPr>
        <w:t>. SELLER HEREBY WARRANTS TO PURCHASER, ITS SUCCESSORS AND ASSIGNS, THAT SELLER HAS GOOD AND MARKETABLE TITLE TO THE EQUIPMENT, FREE AND CLEAR OF ALL CLAIMS, LIENS, ENCUMBRANCES AND RIGHTS OF OTHERS OF ANY NATURE WHATSOEVER OTHER THAN ANY ASSIGNMENT, SUBLEASE, RENTAL, OR PROCESSING OR SIMILAR AGREEMENTS ENTERED OR TO BE ENTERED INTO FROM TIME TO TIME BETWEEN THE SELLER AND ITS CUSTOMERS OR AGENTS RELATING TO THE EQUIPMENT AND THE USE THEREOF BY ITS CUSTOMERS (“CUSTOMER AGREEMENTS”). BY THIS AGREEMENT, AND SUBJECT TO THE TERMS OF THE LEASE, THE PARTIES AGREE THAT TITLE AND OWNERSHIP OF THOSE ITEMS OF EQUIPMENT SPECIFIED IN ANY AUTHORIZATION SHALL PASS TO PURCHASER AT THE TIME SELLER SIGNS SUCH AUTHORIZATION, AT WHICH TIME SELLER SHALL GRANT, BARGAIN, SELL, TRANSFER AND DELIVER TO PURCHASER ALL OF SELLER’S RIGHT, TITLE AND INTEREST IN THE ITEMS OF EQUIPMENT DESIGNATED ON THE AUTHORIZATION, TO HAVE AND TO HOLD EACH ITEM OF EQUIPMENT UNTO PURCHASER, ITS SUCCESSORS AND ASSIGNS, BY EXECUTING A BILL OF SALE IN FAVOR OF PURCHASER. SUBJECT TO THE CUSTOMER AGREEMENTS, SELLER HEREBY INDEMNIFIES PURCHASER AGAINST ALL CLAIMS AND COSTS INCURRED IN THE DEFENSE OF TITLE TO THE EQUIPMENT BY ANYONE CLAIMING BY OR THROUGH SELLER. Seller is transferring to Purchaser good title to the Equipment, free and clear of all liens and encumbrances of any kind or description other than the Customer Agreements, and each Item of Equipment will be at the time of signing of each Authorization, in good operating condition and appearance and installed (if applicable) and operating in accordance with all manufacturer specifications. Effective at the time of signing of each Authorization, Seller assigns to Purchaser all of its rights and interests in and to any software specified in each Authorization, together with all vendor representations, warranties and indemnities pertaining thereto, and in any license agreement entered into by Seller in connection with such software. Provided no Event of Default has occurred and is continuing under the Lease, Seller is hereby authorized to use such software consistent with the license agreement relating thereto, and to communicate directly with any licensor in all matters relating to the software and license agreement. Seller agrees to perform and discharge when due each and every obligation of licensee under each license agreement and to not breach any provision of the license. Seller assumes and indemnifies Purchaser against all liabilities or claims arising in connection with such license.</w:t>
      </w:r>
    </w:p>
    <w:p>
      <w:pPr>
        <w:spacing w:after="0" w:line="200" w:lineRule="exact"/>
        <w:rPr>
          <w:rFonts w:ascii="Arial" w:cs="Arial" w:eastAsia="Arial" w:hAnsi="Arial"/>
          <w:sz w:val="16"/>
          <w:szCs w:val="16"/>
          <w:color w:val="auto"/>
        </w:rPr>
      </w:pPr>
    </w:p>
    <w:p>
      <w:pPr>
        <w:spacing w:after="0" w:line="211"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Manufacturer’s Warranties</w:t>
      </w:r>
      <w:r>
        <w:rPr>
          <w:rFonts w:ascii="Arial" w:cs="Arial" w:eastAsia="Arial" w:hAnsi="Arial"/>
          <w:sz w:val="18"/>
          <w:szCs w:val="18"/>
          <w:color w:val="auto"/>
        </w:rPr>
        <w:t>. Seller hereby assigns to Purchaser all warranties and indemnities with respect to the Equipment made by the manufacturer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81" w:name="page182"/>
    <w:bookmarkEnd w:id="181"/>
    <w:p>
      <w:pPr>
        <w:ind w:left="328" w:right="20" w:hanging="328"/>
        <w:spacing w:after="0" w:line="277" w:lineRule="auto"/>
        <w:tabs>
          <w:tab w:leader="none" w:pos="328"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Security Interest</w:t>
      </w:r>
      <w:r>
        <w:rPr>
          <w:rFonts w:ascii="Arial" w:cs="Arial" w:eastAsia="Arial" w:hAnsi="Arial"/>
          <w:sz w:val="18"/>
          <w:szCs w:val="18"/>
          <w:color w:val="auto"/>
        </w:rPr>
        <w:t>. Seller hereby reserves a security interest in the Equipment, which interest shall be automatically terminated upon payment by Purchaser of the purchase price as set forth in each Authorization.</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Purchaser’s Obligations</w:t>
      </w:r>
      <w:r>
        <w:rPr>
          <w:rFonts w:ascii="Arial" w:cs="Arial" w:eastAsia="Arial" w:hAnsi="Arial"/>
          <w:sz w:val="17"/>
          <w:szCs w:val="17"/>
          <w:color w:val="auto"/>
        </w:rPr>
        <w:t>. Seller hereby acknowledges that Purchaser’s obligations hereunder are expressly subject to the following conditions:</w:t>
      </w:r>
    </w:p>
    <w:p>
      <w:pPr>
        <w:spacing w:after="0" w:line="263" w:lineRule="exact"/>
        <w:rPr>
          <w:rFonts w:ascii="Arial" w:cs="Arial" w:eastAsia="Arial" w:hAnsi="Arial"/>
          <w:sz w:val="17"/>
          <w:szCs w:val="17"/>
          <w:color w:val="auto"/>
        </w:rPr>
      </w:pPr>
    </w:p>
    <w:p>
      <w:pPr>
        <w:ind w:left="968" w:hanging="320"/>
        <w:spacing w:after="0"/>
        <w:tabs>
          <w:tab w:leader="none" w:pos="968" w:val="left"/>
        </w:tabs>
        <w:numPr>
          <w:ilvl w:val="1"/>
          <w:numId w:val="142"/>
        </w:numPr>
        <w:rPr>
          <w:rFonts w:ascii="Arial" w:cs="Arial" w:eastAsia="Arial" w:hAnsi="Arial"/>
          <w:sz w:val="16"/>
          <w:szCs w:val="16"/>
          <w:color w:val="auto"/>
        </w:rPr>
      </w:pPr>
      <w:r>
        <w:rPr>
          <w:rFonts w:ascii="Arial" w:cs="Arial" w:eastAsia="Arial" w:hAnsi="Arial"/>
          <w:sz w:val="16"/>
          <w:szCs w:val="16"/>
          <w:color w:val="auto"/>
        </w:rPr>
        <w:t>Purchaser’s receipt of the Master Agreement, Schedule, and supplemental documentation pursuant to section 10 of the Schedule within five</w:t>
      </w:r>
    </w:p>
    <w:p>
      <w:pPr>
        <w:spacing w:after="0" w:line="46" w:lineRule="exact"/>
        <w:rPr>
          <w:rFonts w:ascii="Arial" w:cs="Arial" w:eastAsia="Arial" w:hAnsi="Arial"/>
          <w:sz w:val="16"/>
          <w:szCs w:val="16"/>
          <w:color w:val="auto"/>
        </w:rPr>
      </w:pPr>
    </w:p>
    <w:p>
      <w:pPr>
        <w:ind w:left="968"/>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(5) business days from the date of this Agreement. Should the Lease not be executed and delivered by Seller within such five-day period then, at the option of Purchaser, this Agreement shall be null and void </w:t>
      </w:r>
      <w:r>
        <w:rPr>
          <w:rFonts w:ascii="Arial" w:cs="Arial" w:eastAsia="Arial" w:hAnsi="Arial"/>
          <w:sz w:val="18"/>
          <w:szCs w:val="18"/>
          <w:u w:val="single" w:color="auto"/>
          <w:color w:val="auto"/>
        </w:rPr>
        <w:t>ab initio</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968" w:hanging="320"/>
        <w:spacing w:after="0"/>
        <w:tabs>
          <w:tab w:leader="none" w:pos="96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Purchaser’s receipt of properly executed Authorization(s) and Bill(s) of Sale given by Seller in favor of Purchaser.</w:t>
      </w:r>
    </w:p>
    <w:p>
      <w:pPr>
        <w:spacing w:after="0" w:line="252" w:lineRule="exact"/>
        <w:rPr>
          <w:rFonts w:ascii="Arial" w:cs="Arial" w:eastAsia="Arial" w:hAnsi="Arial"/>
          <w:sz w:val="18"/>
          <w:szCs w:val="18"/>
          <w:color w:val="auto"/>
        </w:rPr>
      </w:pPr>
    </w:p>
    <w:p>
      <w:pPr>
        <w:jc w:val="both"/>
        <w:ind w:left="968" w:hanging="320"/>
        <w:spacing w:after="0" w:line="264" w:lineRule="auto"/>
        <w:tabs>
          <w:tab w:leader="none" w:pos="96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Purchaser’s receipt and review of certified UCC searches, or standard UCC searches if certified UCC searches are not available, against Seller showing no security interests, liens or encumbrances on any Item of Equipment, or partial releases of any UCC liens or encumbrances and/or subordinations from lien holders, in a form reasonably acceptable to Purchaser.</w:t>
      </w:r>
    </w:p>
    <w:p>
      <w:pPr>
        <w:spacing w:after="0" w:line="208" w:lineRule="exact"/>
        <w:rPr>
          <w:rFonts w:ascii="Arial" w:cs="Arial" w:eastAsia="Arial" w:hAnsi="Arial"/>
          <w:sz w:val="18"/>
          <w:szCs w:val="18"/>
          <w:color w:val="auto"/>
        </w:rPr>
      </w:pPr>
    </w:p>
    <w:p>
      <w:pPr>
        <w:ind w:left="968" w:hanging="320"/>
        <w:spacing w:after="0"/>
        <w:tabs>
          <w:tab w:leader="none" w:pos="96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Purchaser’s receipt and review of evidence of Seller’s ownership of the Equipment.</w:t>
      </w:r>
    </w:p>
    <w:p>
      <w:pPr>
        <w:spacing w:after="0" w:line="252" w:lineRule="exact"/>
        <w:rPr>
          <w:rFonts w:ascii="Arial" w:cs="Arial" w:eastAsia="Arial" w:hAnsi="Arial"/>
          <w:sz w:val="18"/>
          <w:szCs w:val="18"/>
          <w:color w:val="auto"/>
        </w:rPr>
      </w:pPr>
    </w:p>
    <w:p>
      <w:pPr>
        <w:ind w:left="968" w:hanging="320"/>
        <w:spacing w:after="0"/>
        <w:tabs>
          <w:tab w:leader="none" w:pos="96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other documentation reasonably required by Purchaser</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Seller’s Representations and Warranties</w:t>
      </w:r>
      <w:r>
        <w:rPr>
          <w:rFonts w:ascii="Arial" w:cs="Arial" w:eastAsia="Arial" w:hAnsi="Arial"/>
          <w:sz w:val="18"/>
          <w:szCs w:val="18"/>
          <w:color w:val="auto"/>
        </w:rPr>
        <w:t>. Seller represents and warrants to Purchaser that:</w:t>
      </w:r>
    </w:p>
    <w:p>
      <w:pPr>
        <w:spacing w:after="0" w:line="252"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Seller is duly organized, validly existing and in good standing under the laws of the state of its organization and in all jurisdictions where such qualification is required for it to conduct its business.</w:t>
      </w:r>
    </w:p>
    <w:p>
      <w:pPr>
        <w:spacing w:after="0" w:line="197" w:lineRule="exact"/>
        <w:rPr>
          <w:rFonts w:ascii="Arial" w:cs="Arial" w:eastAsia="Arial" w:hAnsi="Arial"/>
          <w:sz w:val="18"/>
          <w:szCs w:val="18"/>
          <w:color w:val="auto"/>
        </w:rPr>
      </w:pPr>
    </w:p>
    <w:p>
      <w:pPr>
        <w:ind w:left="968" w:right="20" w:hanging="320"/>
        <w:spacing w:after="0" w:line="277" w:lineRule="auto"/>
        <w:tabs>
          <w:tab w:leader="none" w:pos="96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This Agreement has been duly authorized by Seller, and upon execution and delivery by the parties thereto, shall constitute the valid, legal and binding obligation of Seller enforceable in accordance with its terms.</w:t>
      </w:r>
    </w:p>
    <w:p>
      <w:pPr>
        <w:spacing w:after="0" w:line="197" w:lineRule="exact"/>
        <w:rPr>
          <w:rFonts w:ascii="Arial" w:cs="Arial" w:eastAsia="Arial" w:hAnsi="Arial"/>
          <w:sz w:val="18"/>
          <w:szCs w:val="18"/>
          <w:color w:val="auto"/>
        </w:rPr>
      </w:pPr>
    </w:p>
    <w:p>
      <w:pPr>
        <w:jc w:val="both"/>
        <w:ind w:left="968" w:hanging="320"/>
        <w:spacing w:after="0" w:line="286" w:lineRule="auto"/>
        <w:tabs>
          <w:tab w:leader="none" w:pos="968" w:val="left"/>
        </w:tabs>
        <w:numPr>
          <w:ilvl w:val="1"/>
          <w:numId w:val="142"/>
        </w:numPr>
        <w:rPr>
          <w:rFonts w:ascii="Arial" w:cs="Arial" w:eastAsia="Arial" w:hAnsi="Arial"/>
          <w:sz w:val="17"/>
          <w:szCs w:val="17"/>
          <w:color w:val="auto"/>
        </w:rPr>
      </w:pPr>
      <w:r>
        <w:rPr>
          <w:rFonts w:ascii="Arial" w:cs="Arial" w:eastAsia="Arial" w:hAnsi="Arial"/>
          <w:sz w:val="17"/>
          <w:szCs w:val="17"/>
          <w:color w:val="auto"/>
        </w:rPr>
        <w:t>No event has occurred or is continuing which constitutes an event of default under this Agreement or the Lease. No consent, approval or authorization of or by any court, administrative agency or other governmental authority is required in connection with the execution, delivery or performance by Seller of, or the consummation by Seller of the transaction contemplated by this Agreement.</w:t>
      </w:r>
    </w:p>
    <w:p>
      <w:pPr>
        <w:spacing w:after="0" w:line="192" w:lineRule="exact"/>
        <w:rPr>
          <w:rFonts w:ascii="Arial" w:cs="Arial" w:eastAsia="Arial" w:hAnsi="Arial"/>
          <w:sz w:val="17"/>
          <w:szCs w:val="17"/>
          <w:color w:val="auto"/>
        </w:rPr>
      </w:pPr>
    </w:p>
    <w:p>
      <w:pPr>
        <w:ind w:left="968" w:hanging="320"/>
        <w:spacing w:after="0" w:line="277" w:lineRule="auto"/>
        <w:tabs>
          <w:tab w:leader="none" w:pos="96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transaction contemplated by this Agreement complies with all applicable federal and state laws, rules and regulations applicable to Seller.</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Purchaser’s Representations and Warranties</w:t>
      </w:r>
      <w:r>
        <w:rPr>
          <w:rFonts w:ascii="Arial" w:cs="Arial" w:eastAsia="Arial" w:hAnsi="Arial"/>
          <w:sz w:val="18"/>
          <w:szCs w:val="18"/>
          <w:color w:val="auto"/>
        </w:rPr>
        <w:t>. Purchaser represents and warrants to Seller that:</w:t>
      </w:r>
    </w:p>
    <w:p>
      <w:pPr>
        <w:spacing w:after="0" w:line="252"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Purchaser is a corporation duly organized, validly existing and in good standing under the laws of the State of Michigan and in all jurisdictions where such qualification is required for it to conduct its business.</w:t>
      </w:r>
    </w:p>
    <w:p>
      <w:pPr>
        <w:spacing w:after="0" w:line="197"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This Agreement has been duly authorized by Purchaser, and upon the execution and delivery by the parties thereto, shall constitute the valid, legal and binding obligation of Purchaser enforceable in accordance with its terms.</w:t>
      </w:r>
    </w:p>
    <w:p>
      <w:pPr>
        <w:spacing w:after="0" w:line="197"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transactions contemplated by this Agreement comply with all material federal and state laws, rules and regulations applicable to Purchaser.</w:t>
      </w:r>
    </w:p>
    <w:p>
      <w:pPr>
        <w:spacing w:after="0" w:line="197" w:lineRule="exact"/>
        <w:rPr>
          <w:rFonts w:ascii="Arial" w:cs="Arial" w:eastAsia="Arial" w:hAnsi="Arial"/>
          <w:sz w:val="18"/>
          <w:szCs w:val="18"/>
          <w:color w:val="auto"/>
        </w:rPr>
      </w:pPr>
    </w:p>
    <w:p>
      <w:pPr>
        <w:jc w:val="both"/>
        <w:ind w:left="328" w:hanging="328"/>
        <w:spacing w:after="0" w:line="279" w:lineRule="auto"/>
        <w:tabs>
          <w:tab w:leader="none" w:pos="328"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Default and Remedies</w:t>
      </w:r>
      <w:r>
        <w:rPr>
          <w:rFonts w:ascii="Arial" w:cs="Arial" w:eastAsia="Arial" w:hAnsi="Arial"/>
          <w:sz w:val="17"/>
          <w:szCs w:val="17"/>
          <w:color w:val="auto"/>
        </w:rPr>
        <w:t>. In the event any of Seller’s representations made hereunder should be false or misleading in any material respect, or in the event Seller should breach any of its warranties or obligations under this Agreement, Purchaser shall be entitled to exercise all rights and remedies available to it at law or in equity together with all of its rights and remedies under the Lease in Purchaser’s discretion as if they were set forth in this Agreement, and for purposes hereof all such rights and remedies shall be incorporated herein by this reference.</w:t>
      </w:r>
    </w:p>
    <w:p>
      <w:pPr>
        <w:spacing w:after="0" w:line="198" w:lineRule="exact"/>
        <w:rPr>
          <w:rFonts w:ascii="Arial" w:cs="Arial" w:eastAsia="Arial" w:hAnsi="Arial"/>
          <w:sz w:val="17"/>
          <w:szCs w:val="17"/>
          <w:color w:val="auto"/>
        </w:rPr>
      </w:pPr>
    </w:p>
    <w:p>
      <w:pPr>
        <w:jc w:val="both"/>
        <w:ind w:left="328" w:hanging="328"/>
        <w:spacing w:after="0" w:line="259" w:lineRule="auto"/>
        <w:tabs>
          <w:tab w:leader="none" w:pos="328"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Purchaser and Seller agree that this Agreement shall inure to the benefit of and shall be binding upon Seller and Purchaser, their respective successors and assigns. Any assignment by Purchaser shall not require Seller’s prior written approval provided such assignee agrees to observe Purchaser’s covenant of quiet enjoyment under the Master Agreement. Seller shall not assign any interest in this Agreement without Purchaser’s prior written consent.</w:t>
      </w:r>
    </w:p>
    <w:p>
      <w:pPr>
        <w:spacing w:after="0" w:line="213"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Survival of Covenants</w:t>
      </w:r>
      <w:r>
        <w:rPr>
          <w:rFonts w:ascii="Arial" w:cs="Arial" w:eastAsia="Arial" w:hAnsi="Arial"/>
          <w:sz w:val="18"/>
          <w:szCs w:val="18"/>
          <w:color w:val="auto"/>
        </w:rPr>
        <w:t>. Purchaser and Seller agree that the warranties, covenants and agreements contained in this Agreement shall survive the passing of title to the Equipment.</w:t>
      </w:r>
    </w:p>
    <w:p>
      <w:pPr>
        <w:spacing w:after="0" w:line="197"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Seller and Purchaser agree that this Agreement and the Lease, together with any amendments, supplements or riders thereto, shall constitute the entire agreement between the parties with respect to the Equipment and shall supersede all proposals, oral or written, all prior negotiations and all other communications.</w:t>
      </w:r>
    </w:p>
    <w:p>
      <w:pPr>
        <w:spacing w:after="0" w:line="208" w:lineRule="exact"/>
        <w:rPr>
          <w:rFonts w:ascii="Arial" w:cs="Arial" w:eastAsia="Arial" w:hAnsi="Arial"/>
          <w:sz w:val="18"/>
          <w:szCs w:val="18"/>
          <w:color w:val="auto"/>
        </w:rPr>
      </w:pPr>
    </w:p>
    <w:p>
      <w:pPr>
        <w:jc w:val="both"/>
        <w:ind w:left="328" w:hanging="328"/>
        <w:spacing w:after="0" w:line="259" w:lineRule="auto"/>
        <w:tabs>
          <w:tab w:leader="none" w:pos="328"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This Agreement may only be modified by a subsequent writing executed by both parties. If any provision of this Agreement shall be held to be invalid, illegal or unenforceable, the validity, legality and enforceability of the remaining provisions shall not in any way be affected or impaired thereby. This Agreement shall be governed by the laws of the State of Michigan without giving effect to the principles of conflict of laws. Section headings are for convenience only and shall not be construed as 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419100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22" w:right="239" w:bottom="52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t>IN WITNESS WHEREOF, the parties have executed this Sale Leaseback Agreement on the date shown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PURCHASER:</w:t>
            </w:r>
          </w:p>
        </w:tc>
        <w:tc>
          <w:tcPr>
            <w:tcW w:w="7460" w:type="dxa"/>
            <w:vAlign w:val="bottom"/>
            <w:gridSpan w:val="3"/>
          </w:tcPr>
          <w:p>
            <w:pPr>
              <w:ind w:left="1720"/>
              <w:spacing w:after="0"/>
              <w:rPr>
                <w:sz w:val="20"/>
                <w:szCs w:val="20"/>
                <w:color w:val="auto"/>
              </w:rPr>
            </w:pPr>
            <w:r>
              <w:rPr>
                <w:rFonts w:ascii="Arial" w:cs="Arial" w:eastAsia="Arial" w:hAnsi="Arial"/>
                <w:sz w:val="18"/>
                <w:szCs w:val="18"/>
                <w:color w:val="auto"/>
              </w:rPr>
              <w:t>SELLER:</w:t>
            </w:r>
          </w:p>
        </w:tc>
      </w:tr>
      <w:tr>
        <w:trPr>
          <w:trHeight w:val="230"/>
        </w:trPr>
        <w:tc>
          <w:tcPr>
            <w:tcW w:w="3960" w:type="dxa"/>
            <w:vAlign w:val="bottom"/>
            <w:gridSpan w:val="3"/>
          </w:tcPr>
          <w:p>
            <w:pPr>
              <w:spacing w:after="0"/>
              <w:rPr>
                <w:sz w:val="20"/>
                <w:szCs w:val="20"/>
                <w:color w:val="auto"/>
              </w:rPr>
            </w:pPr>
            <w:r>
              <w:rPr>
                <w:rFonts w:ascii="Arial" w:cs="Arial" w:eastAsia="Arial" w:hAnsi="Arial"/>
                <w:sz w:val="18"/>
                <w:szCs w:val="18"/>
                <w:color w:val="auto"/>
              </w:rPr>
              <w:t>VARILEASE FINANCE, INC.</w:t>
            </w:r>
          </w:p>
        </w:tc>
        <w:tc>
          <w:tcPr>
            <w:tcW w:w="7460" w:type="dxa"/>
            <w:vAlign w:val="bottom"/>
            <w:gridSpan w:val="3"/>
          </w:tcPr>
          <w:p>
            <w:pPr>
              <w:ind w:left="1720"/>
              <w:spacing w:after="0"/>
              <w:rPr>
                <w:sz w:val="20"/>
                <w:szCs w:val="20"/>
                <w:color w:val="auto"/>
              </w:rPr>
            </w:pPr>
            <w:r>
              <w:rPr>
                <w:rFonts w:ascii="Arial" w:cs="Arial" w:eastAsia="Arial" w:hAnsi="Arial"/>
                <w:sz w:val="18"/>
                <w:szCs w:val="18"/>
                <w:color w:val="auto"/>
              </w:rPr>
              <w:t>USA TECHNOLOGIES, INC.</w:t>
            </w:r>
          </w:p>
        </w:tc>
      </w:tr>
      <w:tr>
        <w:trPr>
          <w:trHeight w:val="432"/>
        </w:trPr>
        <w:tc>
          <w:tcPr>
            <w:tcW w:w="3960" w:type="dxa"/>
            <w:vAlign w:val="bottom"/>
            <w:gridSpan w:val="3"/>
          </w:tcPr>
          <w:p>
            <w:pPr>
              <w:spacing w:after="0"/>
              <w:rPr>
                <w:sz w:val="20"/>
                <w:szCs w:val="20"/>
                <w:color w:val="auto"/>
              </w:rPr>
            </w:pPr>
            <w:r>
              <w:rPr>
                <w:rFonts w:ascii="Arial" w:cs="Arial" w:eastAsia="Arial" w:hAnsi="Arial"/>
                <w:sz w:val="18"/>
                <w:szCs w:val="18"/>
                <w:color w:val="auto"/>
              </w:rPr>
              <w:t>By: /s/ Kristy Phillips</w:t>
            </w:r>
          </w:p>
        </w:tc>
        <w:tc>
          <w:tcPr>
            <w:tcW w:w="7460" w:type="dxa"/>
            <w:vAlign w:val="bottom"/>
            <w:gridSpan w:val="3"/>
          </w:tcPr>
          <w:p>
            <w:pPr>
              <w:ind w:left="1720"/>
              <w:spacing w:after="0"/>
              <w:rPr>
                <w:sz w:val="20"/>
                <w:szCs w:val="20"/>
                <w:color w:val="auto"/>
              </w:rPr>
            </w:pPr>
            <w:r>
              <w:rPr>
                <w:rFonts w:ascii="Arial" w:cs="Arial" w:eastAsia="Arial" w:hAnsi="Arial"/>
                <w:sz w:val="18"/>
                <w:szCs w:val="18"/>
                <w:color w:val="auto"/>
              </w:rPr>
              <w:t>By: /s/ David M. DeMedio</w:t>
            </w:r>
          </w:p>
        </w:tc>
      </w:tr>
      <w:tr>
        <w:trPr>
          <w:trHeight w:val="27"/>
        </w:trPr>
        <w:tc>
          <w:tcPr>
            <w:tcW w:w="3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3760" w:type="dxa"/>
            <w:vAlign w:val="bottom"/>
          </w:tcPr>
          <w:p>
            <w:pPr>
              <w:spacing w:after="0"/>
              <w:rPr>
                <w:sz w:val="2"/>
                <w:szCs w:val="2"/>
                <w:color w:val="auto"/>
              </w:rPr>
            </w:pPr>
          </w:p>
        </w:tc>
      </w:tr>
      <w:tr>
        <w:trPr>
          <w:trHeight w:val="202"/>
        </w:trPr>
        <w:tc>
          <w:tcPr>
            <w:tcW w:w="1600" w:type="dxa"/>
            <w:vAlign w:val="bottom"/>
            <w:gridSpan w:val="2"/>
          </w:tcPr>
          <w:p>
            <w:pPr>
              <w:spacing w:after="0" w:line="201" w:lineRule="exact"/>
              <w:rPr>
                <w:sz w:val="20"/>
                <w:szCs w:val="20"/>
                <w:color w:val="auto"/>
              </w:rPr>
            </w:pPr>
            <w:r>
              <w:rPr>
                <w:rFonts w:ascii="Arial" w:cs="Arial" w:eastAsia="Arial" w:hAnsi="Arial"/>
                <w:sz w:val="18"/>
                <w:szCs w:val="18"/>
                <w:color w:val="auto"/>
                <w:w w:val="95"/>
              </w:rPr>
              <w:t>Name: Kristy Phillips</w:t>
            </w:r>
          </w:p>
        </w:tc>
        <w:tc>
          <w:tcPr>
            <w:tcW w:w="2360" w:type="dxa"/>
            <w:vAlign w:val="bottom"/>
          </w:tcPr>
          <w:p>
            <w:pPr>
              <w:spacing w:after="0"/>
              <w:rPr>
                <w:sz w:val="17"/>
                <w:szCs w:val="17"/>
                <w:color w:val="auto"/>
              </w:rPr>
            </w:pPr>
          </w:p>
        </w:tc>
        <w:tc>
          <w:tcPr>
            <w:tcW w:w="7460" w:type="dxa"/>
            <w:vAlign w:val="bottom"/>
            <w:gridSpan w:val="3"/>
          </w:tcPr>
          <w:p>
            <w:pPr>
              <w:ind w:left="1720"/>
              <w:spacing w:after="0" w:line="201" w:lineRule="exact"/>
              <w:rPr>
                <w:sz w:val="20"/>
                <w:szCs w:val="20"/>
                <w:color w:val="auto"/>
              </w:rPr>
            </w:pPr>
            <w:r>
              <w:rPr>
                <w:rFonts w:ascii="Arial" w:cs="Arial" w:eastAsia="Arial" w:hAnsi="Arial"/>
                <w:sz w:val="18"/>
                <w:szCs w:val="18"/>
                <w:color w:val="auto"/>
              </w:rPr>
              <w:t>Name: David M. DeMedio</w:t>
            </w:r>
          </w:p>
        </w:tc>
      </w:tr>
      <w:tr>
        <w:trPr>
          <w:trHeight w:val="230"/>
        </w:trPr>
        <w:tc>
          <w:tcPr>
            <w:tcW w:w="3960" w:type="dxa"/>
            <w:vAlign w:val="bottom"/>
            <w:gridSpan w:val="3"/>
          </w:tcPr>
          <w:p>
            <w:pPr>
              <w:spacing w:after="0"/>
              <w:rPr>
                <w:sz w:val="20"/>
                <w:szCs w:val="20"/>
                <w:color w:val="auto"/>
              </w:rPr>
            </w:pPr>
            <w:r>
              <w:rPr>
                <w:rFonts w:ascii="Arial" w:cs="Arial" w:eastAsia="Arial" w:hAnsi="Arial"/>
                <w:sz w:val="18"/>
                <w:szCs w:val="18"/>
                <w:color w:val="auto"/>
              </w:rPr>
              <w:t>Title: Vice President</w:t>
            </w:r>
          </w:p>
        </w:tc>
        <w:tc>
          <w:tcPr>
            <w:tcW w:w="7460" w:type="dxa"/>
            <w:vAlign w:val="bottom"/>
            <w:gridSpan w:val="3"/>
          </w:tcPr>
          <w:p>
            <w:pPr>
              <w:ind w:left="1720"/>
              <w:spacing w:after="0"/>
              <w:rPr>
                <w:sz w:val="20"/>
                <w:szCs w:val="20"/>
                <w:color w:val="auto"/>
              </w:rPr>
            </w:pPr>
            <w:r>
              <w:rPr>
                <w:rFonts w:ascii="Arial" w:cs="Arial" w:eastAsia="Arial" w:hAnsi="Arial"/>
                <w:sz w:val="18"/>
                <w:szCs w:val="18"/>
                <w:color w:val="auto"/>
              </w:rPr>
              <w:t>Title: CFO</w:t>
            </w:r>
          </w:p>
        </w:tc>
      </w:tr>
      <w:tr>
        <w:trPr>
          <w:trHeight w:val="675"/>
        </w:trPr>
        <w:tc>
          <w:tcPr>
            <w:tcW w:w="340" w:type="dxa"/>
            <w:vAlign w:val="bottom"/>
            <w:tcBorders>
              <w:bottom w:val="single" w:sz="8" w:color="DCDCDC"/>
            </w:tcBorders>
          </w:tcPr>
          <w:p>
            <w:pPr>
              <w:spacing w:after="0"/>
              <w:rPr>
                <w:sz w:val="24"/>
                <w:szCs w:val="24"/>
                <w:color w:val="auto"/>
              </w:rPr>
            </w:pPr>
          </w:p>
        </w:tc>
        <w:tc>
          <w:tcPr>
            <w:tcW w:w="1260" w:type="dxa"/>
            <w:vAlign w:val="bottom"/>
            <w:tcBorders>
              <w:bottom w:val="single" w:sz="8" w:color="DCDCDC"/>
            </w:tcBorders>
          </w:tcPr>
          <w:p>
            <w:pPr>
              <w:spacing w:after="0"/>
              <w:rPr>
                <w:sz w:val="24"/>
                <w:szCs w:val="24"/>
                <w:color w:val="auto"/>
              </w:rPr>
            </w:pPr>
          </w:p>
        </w:tc>
        <w:tc>
          <w:tcPr>
            <w:tcW w:w="2360" w:type="dxa"/>
            <w:vAlign w:val="bottom"/>
            <w:tcBorders>
              <w:bottom w:val="single" w:sz="8" w:color="DCDCDC"/>
            </w:tcBorders>
          </w:tcPr>
          <w:p>
            <w:pPr>
              <w:spacing w:after="0"/>
              <w:rPr>
                <w:sz w:val="24"/>
                <w:szCs w:val="24"/>
                <w:color w:val="auto"/>
              </w:rPr>
            </w:pPr>
          </w:p>
        </w:tc>
        <w:tc>
          <w:tcPr>
            <w:tcW w:w="2060" w:type="dxa"/>
            <w:vAlign w:val="bottom"/>
            <w:tcBorders>
              <w:bottom w:val="single" w:sz="8" w:color="DCDCDC"/>
            </w:tcBorders>
          </w:tcPr>
          <w:p>
            <w:pPr>
              <w:spacing w:after="0"/>
              <w:rPr>
                <w:sz w:val="24"/>
                <w:szCs w:val="24"/>
                <w:color w:val="auto"/>
              </w:rPr>
            </w:pPr>
          </w:p>
        </w:tc>
        <w:tc>
          <w:tcPr>
            <w:tcW w:w="1640" w:type="dxa"/>
            <w:vAlign w:val="bottom"/>
            <w:tcBorders>
              <w:bottom w:val="single" w:sz="8" w:color="DCDCDC"/>
            </w:tcBorders>
          </w:tcPr>
          <w:p>
            <w:pPr>
              <w:spacing w:after="0"/>
              <w:rPr>
                <w:sz w:val="24"/>
                <w:szCs w:val="24"/>
                <w:color w:val="auto"/>
              </w:rPr>
            </w:pPr>
          </w:p>
        </w:tc>
        <w:tc>
          <w:tcPr>
            <w:tcW w:w="37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22" w:right="2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color w:val="auto"/>
        </w:rPr>
        <w:t>Varilease Finance,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6340 South 3000 East,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 84121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www.varilease.com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801.733.8100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801.733.8900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NO. 05</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SCHEDULE NO. 05 dated April 30, 2014 (the “Schedule”) between VARILEASE FINANCE, INC. (the “Lessor”) and USA TECHNOLOGIES, INC. (the “Lessee”) incorporates by reference the terms and conditions of Master Lease Agreement dated April 30, 2014 between Lessor and Lessee (the “Master Agreement”) and constitutes a separate lease between Lessor and Lessee. The Schedule and Master Agreement are hereinafter referred to collectively, as the “Lease”. All capitalized terms used herein but not defined herein shall have the same meanings ascribed to them in the Master Agreement.</w:t>
      </w:r>
    </w:p>
    <w:p>
      <w:pPr>
        <w:spacing w:after="0" w:line="181" w:lineRule="exact"/>
        <w:rPr>
          <w:sz w:val="20"/>
          <w:szCs w:val="20"/>
          <w:color w:val="auto"/>
        </w:rPr>
      </w:pPr>
    </w:p>
    <w:p>
      <w:pPr>
        <w:ind w:left="340" w:hanging="332"/>
        <w:spacing w:after="0" w:line="277" w:lineRule="auto"/>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Equipment:</w:t>
      </w:r>
      <w:r>
        <w:rPr>
          <w:rFonts w:ascii="Arial" w:cs="Arial" w:eastAsia="Arial" w:hAnsi="Arial"/>
          <w:sz w:val="18"/>
          <w:szCs w:val="18"/>
          <w:color w:val="auto"/>
        </w:rPr>
        <w:t xml:space="preserve"> Remote cashless point of sale Eport equipment as more fully described in the attached Exhibit A of two (2) pages which by this reference becomes a part hereof.</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Equipment Location:</w:t>
      </w:r>
      <w:r>
        <w:rPr>
          <w:rFonts w:ascii="Arial" w:cs="Arial" w:eastAsia="Arial" w:hAnsi="Arial"/>
          <w:sz w:val="18"/>
          <w:szCs w:val="18"/>
          <w:color w:val="auto"/>
        </w:rPr>
        <w:t xml:space="preserve"> Headquartered at 100 Deerfield Lane, Suite 140, Malvern, PA 19355.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3.</w:t>
            </w:r>
          </w:p>
        </w:tc>
        <w:tc>
          <w:tcPr>
            <w:tcW w:w="16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9"/>
              </w:rPr>
              <w:t>Total Equipment Cost:</w:t>
            </w:r>
          </w:p>
        </w:tc>
        <w:tc>
          <w:tcPr>
            <w:tcW w:w="160" w:type="dxa"/>
            <w:vAlign w:val="bottom"/>
          </w:tcPr>
          <w:p>
            <w:pPr>
              <w:spacing w:after="0"/>
              <w:rPr>
                <w:sz w:val="17"/>
                <w:szCs w:val="17"/>
                <w:color w:val="auto"/>
              </w:rPr>
            </w:pPr>
          </w:p>
        </w:tc>
        <w:tc>
          <w:tcPr>
            <w:tcW w:w="9300" w:type="dxa"/>
            <w:vAlign w:val="bottom"/>
          </w:tcPr>
          <w:p>
            <w:pPr>
              <w:ind w:left="160"/>
              <w:spacing w:after="0"/>
              <w:rPr>
                <w:sz w:val="20"/>
                <w:szCs w:val="20"/>
                <w:color w:val="auto"/>
              </w:rPr>
            </w:pPr>
            <w:r>
              <w:rPr>
                <w:rFonts w:ascii="Arial" w:cs="Arial" w:eastAsia="Arial" w:hAnsi="Arial"/>
                <w:sz w:val="18"/>
                <w:szCs w:val="18"/>
                <w:color w:val="auto"/>
              </w:rPr>
              <w:t>$1,493,190.38</w:t>
            </w:r>
          </w:p>
        </w:tc>
      </w:tr>
      <w:tr>
        <w:trPr>
          <w:trHeight w:val="439"/>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4.</w:t>
            </w: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Base Term:</w:t>
            </w:r>
          </w:p>
        </w:tc>
        <w:tc>
          <w:tcPr>
            <w:tcW w:w="960" w:type="dxa"/>
            <w:vAlign w:val="bottom"/>
            <w:gridSpan w:val="3"/>
          </w:tcPr>
          <w:p>
            <w:pPr>
              <w:spacing w:after="0"/>
              <w:rPr>
                <w:sz w:val="24"/>
                <w:szCs w:val="24"/>
                <w:color w:val="auto"/>
              </w:rPr>
            </w:pPr>
          </w:p>
        </w:tc>
        <w:tc>
          <w:tcPr>
            <w:tcW w:w="9300" w:type="dxa"/>
            <w:vAlign w:val="bottom"/>
          </w:tcPr>
          <w:p>
            <w:pPr>
              <w:ind w:left="160"/>
              <w:spacing w:after="0"/>
              <w:rPr>
                <w:sz w:val="20"/>
                <w:szCs w:val="20"/>
                <w:color w:val="auto"/>
              </w:rPr>
            </w:pPr>
            <w:r>
              <w:rPr>
                <w:rFonts w:ascii="Arial" w:cs="Arial" w:eastAsia="Arial" w:hAnsi="Arial"/>
                <w:sz w:val="18"/>
                <w:szCs w:val="18"/>
                <w:color w:val="auto"/>
              </w:rPr>
              <w:t>36 Months</w:t>
            </w:r>
          </w:p>
        </w:tc>
      </w:tr>
      <w:tr>
        <w:trPr>
          <w:trHeight w:val="439"/>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5.</w:t>
            </w: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Base Monthly Rental:</w:t>
            </w:r>
          </w:p>
        </w:tc>
        <w:tc>
          <w:tcPr>
            <w:tcW w:w="200" w:type="dxa"/>
            <w:vAlign w:val="bottom"/>
            <w:gridSpan w:val="2"/>
          </w:tcPr>
          <w:p>
            <w:pPr>
              <w:spacing w:after="0"/>
              <w:rPr>
                <w:sz w:val="24"/>
                <w:szCs w:val="24"/>
                <w:color w:val="auto"/>
              </w:rPr>
            </w:pPr>
          </w:p>
        </w:tc>
        <w:tc>
          <w:tcPr>
            <w:tcW w:w="9300" w:type="dxa"/>
            <w:vAlign w:val="bottom"/>
          </w:tcPr>
          <w:p>
            <w:pPr>
              <w:ind w:left="160"/>
              <w:spacing w:after="0"/>
              <w:rPr>
                <w:sz w:val="20"/>
                <w:szCs w:val="20"/>
                <w:color w:val="auto"/>
              </w:rPr>
            </w:pPr>
            <w:r>
              <w:rPr>
                <w:rFonts w:ascii="Arial" w:cs="Arial" w:eastAsia="Arial" w:hAnsi="Arial"/>
                <w:sz w:val="18"/>
                <w:szCs w:val="18"/>
                <w:color w:val="auto"/>
              </w:rPr>
              <w:t>$40,793.96 (plus applicable sales/use tax)</w:t>
            </w:r>
          </w:p>
        </w:tc>
      </w:tr>
      <w:tr>
        <w:trPr>
          <w:trHeight w:val="439"/>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6.</w:t>
            </w:r>
          </w:p>
        </w:tc>
        <w:tc>
          <w:tcPr>
            <w:tcW w:w="1780" w:type="dxa"/>
            <w:vAlign w:val="bottom"/>
            <w:gridSpan w:val="5"/>
          </w:tcPr>
          <w:p>
            <w:pPr>
              <w:spacing w:after="0"/>
              <w:rPr>
                <w:sz w:val="20"/>
                <w:szCs w:val="20"/>
                <w:color w:val="auto"/>
              </w:rPr>
            </w:pPr>
            <w:r>
              <w:rPr>
                <w:rFonts w:ascii="Arial" w:cs="Arial" w:eastAsia="Arial" w:hAnsi="Arial"/>
                <w:sz w:val="18"/>
                <w:szCs w:val="18"/>
                <w:color w:val="auto"/>
              </w:rPr>
              <w:t>Deposit:</w:t>
            </w:r>
          </w:p>
        </w:tc>
        <w:tc>
          <w:tcPr>
            <w:tcW w:w="9300" w:type="dxa"/>
            <w:vAlign w:val="bottom"/>
          </w:tcPr>
          <w:p>
            <w:pPr>
              <w:ind w:left="380"/>
              <w:spacing w:after="0"/>
              <w:rPr>
                <w:sz w:val="20"/>
                <w:szCs w:val="20"/>
                <w:color w:val="auto"/>
              </w:rPr>
            </w:pPr>
            <w:r>
              <w:rPr>
                <w:rFonts w:ascii="Arial" w:cs="Arial" w:eastAsia="Arial" w:hAnsi="Arial"/>
                <w:sz w:val="18"/>
                <w:szCs w:val="18"/>
                <w:color w:val="auto"/>
                <w:w w:val="91"/>
              </w:rPr>
              <w:t xml:space="preserve">$40,793.96 applied to the last Base Monthly Rental (plus applicable sales/use tax). Lessee shall pay the </w:t>
            </w:r>
            <w:r>
              <w:rPr>
                <w:rFonts w:ascii="Arial" w:cs="Arial" w:eastAsia="Arial" w:hAnsi="Arial"/>
                <w:sz w:val="18"/>
                <w:szCs w:val="18"/>
                <w:i w:val="1"/>
                <w:iCs w:val="1"/>
                <w:color w:val="auto"/>
                <w:w w:val="91"/>
              </w:rPr>
              <w:t>last</w:t>
            </w:r>
            <w:r>
              <w:rPr>
                <w:rFonts w:ascii="Arial" w:cs="Arial" w:eastAsia="Arial" w:hAnsi="Arial"/>
                <w:sz w:val="18"/>
                <w:szCs w:val="18"/>
                <w:color w:val="auto"/>
                <w:w w:val="91"/>
              </w:rPr>
              <w:t xml:space="preserve"> Base Monthly</w:t>
            </w:r>
          </w:p>
        </w:tc>
      </w:tr>
      <w:tr>
        <w:trPr>
          <w:trHeight w:val="20"/>
        </w:trPr>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Rental in advance upon the execution of this Schedule. Lessee acknowledges and agrees that, notwithstanding anything to the contrary herein, this payment is non-refundable to Lessee under any circumstances, including, without limitation, any termination of this Lease for any reason prior to the end of its scheduled term. This payment shall be deemed earned by Lessor, and upon receipt by Lessor, shall immediately be applied to satisfy Lessee’s obligation to make the last Base Monthly Rental. Lessee and Lessor acknowledge that the $50,000 previously paid to Lessor by Lessee shall be applied by Lessor as a credit towards the deposit due hereunder.</w:t>
      </w:r>
    </w:p>
    <w:p>
      <w:pPr>
        <w:spacing w:after="0" w:line="215" w:lineRule="exact"/>
        <w:rPr>
          <w:sz w:val="20"/>
          <w:szCs w:val="20"/>
          <w:color w:val="auto"/>
        </w:rPr>
      </w:pPr>
    </w:p>
    <w:p>
      <w:pPr>
        <w:ind w:left="340" w:hanging="332"/>
        <w:spacing w:after="0"/>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Base Lease Rate Factor:</w:t>
      </w:r>
      <w:r>
        <w:rPr>
          <w:rFonts w:ascii="Arial" w:cs="Arial" w:eastAsia="Arial" w:hAnsi="Arial"/>
          <w:sz w:val="18"/>
          <w:szCs w:val="18"/>
          <w:color w:val="auto"/>
        </w:rPr>
        <w:t xml:space="preserve">  0.02732</w:t>
      </w:r>
    </w:p>
    <w:p>
      <w:pPr>
        <w:spacing w:after="0" w:line="248" w:lineRule="exact"/>
        <w:rPr>
          <w:rFonts w:ascii="Arial" w:cs="Arial" w:eastAsia="Arial" w:hAnsi="Arial"/>
          <w:sz w:val="18"/>
          <w:szCs w:val="18"/>
          <w:color w:val="auto"/>
        </w:rPr>
      </w:pPr>
    </w:p>
    <w:p>
      <w:pPr>
        <w:jc w:val="both"/>
        <w:ind w:left="340" w:hanging="332"/>
        <w:spacing w:after="0" w:line="261" w:lineRule="auto"/>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Floating Lease Rate Factor:</w:t>
      </w:r>
      <w:r>
        <w:rPr>
          <w:rFonts w:ascii="Arial" w:cs="Arial" w:eastAsia="Arial" w:hAnsi="Arial"/>
          <w:sz w:val="18"/>
          <w:szCs w:val="18"/>
          <w:color w:val="auto"/>
        </w:rPr>
        <w:t xml:space="preserve"> The Base Lease Rate Factor shown in Section 7, </w:t>
      </w:r>
      <w:r>
        <w:rPr>
          <w:rFonts w:ascii="Arial" w:cs="Arial" w:eastAsia="Arial" w:hAnsi="Arial"/>
          <w:sz w:val="18"/>
          <w:szCs w:val="18"/>
          <w:b w:val="1"/>
          <w:bCs w:val="1"/>
          <w:color w:val="auto"/>
        </w:rPr>
        <w:t>which is used to calculate the Base Monthly Rental,</w:t>
      </w:r>
      <w:r>
        <w:rPr>
          <w:rFonts w:ascii="Arial" w:cs="Arial" w:eastAsia="Arial" w:hAnsi="Arial"/>
          <w:sz w:val="18"/>
          <w:szCs w:val="18"/>
          <w:color w:val="auto"/>
        </w:rPr>
        <w:t xml:space="preserve"> shall increase 0.00008775 for every five (5) basis point increase in 36-month U.S. Treasury Notes, until all Items of Equipment have been installed, at which point the date set forth on the Installation Certificate of the Lease shall have occurred. The 36-month U.S. Treasury Note yield used as the basis for the derivation of the Base Lease Rate Factor contained herein is 0.82%.</w:t>
      </w:r>
    </w:p>
    <w:p>
      <w:pPr>
        <w:spacing w:after="0" w:line="211" w:lineRule="exact"/>
        <w:rPr>
          <w:rFonts w:ascii="Arial" w:cs="Arial" w:eastAsia="Arial" w:hAnsi="Arial"/>
          <w:sz w:val="18"/>
          <w:szCs w:val="18"/>
          <w:color w:val="auto"/>
        </w:rPr>
      </w:pPr>
    </w:p>
    <w:p>
      <w:pPr>
        <w:ind w:left="340" w:hanging="332"/>
        <w:spacing w:after="0"/>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Equipment Return Location:</w:t>
      </w:r>
      <w:r>
        <w:rPr>
          <w:rFonts w:ascii="Arial" w:cs="Arial" w:eastAsia="Arial" w:hAnsi="Arial"/>
          <w:sz w:val="18"/>
          <w:szCs w:val="18"/>
          <w:color w:val="auto"/>
        </w:rPr>
        <w:t xml:space="preserve"> To Be Advised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Special Terms:</w:t>
      </w:r>
    </w:p>
    <w:p>
      <w:pPr>
        <w:spacing w:after="0" w:line="252" w:lineRule="exact"/>
        <w:rPr>
          <w:rFonts w:ascii="Arial" w:cs="Arial" w:eastAsia="Arial" w:hAnsi="Arial"/>
          <w:sz w:val="18"/>
          <w:szCs w:val="18"/>
          <w:color w:val="auto"/>
        </w:rPr>
      </w:pPr>
    </w:p>
    <w:p>
      <w:pPr>
        <w:jc w:val="both"/>
        <w:ind w:left="980" w:hanging="324"/>
        <w:spacing w:after="0" w:line="254" w:lineRule="auto"/>
        <w:tabs>
          <w:tab w:leader="none" w:pos="980"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Self Maintenance</w:t>
      </w:r>
      <w:r>
        <w:rPr>
          <w:rFonts w:ascii="Arial" w:cs="Arial" w:eastAsia="Arial" w:hAnsi="Arial"/>
          <w:sz w:val="18"/>
          <w:szCs w:val="18"/>
          <w:color w:val="auto"/>
        </w:rPr>
        <w:t>: For this Schedule only, Lessee shall, during the term of the Lease, self-maintain the Equipment, including Improvements, in accordance with manufacturer recommendations, or engage the services of a maintenance organization (the “Maintenance Organization”) to maintain the Equipment, including Improvements, and provide Lessor upon request with a copy of such maintenance contract as amended or supplemented, if applicable. During the term of the Lease, Lessee shall, at its expense, keep the Equipment, including Improvements, in good working order, repair, appearance and condition and make all necessary adjustments, repairs and replacements, all of which shall become the property of Lessor. Lessee shall not use or permit the use of the Equipment, including Improvements, for any purpose for which, in the opinion of the manufacturer of the Equipment, including Improvements, or Maintenance Organization, the Equipment, including Improvements, is not designed or intended.</w:t>
      </w:r>
    </w:p>
    <w:p>
      <w:pPr>
        <w:spacing w:after="0" w:line="219"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Authorization for Automatic Withdrawals</w:t>
      </w:r>
      <w:r>
        <w:rPr>
          <w:rFonts w:ascii="Arial" w:cs="Arial" w:eastAsia="Arial" w:hAnsi="Arial"/>
          <w:sz w:val="18"/>
          <w:szCs w:val="18"/>
          <w:color w:val="auto"/>
        </w:rPr>
        <w:t>: Lessee hereby authorizes Lessor or its assigns to electronically transfer all rental payments and other sums required to fulfill Lessee’s contractual obligation under the Lease from Lessee’s account maintained with its financial institution, and Lessee agrees to execute and deliver an Authorization Agreement for Automatic Withdrawals to Lessor to effect such transfers. Failure or refusal of Lessee to authorize such transfers or failure of Lessor or its assigns to receive such payments by electronic transfer shall constitute an additional Event of Default under Section 16(a) of the Master Agreement.</w:t>
      </w:r>
    </w:p>
    <w:p>
      <w:pPr>
        <w:spacing w:after="0" w:line="215" w:lineRule="exact"/>
        <w:rPr>
          <w:sz w:val="20"/>
          <w:szCs w:val="20"/>
          <w:color w:val="auto"/>
        </w:rPr>
      </w:pPr>
    </w:p>
    <w:p>
      <w:pPr>
        <w:ind w:left="9880"/>
        <w:spacing w:after="0"/>
        <w:rPr>
          <w:sz w:val="20"/>
          <w:szCs w:val="20"/>
          <w:color w:val="auto"/>
        </w:rPr>
      </w:pPr>
      <w:r>
        <w:rPr>
          <w:rFonts w:ascii="Arial" w:cs="Arial" w:eastAsia="Arial" w:hAnsi="Arial"/>
          <w:sz w:val="16"/>
          <w:szCs w:val="16"/>
          <w:color w:val="auto"/>
        </w:rPr>
        <w:t xml:space="preserve">Lessee Initials: </w:t>
      </w:r>
      <w:r>
        <w:rPr>
          <w:rFonts w:ascii="Arial" w:cs="Arial" w:eastAsia="Arial" w:hAnsi="Arial"/>
          <w:sz w:val="16"/>
          <w:szCs w:val="16"/>
          <w:u w:val="single" w:color="auto"/>
          <w:color w:val="auto"/>
        </w:rPr>
        <w:t>DMD</w:t>
      </w:r>
    </w:p>
    <w:p>
      <w:pPr>
        <w:spacing w:after="0" w:line="275" w:lineRule="exact"/>
        <w:rPr>
          <w:sz w:val="20"/>
          <w:szCs w:val="20"/>
          <w:color w:val="auto"/>
        </w:rPr>
      </w:pPr>
    </w:p>
    <w:p>
      <w:pPr>
        <w:jc w:val="both"/>
        <w:ind w:left="980" w:hanging="324"/>
        <w:spacing w:after="0" w:line="264" w:lineRule="auto"/>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Guaranty</w:t>
      </w:r>
      <w:r>
        <w:rPr>
          <w:rFonts w:ascii="Arial" w:cs="Arial" w:eastAsia="Arial" w:hAnsi="Arial"/>
          <w:sz w:val="18"/>
          <w:szCs w:val="18"/>
          <w:color w:val="auto"/>
        </w:rPr>
        <w:t>: Notwithstanding anything to the contrary herein, the parties acknowledge and agree that this Lease is guaranteed by Stitch Networks Corporation and USAT Capital Corp, LLC as set forth in the Guaranty documents, each dated April 30, 2014, copies of which are attached hereto and incorporated herein.</w:t>
      </w:r>
    </w:p>
    <w:p>
      <w:pPr>
        <w:spacing w:after="0" w:line="208" w:lineRule="exact"/>
        <w:rPr>
          <w:sz w:val="20"/>
          <w:szCs w:val="20"/>
          <w:color w:val="auto"/>
        </w:rPr>
      </w:pPr>
    </w:p>
    <w:p>
      <w:pPr>
        <w:spacing w:after="0"/>
        <w:tabs>
          <w:tab w:leader="none" w:pos="8980" w:val="left"/>
        </w:tabs>
        <w:rPr>
          <w:sz w:val="20"/>
          <w:szCs w:val="20"/>
          <w:color w:val="auto"/>
        </w:rPr>
      </w:pPr>
      <w:r>
        <w:rPr>
          <w:rFonts w:ascii="Arial" w:cs="Arial" w:eastAsia="Arial" w:hAnsi="Arial"/>
          <w:sz w:val="18"/>
          <w:szCs w:val="18"/>
          <w:color w:val="auto"/>
        </w:rPr>
        <w:t xml:space="preserve">Lessor Initials: </w:t>
      </w:r>
      <w:r>
        <w:rPr>
          <w:rFonts w:ascii="Arial" w:cs="Arial" w:eastAsia="Arial" w:hAnsi="Arial"/>
          <w:sz w:val="18"/>
          <w:szCs w:val="18"/>
          <w:u w:val="single" w:color="auto"/>
          <w:color w:val="auto"/>
        </w:rPr>
        <w:t>KP</w:t>
      </w:r>
      <w:r>
        <w:rPr>
          <w:sz w:val="20"/>
          <w:szCs w:val="20"/>
          <w:color w:val="auto"/>
        </w:rPr>
        <w:tab/>
      </w:r>
      <w:r>
        <w:rPr>
          <w:rFonts w:ascii="Arial" w:cs="Arial" w:eastAsia="Arial" w:hAnsi="Arial"/>
          <w:sz w:val="17"/>
          <w:szCs w:val="17"/>
          <w:color w:val="auto"/>
        </w:rPr>
        <w:t xml:space="preserve">Lessee Initials: </w:t>
      </w:r>
      <w:r>
        <w:rPr>
          <w:rFonts w:ascii="Arial" w:cs="Arial" w:eastAsia="Arial" w:hAnsi="Arial"/>
          <w:sz w:val="17"/>
          <w:szCs w:val="17"/>
          <w:u w:val="single" w:color="auto"/>
          <w:color w:val="auto"/>
        </w:rPr>
        <w:t>DMD</w:t>
      </w:r>
    </w:p>
    <w:p>
      <w:pPr>
        <w:spacing w:after="0" w:line="225" w:lineRule="exact"/>
        <w:rPr>
          <w:sz w:val="20"/>
          <w:szCs w:val="20"/>
          <w:color w:val="auto"/>
        </w:rPr>
      </w:pPr>
    </w:p>
    <w:p>
      <w:pPr>
        <w:jc w:val="both"/>
        <w:ind w:left="980" w:hanging="324"/>
        <w:spacing w:after="0" w:line="259" w:lineRule="auto"/>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Sale Leaseback:</w:t>
      </w:r>
      <w:r>
        <w:rPr>
          <w:rFonts w:ascii="Arial" w:cs="Arial" w:eastAsia="Arial" w:hAnsi="Arial"/>
          <w:sz w:val="18"/>
          <w:szCs w:val="18"/>
          <w:color w:val="auto"/>
        </w:rPr>
        <w:t xml:space="preserve"> Notwithstanding anything to the contrary herein, the parties acknowledge and agree that this transaction is structured as a sale leaseback, whereby Lessor shall purchase the equipment from Lessee for purposes of leasing the equipment back to Lessee in accordance with the terms and conditions set forth in the Sale Leaseback Agreement dated April 30, 2014, a copy of which is attached hereto and incorporated herein.</w:t>
      </w:r>
    </w:p>
    <w:p>
      <w:pPr>
        <w:sectPr>
          <w:pgSz w:w="11900" w:h="16838" w:orient="portrait"/>
          <w:cols w:equalWidth="0" w:num="1">
            <w:col w:w="11420"/>
          </w:cols>
          <w:pgMar w:left="240" w:top="922" w:right="239" w:bottom="0" w:gutter="0" w:footer="0" w:header="0"/>
        </w:sectPr>
      </w:pPr>
    </w:p>
    <w:bookmarkStart w:id="184" w:name="page185"/>
    <w:bookmarkEnd w:id="184"/>
    <w:p>
      <w:pPr>
        <w:jc w:val="both"/>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both"/>
        <w:ind w:left="980" w:hanging="324"/>
        <w:spacing w:after="0" w:line="254" w:lineRule="auto"/>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Master Agreement Amendment</w:t>
      </w:r>
      <w:r>
        <w:rPr>
          <w:rFonts w:ascii="Arial" w:cs="Arial" w:eastAsia="Arial" w:hAnsi="Arial"/>
          <w:sz w:val="18"/>
          <w:szCs w:val="18"/>
          <w:color w:val="auto"/>
        </w:rPr>
        <w:t>: For purposes of this Schedule only, the following shall be added as the last sentence of Section 19(b) of the Master Agreement “At the conclusion of option (ii) above and upon Lessee’s payment to Lessor of (i) all unpaid Rental Payments, including any applicable sales tax, (ii) all unpaid property taxes, (iii) all accrued but unbilled property taxes, and (iv) all unpaid late charges, any and all of the Lessor’s and/or any Assignee’s right, title and interest in and to the Equipment shall pass to Lessee, or if the Equipment includes software which is subject to a license, then any and all of Lessor’s or any Assignee’s rights, title, and interests in and to the software shall pass to Lessee, and the Lease shall terminate. At the time of such termination, Lessor shall remove of record any and all UCC financing statements and any other applicable filings and recordings evidencing the Lease”. All other terms and conditions of the Master Agreement shall remain in full force and effect without change.</w:t>
      </w:r>
    </w:p>
    <w:p>
      <w:pPr>
        <w:spacing w:after="0" w:line="219" w:lineRule="exact"/>
        <w:rPr>
          <w:rFonts w:ascii="Arial" w:cs="Arial" w:eastAsia="Arial" w:hAnsi="Arial"/>
          <w:sz w:val="18"/>
          <w:szCs w:val="18"/>
          <w:color w:val="auto"/>
        </w:rPr>
      </w:pPr>
    </w:p>
    <w:p>
      <w:pPr>
        <w:jc w:val="both"/>
        <w:ind w:left="980" w:hanging="324"/>
        <w:spacing w:after="0" w:line="270" w:lineRule="auto"/>
        <w:tabs>
          <w:tab w:leader="none" w:pos="980"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Tax Payment and Indemnification</w:t>
      </w:r>
      <w:r>
        <w:rPr>
          <w:rFonts w:ascii="Arial" w:cs="Arial" w:eastAsia="Arial" w:hAnsi="Arial"/>
          <w:sz w:val="17"/>
          <w:szCs w:val="17"/>
          <w:color w:val="auto"/>
        </w:rPr>
        <w:t>: Notwithstanding anything to the contrary in the Master Agreement, for this Schedule only, during the term of the Lease, Lessee shall pay directly all taxes, fees, and assessments, including, but not limited to, sales, use and property tax, that may be imposed by any taxing authority on the Equipment, on its purchase, ownership, delivery, possession, operation, rental, return to Lessor or its purchase by Lessee (collectively, “Taxes”). Lessee hereby agrees to indemnify and hold Lessor harmless from and against any and all losses incurred by Lessor arising out of Lessee’s absolute and unconditional obligation to remit any and all Taxes directly to the taxing authority as required under the laws of the state where any Item of Equipment is located (“Jurisdiction”), and to provide quarterly and/or annual reports, as applicable, to Lessor verifying that all Taxes have been paid in accordance with the laws of each applicable Jurisdiction. Lessee further agrees to indemnify, defend and hold Lessor harmless from and against any and all demands, claims, costs, expenses, attorney fees or liabilities that may result therefrom or from enforcement of this Indemnification.</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Lessee Initials: </w:t>
      </w:r>
      <w:r>
        <w:rPr>
          <w:rFonts w:ascii="Arial" w:cs="Arial" w:eastAsia="Arial" w:hAnsi="Arial"/>
          <w:sz w:val="18"/>
          <w:szCs w:val="18"/>
          <w:u w:val="single" w:color="auto"/>
          <w:color w:val="auto"/>
        </w:rPr>
        <w:t>DMD</w:t>
      </w:r>
    </w:p>
    <w:p>
      <w:pPr>
        <w:spacing w:after="0" w:line="252" w:lineRule="exact"/>
        <w:rPr>
          <w:sz w:val="20"/>
          <w:szCs w:val="20"/>
          <w:color w:val="auto"/>
        </w:rPr>
      </w:pPr>
    </w:p>
    <w:p>
      <w:pPr>
        <w:jc w:val="both"/>
        <w:ind w:left="980" w:hanging="324"/>
        <w:spacing w:after="0" w:line="291" w:lineRule="auto"/>
        <w:tabs>
          <w:tab w:leader="none" w:pos="980"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Tracking Report</w:t>
      </w:r>
      <w:r>
        <w:rPr>
          <w:rFonts w:ascii="Arial" w:cs="Arial" w:eastAsia="Arial" w:hAnsi="Arial"/>
          <w:sz w:val="16"/>
          <w:szCs w:val="16"/>
          <w:color w:val="auto"/>
        </w:rPr>
        <w:t xml:space="preserve">: Lessee hereby agrees to provide to Lessor, on a quarterly basis or as requested by Lessor, a current location tracking report for all Items of Equipment, in a form satisfactory to Lessor in its sole discretion. </w:t>
      </w:r>
      <w:r>
        <w:rPr>
          <w:rFonts w:ascii="Arial" w:cs="Arial" w:eastAsia="Arial" w:hAnsi="Arial"/>
          <w:sz w:val="16"/>
          <w:szCs w:val="16"/>
          <w:b w:val="1"/>
          <w:bCs w:val="1"/>
          <w:color w:val="auto"/>
        </w:rPr>
        <w:t>FAILURE OF LESSEE TO PROVIDE THE TRACKING</w:t>
      </w:r>
    </w:p>
    <w:p>
      <w:pPr>
        <w:ind w:left="980"/>
        <w:spacing w:after="0"/>
        <w:rPr>
          <w:rFonts w:ascii="Arial" w:cs="Arial" w:eastAsia="Arial" w:hAnsi="Arial"/>
          <w:sz w:val="16"/>
          <w:szCs w:val="16"/>
          <w:color w:val="auto"/>
        </w:rPr>
      </w:pPr>
      <w:r>
        <w:rPr>
          <w:rFonts w:ascii="Arial" w:cs="Arial" w:eastAsia="Arial" w:hAnsi="Arial"/>
          <w:sz w:val="18"/>
          <w:szCs w:val="18"/>
          <w:b w:val="1"/>
          <w:bCs w:val="1"/>
          <w:color w:val="auto"/>
        </w:rPr>
        <w:t>REPORT TO LESSOR AS PROVIDED HEREIN SHALL CONSTITUTE AN EVENT OF DEFAULT UNDER SECTION 16(a)(IV)</w:t>
      </w:r>
    </w:p>
    <w:p>
      <w:pPr>
        <w:spacing w:after="0" w:line="9"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b w:val="1"/>
          <w:bCs w:val="1"/>
          <w:color w:val="auto"/>
        </w:rPr>
        <w:t>OF THE MASTER AGREEMENT</w:t>
      </w:r>
      <w:r>
        <w:rPr>
          <w:rFonts w:ascii="Arial" w:cs="Arial" w:eastAsia="Arial" w:hAnsi="Arial"/>
          <w:sz w:val="18"/>
          <w:szCs w:val="18"/>
          <w:color w:val="auto"/>
        </w:rPr>
        <w:t>.</w:t>
      </w:r>
    </w:p>
    <w:p>
      <w:pPr>
        <w:spacing w:after="0" w:line="237" w:lineRule="exact"/>
        <w:rPr>
          <w:rFonts w:ascii="Arial" w:cs="Arial" w:eastAsia="Arial" w:hAnsi="Arial"/>
          <w:sz w:val="16"/>
          <w:szCs w:val="16"/>
          <w:color w:val="auto"/>
        </w:rPr>
      </w:pPr>
    </w:p>
    <w:p>
      <w:pPr>
        <w:ind w:left="980" w:hanging="324"/>
        <w:spacing w:after="0"/>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Master Agreement Amendment</w:t>
      </w:r>
      <w:r>
        <w:rPr>
          <w:rFonts w:ascii="Arial" w:cs="Arial" w:eastAsia="Arial" w:hAnsi="Arial"/>
          <w:sz w:val="18"/>
          <w:szCs w:val="18"/>
          <w:color w:val="auto"/>
        </w:rPr>
        <w:t>: For this Schedule only, the Master Agreement shall further be amended as follows:</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fourth line of Section 2(a) shall be amended by deleting “calendar quarter” and replacing it with “month”.</w:t>
      </w:r>
    </w:p>
    <w:p>
      <w:pPr>
        <w:spacing w:after="0" w:line="252" w:lineRule="exact"/>
        <w:rPr>
          <w:rFonts w:ascii="Arial" w:cs="Arial" w:eastAsia="Arial" w:hAnsi="Arial"/>
          <w:sz w:val="18"/>
          <w:szCs w:val="18"/>
          <w:color w:val="auto"/>
        </w:rPr>
      </w:pPr>
    </w:p>
    <w:p>
      <w:pPr>
        <w:ind w:left="1620" w:hanging="315"/>
        <w:spacing w:after="0" w:line="277" w:lineRule="auto"/>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Section 3(a) shall be amended by deleting the phrase “from the date such Item was installed” and replacing it with “from the Installation Date”.</w:t>
      </w:r>
    </w:p>
    <w:p>
      <w:pPr>
        <w:spacing w:after="0" w:line="197" w:lineRule="exact"/>
        <w:rPr>
          <w:rFonts w:ascii="Arial" w:cs="Arial" w:eastAsia="Arial" w:hAnsi="Arial"/>
          <w:sz w:val="18"/>
          <w:szCs w:val="18"/>
          <w:color w:val="auto"/>
        </w:rPr>
      </w:pPr>
    </w:p>
    <w:p>
      <w:pPr>
        <w:jc w:val="both"/>
        <w:ind w:left="1620" w:hanging="315"/>
        <w:spacing w:after="0" w:line="272" w:lineRule="auto"/>
        <w:tabs>
          <w:tab w:leader="none" w:pos="162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Section 6(b) of the Master Agreement shall be deleted in its entirety and replaced with the following: “(b) Provided that no Event of Default shall have occurred, Lessee and/or its assigns, agents, customers, or sublesses shall, at all times during the term of the Lease, be entitled to unlimited use and enjoyment of the Equipment. In no event shall the Equipment be moved outside the continental, contiguous United States. Lessee and/or its assigns, customers, agents, or sublesses of the equipment will comply with all laws, regulations, and ordinances, and all applicable requirements of the manufacturer of the Equipment that apply to the physical possession, use, operation, condition, and maintenance of the Equipment. Lessee agrees to obtain, or to require its customers or agents to obtain, all permits and licenses necessary for the operation of the Equipment.”</w:t>
      </w:r>
    </w:p>
    <w:p>
      <w:pPr>
        <w:spacing w:after="0" w:line="204" w:lineRule="exact"/>
        <w:rPr>
          <w:rFonts w:ascii="Arial" w:cs="Arial" w:eastAsia="Arial" w:hAnsi="Arial"/>
          <w:sz w:val="17"/>
          <w:szCs w:val="17"/>
          <w:color w:val="auto"/>
        </w:rPr>
      </w:pPr>
    </w:p>
    <w:p>
      <w:pPr>
        <w:ind w:left="1620" w:right="20" w:hanging="315"/>
        <w:spacing w:after="0" w:line="308" w:lineRule="auto"/>
        <w:tabs>
          <w:tab w:leader="none" w:pos="162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The first sentence of Section 6(c) shall be amended by adding “; provided, however, that the foregoing shall not refer to or include any firmware of Lessee or any other intellectual property of Lessee, including Lessee’s software” before the parenthetical phrase.</w:t>
      </w:r>
    </w:p>
    <w:p>
      <w:pPr>
        <w:spacing w:after="0" w:line="173" w:lineRule="exact"/>
        <w:rPr>
          <w:rFonts w:ascii="Arial" w:cs="Arial" w:eastAsia="Arial" w:hAnsi="Arial"/>
          <w:sz w:val="17"/>
          <w:szCs w:val="17"/>
          <w:color w:val="auto"/>
        </w:rPr>
      </w:pPr>
    </w:p>
    <w:p>
      <w:pPr>
        <w:ind w:left="1620" w:hanging="315"/>
        <w:spacing w:after="0"/>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first sentence of Section 8(a) shall be deleted.</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Section 8(c) shall be amended as follows:</w:t>
      </w:r>
    </w:p>
    <w:p>
      <w:pPr>
        <w:spacing w:after="0" w:line="252" w:lineRule="exact"/>
        <w:rPr>
          <w:rFonts w:ascii="Arial" w:cs="Arial" w:eastAsia="Arial" w:hAnsi="Arial"/>
          <w:sz w:val="18"/>
          <w:szCs w:val="18"/>
          <w:color w:val="auto"/>
        </w:rPr>
      </w:pPr>
    </w:p>
    <w:p>
      <w:pPr>
        <w:jc w:val="both"/>
        <w:ind w:left="2280" w:hanging="165"/>
        <w:spacing w:after="0" w:line="257" w:lineRule="auto"/>
        <w:tabs>
          <w:tab w:leader="none" w:pos="228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 PROVIDED, HOWEVER, THAT LESSEE MAY AND IS HEREBY SPECIFICIALLY AUTHORIZED TO FROM TIME TO TIME OR AT ANY TIME TO, ASSIGN, SUBLET, RENT, OR TRANSFER ITS RIGHTS TO THE EQUIPMENT HEREUNDER TO ANY CUSTOMER OR AGENT PURSUANT TO A LEASE, SUBLEASE, RENTAL, PROCESSING AGREEMENT, OR OTHER SIMILAR AGREEMENT (“CUSTOMER AGREEMENT”)” shall be added after “CONSENT OF LESSOR.”</w:t>
      </w:r>
    </w:p>
    <w:p>
      <w:pPr>
        <w:spacing w:after="0" w:line="215" w:lineRule="exact"/>
        <w:rPr>
          <w:rFonts w:ascii="Arial" w:cs="Arial" w:eastAsia="Arial" w:hAnsi="Arial"/>
          <w:sz w:val="18"/>
          <w:szCs w:val="18"/>
          <w:color w:val="auto"/>
        </w:rPr>
      </w:pPr>
    </w:p>
    <w:p>
      <w:pPr>
        <w:ind w:left="2280" w:hanging="165"/>
        <w:spacing w:after="0" w:line="277" w:lineRule="auto"/>
        <w:tabs>
          <w:tab w:leader="none" w:pos="228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“Lessee grants to Lessor the right of first refusal on any sublease or other grant of Lessee’s rights to the Equipment.” shall be deleted.</w:t>
      </w:r>
    </w:p>
    <w:p>
      <w:pPr>
        <w:spacing w:after="0" w:line="197" w:lineRule="exact"/>
        <w:rPr>
          <w:rFonts w:ascii="Arial" w:cs="Arial" w:eastAsia="Arial" w:hAnsi="Arial"/>
          <w:sz w:val="18"/>
          <w:szCs w:val="18"/>
          <w:color w:val="auto"/>
        </w:rPr>
      </w:pPr>
    </w:p>
    <w:p>
      <w:pPr>
        <w:ind w:left="1620" w:hanging="315"/>
        <w:spacing w:after="0"/>
        <w:tabs>
          <w:tab w:leader="none" w:pos="16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Section 11 shall be deleted in its entirety and replaced with the following:</w:t>
      </w: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11. QUIET ENJOYMENT.</w:t>
      </w:r>
      <w:r>
        <w:rPr>
          <w:rFonts w:ascii="Arial" w:cs="Arial" w:eastAsia="Arial" w:hAnsi="Arial"/>
          <w:sz w:val="17"/>
          <w:szCs w:val="17"/>
          <w:color w:val="auto"/>
        </w:rPr>
        <w:t xml:space="preserve"> Lessor and /or any Assignee covenants that so long as Lessee is not in default under a Lease, Lessor</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ind w:left="260"/>
              <w:spacing w:after="0"/>
              <w:rPr>
                <w:sz w:val="20"/>
                <w:szCs w:val="20"/>
                <w:color w:val="auto"/>
              </w:rPr>
            </w:pPr>
            <w:r>
              <w:rPr>
                <w:rFonts w:ascii="Arial" w:cs="Arial" w:eastAsia="Arial" w:hAnsi="Arial"/>
                <w:sz w:val="18"/>
                <w:szCs w:val="18"/>
                <w:color w:val="auto"/>
                <w:w w:val="91"/>
              </w:rPr>
              <w:t>and/or any Assignee shall</w:t>
            </w:r>
          </w:p>
        </w:tc>
        <w:tc>
          <w:tcPr>
            <w:tcW w:w="7080" w:type="dxa"/>
            <w:vAlign w:val="bottom"/>
            <w:gridSpan w:val="2"/>
          </w:tcPr>
          <w:p>
            <w:pPr>
              <w:ind w:left="60"/>
              <w:spacing w:after="0"/>
              <w:rPr>
                <w:sz w:val="20"/>
                <w:szCs w:val="20"/>
                <w:color w:val="auto"/>
              </w:rPr>
            </w:pPr>
            <w:r>
              <w:rPr>
                <w:rFonts w:ascii="Arial" w:cs="Arial" w:eastAsia="Arial" w:hAnsi="Arial"/>
                <w:sz w:val="18"/>
                <w:szCs w:val="18"/>
                <w:color w:val="auto"/>
                <w:w w:val="94"/>
              </w:rPr>
              <w:t>take no action to interfere with Lessee’s assignment, rental, enjoyment, sublease, transfer, or</w:t>
            </w:r>
          </w:p>
        </w:tc>
      </w:tr>
      <w:tr>
        <w:trPr>
          <w:trHeight w:val="404"/>
        </w:trPr>
        <w:tc>
          <w:tcPr>
            <w:tcW w:w="3520" w:type="dxa"/>
            <w:vAlign w:val="bottom"/>
            <w:gridSpan w:val="3"/>
          </w:tcPr>
          <w:p>
            <w:pPr>
              <w:spacing w:after="0"/>
              <w:rPr>
                <w:sz w:val="20"/>
                <w:szCs w:val="20"/>
                <w:color w:val="auto"/>
              </w:rPr>
            </w:pPr>
            <w:r>
              <w:rPr>
                <w:rFonts w:ascii="Arial" w:cs="Arial" w:eastAsia="Arial" w:hAnsi="Arial"/>
                <w:sz w:val="18"/>
                <w:szCs w:val="18"/>
                <w:color w:val="auto"/>
              </w:rPr>
              <w:t>Lessor Initials: KP</w:t>
            </w:r>
          </w:p>
        </w:tc>
        <w:tc>
          <w:tcPr>
            <w:tcW w:w="7080" w:type="dxa"/>
            <w:vAlign w:val="bottom"/>
            <w:gridSpan w:val="2"/>
          </w:tcPr>
          <w:p>
            <w:pPr>
              <w:ind w:left="5540"/>
              <w:spacing w:after="0"/>
              <w:rPr>
                <w:sz w:val="20"/>
                <w:szCs w:val="20"/>
                <w:color w:val="auto"/>
              </w:rPr>
            </w:pPr>
            <w:r>
              <w:rPr>
                <w:rFonts w:ascii="Arial" w:cs="Arial" w:eastAsia="Arial" w:hAnsi="Arial"/>
                <w:sz w:val="18"/>
                <w:szCs w:val="18"/>
                <w:color w:val="auto"/>
                <w:w w:val="92"/>
              </w:rPr>
              <w:t>Lessee Initials: DMD</w:t>
            </w:r>
          </w:p>
        </w:tc>
      </w:tr>
      <w:tr>
        <w:trPr>
          <w:trHeight w:val="20"/>
        </w:trPr>
        <w:tc>
          <w:tcPr>
            <w:tcW w:w="1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p>
      <w:pPr>
        <w:ind w:left="1620"/>
        <w:spacing w:after="0" w:line="277" w:lineRule="auto"/>
        <w:rPr>
          <w:sz w:val="20"/>
          <w:szCs w:val="20"/>
          <w:color w:val="auto"/>
        </w:rPr>
      </w:pPr>
      <w:r>
        <w:rPr>
          <w:rFonts w:ascii="Arial" w:cs="Arial" w:eastAsia="Arial" w:hAnsi="Arial"/>
          <w:sz w:val="18"/>
          <w:szCs w:val="18"/>
          <w:color w:val="auto"/>
        </w:rPr>
        <w:t>other unlimited possession and use of the Equipment or interfere with a Customer Agreement, subject to and in accordance with the provisions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855" w:gutter="0" w:footer="0" w:header="0"/>
        </w:sectPr>
      </w:pPr>
    </w:p>
    <w:bookmarkStart w:id="186" w:name="page187"/>
    <w:bookmarkEnd w:id="186"/>
    <w:p>
      <w:pPr>
        <w:ind w:left="1620" w:hanging="315"/>
        <w:spacing w:after="0"/>
        <w:tabs>
          <w:tab w:leader="none" w:pos="162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following phrase shall be deleted from Section 15(a)(iii) “and in any jurisdiction in which any of the Equipment is located”.</w:t>
      </w:r>
    </w:p>
    <w:p>
      <w:pPr>
        <w:spacing w:after="0" w:line="263" w:lineRule="exact"/>
        <w:rPr>
          <w:rFonts w:ascii="Arial" w:cs="Arial" w:eastAsia="Arial" w:hAnsi="Arial"/>
          <w:sz w:val="17"/>
          <w:szCs w:val="17"/>
          <w:color w:val="auto"/>
        </w:rPr>
      </w:pPr>
    </w:p>
    <w:p>
      <w:pPr>
        <w:ind w:left="1620" w:hanging="315"/>
        <w:spacing w:after="0"/>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Section 16(a)(ii) shall be amended by deleting “remove,”.</w:t>
      </w:r>
    </w:p>
    <w:p>
      <w:pPr>
        <w:spacing w:after="0" w:line="252" w:lineRule="exact"/>
        <w:rPr>
          <w:rFonts w:ascii="Arial" w:cs="Arial" w:eastAsia="Arial" w:hAnsi="Arial"/>
          <w:sz w:val="18"/>
          <w:szCs w:val="18"/>
          <w:color w:val="auto"/>
        </w:rPr>
      </w:pPr>
    </w:p>
    <w:p>
      <w:pPr>
        <w:ind w:left="1620" w:hanging="315"/>
        <w:spacing w:after="0" w:line="277" w:lineRule="auto"/>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Section 19(g) shall be amended by deleting “, and, upon Lessor’s request, Lessee shall secure from its mortgagee, landlord or owner of the premises a waiver in form and substance reasonably satisfactory to Lessor”.</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 other terms and conditions of the Master Agreement shall remain in full force and effect without change.</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Lessee’s execution and delivery of this Schedule shall constitute its offer to lease the Equipment described herein upon the terms and conditions set forth herein. Lessor’s subsequent execution of this Schedule in Michigan and delivery to Lessee shall constitute its acceptance of the Lease. The Lease shall be deemed made in Michigan.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anything herein or in the Master Agreement to the contrary, Lessee acknowledges and agrees, that Lessor shall be entitled to claim for federal income tax purposes, without limitation, all benefits, credits and deductions related to the Equipment.</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undersigned Lessee acknowledges that this Schedule authorizes the Lessor or its agents or assignee(s) to sign, execute and file on its behalf any and all necessary documents, including UCC financing statements and other filings and recordings, to make public this lease transaction. The parties intend this transaction to be a true lease, but if any court or tribunal, having power to bind the parties, should conclude that all or part of this Schedule is not a true lease but is in the nature of a sale, consignment, or other transaction, the parties intend and the Lessee hereby grants a continuing security interest in the Equipment from the date of this Schedule to secure the payment of all Lessee’s indebtedness to Lessor. In the event serial numbers for Items are unavailable upon execution hereof, Lessee authorizes Lessor to amend this Schedule by inserting correct serial numbers with respect to those Items.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SCHEDULE TOGETHER WITH THE MASTER AGREEMENT AND ANY ADDITIONAL PROVISION(S) REFERRED TO IN ITEM 10 CONSTITUTE THE ENTIRE AGREEMENT BETWEEN THE LESSOR AND LESSEE AS TO THE LEASE AND THE EQUIPMENT.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LESSOR:</w:t>
            </w:r>
          </w:p>
        </w:tc>
        <w:tc>
          <w:tcPr>
            <w:tcW w:w="7460" w:type="dxa"/>
            <w:vAlign w:val="bottom"/>
            <w:gridSpan w:val="3"/>
          </w:tcPr>
          <w:p>
            <w:pPr>
              <w:ind w:left="1720"/>
              <w:spacing w:after="0"/>
              <w:rPr>
                <w:sz w:val="20"/>
                <w:szCs w:val="20"/>
                <w:color w:val="auto"/>
              </w:rPr>
            </w:pPr>
            <w:r>
              <w:rPr>
                <w:rFonts w:ascii="Arial" w:cs="Arial" w:eastAsia="Arial" w:hAnsi="Arial"/>
                <w:sz w:val="18"/>
                <w:szCs w:val="18"/>
                <w:color w:val="auto"/>
              </w:rPr>
              <w:t>LESSEE:</w:t>
            </w:r>
          </w:p>
        </w:tc>
      </w:tr>
      <w:tr>
        <w:trPr>
          <w:trHeight w:val="230"/>
        </w:trPr>
        <w:tc>
          <w:tcPr>
            <w:tcW w:w="3960" w:type="dxa"/>
            <w:vAlign w:val="bottom"/>
            <w:gridSpan w:val="3"/>
          </w:tcPr>
          <w:p>
            <w:pPr>
              <w:spacing w:after="0"/>
              <w:rPr>
                <w:sz w:val="20"/>
                <w:szCs w:val="20"/>
                <w:color w:val="auto"/>
              </w:rPr>
            </w:pPr>
            <w:r>
              <w:rPr>
                <w:rFonts w:ascii="Arial" w:cs="Arial" w:eastAsia="Arial" w:hAnsi="Arial"/>
                <w:sz w:val="18"/>
                <w:szCs w:val="18"/>
                <w:color w:val="auto"/>
              </w:rPr>
              <w:t>VARILEASE FINANCE, INC.</w:t>
            </w:r>
          </w:p>
        </w:tc>
        <w:tc>
          <w:tcPr>
            <w:tcW w:w="7460" w:type="dxa"/>
            <w:vAlign w:val="bottom"/>
            <w:gridSpan w:val="3"/>
          </w:tcPr>
          <w:p>
            <w:pPr>
              <w:ind w:left="1720"/>
              <w:spacing w:after="0"/>
              <w:rPr>
                <w:sz w:val="20"/>
                <w:szCs w:val="20"/>
                <w:color w:val="auto"/>
              </w:rPr>
            </w:pPr>
            <w:r>
              <w:rPr>
                <w:rFonts w:ascii="Arial" w:cs="Arial" w:eastAsia="Arial" w:hAnsi="Arial"/>
                <w:sz w:val="18"/>
                <w:szCs w:val="18"/>
                <w:color w:val="auto"/>
              </w:rPr>
              <w:t>USA TECHNOLOGIES, INC.</w:t>
            </w:r>
          </w:p>
        </w:tc>
      </w:tr>
      <w:tr>
        <w:trPr>
          <w:trHeight w:val="432"/>
        </w:trPr>
        <w:tc>
          <w:tcPr>
            <w:tcW w:w="3960" w:type="dxa"/>
            <w:vAlign w:val="bottom"/>
            <w:gridSpan w:val="3"/>
          </w:tcPr>
          <w:p>
            <w:pPr>
              <w:spacing w:after="0"/>
              <w:rPr>
                <w:sz w:val="20"/>
                <w:szCs w:val="20"/>
                <w:color w:val="auto"/>
              </w:rPr>
            </w:pPr>
            <w:r>
              <w:rPr>
                <w:rFonts w:ascii="Arial" w:cs="Arial" w:eastAsia="Arial" w:hAnsi="Arial"/>
                <w:sz w:val="18"/>
                <w:szCs w:val="18"/>
                <w:color w:val="auto"/>
              </w:rPr>
              <w:t>By: /s/ Kristy Phillips</w:t>
            </w:r>
          </w:p>
        </w:tc>
        <w:tc>
          <w:tcPr>
            <w:tcW w:w="7460" w:type="dxa"/>
            <w:vAlign w:val="bottom"/>
            <w:gridSpan w:val="3"/>
          </w:tcPr>
          <w:p>
            <w:pPr>
              <w:ind w:left="1720"/>
              <w:spacing w:after="0"/>
              <w:rPr>
                <w:sz w:val="20"/>
                <w:szCs w:val="20"/>
                <w:color w:val="auto"/>
              </w:rPr>
            </w:pPr>
            <w:r>
              <w:rPr>
                <w:rFonts w:ascii="Arial" w:cs="Arial" w:eastAsia="Arial" w:hAnsi="Arial"/>
                <w:sz w:val="18"/>
                <w:szCs w:val="18"/>
                <w:color w:val="auto"/>
              </w:rPr>
              <w:t>By: /s/ David M. DeMedio</w:t>
            </w:r>
          </w:p>
        </w:tc>
      </w:tr>
      <w:tr>
        <w:trPr>
          <w:trHeight w:val="27"/>
        </w:trPr>
        <w:tc>
          <w:tcPr>
            <w:tcW w:w="3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3760" w:type="dxa"/>
            <w:vAlign w:val="bottom"/>
          </w:tcPr>
          <w:p>
            <w:pPr>
              <w:spacing w:after="0"/>
              <w:rPr>
                <w:sz w:val="2"/>
                <w:szCs w:val="2"/>
                <w:color w:val="auto"/>
              </w:rPr>
            </w:pPr>
          </w:p>
        </w:tc>
      </w:tr>
      <w:tr>
        <w:trPr>
          <w:trHeight w:val="202"/>
        </w:trPr>
        <w:tc>
          <w:tcPr>
            <w:tcW w:w="1600" w:type="dxa"/>
            <w:vAlign w:val="bottom"/>
            <w:gridSpan w:val="2"/>
          </w:tcPr>
          <w:p>
            <w:pPr>
              <w:spacing w:after="0" w:line="201" w:lineRule="exact"/>
              <w:rPr>
                <w:sz w:val="20"/>
                <w:szCs w:val="20"/>
                <w:color w:val="auto"/>
              </w:rPr>
            </w:pPr>
            <w:r>
              <w:rPr>
                <w:rFonts w:ascii="Arial" w:cs="Arial" w:eastAsia="Arial" w:hAnsi="Arial"/>
                <w:sz w:val="18"/>
                <w:szCs w:val="18"/>
                <w:color w:val="auto"/>
                <w:w w:val="95"/>
              </w:rPr>
              <w:t>Name: Kristy Phillips</w:t>
            </w:r>
          </w:p>
        </w:tc>
        <w:tc>
          <w:tcPr>
            <w:tcW w:w="2360" w:type="dxa"/>
            <w:vAlign w:val="bottom"/>
          </w:tcPr>
          <w:p>
            <w:pPr>
              <w:spacing w:after="0"/>
              <w:rPr>
                <w:sz w:val="17"/>
                <w:szCs w:val="17"/>
                <w:color w:val="auto"/>
              </w:rPr>
            </w:pPr>
          </w:p>
        </w:tc>
        <w:tc>
          <w:tcPr>
            <w:tcW w:w="7460" w:type="dxa"/>
            <w:vAlign w:val="bottom"/>
            <w:gridSpan w:val="3"/>
          </w:tcPr>
          <w:p>
            <w:pPr>
              <w:ind w:left="1720"/>
              <w:spacing w:after="0" w:line="201" w:lineRule="exact"/>
              <w:rPr>
                <w:sz w:val="20"/>
                <w:szCs w:val="20"/>
                <w:color w:val="auto"/>
              </w:rPr>
            </w:pPr>
            <w:r>
              <w:rPr>
                <w:rFonts w:ascii="Arial" w:cs="Arial" w:eastAsia="Arial" w:hAnsi="Arial"/>
                <w:sz w:val="18"/>
                <w:szCs w:val="18"/>
                <w:color w:val="auto"/>
              </w:rPr>
              <w:t>Name: David M. DeMedio</w:t>
            </w:r>
          </w:p>
        </w:tc>
      </w:tr>
      <w:tr>
        <w:trPr>
          <w:trHeight w:val="230"/>
        </w:trPr>
        <w:tc>
          <w:tcPr>
            <w:tcW w:w="3960" w:type="dxa"/>
            <w:vAlign w:val="bottom"/>
            <w:gridSpan w:val="3"/>
          </w:tcPr>
          <w:p>
            <w:pPr>
              <w:spacing w:after="0"/>
              <w:rPr>
                <w:sz w:val="20"/>
                <w:szCs w:val="20"/>
                <w:color w:val="auto"/>
              </w:rPr>
            </w:pPr>
            <w:r>
              <w:rPr>
                <w:rFonts w:ascii="Arial" w:cs="Arial" w:eastAsia="Arial" w:hAnsi="Arial"/>
                <w:sz w:val="18"/>
                <w:szCs w:val="18"/>
                <w:color w:val="auto"/>
              </w:rPr>
              <w:t>Title: Vice President</w:t>
            </w:r>
          </w:p>
        </w:tc>
        <w:tc>
          <w:tcPr>
            <w:tcW w:w="7460" w:type="dxa"/>
            <w:vAlign w:val="bottom"/>
            <w:gridSpan w:val="3"/>
          </w:tcPr>
          <w:p>
            <w:pPr>
              <w:ind w:left="1720"/>
              <w:spacing w:after="0"/>
              <w:rPr>
                <w:sz w:val="20"/>
                <w:szCs w:val="20"/>
                <w:color w:val="auto"/>
              </w:rPr>
            </w:pPr>
            <w:r>
              <w:rPr>
                <w:rFonts w:ascii="Arial" w:cs="Arial" w:eastAsia="Arial" w:hAnsi="Arial"/>
                <w:sz w:val="18"/>
                <w:szCs w:val="18"/>
                <w:color w:val="auto"/>
              </w:rPr>
              <w:t>Title: CFO</w:t>
            </w:r>
          </w:p>
        </w:tc>
      </w:tr>
      <w:tr>
        <w:trPr>
          <w:trHeight w:val="675"/>
        </w:trPr>
        <w:tc>
          <w:tcPr>
            <w:tcW w:w="340" w:type="dxa"/>
            <w:vAlign w:val="bottom"/>
            <w:tcBorders>
              <w:bottom w:val="single" w:sz="8" w:color="DCDCDC"/>
            </w:tcBorders>
          </w:tcPr>
          <w:p>
            <w:pPr>
              <w:spacing w:after="0"/>
              <w:rPr>
                <w:sz w:val="24"/>
                <w:szCs w:val="24"/>
                <w:color w:val="auto"/>
              </w:rPr>
            </w:pPr>
          </w:p>
        </w:tc>
        <w:tc>
          <w:tcPr>
            <w:tcW w:w="1260" w:type="dxa"/>
            <w:vAlign w:val="bottom"/>
            <w:tcBorders>
              <w:bottom w:val="single" w:sz="8" w:color="DCDCDC"/>
            </w:tcBorders>
          </w:tcPr>
          <w:p>
            <w:pPr>
              <w:spacing w:after="0"/>
              <w:rPr>
                <w:sz w:val="24"/>
                <w:szCs w:val="24"/>
                <w:color w:val="auto"/>
              </w:rPr>
            </w:pPr>
          </w:p>
        </w:tc>
        <w:tc>
          <w:tcPr>
            <w:tcW w:w="2360" w:type="dxa"/>
            <w:vAlign w:val="bottom"/>
            <w:tcBorders>
              <w:bottom w:val="single" w:sz="8" w:color="DCDCDC"/>
            </w:tcBorders>
          </w:tcPr>
          <w:p>
            <w:pPr>
              <w:spacing w:after="0"/>
              <w:rPr>
                <w:sz w:val="24"/>
                <w:szCs w:val="24"/>
                <w:color w:val="auto"/>
              </w:rPr>
            </w:pPr>
          </w:p>
        </w:tc>
        <w:tc>
          <w:tcPr>
            <w:tcW w:w="2060" w:type="dxa"/>
            <w:vAlign w:val="bottom"/>
            <w:tcBorders>
              <w:bottom w:val="single" w:sz="8" w:color="DCDCDC"/>
            </w:tcBorders>
          </w:tcPr>
          <w:p>
            <w:pPr>
              <w:spacing w:after="0"/>
              <w:rPr>
                <w:sz w:val="24"/>
                <w:szCs w:val="24"/>
                <w:color w:val="auto"/>
              </w:rPr>
            </w:pPr>
          </w:p>
        </w:tc>
        <w:tc>
          <w:tcPr>
            <w:tcW w:w="1640" w:type="dxa"/>
            <w:vAlign w:val="bottom"/>
            <w:tcBorders>
              <w:bottom w:val="single" w:sz="8" w:color="DCDCDC"/>
            </w:tcBorders>
          </w:tcPr>
          <w:p>
            <w:pPr>
              <w:spacing w:after="0"/>
              <w:rPr>
                <w:sz w:val="24"/>
                <w:szCs w:val="24"/>
                <w:color w:val="auto"/>
              </w:rPr>
            </w:pPr>
          </w:p>
        </w:tc>
        <w:tc>
          <w:tcPr>
            <w:tcW w:w="37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22" w:right="239" w:bottom="1440" w:gutter="0" w:footer="0" w:header="0"/>
        </w:sectPr>
      </w:pPr>
    </w:p>
    <w:bookmarkStart w:id="187" w:name="page188"/>
    <w:bookmarkEnd w:id="18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60" w:type="dxa"/>
            <w:vAlign w:val="bottom"/>
          </w:tcPr>
          <w:p>
            <w:pPr>
              <w:ind w:left="740"/>
              <w:spacing w:after="0"/>
              <w:rPr>
                <w:sz w:val="20"/>
                <w:szCs w:val="20"/>
                <w:color w:val="auto"/>
              </w:rPr>
            </w:pPr>
            <w:r>
              <w:rPr>
                <w:rFonts w:ascii="Arial" w:cs="Arial" w:eastAsia="Arial" w:hAnsi="Arial"/>
                <w:sz w:val="18"/>
                <w:szCs w:val="18"/>
                <w:b w:val="1"/>
                <w:bCs w:val="1"/>
                <w:color w:val="auto"/>
              </w:rPr>
              <w:t>EXHIBIT A</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18"/>
                <w:szCs w:val="18"/>
                <w:b w:val="1"/>
                <w:bCs w:val="1"/>
                <w:color w:val="auto"/>
              </w:rPr>
              <w:t>Lessee:</w:t>
            </w: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USA Technologies, Inc.</w:t>
            </w:r>
          </w:p>
        </w:tc>
        <w:tc>
          <w:tcPr>
            <w:tcW w:w="6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1740" w:type="dxa"/>
            <w:vAlign w:val="bottom"/>
          </w:tcPr>
          <w:p>
            <w:pPr>
              <w:ind w:left="120"/>
              <w:spacing w:after="0"/>
              <w:rPr>
                <w:sz w:val="20"/>
                <w:szCs w:val="20"/>
                <w:color w:val="auto"/>
              </w:rPr>
            </w:pPr>
            <w:r>
              <w:rPr>
                <w:rFonts w:ascii="Arial" w:cs="Arial" w:eastAsia="Arial" w:hAnsi="Arial"/>
                <w:sz w:val="18"/>
                <w:szCs w:val="18"/>
                <w:b w:val="1"/>
                <w:bCs w:val="1"/>
                <w:color w:val="auto"/>
              </w:rPr>
              <w:t>ML dated:</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w w:val="97"/>
              </w:rPr>
              <w:t>April 30, 2014</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1740" w:type="dxa"/>
            <w:vAlign w:val="bottom"/>
          </w:tcPr>
          <w:p>
            <w:pPr>
              <w:ind w:left="120"/>
              <w:spacing w:after="0"/>
              <w:rPr>
                <w:sz w:val="20"/>
                <w:szCs w:val="20"/>
                <w:color w:val="auto"/>
              </w:rPr>
            </w:pPr>
            <w:r>
              <w:rPr>
                <w:rFonts w:ascii="Arial" w:cs="Arial" w:eastAsia="Arial" w:hAnsi="Arial"/>
                <w:sz w:val="18"/>
                <w:szCs w:val="18"/>
                <w:b w:val="1"/>
                <w:bCs w:val="1"/>
                <w:color w:val="auto"/>
              </w:rPr>
              <w:t>Schedule No.:</w:t>
            </w:r>
          </w:p>
        </w:tc>
        <w:tc>
          <w:tcPr>
            <w:tcW w:w="1160" w:type="dxa"/>
            <w:vAlign w:val="bottom"/>
          </w:tcPr>
          <w:p>
            <w:pPr>
              <w:ind w:left="120"/>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89"/>
              </w:rPr>
              <w:t>$ 1,493,190.38</w:t>
            </w:r>
          </w:p>
        </w:tc>
      </w:tr>
      <w:tr>
        <w:trPr>
          <w:trHeight w:val="439"/>
        </w:trPr>
        <w:tc>
          <w:tcPr>
            <w:tcW w:w="17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Location:</w:t>
            </w:r>
          </w:p>
        </w:tc>
        <w:tc>
          <w:tcPr>
            <w:tcW w:w="572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color w:val="auto"/>
              </w:rPr>
              <w:t>Headquartered at 100 Deerfield Lane, Suite 140, Malvern, PA 19355</w:t>
            </w: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98"/>
        </w:trPr>
        <w:tc>
          <w:tcPr>
            <w:tcW w:w="1740" w:type="dxa"/>
            <w:vAlign w:val="bottom"/>
            <w:tcBorders>
              <w:left w:val="single" w:sz="8" w:color="auto"/>
              <w:right w:val="single" w:sz="8" w:color="auto"/>
            </w:tcBorders>
          </w:tcPr>
          <w:p>
            <w:pPr>
              <w:ind w:left="120"/>
              <w:spacing w:after="0" w:line="198" w:lineRule="exact"/>
              <w:rPr>
                <w:sz w:val="20"/>
                <w:szCs w:val="20"/>
                <w:color w:val="auto"/>
              </w:rPr>
            </w:pPr>
            <w:r>
              <w:rPr>
                <w:rFonts w:ascii="Arial" w:cs="Arial" w:eastAsia="Arial" w:hAnsi="Arial"/>
                <w:sz w:val="18"/>
                <w:szCs w:val="18"/>
                <w:b w:val="1"/>
                <w:bCs w:val="1"/>
                <w:color w:val="auto"/>
              </w:rPr>
              <w:t>Vendor</w:t>
            </w:r>
          </w:p>
        </w:tc>
        <w:tc>
          <w:tcPr>
            <w:tcW w:w="1160" w:type="dxa"/>
            <w:vAlign w:val="bottom"/>
            <w:tcBorders>
              <w:right w:val="single" w:sz="8" w:color="auto"/>
            </w:tcBorders>
          </w:tcPr>
          <w:p>
            <w:pPr>
              <w:ind w:left="120"/>
              <w:spacing w:after="0" w:line="198" w:lineRule="exact"/>
              <w:rPr>
                <w:sz w:val="20"/>
                <w:szCs w:val="20"/>
                <w:color w:val="auto"/>
              </w:rPr>
            </w:pPr>
            <w:r>
              <w:rPr>
                <w:rFonts w:ascii="Arial" w:cs="Arial" w:eastAsia="Arial" w:hAnsi="Arial"/>
                <w:sz w:val="18"/>
                <w:szCs w:val="18"/>
                <w:b w:val="1"/>
                <w:bCs w:val="1"/>
                <w:color w:val="auto"/>
              </w:rPr>
              <w:t>Invoice No.</w:t>
            </w:r>
          </w:p>
        </w:tc>
        <w:tc>
          <w:tcPr>
            <w:tcW w:w="60" w:type="dxa"/>
            <w:vAlign w:val="bottom"/>
          </w:tcPr>
          <w:p>
            <w:pPr>
              <w:spacing w:after="0"/>
              <w:rPr>
                <w:sz w:val="17"/>
                <w:szCs w:val="17"/>
                <w:color w:val="auto"/>
              </w:rPr>
            </w:pPr>
          </w:p>
        </w:tc>
        <w:tc>
          <w:tcPr>
            <w:tcW w:w="880" w:type="dxa"/>
            <w:vAlign w:val="bottom"/>
            <w:tcBorders>
              <w:right w:val="single" w:sz="8" w:color="auto"/>
            </w:tcBorders>
          </w:tcPr>
          <w:p>
            <w:pPr>
              <w:ind w:left="60"/>
              <w:spacing w:after="0" w:line="198" w:lineRule="exact"/>
              <w:rPr>
                <w:sz w:val="20"/>
                <w:szCs w:val="20"/>
                <w:color w:val="auto"/>
              </w:rPr>
            </w:pPr>
            <w:r>
              <w:rPr>
                <w:rFonts w:ascii="Arial" w:cs="Arial" w:eastAsia="Arial" w:hAnsi="Arial"/>
                <w:sz w:val="18"/>
                <w:szCs w:val="18"/>
                <w:b w:val="1"/>
                <w:bCs w:val="1"/>
                <w:color w:val="auto"/>
              </w:rPr>
              <w:t>Auth</w:t>
            </w:r>
          </w:p>
        </w:tc>
        <w:tc>
          <w:tcPr>
            <w:tcW w:w="6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b w:val="1"/>
                <w:bCs w:val="1"/>
                <w:color w:val="auto"/>
              </w:rPr>
              <w:t>Qty</w:t>
            </w:r>
          </w:p>
        </w:tc>
        <w:tc>
          <w:tcPr>
            <w:tcW w:w="2960" w:type="dxa"/>
            <w:vAlign w:val="bottom"/>
            <w:tcBorders>
              <w:right w:val="single" w:sz="8" w:color="auto"/>
            </w:tcBorders>
          </w:tcPr>
          <w:p>
            <w:pPr>
              <w:ind w:left="120"/>
              <w:spacing w:after="0" w:line="198" w:lineRule="exact"/>
              <w:rPr>
                <w:sz w:val="20"/>
                <w:szCs w:val="20"/>
                <w:color w:val="auto"/>
              </w:rPr>
            </w:pPr>
            <w:r>
              <w:rPr>
                <w:rFonts w:ascii="Arial" w:cs="Arial" w:eastAsia="Arial" w:hAnsi="Arial"/>
                <w:sz w:val="18"/>
                <w:szCs w:val="18"/>
                <w:b w:val="1"/>
                <w:bCs w:val="1"/>
                <w:color w:val="auto"/>
              </w:rPr>
              <w:t>Description</w:t>
            </w:r>
          </w:p>
        </w:tc>
        <w:tc>
          <w:tcPr>
            <w:tcW w:w="1480" w:type="dxa"/>
            <w:vAlign w:val="bottom"/>
            <w:tcBorders>
              <w:right w:val="single" w:sz="8" w:color="auto"/>
            </w:tcBorders>
          </w:tcPr>
          <w:p>
            <w:pPr>
              <w:ind w:left="120"/>
              <w:spacing w:after="0" w:line="198" w:lineRule="exact"/>
              <w:rPr>
                <w:sz w:val="20"/>
                <w:szCs w:val="20"/>
                <w:color w:val="auto"/>
              </w:rPr>
            </w:pPr>
            <w:r>
              <w:rPr>
                <w:rFonts w:ascii="Arial" w:cs="Arial" w:eastAsia="Arial" w:hAnsi="Arial"/>
                <w:sz w:val="18"/>
                <w:szCs w:val="18"/>
                <w:b w:val="1"/>
                <w:bCs w:val="1"/>
                <w:color w:val="auto"/>
              </w:rPr>
              <w:t>Serial No.</w:t>
            </w:r>
          </w:p>
        </w:tc>
        <w:tc>
          <w:tcPr>
            <w:tcW w:w="1120" w:type="dxa"/>
            <w:vAlign w:val="bottom"/>
            <w:tcBorders>
              <w:right w:val="single" w:sz="8" w:color="auto"/>
            </w:tcBorders>
            <w:gridSpan w:val="2"/>
          </w:tcPr>
          <w:p>
            <w:pPr>
              <w:ind w:left="140"/>
              <w:spacing w:after="0" w:line="198" w:lineRule="exact"/>
              <w:rPr>
                <w:sz w:val="20"/>
                <w:szCs w:val="20"/>
                <w:color w:val="auto"/>
              </w:rPr>
            </w:pPr>
            <w:r>
              <w:rPr>
                <w:rFonts w:ascii="Arial" w:cs="Arial" w:eastAsia="Arial" w:hAnsi="Arial"/>
                <w:sz w:val="18"/>
                <w:szCs w:val="18"/>
                <w:b w:val="1"/>
                <w:bCs w:val="1"/>
                <w:color w:val="auto"/>
              </w:rPr>
              <w:t>Cost per</w:t>
            </w:r>
          </w:p>
        </w:tc>
        <w:tc>
          <w:tcPr>
            <w:tcW w:w="1360" w:type="dxa"/>
            <w:vAlign w:val="bottom"/>
            <w:tcBorders>
              <w:right w:val="single" w:sz="8" w:color="auto"/>
            </w:tcBorders>
            <w:gridSpan w:val="2"/>
          </w:tcPr>
          <w:p>
            <w:pPr>
              <w:ind w:left="160"/>
              <w:spacing w:after="0" w:line="198" w:lineRule="exact"/>
              <w:rPr>
                <w:sz w:val="20"/>
                <w:szCs w:val="20"/>
                <w:color w:val="auto"/>
              </w:rPr>
            </w:pPr>
            <w:r>
              <w:rPr>
                <w:rFonts w:ascii="Arial" w:cs="Arial" w:eastAsia="Arial" w:hAnsi="Arial"/>
                <w:sz w:val="18"/>
                <w:szCs w:val="18"/>
                <w:b w:val="1"/>
                <w:bCs w:val="1"/>
                <w:color w:val="auto"/>
              </w:rPr>
              <w:t>Total</w:t>
            </w:r>
          </w:p>
        </w:tc>
      </w:tr>
      <w:tr>
        <w:trPr>
          <w:trHeight w:val="241"/>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No.</w:t>
            </w:r>
          </w:p>
        </w:tc>
        <w:tc>
          <w:tcPr>
            <w:tcW w:w="66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Item</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r>
      <w:tr>
        <w:trPr>
          <w:trHeight w:val="223"/>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r>
      <w:tr>
        <w:trPr>
          <w:trHeight w:val="202"/>
        </w:trPr>
        <w:tc>
          <w:tcPr>
            <w:tcW w:w="17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113357</w:t>
            </w:r>
          </w:p>
        </w:tc>
        <w:tc>
          <w:tcPr>
            <w:tcW w:w="60" w:type="dxa"/>
            <w:vAlign w:val="bottom"/>
          </w:tcPr>
          <w:p>
            <w:pPr>
              <w:spacing w:after="0"/>
              <w:rPr>
                <w:sz w:val="17"/>
                <w:szCs w:val="17"/>
                <w:color w:val="auto"/>
              </w:rPr>
            </w:pPr>
          </w:p>
        </w:tc>
        <w:tc>
          <w:tcPr>
            <w:tcW w:w="88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150</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Gray G8ePort</w:t>
            </w:r>
          </w:p>
        </w:tc>
        <w:tc>
          <w:tcPr>
            <w:tcW w:w="14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ind w:left="140"/>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149.57</w:t>
            </w:r>
          </w:p>
        </w:tc>
        <w:tc>
          <w:tcPr>
            <w:tcW w:w="260" w:type="dxa"/>
            <w:vAlign w:val="bottom"/>
          </w:tcPr>
          <w:p>
            <w:pPr>
              <w:ind w:left="160"/>
              <w:spacing w:after="0" w:line="201" w:lineRule="exact"/>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22,435.50</w:t>
            </w:r>
          </w:p>
        </w:tc>
      </w:tr>
      <w:tr>
        <w:trPr>
          <w:trHeight w:val="216"/>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Verizon CDMA Wireless with RFID</w:t>
            </w:r>
          </w:p>
        </w:tc>
        <w:tc>
          <w:tcPr>
            <w:tcW w:w="14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37"/>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card</w:t>
            </w:r>
          </w:p>
        </w:tc>
        <w:tc>
          <w:tcPr>
            <w:tcW w:w="148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r>
      <w:tr>
        <w:trPr>
          <w:trHeight w:val="202"/>
        </w:trPr>
        <w:tc>
          <w:tcPr>
            <w:tcW w:w="17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113376</w:t>
            </w:r>
          </w:p>
        </w:tc>
        <w:tc>
          <w:tcPr>
            <w:tcW w:w="60" w:type="dxa"/>
            <w:vAlign w:val="bottom"/>
          </w:tcPr>
          <w:p>
            <w:pPr>
              <w:spacing w:after="0"/>
              <w:rPr>
                <w:sz w:val="17"/>
                <w:szCs w:val="17"/>
                <w:color w:val="auto"/>
              </w:rPr>
            </w:pPr>
          </w:p>
        </w:tc>
        <w:tc>
          <w:tcPr>
            <w:tcW w:w="88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324</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Gray G8ePort</w:t>
            </w:r>
          </w:p>
        </w:tc>
        <w:tc>
          <w:tcPr>
            <w:tcW w:w="14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ind w:left="140"/>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149.57</w:t>
            </w:r>
          </w:p>
        </w:tc>
        <w:tc>
          <w:tcPr>
            <w:tcW w:w="260" w:type="dxa"/>
            <w:vAlign w:val="bottom"/>
          </w:tcPr>
          <w:p>
            <w:pPr>
              <w:ind w:left="160"/>
              <w:spacing w:after="0" w:line="201" w:lineRule="exact"/>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48,460.68</w:t>
            </w:r>
          </w:p>
        </w:tc>
      </w:tr>
      <w:tr>
        <w:trPr>
          <w:trHeight w:val="216"/>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Verizon CDMA Wireless with RFID</w:t>
            </w:r>
          </w:p>
        </w:tc>
        <w:tc>
          <w:tcPr>
            <w:tcW w:w="14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37"/>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card</w:t>
            </w:r>
          </w:p>
        </w:tc>
        <w:tc>
          <w:tcPr>
            <w:tcW w:w="148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r>
      <w:tr>
        <w:trPr>
          <w:trHeight w:val="202"/>
        </w:trPr>
        <w:tc>
          <w:tcPr>
            <w:tcW w:w="17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113501</w:t>
            </w:r>
          </w:p>
        </w:tc>
        <w:tc>
          <w:tcPr>
            <w:tcW w:w="60" w:type="dxa"/>
            <w:vAlign w:val="bottom"/>
          </w:tcPr>
          <w:p>
            <w:pPr>
              <w:spacing w:after="0"/>
              <w:rPr>
                <w:sz w:val="17"/>
                <w:szCs w:val="17"/>
                <w:color w:val="auto"/>
              </w:rPr>
            </w:pPr>
          </w:p>
        </w:tc>
        <w:tc>
          <w:tcPr>
            <w:tcW w:w="88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41</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Gray G8ePort</w:t>
            </w:r>
          </w:p>
        </w:tc>
        <w:tc>
          <w:tcPr>
            <w:tcW w:w="14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G8700236</w:t>
            </w:r>
          </w:p>
        </w:tc>
        <w:tc>
          <w:tcPr>
            <w:tcW w:w="320" w:type="dxa"/>
            <w:vAlign w:val="bottom"/>
          </w:tcPr>
          <w:p>
            <w:pPr>
              <w:ind w:left="140"/>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149.57</w:t>
            </w:r>
          </w:p>
        </w:tc>
        <w:tc>
          <w:tcPr>
            <w:tcW w:w="260" w:type="dxa"/>
            <w:vAlign w:val="bottom"/>
          </w:tcPr>
          <w:p>
            <w:pPr>
              <w:ind w:left="160"/>
              <w:spacing w:after="0" w:line="201" w:lineRule="exact"/>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6,132.37</w:t>
            </w:r>
          </w:p>
        </w:tc>
      </w:tr>
      <w:tr>
        <w:trPr>
          <w:trHeight w:val="216"/>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Verizon CDMA Wireless with RFID</w:t>
            </w: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G8700255</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card</w:t>
            </w: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G8700271</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G8700276</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G8700281</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G8700296</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G8700297</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G8700313</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G8700363</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G8700384</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G8700565</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G8700568</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G8700575</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G8700591</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G8700597</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G8700603</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G8700637</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G8700645</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G8700663</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G8700694</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G8700701</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G8700702</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G8700704</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G8700724</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G8700978</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G8700982</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G8700985</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G8701025</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G8701048</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G8701049</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G8701053</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G8701086</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G8701088</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G8701205</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G8701207</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G8701211</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G8701213</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G8701220</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G8701222</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G8701224</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37"/>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G8701225</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r>
      <w:tr>
        <w:trPr>
          <w:trHeight w:val="202"/>
        </w:trPr>
        <w:tc>
          <w:tcPr>
            <w:tcW w:w="17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113501</w:t>
            </w:r>
          </w:p>
        </w:tc>
        <w:tc>
          <w:tcPr>
            <w:tcW w:w="60" w:type="dxa"/>
            <w:vAlign w:val="bottom"/>
          </w:tcPr>
          <w:p>
            <w:pPr>
              <w:spacing w:after="0"/>
              <w:rPr>
                <w:sz w:val="17"/>
                <w:szCs w:val="17"/>
                <w:color w:val="auto"/>
              </w:rPr>
            </w:pPr>
          </w:p>
        </w:tc>
        <w:tc>
          <w:tcPr>
            <w:tcW w:w="88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157</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Gray G8ePort</w:t>
            </w:r>
          </w:p>
        </w:tc>
        <w:tc>
          <w:tcPr>
            <w:tcW w:w="14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ind w:left="140"/>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149.57</w:t>
            </w:r>
          </w:p>
        </w:tc>
        <w:tc>
          <w:tcPr>
            <w:tcW w:w="260" w:type="dxa"/>
            <w:vAlign w:val="bottom"/>
          </w:tcPr>
          <w:p>
            <w:pPr>
              <w:ind w:left="160"/>
              <w:spacing w:after="0" w:line="201" w:lineRule="exact"/>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23,482.49</w:t>
            </w:r>
          </w:p>
        </w:tc>
      </w:tr>
      <w:tr>
        <w:trPr>
          <w:trHeight w:val="216"/>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Verizon CDMA Wireless with RFID</w:t>
            </w:r>
          </w:p>
        </w:tc>
        <w:tc>
          <w:tcPr>
            <w:tcW w:w="14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37"/>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card</w:t>
            </w:r>
          </w:p>
        </w:tc>
        <w:tc>
          <w:tcPr>
            <w:tcW w:w="148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r>
      <w:tr>
        <w:trPr>
          <w:trHeight w:val="675"/>
        </w:trPr>
        <w:tc>
          <w:tcPr>
            <w:tcW w:w="1740" w:type="dxa"/>
            <w:vAlign w:val="bottom"/>
            <w:tcBorders>
              <w:bottom w:val="single" w:sz="8" w:color="DCDCDC"/>
            </w:tcBorders>
          </w:tcPr>
          <w:p>
            <w:pPr>
              <w:spacing w:after="0"/>
              <w:rPr>
                <w:sz w:val="24"/>
                <w:szCs w:val="24"/>
                <w:color w:val="auto"/>
              </w:rPr>
            </w:pPr>
          </w:p>
        </w:tc>
        <w:tc>
          <w:tcPr>
            <w:tcW w:w="116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660" w:type="dxa"/>
            <w:vAlign w:val="bottom"/>
            <w:tcBorders>
              <w:bottom w:val="single" w:sz="8" w:color="DCDCDC"/>
            </w:tcBorders>
          </w:tcPr>
          <w:p>
            <w:pPr>
              <w:spacing w:after="0"/>
              <w:rPr>
                <w:sz w:val="24"/>
                <w:szCs w:val="24"/>
                <w:color w:val="auto"/>
              </w:rPr>
            </w:pPr>
          </w:p>
        </w:tc>
        <w:tc>
          <w:tcPr>
            <w:tcW w:w="2960" w:type="dxa"/>
            <w:vAlign w:val="bottom"/>
            <w:tcBorders>
              <w:bottom w:val="single" w:sz="8" w:color="DCDCDC"/>
            </w:tcBorders>
          </w:tcPr>
          <w:p>
            <w:pPr>
              <w:spacing w:after="0"/>
              <w:rPr>
                <w:sz w:val="24"/>
                <w:szCs w:val="24"/>
                <w:color w:val="auto"/>
              </w:rPr>
            </w:pPr>
          </w:p>
        </w:tc>
        <w:tc>
          <w:tcPr>
            <w:tcW w:w="148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80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18" w:right="239" w:bottom="1035" w:gutter="0" w:footer="0" w:header="0"/>
        </w:sectPr>
      </w:pPr>
    </w:p>
    <w:bookmarkStart w:id="188" w:name="page189"/>
    <w:bookmarkEnd w:id="18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7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Masterwork</w:t>
            </w:r>
          </w:p>
        </w:tc>
        <w:tc>
          <w:tcPr>
            <w:tcW w:w="1160" w:type="dxa"/>
            <w:vAlign w:val="bottom"/>
            <w:tcBorders>
              <w:top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113502</w:t>
            </w:r>
          </w:p>
        </w:tc>
        <w:tc>
          <w:tcPr>
            <w:tcW w:w="9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w:t>
            </w:r>
          </w:p>
        </w:tc>
        <w:tc>
          <w:tcPr>
            <w:tcW w:w="6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13</w:t>
            </w:r>
          </w:p>
        </w:tc>
        <w:tc>
          <w:tcPr>
            <w:tcW w:w="29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Top Assembly - Gray G8ePort</w:t>
            </w:r>
          </w:p>
        </w:tc>
        <w:tc>
          <w:tcPr>
            <w:tcW w:w="14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G8700250</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149.57</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1,944.41</w:t>
            </w:r>
          </w:p>
        </w:tc>
      </w:tr>
      <w:tr>
        <w:trPr>
          <w:trHeight w:val="216"/>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Verizon CDMA Wireless with RFID</w:t>
            </w: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G8700755</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card</w:t>
            </w: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G8700794</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G8701226</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G8701232</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G8701234</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G8701247</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G8701249</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G8701259</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G8701261</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G8701263</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G8701265</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37"/>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G8701322</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r>
      <w:tr>
        <w:trPr>
          <w:trHeight w:val="202"/>
        </w:trPr>
        <w:tc>
          <w:tcPr>
            <w:tcW w:w="17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jc w:val="right"/>
              <w:ind w:right="410"/>
              <w:spacing w:after="0" w:line="201" w:lineRule="exact"/>
              <w:rPr>
                <w:sz w:val="20"/>
                <w:szCs w:val="20"/>
                <w:color w:val="auto"/>
              </w:rPr>
            </w:pPr>
            <w:r>
              <w:rPr>
                <w:rFonts w:ascii="Arial" w:cs="Arial" w:eastAsia="Arial" w:hAnsi="Arial"/>
                <w:sz w:val="18"/>
                <w:szCs w:val="18"/>
                <w:color w:val="auto"/>
              </w:rPr>
              <w:t>113502</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83</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Gray G8ePort</w:t>
            </w:r>
          </w:p>
        </w:tc>
        <w:tc>
          <w:tcPr>
            <w:tcW w:w="14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149.57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12,414.31</w:t>
            </w:r>
          </w:p>
        </w:tc>
      </w:tr>
      <w:tr>
        <w:trPr>
          <w:trHeight w:val="216"/>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Verizon CDMA Wireless with RFID</w:t>
            </w:r>
          </w:p>
        </w:tc>
        <w:tc>
          <w:tcPr>
            <w:tcW w:w="14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37"/>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card</w:t>
            </w:r>
          </w:p>
        </w:tc>
        <w:tc>
          <w:tcPr>
            <w:tcW w:w="148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r>
      <w:tr>
        <w:trPr>
          <w:trHeight w:val="202"/>
        </w:trPr>
        <w:tc>
          <w:tcPr>
            <w:tcW w:w="17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jc w:val="right"/>
              <w:ind w:right="410"/>
              <w:spacing w:after="0" w:line="201" w:lineRule="exact"/>
              <w:rPr>
                <w:sz w:val="20"/>
                <w:szCs w:val="20"/>
                <w:color w:val="auto"/>
              </w:rPr>
            </w:pPr>
            <w:r>
              <w:rPr>
                <w:rFonts w:ascii="Arial" w:cs="Arial" w:eastAsia="Arial" w:hAnsi="Arial"/>
                <w:sz w:val="18"/>
                <w:szCs w:val="18"/>
                <w:color w:val="auto"/>
              </w:rPr>
              <w:t>113503</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14</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Gray G8ePort</w:t>
            </w:r>
          </w:p>
        </w:tc>
        <w:tc>
          <w:tcPr>
            <w:tcW w:w="14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G8700261</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149.57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2,093.98</w:t>
            </w:r>
          </w:p>
        </w:tc>
      </w:tr>
      <w:tr>
        <w:trPr>
          <w:trHeight w:val="216"/>
        </w:trPr>
        <w:tc>
          <w:tcPr>
            <w:tcW w:w="17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Verizon CDMA Wireless with RFID</w:t>
            </w: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G8700284</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card</w:t>
            </w: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G8700593</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G8700946</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G8701087</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G8701248</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G8701260</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G8701323</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G8701375</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G8701377</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G8701408</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G8701410</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G8701412</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37"/>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G8701414</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r>
      <w:tr>
        <w:trPr>
          <w:trHeight w:val="202"/>
        </w:trPr>
        <w:tc>
          <w:tcPr>
            <w:tcW w:w="17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jc w:val="right"/>
              <w:ind w:right="410"/>
              <w:spacing w:after="0" w:line="201" w:lineRule="exact"/>
              <w:rPr>
                <w:sz w:val="20"/>
                <w:szCs w:val="20"/>
                <w:color w:val="auto"/>
              </w:rPr>
            </w:pPr>
            <w:r>
              <w:rPr>
                <w:rFonts w:ascii="Arial" w:cs="Arial" w:eastAsia="Arial" w:hAnsi="Arial"/>
                <w:sz w:val="18"/>
                <w:szCs w:val="18"/>
                <w:color w:val="auto"/>
              </w:rPr>
              <w:t>113503</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82</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Gray G8ePort</w:t>
            </w:r>
          </w:p>
        </w:tc>
        <w:tc>
          <w:tcPr>
            <w:tcW w:w="14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149.57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12,264.74</w:t>
            </w:r>
          </w:p>
        </w:tc>
      </w:tr>
      <w:tr>
        <w:trPr>
          <w:trHeight w:val="216"/>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Verizon CDMA Wireless with RFID</w:t>
            </w:r>
          </w:p>
        </w:tc>
        <w:tc>
          <w:tcPr>
            <w:tcW w:w="14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37"/>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card</w:t>
            </w:r>
          </w:p>
        </w:tc>
        <w:tc>
          <w:tcPr>
            <w:tcW w:w="148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r>
      <w:tr>
        <w:trPr>
          <w:trHeight w:val="202"/>
        </w:trPr>
        <w:tc>
          <w:tcPr>
            <w:tcW w:w="17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jc w:val="right"/>
              <w:ind w:right="410"/>
              <w:spacing w:after="0" w:line="201" w:lineRule="exact"/>
              <w:rPr>
                <w:sz w:val="20"/>
                <w:szCs w:val="20"/>
                <w:color w:val="auto"/>
              </w:rPr>
            </w:pPr>
            <w:r>
              <w:rPr>
                <w:rFonts w:ascii="Arial" w:cs="Arial" w:eastAsia="Arial" w:hAnsi="Arial"/>
                <w:sz w:val="18"/>
                <w:szCs w:val="18"/>
                <w:color w:val="auto"/>
              </w:rPr>
              <w:t>113504</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8</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Gray G8ePort</w:t>
            </w:r>
          </w:p>
        </w:tc>
        <w:tc>
          <w:tcPr>
            <w:tcW w:w="14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G8701409</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149.57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1,196.56</w:t>
            </w:r>
          </w:p>
        </w:tc>
      </w:tr>
      <w:tr>
        <w:trPr>
          <w:trHeight w:val="216"/>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Verizon CDMA Wireless with RFID</w:t>
            </w: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G8701413</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card</w:t>
            </w: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G8701424</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G8701507</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G8701509</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G8701510</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G8701415</w:t>
            </w: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37"/>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G8701422</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r>
      <w:tr>
        <w:trPr>
          <w:trHeight w:val="202"/>
        </w:trPr>
        <w:tc>
          <w:tcPr>
            <w:tcW w:w="17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jc w:val="right"/>
              <w:ind w:right="410"/>
              <w:spacing w:after="0" w:line="201" w:lineRule="exact"/>
              <w:rPr>
                <w:sz w:val="20"/>
                <w:szCs w:val="20"/>
                <w:color w:val="auto"/>
              </w:rPr>
            </w:pPr>
            <w:r>
              <w:rPr>
                <w:rFonts w:ascii="Arial" w:cs="Arial" w:eastAsia="Arial" w:hAnsi="Arial"/>
                <w:sz w:val="18"/>
                <w:szCs w:val="18"/>
                <w:color w:val="auto"/>
              </w:rPr>
              <w:t>113504</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88</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Gray G8ePort</w:t>
            </w:r>
          </w:p>
        </w:tc>
        <w:tc>
          <w:tcPr>
            <w:tcW w:w="14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149.57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13,162.16</w:t>
            </w:r>
          </w:p>
        </w:tc>
      </w:tr>
      <w:tr>
        <w:trPr>
          <w:trHeight w:val="216"/>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Verizon CDMA Wireless with RFID</w:t>
            </w:r>
          </w:p>
        </w:tc>
        <w:tc>
          <w:tcPr>
            <w:tcW w:w="14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37"/>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card</w:t>
            </w:r>
          </w:p>
        </w:tc>
        <w:tc>
          <w:tcPr>
            <w:tcW w:w="148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r>
      <w:tr>
        <w:trPr>
          <w:trHeight w:val="202"/>
        </w:trPr>
        <w:tc>
          <w:tcPr>
            <w:tcW w:w="17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jc w:val="right"/>
              <w:ind w:right="410"/>
              <w:spacing w:after="0" w:line="201" w:lineRule="exact"/>
              <w:rPr>
                <w:sz w:val="20"/>
                <w:szCs w:val="20"/>
                <w:color w:val="auto"/>
              </w:rPr>
            </w:pPr>
            <w:r>
              <w:rPr>
                <w:rFonts w:ascii="Arial" w:cs="Arial" w:eastAsia="Arial" w:hAnsi="Arial"/>
                <w:sz w:val="18"/>
                <w:szCs w:val="18"/>
                <w:color w:val="auto"/>
              </w:rPr>
              <w:t>113548</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258</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Gray G8ePort</w:t>
            </w:r>
          </w:p>
        </w:tc>
        <w:tc>
          <w:tcPr>
            <w:tcW w:w="14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149.57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38,589.06</w:t>
            </w:r>
          </w:p>
        </w:tc>
      </w:tr>
      <w:tr>
        <w:trPr>
          <w:trHeight w:val="216"/>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Verizon CDMA Wireless with RFID</w:t>
            </w:r>
          </w:p>
        </w:tc>
        <w:tc>
          <w:tcPr>
            <w:tcW w:w="14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37"/>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card</w:t>
            </w:r>
          </w:p>
        </w:tc>
        <w:tc>
          <w:tcPr>
            <w:tcW w:w="148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r>
      <w:tr>
        <w:trPr>
          <w:trHeight w:val="202"/>
        </w:trPr>
        <w:tc>
          <w:tcPr>
            <w:tcW w:w="17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jc w:val="right"/>
              <w:ind w:right="410"/>
              <w:spacing w:after="0" w:line="201" w:lineRule="exact"/>
              <w:rPr>
                <w:sz w:val="20"/>
                <w:szCs w:val="20"/>
                <w:color w:val="auto"/>
              </w:rPr>
            </w:pPr>
            <w:r>
              <w:rPr>
                <w:rFonts w:ascii="Arial" w:cs="Arial" w:eastAsia="Arial" w:hAnsi="Arial"/>
                <w:sz w:val="18"/>
                <w:szCs w:val="18"/>
                <w:color w:val="auto"/>
              </w:rPr>
              <w:t>114654</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990</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Gray G8ePort</w:t>
            </w:r>
          </w:p>
        </w:tc>
        <w:tc>
          <w:tcPr>
            <w:tcW w:w="14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145.87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w w:val="90"/>
              </w:rPr>
              <w:t>144,411.30</w:t>
            </w:r>
          </w:p>
        </w:tc>
      </w:tr>
      <w:tr>
        <w:trPr>
          <w:trHeight w:val="216"/>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Verizon CDMA Wireless with RFID</w:t>
            </w:r>
          </w:p>
        </w:tc>
        <w:tc>
          <w:tcPr>
            <w:tcW w:w="14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37"/>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card</w:t>
            </w:r>
          </w:p>
        </w:tc>
        <w:tc>
          <w:tcPr>
            <w:tcW w:w="148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r>
      <w:tr>
        <w:trPr>
          <w:trHeight w:val="202"/>
        </w:trPr>
        <w:tc>
          <w:tcPr>
            <w:tcW w:w="17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jc w:val="right"/>
              <w:ind w:right="410"/>
              <w:spacing w:after="0" w:line="201" w:lineRule="exact"/>
              <w:rPr>
                <w:sz w:val="20"/>
                <w:szCs w:val="20"/>
                <w:color w:val="auto"/>
              </w:rPr>
            </w:pPr>
            <w:r>
              <w:rPr>
                <w:rFonts w:ascii="Arial" w:cs="Arial" w:eastAsia="Arial" w:hAnsi="Arial"/>
                <w:sz w:val="18"/>
                <w:szCs w:val="18"/>
                <w:color w:val="auto"/>
              </w:rPr>
              <w:t>114671</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210</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Gray G8ePort</w:t>
            </w:r>
          </w:p>
        </w:tc>
        <w:tc>
          <w:tcPr>
            <w:tcW w:w="14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145.87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30,632.70</w:t>
            </w:r>
          </w:p>
        </w:tc>
      </w:tr>
      <w:tr>
        <w:trPr>
          <w:trHeight w:val="216"/>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Verizon CDMA Wireless with RFID</w:t>
            </w:r>
          </w:p>
        </w:tc>
        <w:tc>
          <w:tcPr>
            <w:tcW w:w="14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37"/>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card</w:t>
            </w:r>
          </w:p>
        </w:tc>
        <w:tc>
          <w:tcPr>
            <w:tcW w:w="148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r>
      <w:tr>
        <w:trPr>
          <w:trHeight w:val="202"/>
        </w:trPr>
        <w:tc>
          <w:tcPr>
            <w:tcW w:w="17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jc w:val="right"/>
              <w:ind w:right="410"/>
              <w:spacing w:after="0" w:line="201" w:lineRule="exact"/>
              <w:rPr>
                <w:sz w:val="20"/>
                <w:szCs w:val="20"/>
                <w:color w:val="auto"/>
              </w:rPr>
            </w:pPr>
            <w:r>
              <w:rPr>
                <w:rFonts w:ascii="Arial" w:cs="Arial" w:eastAsia="Arial" w:hAnsi="Arial"/>
                <w:sz w:val="18"/>
                <w:szCs w:val="18"/>
                <w:color w:val="auto"/>
              </w:rPr>
              <w:t>114693</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162</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Gray G8ePort</w:t>
            </w:r>
          </w:p>
        </w:tc>
        <w:tc>
          <w:tcPr>
            <w:tcW w:w="14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145.87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23,630.94</w:t>
            </w:r>
          </w:p>
        </w:tc>
      </w:tr>
      <w:tr>
        <w:trPr>
          <w:trHeight w:val="216"/>
        </w:trPr>
        <w:tc>
          <w:tcPr>
            <w:tcW w:w="17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Verizon CDMA Wireless with RFID</w:t>
            </w:r>
          </w:p>
        </w:tc>
        <w:tc>
          <w:tcPr>
            <w:tcW w:w="14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37"/>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card</w:t>
            </w:r>
          </w:p>
        </w:tc>
        <w:tc>
          <w:tcPr>
            <w:tcW w:w="148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r>
      <w:tr>
        <w:trPr>
          <w:trHeight w:val="202"/>
        </w:trPr>
        <w:tc>
          <w:tcPr>
            <w:tcW w:w="17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jc w:val="right"/>
              <w:ind w:right="410"/>
              <w:spacing w:after="0" w:line="201" w:lineRule="exact"/>
              <w:rPr>
                <w:sz w:val="20"/>
                <w:szCs w:val="20"/>
                <w:color w:val="auto"/>
              </w:rPr>
            </w:pPr>
            <w:r>
              <w:rPr>
                <w:rFonts w:ascii="Arial" w:cs="Arial" w:eastAsia="Arial" w:hAnsi="Arial"/>
                <w:sz w:val="18"/>
                <w:szCs w:val="18"/>
                <w:color w:val="auto"/>
              </w:rPr>
              <w:t>114734</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210</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Gray G8ePort</w:t>
            </w:r>
          </w:p>
        </w:tc>
        <w:tc>
          <w:tcPr>
            <w:tcW w:w="14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145.87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30,632.70</w:t>
            </w:r>
          </w:p>
        </w:tc>
      </w:tr>
      <w:tr>
        <w:trPr>
          <w:trHeight w:val="216"/>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Verizon CDMA Wireless with RFID</w:t>
            </w:r>
          </w:p>
        </w:tc>
        <w:tc>
          <w:tcPr>
            <w:tcW w:w="14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37"/>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card</w:t>
            </w:r>
          </w:p>
        </w:tc>
        <w:tc>
          <w:tcPr>
            <w:tcW w:w="148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r>
      <w:tr>
        <w:trPr>
          <w:trHeight w:val="202"/>
        </w:trPr>
        <w:tc>
          <w:tcPr>
            <w:tcW w:w="17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jc w:val="right"/>
              <w:ind w:right="410"/>
              <w:spacing w:after="0" w:line="201" w:lineRule="exact"/>
              <w:rPr>
                <w:sz w:val="20"/>
                <w:szCs w:val="20"/>
                <w:color w:val="auto"/>
              </w:rPr>
            </w:pPr>
            <w:r>
              <w:rPr>
                <w:rFonts w:ascii="Arial" w:cs="Arial" w:eastAsia="Arial" w:hAnsi="Arial"/>
                <w:sz w:val="18"/>
                <w:szCs w:val="18"/>
                <w:color w:val="auto"/>
              </w:rPr>
              <w:t>114773</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246</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Gray G8ePort</w:t>
            </w:r>
          </w:p>
        </w:tc>
        <w:tc>
          <w:tcPr>
            <w:tcW w:w="14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145.87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35,884.02</w:t>
            </w:r>
          </w:p>
        </w:tc>
      </w:tr>
      <w:tr>
        <w:trPr>
          <w:trHeight w:val="216"/>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Verizon CDMA Wireless with RFID</w:t>
            </w:r>
          </w:p>
        </w:tc>
        <w:tc>
          <w:tcPr>
            <w:tcW w:w="14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37"/>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card</w:t>
            </w:r>
          </w:p>
        </w:tc>
        <w:tc>
          <w:tcPr>
            <w:tcW w:w="148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r>
      <w:tr>
        <w:trPr>
          <w:trHeight w:val="202"/>
        </w:trPr>
        <w:tc>
          <w:tcPr>
            <w:tcW w:w="17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jc w:val="right"/>
              <w:ind w:right="410"/>
              <w:spacing w:after="0" w:line="201" w:lineRule="exact"/>
              <w:rPr>
                <w:sz w:val="20"/>
                <w:szCs w:val="20"/>
                <w:color w:val="auto"/>
              </w:rPr>
            </w:pPr>
            <w:r>
              <w:rPr>
                <w:rFonts w:ascii="Arial" w:cs="Arial" w:eastAsia="Arial" w:hAnsi="Arial"/>
                <w:sz w:val="18"/>
                <w:szCs w:val="18"/>
                <w:color w:val="auto"/>
              </w:rPr>
              <w:t>114797</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180</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Gray G8ePort</w:t>
            </w:r>
          </w:p>
        </w:tc>
        <w:tc>
          <w:tcPr>
            <w:tcW w:w="14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145.87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26,256.60</w:t>
            </w:r>
          </w:p>
        </w:tc>
      </w:tr>
      <w:tr>
        <w:trPr>
          <w:trHeight w:val="216"/>
        </w:trPr>
        <w:tc>
          <w:tcPr>
            <w:tcW w:w="17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Verizon CDMA Wireless with RFID</w:t>
            </w:r>
          </w:p>
        </w:tc>
        <w:tc>
          <w:tcPr>
            <w:tcW w:w="14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37"/>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card</w:t>
            </w:r>
          </w:p>
        </w:tc>
        <w:tc>
          <w:tcPr>
            <w:tcW w:w="148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r>
      <w:tr>
        <w:trPr>
          <w:trHeight w:val="202"/>
        </w:trPr>
        <w:tc>
          <w:tcPr>
            <w:tcW w:w="17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jc w:val="right"/>
              <w:ind w:right="410"/>
              <w:spacing w:after="0" w:line="201" w:lineRule="exact"/>
              <w:rPr>
                <w:sz w:val="20"/>
                <w:szCs w:val="20"/>
                <w:color w:val="auto"/>
              </w:rPr>
            </w:pPr>
            <w:r>
              <w:rPr>
                <w:rFonts w:ascii="Arial" w:cs="Arial" w:eastAsia="Arial" w:hAnsi="Arial"/>
                <w:sz w:val="18"/>
                <w:szCs w:val="18"/>
                <w:color w:val="auto"/>
              </w:rPr>
              <w:t>114865</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72</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Gray G8ePort</w:t>
            </w:r>
          </w:p>
        </w:tc>
        <w:tc>
          <w:tcPr>
            <w:tcW w:w="14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145.87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10,502.64</w:t>
            </w:r>
          </w:p>
        </w:tc>
      </w:tr>
      <w:tr>
        <w:trPr>
          <w:trHeight w:val="216"/>
        </w:trPr>
        <w:tc>
          <w:tcPr>
            <w:tcW w:w="1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Verizon CDMA Wireless with RFID</w:t>
            </w:r>
          </w:p>
        </w:tc>
        <w:tc>
          <w:tcPr>
            <w:tcW w:w="14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r>
      <w:tr>
        <w:trPr>
          <w:trHeight w:val="237"/>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card</w:t>
            </w:r>
          </w:p>
        </w:tc>
        <w:tc>
          <w:tcPr>
            <w:tcW w:w="148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420"/>
          </w:cols>
          <w:pgMar w:left="240" w:top="917" w:right="239" w:bottom="238" w:gutter="0" w:footer="0" w:header="0"/>
        </w:sectPr>
      </w:pPr>
    </w:p>
    <w:bookmarkStart w:id="189" w:name="page190"/>
    <w:bookmarkEnd w:id="1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line="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732155</wp:posOffset>
            </wp:positionV>
            <wp:extent cx="17145" cy="98723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145" cy="9872345"/>
                    </a:xfrm>
                    <a:prstGeom prst="rect">
                      <a:avLst/>
                    </a:prstGeom>
                    <a:noFill/>
                  </pic:spPr>
                </pic:pic>
              </a:graphicData>
            </a:graphic>
          </wp:anchor>
        </w:drawing>
        <w:drawing>
          <wp:anchor simplePos="0" relativeHeight="251657728" behindDoc="1" locked="0" layoutInCell="0" allowOverlap="1">
            <wp:simplePos x="0" y="0"/>
            <wp:positionH relativeFrom="page">
              <wp:posOffset>7386955</wp:posOffset>
            </wp:positionH>
            <wp:positionV relativeFrom="page">
              <wp:posOffset>594995</wp:posOffset>
            </wp:positionV>
            <wp:extent cx="17145" cy="100095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 cy="100095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17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Masterwork</w:t>
            </w:r>
          </w:p>
        </w:tc>
        <w:tc>
          <w:tcPr>
            <w:tcW w:w="11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115051</w:t>
            </w:r>
          </w:p>
        </w:tc>
        <w:tc>
          <w:tcPr>
            <w:tcW w:w="9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w:t>
            </w:r>
          </w:p>
        </w:tc>
        <w:tc>
          <w:tcPr>
            <w:tcW w:w="6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162</w:t>
            </w:r>
          </w:p>
        </w:tc>
        <w:tc>
          <w:tcPr>
            <w:tcW w:w="29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Top Assembly - Gray G8ePort</w:t>
            </w:r>
          </w:p>
        </w:tc>
        <w:tc>
          <w:tcPr>
            <w:tcW w:w="1480" w:type="dxa"/>
            <w:vAlign w:val="bottom"/>
            <w:tcBorders>
              <w:top w:val="single" w:sz="8" w:color="auto"/>
              <w:right w:val="single" w:sz="8" w:color="auto"/>
            </w:tcBorders>
          </w:tcPr>
          <w:p>
            <w:pPr>
              <w:jc w:val="right"/>
              <w:ind w:right="1190"/>
              <w:spacing w:after="0"/>
              <w:rPr>
                <w:sz w:val="20"/>
                <w:szCs w:val="20"/>
                <w:color w:val="auto"/>
              </w:rPr>
            </w:pPr>
            <w:r>
              <w:rPr>
                <w:rFonts w:ascii="Arial" w:cs="Arial" w:eastAsia="Arial" w:hAnsi="Arial"/>
                <w:sz w:val="18"/>
                <w:szCs w:val="18"/>
                <w:color w:val="auto"/>
              </w:rPr>
              <w:t>0</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145.87</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23,630.94</w:t>
            </w:r>
          </w:p>
        </w:tc>
      </w:tr>
      <w:tr>
        <w:trPr>
          <w:trHeight w:val="216"/>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Verizon CDMA Wireless with RFID</w:t>
            </w:r>
          </w:p>
        </w:tc>
        <w:tc>
          <w:tcPr>
            <w:tcW w:w="14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7"/>
        </w:trPr>
        <w:tc>
          <w:tcPr>
            <w:tcW w:w="17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card</w:t>
            </w:r>
          </w:p>
        </w:tc>
        <w:tc>
          <w:tcPr>
            <w:tcW w:w="148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02"/>
        </w:trPr>
        <w:tc>
          <w:tcPr>
            <w:tcW w:w="17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115265</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360</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G8ePort CDMA</w:t>
            </w:r>
          </w:p>
        </w:tc>
        <w:tc>
          <w:tcPr>
            <w:tcW w:w="1480" w:type="dxa"/>
            <w:vAlign w:val="bottom"/>
            <w:tcBorders>
              <w:right w:val="single" w:sz="8" w:color="auto"/>
            </w:tcBorders>
          </w:tcPr>
          <w:p>
            <w:pPr>
              <w:jc w:val="right"/>
              <w:ind w:right="119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104.47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37,609.20</w:t>
            </w:r>
          </w:p>
        </w:tc>
      </w:tr>
      <w:tr>
        <w:trPr>
          <w:trHeight w:val="230"/>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Wireless with RFID card</w:t>
            </w:r>
          </w:p>
        </w:tc>
        <w:tc>
          <w:tcPr>
            <w:tcW w:w="14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02"/>
        </w:trPr>
        <w:tc>
          <w:tcPr>
            <w:tcW w:w="17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115288</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132</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G8ePort CDMA</w:t>
            </w:r>
          </w:p>
        </w:tc>
        <w:tc>
          <w:tcPr>
            <w:tcW w:w="1480" w:type="dxa"/>
            <w:vAlign w:val="bottom"/>
            <w:tcBorders>
              <w:right w:val="single" w:sz="8" w:color="auto"/>
            </w:tcBorders>
          </w:tcPr>
          <w:p>
            <w:pPr>
              <w:jc w:val="right"/>
              <w:ind w:right="119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104.47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13,790.04</w:t>
            </w:r>
          </w:p>
        </w:tc>
      </w:tr>
      <w:tr>
        <w:trPr>
          <w:trHeight w:val="230"/>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Wireless with RFID card</w:t>
            </w:r>
          </w:p>
        </w:tc>
        <w:tc>
          <w:tcPr>
            <w:tcW w:w="14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02"/>
        </w:trPr>
        <w:tc>
          <w:tcPr>
            <w:tcW w:w="17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115321</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126</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G8ePort CDMA</w:t>
            </w:r>
          </w:p>
        </w:tc>
        <w:tc>
          <w:tcPr>
            <w:tcW w:w="1480" w:type="dxa"/>
            <w:vAlign w:val="bottom"/>
            <w:tcBorders>
              <w:right w:val="single" w:sz="8" w:color="auto"/>
            </w:tcBorders>
          </w:tcPr>
          <w:p>
            <w:pPr>
              <w:jc w:val="right"/>
              <w:ind w:right="119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104.47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13,163.22</w:t>
            </w:r>
          </w:p>
        </w:tc>
      </w:tr>
      <w:tr>
        <w:trPr>
          <w:trHeight w:val="230"/>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Wireless with RFID card</w:t>
            </w:r>
          </w:p>
        </w:tc>
        <w:tc>
          <w:tcPr>
            <w:tcW w:w="14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02"/>
        </w:trPr>
        <w:tc>
          <w:tcPr>
            <w:tcW w:w="17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115508</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82</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G8ePort CDMA</w:t>
            </w:r>
          </w:p>
        </w:tc>
        <w:tc>
          <w:tcPr>
            <w:tcW w:w="1480" w:type="dxa"/>
            <w:vAlign w:val="bottom"/>
            <w:tcBorders>
              <w:right w:val="single" w:sz="8" w:color="auto"/>
            </w:tcBorders>
          </w:tcPr>
          <w:p>
            <w:pPr>
              <w:jc w:val="right"/>
              <w:ind w:right="119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104.47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8,566.54</w:t>
            </w:r>
          </w:p>
        </w:tc>
      </w:tr>
      <w:tr>
        <w:trPr>
          <w:trHeight w:val="230"/>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Wireless with RFID card</w:t>
            </w:r>
          </w:p>
        </w:tc>
        <w:tc>
          <w:tcPr>
            <w:tcW w:w="14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02"/>
        </w:trPr>
        <w:tc>
          <w:tcPr>
            <w:tcW w:w="17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115508</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294</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G8ePort CDMA</w:t>
            </w:r>
          </w:p>
        </w:tc>
        <w:tc>
          <w:tcPr>
            <w:tcW w:w="1480" w:type="dxa"/>
            <w:vAlign w:val="bottom"/>
            <w:tcBorders>
              <w:right w:val="single" w:sz="8" w:color="auto"/>
            </w:tcBorders>
          </w:tcPr>
          <w:p>
            <w:pPr>
              <w:jc w:val="right"/>
              <w:ind w:right="119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104.47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30,714.18</w:t>
            </w:r>
          </w:p>
        </w:tc>
      </w:tr>
      <w:tr>
        <w:trPr>
          <w:trHeight w:val="230"/>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Wireless with RFID card</w:t>
            </w:r>
          </w:p>
        </w:tc>
        <w:tc>
          <w:tcPr>
            <w:tcW w:w="14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02"/>
        </w:trPr>
        <w:tc>
          <w:tcPr>
            <w:tcW w:w="17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115561</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420</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G8ePort CDMA</w:t>
            </w:r>
          </w:p>
        </w:tc>
        <w:tc>
          <w:tcPr>
            <w:tcW w:w="1480" w:type="dxa"/>
            <w:vAlign w:val="bottom"/>
            <w:tcBorders>
              <w:right w:val="single" w:sz="8" w:color="auto"/>
            </w:tcBorders>
          </w:tcPr>
          <w:p>
            <w:pPr>
              <w:jc w:val="right"/>
              <w:ind w:right="119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104.47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43,877.40</w:t>
            </w:r>
          </w:p>
        </w:tc>
      </w:tr>
      <w:tr>
        <w:trPr>
          <w:trHeight w:val="230"/>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Wireless with RFID card</w:t>
            </w:r>
          </w:p>
        </w:tc>
        <w:tc>
          <w:tcPr>
            <w:tcW w:w="14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02"/>
        </w:trPr>
        <w:tc>
          <w:tcPr>
            <w:tcW w:w="17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115596</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420</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G8ePort CDMA</w:t>
            </w:r>
          </w:p>
        </w:tc>
        <w:tc>
          <w:tcPr>
            <w:tcW w:w="1480" w:type="dxa"/>
            <w:vAlign w:val="bottom"/>
            <w:tcBorders>
              <w:right w:val="single" w:sz="8" w:color="auto"/>
            </w:tcBorders>
          </w:tcPr>
          <w:p>
            <w:pPr>
              <w:jc w:val="right"/>
              <w:ind w:right="119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104.47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43,877.40</w:t>
            </w:r>
          </w:p>
        </w:tc>
      </w:tr>
      <w:tr>
        <w:trPr>
          <w:trHeight w:val="230"/>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Wireless with RFID card</w:t>
            </w:r>
          </w:p>
        </w:tc>
        <w:tc>
          <w:tcPr>
            <w:tcW w:w="14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02"/>
        </w:trPr>
        <w:tc>
          <w:tcPr>
            <w:tcW w:w="17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115699</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378</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G8ePort CDMA</w:t>
            </w:r>
          </w:p>
        </w:tc>
        <w:tc>
          <w:tcPr>
            <w:tcW w:w="1480" w:type="dxa"/>
            <w:vAlign w:val="bottom"/>
            <w:tcBorders>
              <w:right w:val="single" w:sz="8" w:color="auto"/>
            </w:tcBorders>
          </w:tcPr>
          <w:p>
            <w:pPr>
              <w:jc w:val="right"/>
              <w:ind w:right="119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104.47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39,489.66</w:t>
            </w:r>
          </w:p>
        </w:tc>
      </w:tr>
      <w:tr>
        <w:trPr>
          <w:trHeight w:val="230"/>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Wireless with RFID card</w:t>
            </w:r>
          </w:p>
        </w:tc>
        <w:tc>
          <w:tcPr>
            <w:tcW w:w="14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02"/>
        </w:trPr>
        <w:tc>
          <w:tcPr>
            <w:tcW w:w="17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115705</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336</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G8ePort CDMA</w:t>
            </w:r>
          </w:p>
        </w:tc>
        <w:tc>
          <w:tcPr>
            <w:tcW w:w="1480" w:type="dxa"/>
            <w:vAlign w:val="bottom"/>
            <w:tcBorders>
              <w:right w:val="single" w:sz="8" w:color="auto"/>
            </w:tcBorders>
          </w:tcPr>
          <w:p>
            <w:pPr>
              <w:jc w:val="right"/>
              <w:ind w:right="119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104.47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35,101.92</w:t>
            </w:r>
          </w:p>
        </w:tc>
      </w:tr>
      <w:tr>
        <w:trPr>
          <w:trHeight w:val="230"/>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Wireless with RFID card</w:t>
            </w:r>
          </w:p>
        </w:tc>
        <w:tc>
          <w:tcPr>
            <w:tcW w:w="14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02"/>
        </w:trPr>
        <w:tc>
          <w:tcPr>
            <w:tcW w:w="17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115927</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152</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G8ePort CDMA</w:t>
            </w:r>
          </w:p>
        </w:tc>
        <w:tc>
          <w:tcPr>
            <w:tcW w:w="1480" w:type="dxa"/>
            <w:vAlign w:val="bottom"/>
            <w:tcBorders>
              <w:right w:val="single" w:sz="8" w:color="auto"/>
            </w:tcBorders>
          </w:tcPr>
          <w:p>
            <w:pPr>
              <w:jc w:val="right"/>
              <w:ind w:right="119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104.47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15,879.44</w:t>
            </w:r>
          </w:p>
        </w:tc>
      </w:tr>
      <w:tr>
        <w:trPr>
          <w:trHeight w:val="230"/>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Wireless with RFID card</w:t>
            </w:r>
          </w:p>
        </w:tc>
        <w:tc>
          <w:tcPr>
            <w:tcW w:w="14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02"/>
        </w:trPr>
        <w:tc>
          <w:tcPr>
            <w:tcW w:w="17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115927</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54</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G8ePort CDMA</w:t>
            </w:r>
          </w:p>
        </w:tc>
        <w:tc>
          <w:tcPr>
            <w:tcW w:w="1480" w:type="dxa"/>
            <w:vAlign w:val="bottom"/>
            <w:tcBorders>
              <w:right w:val="single" w:sz="8" w:color="auto"/>
            </w:tcBorders>
          </w:tcPr>
          <w:p>
            <w:pPr>
              <w:jc w:val="right"/>
              <w:ind w:right="119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104.47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5,641.38</w:t>
            </w:r>
          </w:p>
        </w:tc>
      </w:tr>
      <w:tr>
        <w:trPr>
          <w:trHeight w:val="230"/>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Wireless with RFID card</w:t>
            </w:r>
          </w:p>
        </w:tc>
        <w:tc>
          <w:tcPr>
            <w:tcW w:w="14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02"/>
        </w:trPr>
        <w:tc>
          <w:tcPr>
            <w:tcW w:w="17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115948</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210</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G8ePort CDMA</w:t>
            </w:r>
          </w:p>
        </w:tc>
        <w:tc>
          <w:tcPr>
            <w:tcW w:w="1480" w:type="dxa"/>
            <w:vAlign w:val="bottom"/>
            <w:tcBorders>
              <w:right w:val="single" w:sz="8" w:color="auto"/>
            </w:tcBorders>
          </w:tcPr>
          <w:p>
            <w:pPr>
              <w:jc w:val="right"/>
              <w:ind w:right="119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104.47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21,938.70</w:t>
            </w:r>
          </w:p>
        </w:tc>
      </w:tr>
      <w:tr>
        <w:trPr>
          <w:trHeight w:val="230"/>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Wireless with RFID card</w:t>
            </w:r>
          </w:p>
        </w:tc>
        <w:tc>
          <w:tcPr>
            <w:tcW w:w="14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02"/>
        </w:trPr>
        <w:tc>
          <w:tcPr>
            <w:tcW w:w="17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115963</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420</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G8ePort CDMA</w:t>
            </w:r>
          </w:p>
        </w:tc>
        <w:tc>
          <w:tcPr>
            <w:tcW w:w="1480" w:type="dxa"/>
            <w:vAlign w:val="bottom"/>
            <w:tcBorders>
              <w:right w:val="single" w:sz="8" w:color="auto"/>
            </w:tcBorders>
          </w:tcPr>
          <w:p>
            <w:pPr>
              <w:jc w:val="right"/>
              <w:ind w:right="119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104.47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43,877.40</w:t>
            </w:r>
          </w:p>
        </w:tc>
      </w:tr>
      <w:tr>
        <w:trPr>
          <w:trHeight w:val="230"/>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Wireless with RFID card</w:t>
            </w:r>
          </w:p>
        </w:tc>
        <w:tc>
          <w:tcPr>
            <w:tcW w:w="14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02"/>
        </w:trPr>
        <w:tc>
          <w:tcPr>
            <w:tcW w:w="17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116001</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420</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G8ePort CDMA</w:t>
            </w:r>
          </w:p>
        </w:tc>
        <w:tc>
          <w:tcPr>
            <w:tcW w:w="1480" w:type="dxa"/>
            <w:vAlign w:val="bottom"/>
            <w:tcBorders>
              <w:right w:val="single" w:sz="8" w:color="auto"/>
            </w:tcBorders>
          </w:tcPr>
          <w:p>
            <w:pPr>
              <w:jc w:val="right"/>
              <w:ind w:right="119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104.47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43,877.40</w:t>
            </w:r>
          </w:p>
        </w:tc>
      </w:tr>
      <w:tr>
        <w:trPr>
          <w:trHeight w:val="230"/>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Wireless with RFID card</w:t>
            </w:r>
          </w:p>
        </w:tc>
        <w:tc>
          <w:tcPr>
            <w:tcW w:w="14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02"/>
        </w:trPr>
        <w:tc>
          <w:tcPr>
            <w:tcW w:w="17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116062</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630</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G8ePort CDMA</w:t>
            </w:r>
          </w:p>
        </w:tc>
        <w:tc>
          <w:tcPr>
            <w:tcW w:w="1480" w:type="dxa"/>
            <w:vAlign w:val="bottom"/>
            <w:tcBorders>
              <w:right w:val="single" w:sz="8" w:color="auto"/>
            </w:tcBorders>
          </w:tcPr>
          <w:p>
            <w:pPr>
              <w:jc w:val="right"/>
              <w:ind w:right="119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104.47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65,816.10</w:t>
            </w:r>
          </w:p>
        </w:tc>
      </w:tr>
      <w:tr>
        <w:trPr>
          <w:trHeight w:val="230"/>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Wireless with RFID card</w:t>
            </w:r>
          </w:p>
        </w:tc>
        <w:tc>
          <w:tcPr>
            <w:tcW w:w="14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02"/>
        </w:trPr>
        <w:tc>
          <w:tcPr>
            <w:tcW w:w="17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117232</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450</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G8 ePort Verizon</w:t>
            </w:r>
          </w:p>
        </w:tc>
        <w:tc>
          <w:tcPr>
            <w:tcW w:w="1480" w:type="dxa"/>
            <w:vAlign w:val="bottom"/>
            <w:tcBorders>
              <w:right w:val="single" w:sz="8" w:color="auto"/>
            </w:tcBorders>
          </w:tcPr>
          <w:p>
            <w:pPr>
              <w:jc w:val="right"/>
              <w:ind w:right="119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104.47</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47,011.50</w:t>
            </w:r>
          </w:p>
        </w:tc>
      </w:tr>
      <w:tr>
        <w:trPr>
          <w:trHeight w:val="216"/>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CDMA Wireless with OTI RFID</w:t>
            </w:r>
          </w:p>
        </w:tc>
        <w:tc>
          <w:tcPr>
            <w:tcW w:w="14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7"/>
        </w:trPr>
        <w:tc>
          <w:tcPr>
            <w:tcW w:w="174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Card Reader</w:t>
            </w:r>
          </w:p>
        </w:tc>
        <w:tc>
          <w:tcPr>
            <w:tcW w:w="148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02"/>
        </w:trPr>
        <w:tc>
          <w:tcPr>
            <w:tcW w:w="17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122597</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1680</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G9 ePort CDMA</w:t>
            </w:r>
          </w:p>
        </w:tc>
        <w:tc>
          <w:tcPr>
            <w:tcW w:w="1480" w:type="dxa"/>
            <w:vAlign w:val="bottom"/>
            <w:tcBorders>
              <w:right w:val="single" w:sz="8" w:color="auto"/>
            </w:tcBorders>
          </w:tcPr>
          <w:p>
            <w:pPr>
              <w:jc w:val="right"/>
              <w:ind w:right="119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77.54</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3"/>
              </w:rPr>
              <w:t>130,267.20</w:t>
            </w:r>
          </w:p>
        </w:tc>
      </w:tr>
      <w:tr>
        <w:trPr>
          <w:trHeight w:val="230"/>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02"/>
        </w:trPr>
        <w:tc>
          <w:tcPr>
            <w:tcW w:w="17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122660</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330</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G9 ePort CDMA</w:t>
            </w:r>
          </w:p>
        </w:tc>
        <w:tc>
          <w:tcPr>
            <w:tcW w:w="1480" w:type="dxa"/>
            <w:vAlign w:val="bottom"/>
            <w:tcBorders>
              <w:right w:val="single" w:sz="8" w:color="auto"/>
            </w:tcBorders>
          </w:tcPr>
          <w:p>
            <w:pPr>
              <w:jc w:val="right"/>
              <w:ind w:right="119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77.54</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25,588.20</w:t>
            </w:r>
          </w:p>
        </w:tc>
      </w:tr>
      <w:tr>
        <w:trPr>
          <w:trHeight w:val="230"/>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02"/>
        </w:trPr>
        <w:tc>
          <w:tcPr>
            <w:tcW w:w="17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Masterwork</w:t>
            </w:r>
          </w:p>
        </w:tc>
        <w:tc>
          <w:tcPr>
            <w:tcW w:w="11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122660</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510</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Top Assembly - G9 ePort CDMA</w:t>
            </w:r>
          </w:p>
        </w:tc>
        <w:tc>
          <w:tcPr>
            <w:tcW w:w="1480" w:type="dxa"/>
            <w:vAlign w:val="bottom"/>
            <w:tcBorders>
              <w:right w:val="single" w:sz="8" w:color="auto"/>
            </w:tcBorders>
          </w:tcPr>
          <w:p>
            <w:pPr>
              <w:jc w:val="right"/>
              <w:ind w:right="119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77.54</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39,545.40</w:t>
            </w:r>
          </w:p>
        </w:tc>
      </w:tr>
      <w:tr>
        <w:trPr>
          <w:trHeight w:val="230"/>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Electronics</w:t>
            </w:r>
          </w:p>
        </w:tc>
        <w:tc>
          <w:tcPr>
            <w:tcW w:w="11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02"/>
        </w:trPr>
        <w:tc>
          <w:tcPr>
            <w:tcW w:w="17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Telit Wireless</w:t>
            </w:r>
          </w:p>
        </w:tc>
        <w:tc>
          <w:tcPr>
            <w:tcW w:w="11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w w:val="99"/>
              </w:rPr>
              <w:t>9830000734</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5000</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CE910 Dual Verizon Module</w:t>
            </w:r>
          </w:p>
        </w:tc>
        <w:tc>
          <w:tcPr>
            <w:tcW w:w="1480" w:type="dxa"/>
            <w:vAlign w:val="bottom"/>
            <w:tcBorders>
              <w:right w:val="single" w:sz="8" w:color="auto"/>
            </w:tcBorders>
          </w:tcPr>
          <w:p>
            <w:pPr>
              <w:jc w:val="right"/>
              <w:ind w:right="119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27.98</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3"/>
              </w:rPr>
              <w:t>139,900.00</w:t>
            </w:r>
          </w:p>
        </w:tc>
      </w:tr>
      <w:tr>
        <w:trPr>
          <w:trHeight w:val="230"/>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Solutions</w:t>
            </w:r>
          </w:p>
        </w:tc>
        <w:tc>
          <w:tcPr>
            <w:tcW w:w="11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02"/>
        </w:trPr>
        <w:tc>
          <w:tcPr>
            <w:tcW w:w="17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Telit Wireless</w:t>
            </w:r>
          </w:p>
        </w:tc>
        <w:tc>
          <w:tcPr>
            <w:tcW w:w="11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w w:val="99"/>
              </w:rPr>
              <w:t>9830000838</w:t>
            </w:r>
          </w:p>
        </w:tc>
        <w:tc>
          <w:tcPr>
            <w:tcW w:w="94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I</w:t>
            </w:r>
          </w:p>
        </w:tc>
        <w:tc>
          <w:tcPr>
            <w:tcW w:w="6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5000</w:t>
            </w:r>
          </w:p>
        </w:tc>
        <w:tc>
          <w:tcPr>
            <w:tcW w:w="296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CE910 Dual Verizon Module</w:t>
            </w:r>
          </w:p>
        </w:tc>
        <w:tc>
          <w:tcPr>
            <w:tcW w:w="1480" w:type="dxa"/>
            <w:vAlign w:val="bottom"/>
            <w:tcBorders>
              <w:right w:val="single" w:sz="8" w:color="auto"/>
            </w:tcBorders>
          </w:tcPr>
          <w:p>
            <w:pPr>
              <w:jc w:val="right"/>
              <w:ind w:right="119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27.98</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3"/>
              </w:rPr>
              <w:t>139,900.00</w:t>
            </w:r>
          </w:p>
        </w:tc>
      </w:tr>
      <w:tr>
        <w:trPr>
          <w:trHeight w:val="230"/>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Solutions</w:t>
            </w:r>
          </w:p>
        </w:tc>
        <w:tc>
          <w:tcPr>
            <w:tcW w:w="11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96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3"/>
        </w:trPr>
        <w:tc>
          <w:tcPr>
            <w:tcW w:w="17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bl>
    <w:p>
      <w:pPr>
        <w:ind w:left="120" w:right="200"/>
        <w:spacing w:after="0" w:line="302" w:lineRule="auto"/>
        <w:rPr>
          <w:sz w:val="20"/>
          <w:szCs w:val="20"/>
          <w:color w:val="auto"/>
        </w:rPr>
      </w:pPr>
      <w:r>
        <w:rPr>
          <w:rFonts w:ascii="Arial" w:cs="Arial" w:eastAsia="Arial" w:hAnsi="Arial"/>
          <w:sz w:val="16"/>
          <w:szCs w:val="16"/>
          <w:b w:val="1"/>
          <w:bCs w:val="1"/>
          <w:color w:val="auto"/>
        </w:rPr>
        <w:t>together with all additions, alterations, accessions and modifications thereto and replacements of any part thereof, and substitutions therefore, all accessories, and attachments, in whole or in part. Any related software (embedded therein or otherwise), all intangibles and other rights associated with such equipment, including without limitation any licenses to use or own such equipment, any manufacturer’s or other warranties</w:t>
      </w:r>
    </w:p>
    <w:p>
      <w:pPr>
        <w:sectPr>
          <w:pgSz w:w="11900" w:h="16930" w:orient="portrait"/>
          <w:cols w:equalWidth="0" w:num="1">
            <w:col w:w="11420"/>
          </w:cols>
          <w:pgMar w:left="240" w:top="1132" w:right="239" w:bottom="0" w:gutter="0" w:footer="0" w:header="0"/>
        </w:sectPr>
      </w:pPr>
    </w:p>
    <w:bookmarkStart w:id="191" w:name="page192"/>
    <w:bookmarkEnd w:id="191"/>
    <w:p>
      <w:pPr>
        <w:spacing w:after="0" w:line="266" w:lineRule="auto"/>
        <w:rPr>
          <w:sz w:val="20"/>
          <w:szCs w:val="20"/>
          <w:color w:val="auto"/>
        </w:rPr>
      </w:pPr>
      <w:r>
        <w:rPr>
          <w:rFonts w:ascii="Arial" w:cs="Arial" w:eastAsia="Arial" w:hAnsi="Arial"/>
          <w:sz w:val="18"/>
          <w:szCs w:val="18"/>
          <w:b w:val="1"/>
          <w:bCs w:val="1"/>
          <w:color w:val="auto"/>
        </w:rPr>
        <w:t>with respect to such equipment, all goods, refunds, rebates, remittances, insurance and insurance proceeds, and all rights related thereto, and other property or rights to which the Lessee may be or become entitled by reason of Lessee’s interest in the equipment, software or personal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-424815</wp:posOffset>
            </wp:positionV>
            <wp:extent cx="7246620" cy="5657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56578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569595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360" w:top="121" w:right="719" w:bottom="1440" w:gutter="0" w:footer="0" w:header="0"/>
        </w:sectPr>
      </w:pPr>
    </w:p>
    <w:bookmarkStart w:id="192" w:name="page193"/>
    <w:bookmarkEnd w:id="192"/>
    <w:p>
      <w:pPr>
        <w:ind w:left="102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10.37</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Varilease Finance,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6340 South 3000 East,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 84121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www.varilease.com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801.733.8100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801.733.8900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SALE LEASEBACK AGREEMENT</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SALE LEASEBACK AGREEMENT (“Agreement”), between USA TECHNOLOGIES, INC., a Pennsylvania corporation, having its chief executive offices at 100 Deerfield Lane, Suite 140 , Malvern, PA 19355 (“Seller”) and VARILEASE FINANCE, INC., a Michigan corporation, having its chief executive offices at 6340 South 3000 East, Suite 400, Salt Lake City, UT 84121 (“Purchaser”) is dated and effective this April 30, 2014.</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WHEREAS, Purchaser, as Lessor, and Seller, as Lessee, have entered into Schedule No. 06 dated April 30, 2014 (the “Schedule”) as it incorporates the terms and conditions of Master Lease Agreement dated April 30, 2014 (the “Master Agreement”). The Schedule and Master Agreement shall hereinafter be referred to collectively, as the “Lease”;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WHEREAS, Seller desires Purchaser to purchase from Seller property and equipment listed on one or more Authorizations for Progress Payment and/or an Installation Certificate (collectively, “Authorizations” and individually, “Authorization”) (collectively, the “Equipment” and individually, an “Item of Equipment”), and lease the Equipment back from Purchaser; and,</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Purchaser desires to buy the Equipment from Seller and lease the Equipment to Seller under the terms and conditions of this Agreement, the Authorizations and the Lease.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NOW, THEREFORE, in consideration of the foregoing and in further consideration of the representations and covenants contained herein, the parties agree as follows:</w:t>
      </w:r>
    </w:p>
    <w:p>
      <w:pPr>
        <w:spacing w:after="0" w:line="197" w:lineRule="exact"/>
        <w:rPr>
          <w:sz w:val="20"/>
          <w:szCs w:val="20"/>
          <w:color w:val="auto"/>
        </w:rPr>
      </w:pPr>
    </w:p>
    <w:p>
      <w:pPr>
        <w:jc w:val="both"/>
        <w:ind w:left="660" w:hanging="328"/>
        <w:spacing w:after="0" w:line="279" w:lineRule="auto"/>
        <w:tabs>
          <w:tab w:leader="none" w:pos="660"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Purchase and Sale</w:t>
      </w:r>
      <w:r>
        <w:rPr>
          <w:rFonts w:ascii="Arial" w:cs="Arial" w:eastAsia="Arial" w:hAnsi="Arial"/>
          <w:sz w:val="17"/>
          <w:szCs w:val="17"/>
          <w:color w:val="auto"/>
        </w:rPr>
        <w:t>. Seller hereby sells and Purchaser hereby purchases the Equipment (including all maintenance records, schematics, logic books, manuals, cables, kick plates, form stands, diagnostics and microfiche necessary for the installation, maintenance and operation of the Equipment) described in one or more Authorizations signed by Seller. Each Authorization upon the execution and delivery thereof, shall be incorporated into this Agreement by this reference, and collectively, the Authorizations shall comprise the Equipment.</w:t>
      </w:r>
    </w:p>
    <w:p>
      <w:pPr>
        <w:spacing w:after="0" w:line="19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Purchaser and Seller hereby agree that the purchase price to be paid to Seller by Purchaser for the Equipment shall be $1,097,566.65 which shall be payable to Seller under the terms and conditions of this Agreement, the Authorizations and the Lease.</w:t>
      </w:r>
    </w:p>
    <w:p>
      <w:pPr>
        <w:spacing w:after="0" w:line="197"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Seller represents and warrants that it is responsible for and it has paid all sales and use, property and other taxes assessed or due in connection with Seller’s purchase, use and possession of the Equipment prior to this sale to Purchaser. Seller will pay all taxes in the nature of excise, sales or use taxes imposed upon Seller by any state or political subdivision by reason of the sale provided for herein. Notwithstanding the foregoing, Purchaser warrants that this purchase is for resale and will provide Seller with Purchaser’s resale exemption certificate number.</w:t>
      </w:r>
    </w:p>
    <w:p>
      <w:pPr>
        <w:spacing w:after="0" w:line="198" w:lineRule="exact"/>
        <w:rPr>
          <w:rFonts w:ascii="Arial" w:cs="Arial" w:eastAsia="Arial" w:hAnsi="Arial"/>
          <w:sz w:val="17"/>
          <w:szCs w:val="17"/>
          <w:color w:val="auto"/>
        </w:rPr>
      </w:pPr>
    </w:p>
    <w:p>
      <w:pPr>
        <w:jc w:val="both"/>
        <w:ind w:left="660" w:hanging="328"/>
        <w:spacing w:after="0" w:line="285" w:lineRule="auto"/>
        <w:tabs>
          <w:tab w:leader="none" w:pos="660"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Warranty of Title</w:t>
      </w:r>
      <w:r>
        <w:rPr>
          <w:rFonts w:ascii="Arial" w:cs="Arial" w:eastAsia="Arial" w:hAnsi="Arial"/>
          <w:sz w:val="16"/>
          <w:szCs w:val="16"/>
          <w:color w:val="auto"/>
        </w:rPr>
        <w:t>. SELLER HEREBY WARRANTS TO PURCHASER, ITS SUCCESSORS AND ASSIGNS, THAT SELLER HAS GOOD AND MARKETABLE TITLE TO THE EQUIPMENT, FREE AND CLEAR OF ALL CLAIMS, LIENS, ENCUMBRANCES AND RIGHTS OF OTHERS OF ANY NATURE WHATSOEVER OTHER THAN ANY ASSIGNMENT, SUBLEASE, RENTAL, OR PROCESSING OR SIMILAR AGREEMENTS ENTERED OR TO BE ENTERED INTO FROM TIME TO TIME BETWEEN THE SELLER AND ITS CUSTOMERS OR AGENTS RELATING TO THE EQUIPMENT AND THE USE THEREOF BY ITS CUSTOMERS (“CUSTOMER AGREEMENTS”). BY THIS AGREEMENT, AND SUBJECT TO THE TERMS OF THE LEASE, THE PARTIES AGREE THAT TITLE AND OWNERSHIP OF THOSE ITEMS OF EQUIPMENT SPECIFIED IN ANY AUTHORIZATION SHALL PASS TO PURCHASER AT THE TIME SELLER SIGNS SUCH AUTHORIZATION, AT WHICH TIME SELLER SHALL GRANT, BARGAIN, SELL, TRANSFER AND DELIVER TO PURCHASER ALL OF SELLER’S RIGHT, TITLE AND INTEREST IN THE ITEMS OF EQUIPMENT DESIGNATED ON THE AUTHORIZATION, TO HAVE AND TO HOLD EACH ITEM OF EQUIPMENT UNTO PURCHASER, ITS SUCCESSORS AND ASSIGNS, BY EXECUTING A BILL OF SALE IN FAVOR OF PURCHASER. SUBJECT TO THE CUSTOMER AGREEMENTS, SELLER HEREBY INDEMNIFIES PURCHASER AGAINST ALL CLAIMS AND COSTS INCURRED IN THE DEFENSE OF TITLE TO THE EQUIPMENT BY ANYONE CLAIMING BY OR THROUGH SELLER. Seller is transferring to Purchaser good title to the Equipment, free and clear of all liens and encumbrances of any kind or description other than the Customer Agreements, and each Item of Equipment will be at the time of signing of each Authorization, in good operating condition and appearance and installed (if applicable) and operating in accordance with all manufacturer specifications. Effective at the time of signing of each Authorization, Seller assigns to Purchaser all of its rights and interests in and to any software specified in each Authorization, together with all vendor representations, warranties and indemnities pertaining thereto, and in any license agreement entered into by Seller in connection with such software. Provided no Event of Default has occurred and is continuing under the Lease, Seller is hereby authorized to use such software consistent with the license agreement relating thereto, and to communicate directly with any licensor in all matters relating to the software and license agreement. Seller agrees to perform and discharge when due each and every obligation of licensee under each license agreement and to not breach any provision of the license. Seller assumes and indemnifies Purchaser against all liabilities or claims arising in connection with such license.</w:t>
      </w:r>
    </w:p>
    <w:p>
      <w:pPr>
        <w:spacing w:after="0" w:line="200" w:lineRule="exact"/>
        <w:rPr>
          <w:rFonts w:ascii="Arial" w:cs="Arial" w:eastAsia="Arial" w:hAnsi="Arial"/>
          <w:sz w:val="16"/>
          <w:szCs w:val="16"/>
          <w:color w:val="auto"/>
        </w:rPr>
      </w:pPr>
    </w:p>
    <w:p>
      <w:pPr>
        <w:spacing w:after="0" w:line="211"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Manufacturer’s Warranties</w:t>
      </w:r>
      <w:r>
        <w:rPr>
          <w:rFonts w:ascii="Arial" w:cs="Arial" w:eastAsia="Arial" w:hAnsi="Arial"/>
          <w:sz w:val="18"/>
          <w:szCs w:val="18"/>
          <w:color w:val="auto"/>
        </w:rPr>
        <w:t>. Seller hereby assigns to Purchaser all warranties and indemnities with respect to the Equipment made by the manufacturer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93" w:name="page194"/>
    <w:bookmarkEnd w:id="193"/>
    <w:p>
      <w:pPr>
        <w:ind w:left="328" w:right="20" w:hanging="328"/>
        <w:spacing w:after="0" w:line="277" w:lineRule="auto"/>
        <w:tabs>
          <w:tab w:leader="none" w:pos="328"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Security Interest</w:t>
      </w:r>
      <w:r>
        <w:rPr>
          <w:rFonts w:ascii="Arial" w:cs="Arial" w:eastAsia="Arial" w:hAnsi="Arial"/>
          <w:sz w:val="18"/>
          <w:szCs w:val="18"/>
          <w:color w:val="auto"/>
        </w:rPr>
        <w:t>. Seller hereby reserves a security interest in the Equipment, which interest shall be automatically terminated upon payment by Purchaser of the purchase price as set forth in each Authorization.</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Purchaser’s Obligations</w:t>
      </w:r>
      <w:r>
        <w:rPr>
          <w:rFonts w:ascii="Arial" w:cs="Arial" w:eastAsia="Arial" w:hAnsi="Arial"/>
          <w:sz w:val="17"/>
          <w:szCs w:val="17"/>
          <w:color w:val="auto"/>
        </w:rPr>
        <w:t>. Seller hereby acknowledges that Purchaser’s obligations hereunder are expressly subject to the following conditions:</w:t>
      </w:r>
    </w:p>
    <w:p>
      <w:pPr>
        <w:spacing w:after="0" w:line="263" w:lineRule="exact"/>
        <w:rPr>
          <w:rFonts w:ascii="Arial" w:cs="Arial" w:eastAsia="Arial" w:hAnsi="Arial"/>
          <w:sz w:val="17"/>
          <w:szCs w:val="17"/>
          <w:color w:val="auto"/>
        </w:rPr>
      </w:pPr>
    </w:p>
    <w:p>
      <w:pPr>
        <w:ind w:left="968" w:hanging="320"/>
        <w:spacing w:after="0"/>
        <w:tabs>
          <w:tab w:leader="none" w:pos="968" w:val="left"/>
        </w:tabs>
        <w:numPr>
          <w:ilvl w:val="1"/>
          <w:numId w:val="151"/>
        </w:numPr>
        <w:rPr>
          <w:rFonts w:ascii="Arial" w:cs="Arial" w:eastAsia="Arial" w:hAnsi="Arial"/>
          <w:sz w:val="16"/>
          <w:szCs w:val="16"/>
          <w:color w:val="auto"/>
        </w:rPr>
      </w:pPr>
      <w:r>
        <w:rPr>
          <w:rFonts w:ascii="Arial" w:cs="Arial" w:eastAsia="Arial" w:hAnsi="Arial"/>
          <w:sz w:val="16"/>
          <w:szCs w:val="16"/>
          <w:color w:val="auto"/>
        </w:rPr>
        <w:t>Purchaser’s receipt of the Master Agreement, Schedule, and supplemental documentation pursuant to section 10 of the Schedule within five</w:t>
      </w:r>
    </w:p>
    <w:p>
      <w:pPr>
        <w:spacing w:after="0" w:line="46" w:lineRule="exact"/>
        <w:rPr>
          <w:rFonts w:ascii="Arial" w:cs="Arial" w:eastAsia="Arial" w:hAnsi="Arial"/>
          <w:sz w:val="16"/>
          <w:szCs w:val="16"/>
          <w:color w:val="auto"/>
        </w:rPr>
      </w:pPr>
    </w:p>
    <w:p>
      <w:pPr>
        <w:ind w:left="968"/>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(5) business days from the date of this Agreement. Should the Lease not be executed and delivered by Seller within such five-day period then, at the option of Purchaser, this Agreement shall be null and void </w:t>
      </w:r>
      <w:r>
        <w:rPr>
          <w:rFonts w:ascii="Arial" w:cs="Arial" w:eastAsia="Arial" w:hAnsi="Arial"/>
          <w:sz w:val="18"/>
          <w:szCs w:val="18"/>
          <w:u w:val="single" w:color="auto"/>
          <w:color w:val="auto"/>
        </w:rPr>
        <w:t>ab initio</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968" w:hanging="320"/>
        <w:spacing w:after="0"/>
        <w:tabs>
          <w:tab w:leader="none" w:pos="96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Purchaser’s receipt of properly executed Authorization(s) and Bill(s) of Sale given by Seller in favor of Purchaser.</w:t>
      </w:r>
    </w:p>
    <w:p>
      <w:pPr>
        <w:spacing w:after="0" w:line="252" w:lineRule="exact"/>
        <w:rPr>
          <w:rFonts w:ascii="Arial" w:cs="Arial" w:eastAsia="Arial" w:hAnsi="Arial"/>
          <w:sz w:val="18"/>
          <w:szCs w:val="18"/>
          <w:color w:val="auto"/>
        </w:rPr>
      </w:pPr>
    </w:p>
    <w:p>
      <w:pPr>
        <w:jc w:val="both"/>
        <w:ind w:left="968" w:hanging="320"/>
        <w:spacing w:after="0" w:line="264" w:lineRule="auto"/>
        <w:tabs>
          <w:tab w:leader="none" w:pos="96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Purchaser’s receipt and review of certified UCC searches, or standard UCC searches if certified UCC searches are not available, against Seller showing no security interests, liens or encumbrances on any Item of Equipment, or partial releases of any UCC liens or encumbrances and/or subordinations from lien holders, in a form reasonably acceptable to Purchaser.</w:t>
      </w:r>
    </w:p>
    <w:p>
      <w:pPr>
        <w:spacing w:after="0" w:line="208" w:lineRule="exact"/>
        <w:rPr>
          <w:rFonts w:ascii="Arial" w:cs="Arial" w:eastAsia="Arial" w:hAnsi="Arial"/>
          <w:sz w:val="18"/>
          <w:szCs w:val="18"/>
          <w:color w:val="auto"/>
        </w:rPr>
      </w:pPr>
    </w:p>
    <w:p>
      <w:pPr>
        <w:ind w:left="968" w:hanging="320"/>
        <w:spacing w:after="0"/>
        <w:tabs>
          <w:tab w:leader="none" w:pos="96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Purchaser’s receipt and review of evidence of Seller’s ownership of the Equipment.</w:t>
      </w:r>
    </w:p>
    <w:p>
      <w:pPr>
        <w:spacing w:after="0" w:line="252" w:lineRule="exact"/>
        <w:rPr>
          <w:rFonts w:ascii="Arial" w:cs="Arial" w:eastAsia="Arial" w:hAnsi="Arial"/>
          <w:sz w:val="18"/>
          <w:szCs w:val="18"/>
          <w:color w:val="auto"/>
        </w:rPr>
      </w:pPr>
    </w:p>
    <w:p>
      <w:pPr>
        <w:ind w:left="968" w:hanging="320"/>
        <w:spacing w:after="0"/>
        <w:tabs>
          <w:tab w:leader="none" w:pos="96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other documentation reasonably required by Purchaser</w:t>
      </w:r>
    </w:p>
    <w:p>
      <w:pPr>
        <w:spacing w:after="0" w:line="252" w:lineRule="exact"/>
        <w:rPr>
          <w:rFonts w:ascii="Arial" w:cs="Arial" w:eastAsia="Arial" w:hAnsi="Arial"/>
          <w:sz w:val="18"/>
          <w:szCs w:val="18"/>
          <w:color w:val="auto"/>
        </w:rPr>
      </w:pPr>
    </w:p>
    <w:p>
      <w:pPr>
        <w:ind w:left="328" w:hanging="328"/>
        <w:spacing w:after="0"/>
        <w:tabs>
          <w:tab w:leader="none" w:pos="328"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Seller’s Representations and Warranties</w:t>
      </w:r>
      <w:r>
        <w:rPr>
          <w:rFonts w:ascii="Arial" w:cs="Arial" w:eastAsia="Arial" w:hAnsi="Arial"/>
          <w:sz w:val="18"/>
          <w:szCs w:val="18"/>
          <w:color w:val="auto"/>
        </w:rPr>
        <w:t>. Seller represents and warrants to Purchaser that:</w:t>
      </w:r>
    </w:p>
    <w:p>
      <w:pPr>
        <w:spacing w:after="0" w:line="252"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Seller is duly organized, validly existing and in good standing under the laws of the state of its organization and in all jurisdictions where such qualification is required for it to conduct its business.</w:t>
      </w:r>
    </w:p>
    <w:p>
      <w:pPr>
        <w:spacing w:after="0" w:line="197" w:lineRule="exact"/>
        <w:rPr>
          <w:rFonts w:ascii="Arial" w:cs="Arial" w:eastAsia="Arial" w:hAnsi="Arial"/>
          <w:sz w:val="18"/>
          <w:szCs w:val="18"/>
          <w:color w:val="auto"/>
        </w:rPr>
      </w:pPr>
    </w:p>
    <w:p>
      <w:pPr>
        <w:ind w:left="968" w:right="20" w:hanging="320"/>
        <w:spacing w:after="0" w:line="277" w:lineRule="auto"/>
        <w:tabs>
          <w:tab w:leader="none" w:pos="96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This Agreement has been duly authorized by Seller, and upon execution and delivery by the parties thereto, shall constitute the valid, legal and binding obligation of Seller enforceable in accordance with its terms.</w:t>
      </w:r>
    </w:p>
    <w:p>
      <w:pPr>
        <w:spacing w:after="0" w:line="197" w:lineRule="exact"/>
        <w:rPr>
          <w:rFonts w:ascii="Arial" w:cs="Arial" w:eastAsia="Arial" w:hAnsi="Arial"/>
          <w:sz w:val="18"/>
          <w:szCs w:val="18"/>
          <w:color w:val="auto"/>
        </w:rPr>
      </w:pPr>
    </w:p>
    <w:p>
      <w:pPr>
        <w:jc w:val="both"/>
        <w:ind w:left="968" w:hanging="320"/>
        <w:spacing w:after="0" w:line="286" w:lineRule="auto"/>
        <w:tabs>
          <w:tab w:leader="none" w:pos="968" w:val="left"/>
        </w:tabs>
        <w:numPr>
          <w:ilvl w:val="1"/>
          <w:numId w:val="151"/>
        </w:numPr>
        <w:rPr>
          <w:rFonts w:ascii="Arial" w:cs="Arial" w:eastAsia="Arial" w:hAnsi="Arial"/>
          <w:sz w:val="17"/>
          <w:szCs w:val="17"/>
          <w:color w:val="auto"/>
        </w:rPr>
      </w:pPr>
      <w:r>
        <w:rPr>
          <w:rFonts w:ascii="Arial" w:cs="Arial" w:eastAsia="Arial" w:hAnsi="Arial"/>
          <w:sz w:val="17"/>
          <w:szCs w:val="17"/>
          <w:color w:val="auto"/>
        </w:rPr>
        <w:t>No event has occurred or is continuing which constitutes an event of default under this Agreement or the Lease. No consent, approval or authorization of or by any court, administrative agency or other governmental authority is required in connection with the execution, delivery or performance by Seller of, or the consummation by Seller of the transaction contemplated by this Agreement.</w:t>
      </w:r>
    </w:p>
    <w:p>
      <w:pPr>
        <w:spacing w:after="0" w:line="192" w:lineRule="exact"/>
        <w:rPr>
          <w:rFonts w:ascii="Arial" w:cs="Arial" w:eastAsia="Arial" w:hAnsi="Arial"/>
          <w:sz w:val="17"/>
          <w:szCs w:val="17"/>
          <w:color w:val="auto"/>
        </w:rPr>
      </w:pPr>
    </w:p>
    <w:p>
      <w:pPr>
        <w:ind w:left="968" w:hanging="320"/>
        <w:spacing w:after="0" w:line="277" w:lineRule="auto"/>
        <w:tabs>
          <w:tab w:leader="none" w:pos="96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transaction contemplated by this Agreement complies with all applicable federal and state laws, rules and regulations applicable to Seller.</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Purchaser’s Representations and Warranties</w:t>
      </w:r>
      <w:r>
        <w:rPr>
          <w:rFonts w:ascii="Arial" w:cs="Arial" w:eastAsia="Arial" w:hAnsi="Arial"/>
          <w:sz w:val="18"/>
          <w:szCs w:val="18"/>
          <w:color w:val="auto"/>
        </w:rPr>
        <w:t>. Purchaser represents and warrants to Seller that:</w:t>
      </w:r>
    </w:p>
    <w:p>
      <w:pPr>
        <w:spacing w:after="0" w:line="252"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Purchaser is a corporation duly organized, validly existing and in good standing under the laws of the State of Michigan and in all jurisdictions where such qualification is required for it to conduct its business.</w:t>
      </w:r>
    </w:p>
    <w:p>
      <w:pPr>
        <w:spacing w:after="0" w:line="197"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This Agreement has been duly authorized by Purchaser, and upon the execution and delivery by the parties thereto, shall constitute the valid, legal and binding obligation of Purchaser enforceable in accordance with its terms.</w:t>
      </w:r>
    </w:p>
    <w:p>
      <w:pPr>
        <w:spacing w:after="0" w:line="197"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transactions contemplated by this Agreement comply with all material federal and state laws, rules and regulations applicable to Purchaser.</w:t>
      </w:r>
    </w:p>
    <w:p>
      <w:pPr>
        <w:spacing w:after="0" w:line="197" w:lineRule="exact"/>
        <w:rPr>
          <w:rFonts w:ascii="Arial" w:cs="Arial" w:eastAsia="Arial" w:hAnsi="Arial"/>
          <w:sz w:val="18"/>
          <w:szCs w:val="18"/>
          <w:color w:val="auto"/>
        </w:rPr>
      </w:pPr>
    </w:p>
    <w:p>
      <w:pPr>
        <w:jc w:val="both"/>
        <w:ind w:left="328" w:hanging="328"/>
        <w:spacing w:after="0" w:line="279" w:lineRule="auto"/>
        <w:tabs>
          <w:tab w:leader="none" w:pos="328"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Default and Remedies</w:t>
      </w:r>
      <w:r>
        <w:rPr>
          <w:rFonts w:ascii="Arial" w:cs="Arial" w:eastAsia="Arial" w:hAnsi="Arial"/>
          <w:sz w:val="17"/>
          <w:szCs w:val="17"/>
          <w:color w:val="auto"/>
        </w:rPr>
        <w:t>. In the event any of Seller’s representations made hereunder should be false or misleading in any material respect, or in the event Seller should breach any of its warranties or obligations under this Agreement, Purchaser shall be entitled to exercise all rights and remedies available to it at law or in equity together with all of its rights and remedies under the Lease in Purchaser’s discretion as if they were set forth in this Agreement, and for purposes hereof all such rights and remedies shall be incorporated herein by this reference.</w:t>
      </w:r>
    </w:p>
    <w:p>
      <w:pPr>
        <w:spacing w:after="0" w:line="198" w:lineRule="exact"/>
        <w:rPr>
          <w:rFonts w:ascii="Arial" w:cs="Arial" w:eastAsia="Arial" w:hAnsi="Arial"/>
          <w:sz w:val="17"/>
          <w:szCs w:val="17"/>
          <w:color w:val="auto"/>
        </w:rPr>
      </w:pPr>
    </w:p>
    <w:p>
      <w:pPr>
        <w:jc w:val="both"/>
        <w:ind w:left="328" w:hanging="328"/>
        <w:spacing w:after="0" w:line="259" w:lineRule="auto"/>
        <w:tabs>
          <w:tab w:leader="none" w:pos="328"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Purchaser and Seller agree that this Agreement shall inure to the benefit of and shall be binding upon Seller and Purchaser, their respective successors and assigns. Any assignment by Purchaser shall not require Seller’s prior written approval provided such assignee agrees to observe Purchaser’s covenant of quiet enjoyment under the Master Agreement. Seller shall not assign any interest in this Agreement without Purchaser’s prior written consent.</w:t>
      </w:r>
    </w:p>
    <w:p>
      <w:pPr>
        <w:spacing w:after="0" w:line="213"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Survival of Covenants</w:t>
      </w:r>
      <w:r>
        <w:rPr>
          <w:rFonts w:ascii="Arial" w:cs="Arial" w:eastAsia="Arial" w:hAnsi="Arial"/>
          <w:sz w:val="18"/>
          <w:szCs w:val="18"/>
          <w:color w:val="auto"/>
        </w:rPr>
        <w:t>. Purchaser and Seller agree that the warranties, covenants and agreements contained in this Agreement shall survive the passing of title to the Equipment.</w:t>
      </w:r>
    </w:p>
    <w:p>
      <w:pPr>
        <w:spacing w:after="0" w:line="197"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Seller and Purchaser agree that this Agreement and the Lease, together with any amendments, supplements or riders thereto, shall constitute the entire agreement between the parties with respect to the Equipment and shall supersede all proposals, oral or written, all prior negotiations and all other communications.</w:t>
      </w:r>
    </w:p>
    <w:p>
      <w:pPr>
        <w:spacing w:after="0" w:line="208" w:lineRule="exact"/>
        <w:rPr>
          <w:rFonts w:ascii="Arial" w:cs="Arial" w:eastAsia="Arial" w:hAnsi="Arial"/>
          <w:sz w:val="18"/>
          <w:szCs w:val="18"/>
          <w:color w:val="auto"/>
        </w:rPr>
      </w:pPr>
    </w:p>
    <w:p>
      <w:pPr>
        <w:jc w:val="both"/>
        <w:ind w:left="328" w:hanging="328"/>
        <w:spacing w:after="0" w:line="259" w:lineRule="auto"/>
        <w:tabs>
          <w:tab w:leader="none" w:pos="328"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This Agreement may only be modified by a subsequent writing executed by both parties. If any provision of this Agreement shall be held to be invalid, illegal or unenforceable, the validity, legality and enforceability of the remaining provisions shall not in any way be affected or impaired thereby. This Agreement shall be governed by the laws of the State of Michigan without giving effect to the principles of conflict of laws. Section headings are for convenience only and shall not be construed as 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419100</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22" w:right="239" w:bottom="520" w:gutter="0" w:footer="0" w:header="0"/>
        </w:sectPr>
      </w:pPr>
    </w:p>
    <w:bookmarkStart w:id="194" w:name="page195"/>
    <w:bookmarkEnd w:id="194"/>
    <w:p>
      <w:pPr>
        <w:spacing w:after="0"/>
        <w:rPr>
          <w:sz w:val="20"/>
          <w:szCs w:val="20"/>
          <w:color w:val="auto"/>
        </w:rPr>
      </w:pPr>
      <w:r>
        <w:rPr>
          <w:rFonts w:ascii="Arial" w:cs="Arial" w:eastAsia="Arial" w:hAnsi="Arial"/>
          <w:sz w:val="18"/>
          <w:szCs w:val="18"/>
          <w:color w:val="auto"/>
        </w:rPr>
        <w:t>IN WITNESS WHEREOF, the parties have executed this Sale Leaseback Agreement on the date shown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gridSpan w:val="3"/>
          </w:tcPr>
          <w:p>
            <w:pPr>
              <w:spacing w:after="0"/>
              <w:rPr>
                <w:sz w:val="20"/>
                <w:szCs w:val="20"/>
                <w:color w:val="auto"/>
              </w:rPr>
            </w:pPr>
            <w:r>
              <w:rPr>
                <w:rFonts w:ascii="Arial" w:cs="Arial" w:eastAsia="Arial" w:hAnsi="Arial"/>
                <w:sz w:val="18"/>
                <w:szCs w:val="18"/>
                <w:color w:val="auto"/>
              </w:rPr>
              <w:t>PURCHASER:</w:t>
            </w:r>
          </w:p>
        </w:tc>
        <w:tc>
          <w:tcPr>
            <w:tcW w:w="7280" w:type="dxa"/>
            <w:vAlign w:val="bottom"/>
            <w:gridSpan w:val="3"/>
          </w:tcPr>
          <w:p>
            <w:pPr>
              <w:ind w:left="1900"/>
              <w:spacing w:after="0"/>
              <w:rPr>
                <w:sz w:val="20"/>
                <w:szCs w:val="20"/>
                <w:color w:val="auto"/>
              </w:rPr>
            </w:pPr>
            <w:r>
              <w:rPr>
                <w:rFonts w:ascii="Arial" w:cs="Arial" w:eastAsia="Arial" w:hAnsi="Arial"/>
                <w:sz w:val="18"/>
                <w:szCs w:val="18"/>
                <w:color w:val="auto"/>
              </w:rPr>
              <w:t>SELLER:</w:t>
            </w:r>
          </w:p>
        </w:tc>
      </w:tr>
      <w:tr>
        <w:trPr>
          <w:trHeight w:val="230"/>
        </w:trPr>
        <w:tc>
          <w:tcPr>
            <w:tcW w:w="4140" w:type="dxa"/>
            <w:vAlign w:val="bottom"/>
            <w:gridSpan w:val="3"/>
          </w:tcPr>
          <w:p>
            <w:pPr>
              <w:spacing w:after="0"/>
              <w:rPr>
                <w:sz w:val="20"/>
                <w:szCs w:val="20"/>
                <w:color w:val="auto"/>
              </w:rPr>
            </w:pPr>
            <w:r>
              <w:rPr>
                <w:rFonts w:ascii="Arial" w:cs="Arial" w:eastAsia="Arial" w:hAnsi="Arial"/>
                <w:sz w:val="18"/>
                <w:szCs w:val="18"/>
                <w:color w:val="auto"/>
              </w:rPr>
              <w:t>VARILEASE FINANCE, INC.</w:t>
            </w:r>
          </w:p>
        </w:tc>
        <w:tc>
          <w:tcPr>
            <w:tcW w:w="7280" w:type="dxa"/>
            <w:vAlign w:val="bottom"/>
            <w:gridSpan w:val="3"/>
          </w:tcPr>
          <w:p>
            <w:pPr>
              <w:ind w:left="1900"/>
              <w:spacing w:after="0"/>
              <w:rPr>
                <w:sz w:val="20"/>
                <w:szCs w:val="20"/>
                <w:color w:val="auto"/>
              </w:rPr>
            </w:pPr>
            <w:r>
              <w:rPr>
                <w:rFonts w:ascii="Arial" w:cs="Arial" w:eastAsia="Arial" w:hAnsi="Arial"/>
                <w:sz w:val="18"/>
                <w:szCs w:val="18"/>
                <w:color w:val="auto"/>
              </w:rPr>
              <w:t>USA TECHNOLOGIES, INC.</w:t>
            </w:r>
          </w:p>
        </w:tc>
      </w:tr>
      <w:tr>
        <w:trPr>
          <w:trHeight w:val="432"/>
        </w:trPr>
        <w:tc>
          <w:tcPr>
            <w:tcW w:w="4140" w:type="dxa"/>
            <w:vAlign w:val="bottom"/>
            <w:gridSpan w:val="3"/>
          </w:tcPr>
          <w:p>
            <w:pPr>
              <w:spacing w:after="0"/>
              <w:rPr>
                <w:sz w:val="20"/>
                <w:szCs w:val="20"/>
                <w:color w:val="auto"/>
              </w:rPr>
            </w:pPr>
            <w:r>
              <w:rPr>
                <w:rFonts w:ascii="Arial" w:cs="Arial" w:eastAsia="Arial" w:hAnsi="Arial"/>
                <w:sz w:val="18"/>
                <w:szCs w:val="18"/>
                <w:color w:val="auto"/>
              </w:rPr>
              <w:t>By: /s/ Kristy Phillips</w:t>
            </w:r>
          </w:p>
        </w:tc>
        <w:tc>
          <w:tcPr>
            <w:tcW w:w="7280" w:type="dxa"/>
            <w:vAlign w:val="bottom"/>
            <w:gridSpan w:val="3"/>
          </w:tcPr>
          <w:p>
            <w:pPr>
              <w:ind w:left="1900"/>
              <w:spacing w:after="0"/>
              <w:rPr>
                <w:sz w:val="20"/>
                <w:szCs w:val="20"/>
                <w:color w:val="auto"/>
              </w:rPr>
            </w:pPr>
            <w:r>
              <w:rPr>
                <w:rFonts w:ascii="Arial" w:cs="Arial" w:eastAsia="Arial" w:hAnsi="Arial"/>
                <w:sz w:val="18"/>
                <w:szCs w:val="18"/>
                <w:color w:val="auto"/>
              </w:rPr>
              <w:t>By: /s/ David M. DeMedio</w:t>
            </w:r>
          </w:p>
        </w:tc>
      </w:tr>
      <w:tr>
        <w:trPr>
          <w:trHeight w:val="27"/>
        </w:trPr>
        <w:tc>
          <w:tcPr>
            <w:tcW w:w="3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3420" w:type="dxa"/>
            <w:vAlign w:val="bottom"/>
          </w:tcPr>
          <w:p>
            <w:pPr>
              <w:spacing w:after="0"/>
              <w:rPr>
                <w:sz w:val="2"/>
                <w:szCs w:val="2"/>
                <w:color w:val="auto"/>
              </w:rPr>
            </w:pPr>
          </w:p>
        </w:tc>
      </w:tr>
      <w:tr>
        <w:trPr>
          <w:trHeight w:val="202"/>
        </w:trPr>
        <w:tc>
          <w:tcPr>
            <w:tcW w:w="1600" w:type="dxa"/>
            <w:vAlign w:val="bottom"/>
            <w:gridSpan w:val="2"/>
          </w:tcPr>
          <w:p>
            <w:pPr>
              <w:spacing w:after="0" w:line="201" w:lineRule="exact"/>
              <w:rPr>
                <w:sz w:val="20"/>
                <w:szCs w:val="20"/>
                <w:color w:val="auto"/>
              </w:rPr>
            </w:pPr>
            <w:r>
              <w:rPr>
                <w:rFonts w:ascii="Arial" w:cs="Arial" w:eastAsia="Arial" w:hAnsi="Arial"/>
                <w:sz w:val="18"/>
                <w:szCs w:val="18"/>
                <w:color w:val="auto"/>
                <w:w w:val="95"/>
              </w:rPr>
              <w:t>Name: Kristy Phillips</w:t>
            </w:r>
          </w:p>
        </w:tc>
        <w:tc>
          <w:tcPr>
            <w:tcW w:w="2540" w:type="dxa"/>
            <w:vAlign w:val="bottom"/>
          </w:tcPr>
          <w:p>
            <w:pPr>
              <w:spacing w:after="0"/>
              <w:rPr>
                <w:sz w:val="17"/>
                <w:szCs w:val="17"/>
                <w:color w:val="auto"/>
              </w:rPr>
            </w:pPr>
          </w:p>
        </w:tc>
        <w:tc>
          <w:tcPr>
            <w:tcW w:w="7280" w:type="dxa"/>
            <w:vAlign w:val="bottom"/>
            <w:gridSpan w:val="3"/>
          </w:tcPr>
          <w:p>
            <w:pPr>
              <w:ind w:left="1900"/>
              <w:spacing w:after="0" w:line="201" w:lineRule="exact"/>
              <w:rPr>
                <w:sz w:val="20"/>
                <w:szCs w:val="20"/>
                <w:color w:val="auto"/>
              </w:rPr>
            </w:pPr>
            <w:r>
              <w:rPr>
                <w:rFonts w:ascii="Arial" w:cs="Arial" w:eastAsia="Arial" w:hAnsi="Arial"/>
                <w:sz w:val="18"/>
                <w:szCs w:val="18"/>
                <w:color w:val="auto"/>
              </w:rPr>
              <w:t>Name: David M. DeMedio</w:t>
            </w:r>
          </w:p>
        </w:tc>
      </w:tr>
      <w:tr>
        <w:trPr>
          <w:trHeight w:val="230"/>
        </w:trPr>
        <w:tc>
          <w:tcPr>
            <w:tcW w:w="4140" w:type="dxa"/>
            <w:vAlign w:val="bottom"/>
            <w:gridSpan w:val="3"/>
          </w:tcPr>
          <w:p>
            <w:pPr>
              <w:spacing w:after="0"/>
              <w:rPr>
                <w:sz w:val="20"/>
                <w:szCs w:val="20"/>
                <w:color w:val="auto"/>
              </w:rPr>
            </w:pPr>
            <w:r>
              <w:rPr>
                <w:rFonts w:ascii="Arial" w:cs="Arial" w:eastAsia="Arial" w:hAnsi="Arial"/>
                <w:sz w:val="18"/>
                <w:szCs w:val="18"/>
                <w:color w:val="auto"/>
              </w:rPr>
              <w:t>Title: Vice President</w:t>
            </w:r>
          </w:p>
        </w:tc>
        <w:tc>
          <w:tcPr>
            <w:tcW w:w="7280" w:type="dxa"/>
            <w:vAlign w:val="bottom"/>
            <w:gridSpan w:val="3"/>
          </w:tcPr>
          <w:p>
            <w:pPr>
              <w:ind w:left="1900"/>
              <w:spacing w:after="0"/>
              <w:rPr>
                <w:sz w:val="20"/>
                <w:szCs w:val="20"/>
                <w:color w:val="auto"/>
              </w:rPr>
            </w:pPr>
            <w:r>
              <w:rPr>
                <w:rFonts w:ascii="Arial" w:cs="Arial" w:eastAsia="Arial" w:hAnsi="Arial"/>
                <w:sz w:val="18"/>
                <w:szCs w:val="18"/>
                <w:color w:val="auto"/>
              </w:rPr>
              <w:t>Title: CFO</w:t>
            </w:r>
          </w:p>
        </w:tc>
      </w:tr>
      <w:tr>
        <w:trPr>
          <w:trHeight w:val="675"/>
        </w:trPr>
        <w:tc>
          <w:tcPr>
            <w:tcW w:w="340" w:type="dxa"/>
            <w:vAlign w:val="bottom"/>
            <w:tcBorders>
              <w:bottom w:val="single" w:sz="8" w:color="DCDCDC"/>
            </w:tcBorders>
          </w:tcPr>
          <w:p>
            <w:pPr>
              <w:spacing w:after="0"/>
              <w:rPr>
                <w:sz w:val="24"/>
                <w:szCs w:val="24"/>
                <w:color w:val="auto"/>
              </w:rPr>
            </w:pPr>
          </w:p>
        </w:tc>
        <w:tc>
          <w:tcPr>
            <w:tcW w:w="1260" w:type="dxa"/>
            <w:vAlign w:val="bottom"/>
            <w:tcBorders>
              <w:bottom w:val="single" w:sz="8" w:color="DCDCDC"/>
            </w:tcBorders>
          </w:tcPr>
          <w:p>
            <w:pPr>
              <w:spacing w:after="0"/>
              <w:rPr>
                <w:sz w:val="24"/>
                <w:szCs w:val="24"/>
                <w:color w:val="auto"/>
              </w:rPr>
            </w:pPr>
          </w:p>
        </w:tc>
        <w:tc>
          <w:tcPr>
            <w:tcW w:w="2540" w:type="dxa"/>
            <w:vAlign w:val="bottom"/>
            <w:tcBorders>
              <w:bottom w:val="single" w:sz="8" w:color="DCDCDC"/>
            </w:tcBorders>
          </w:tcPr>
          <w:p>
            <w:pPr>
              <w:spacing w:after="0"/>
              <w:rPr>
                <w:sz w:val="24"/>
                <w:szCs w:val="24"/>
                <w:color w:val="auto"/>
              </w:rPr>
            </w:pPr>
          </w:p>
        </w:tc>
        <w:tc>
          <w:tcPr>
            <w:tcW w:w="2220" w:type="dxa"/>
            <w:vAlign w:val="bottom"/>
            <w:tcBorders>
              <w:bottom w:val="single" w:sz="8" w:color="DCDCDC"/>
            </w:tcBorders>
          </w:tcPr>
          <w:p>
            <w:pPr>
              <w:spacing w:after="0"/>
              <w:rPr>
                <w:sz w:val="24"/>
                <w:szCs w:val="24"/>
                <w:color w:val="auto"/>
              </w:rPr>
            </w:pPr>
          </w:p>
        </w:tc>
        <w:tc>
          <w:tcPr>
            <w:tcW w:w="1640" w:type="dxa"/>
            <w:vAlign w:val="bottom"/>
            <w:tcBorders>
              <w:bottom w:val="single" w:sz="8" w:color="DCDCDC"/>
            </w:tcBorders>
          </w:tcPr>
          <w:p>
            <w:pPr>
              <w:spacing w:after="0"/>
              <w:rPr>
                <w:sz w:val="24"/>
                <w:szCs w:val="24"/>
                <w:color w:val="auto"/>
              </w:rPr>
            </w:pPr>
          </w:p>
        </w:tc>
        <w:tc>
          <w:tcPr>
            <w:tcW w:w="34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22" w:right="2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color w:val="auto"/>
        </w:rPr>
        <w:t>Varilease Finance,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6340 South 3000 East,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 84121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www.varilease.com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801.733.8100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801.733.8900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NO. 06</w:t>
      </w:r>
    </w:p>
    <w:p>
      <w:pPr>
        <w:spacing w:after="0" w:line="2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SCHEDULE NO. 06 dated April 30, 2014 (the “Schedule”) between VARILEASE FINANCE, INC. (the “Lessor”) and USA TECHNOLOGIES, INC. (the “Lessee”) incorporates by reference the terms and conditions of Master Lease Agreement dated April 30, 2014 between Lessor and Lessee (the “Master Agreement”) and constitutes a separate lease between Lessor and Lessee. The Schedule and Master Agreement are hereinafter referred to collectively, as the “Lease”. All capitalized terms used herein but not defined herein shall have the same meanings ascribed to them in the Master Agreement.</w:t>
      </w:r>
    </w:p>
    <w:p>
      <w:pPr>
        <w:spacing w:after="0" w:line="181" w:lineRule="exact"/>
        <w:rPr>
          <w:sz w:val="20"/>
          <w:szCs w:val="20"/>
          <w:color w:val="auto"/>
        </w:rPr>
      </w:pPr>
    </w:p>
    <w:p>
      <w:pPr>
        <w:ind w:left="340" w:hanging="332"/>
        <w:spacing w:after="0" w:line="277" w:lineRule="auto"/>
        <w:tabs>
          <w:tab w:leader="none" w:pos="34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Equipment:</w:t>
      </w:r>
      <w:r>
        <w:rPr>
          <w:rFonts w:ascii="Arial" w:cs="Arial" w:eastAsia="Arial" w:hAnsi="Arial"/>
          <w:sz w:val="18"/>
          <w:szCs w:val="18"/>
          <w:color w:val="auto"/>
        </w:rPr>
        <w:t xml:space="preserve"> Remote cashless point of sale Eport equipment as more fully described in the attached Exhibit A of one (1) page which by this reference becomes a part hereof.</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Equipment Location:</w:t>
      </w:r>
      <w:r>
        <w:rPr>
          <w:rFonts w:ascii="Arial" w:cs="Arial" w:eastAsia="Arial" w:hAnsi="Arial"/>
          <w:sz w:val="18"/>
          <w:szCs w:val="18"/>
          <w:color w:val="auto"/>
        </w:rPr>
        <w:t xml:space="preserve"> Headquartered at 100 Deerfield Lane, Suite 140, Malvern, PA 19355.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3.</w:t>
            </w:r>
          </w:p>
        </w:tc>
        <w:tc>
          <w:tcPr>
            <w:tcW w:w="16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9"/>
              </w:rPr>
              <w:t>Total Equipment Cost:</w:t>
            </w:r>
          </w:p>
        </w:tc>
        <w:tc>
          <w:tcPr>
            <w:tcW w:w="160" w:type="dxa"/>
            <w:vAlign w:val="bottom"/>
          </w:tcPr>
          <w:p>
            <w:pPr>
              <w:spacing w:after="0"/>
              <w:rPr>
                <w:sz w:val="17"/>
                <w:szCs w:val="17"/>
                <w:color w:val="auto"/>
              </w:rPr>
            </w:pPr>
          </w:p>
        </w:tc>
        <w:tc>
          <w:tcPr>
            <w:tcW w:w="9300" w:type="dxa"/>
            <w:vAlign w:val="bottom"/>
          </w:tcPr>
          <w:p>
            <w:pPr>
              <w:ind w:left="160"/>
              <w:spacing w:after="0"/>
              <w:rPr>
                <w:sz w:val="20"/>
                <w:szCs w:val="20"/>
                <w:color w:val="auto"/>
              </w:rPr>
            </w:pPr>
            <w:r>
              <w:rPr>
                <w:rFonts w:ascii="Arial" w:cs="Arial" w:eastAsia="Arial" w:hAnsi="Arial"/>
                <w:sz w:val="18"/>
                <w:szCs w:val="18"/>
                <w:color w:val="auto"/>
              </w:rPr>
              <w:t>$1,097,566.65</w:t>
            </w:r>
          </w:p>
        </w:tc>
      </w:tr>
      <w:tr>
        <w:trPr>
          <w:trHeight w:val="439"/>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4.</w:t>
            </w: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Base Term:</w:t>
            </w:r>
          </w:p>
        </w:tc>
        <w:tc>
          <w:tcPr>
            <w:tcW w:w="960" w:type="dxa"/>
            <w:vAlign w:val="bottom"/>
            <w:gridSpan w:val="3"/>
          </w:tcPr>
          <w:p>
            <w:pPr>
              <w:spacing w:after="0"/>
              <w:rPr>
                <w:sz w:val="24"/>
                <w:szCs w:val="24"/>
                <w:color w:val="auto"/>
              </w:rPr>
            </w:pPr>
          </w:p>
        </w:tc>
        <w:tc>
          <w:tcPr>
            <w:tcW w:w="9300" w:type="dxa"/>
            <w:vAlign w:val="bottom"/>
          </w:tcPr>
          <w:p>
            <w:pPr>
              <w:ind w:left="160"/>
              <w:spacing w:after="0"/>
              <w:rPr>
                <w:sz w:val="20"/>
                <w:szCs w:val="20"/>
                <w:color w:val="auto"/>
              </w:rPr>
            </w:pPr>
            <w:r>
              <w:rPr>
                <w:rFonts w:ascii="Arial" w:cs="Arial" w:eastAsia="Arial" w:hAnsi="Arial"/>
                <w:sz w:val="18"/>
                <w:szCs w:val="18"/>
                <w:color w:val="auto"/>
              </w:rPr>
              <w:t>36 Months</w:t>
            </w:r>
          </w:p>
        </w:tc>
      </w:tr>
      <w:tr>
        <w:trPr>
          <w:trHeight w:val="439"/>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5.</w:t>
            </w: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Base Monthly Rental:</w:t>
            </w:r>
          </w:p>
        </w:tc>
        <w:tc>
          <w:tcPr>
            <w:tcW w:w="200" w:type="dxa"/>
            <w:vAlign w:val="bottom"/>
            <w:gridSpan w:val="2"/>
          </w:tcPr>
          <w:p>
            <w:pPr>
              <w:spacing w:after="0"/>
              <w:rPr>
                <w:sz w:val="24"/>
                <w:szCs w:val="24"/>
                <w:color w:val="auto"/>
              </w:rPr>
            </w:pPr>
          </w:p>
        </w:tc>
        <w:tc>
          <w:tcPr>
            <w:tcW w:w="9300" w:type="dxa"/>
            <w:vAlign w:val="bottom"/>
          </w:tcPr>
          <w:p>
            <w:pPr>
              <w:ind w:left="160"/>
              <w:spacing w:after="0"/>
              <w:rPr>
                <w:sz w:val="20"/>
                <w:szCs w:val="20"/>
                <w:color w:val="auto"/>
              </w:rPr>
            </w:pPr>
            <w:r>
              <w:rPr>
                <w:rFonts w:ascii="Arial" w:cs="Arial" w:eastAsia="Arial" w:hAnsi="Arial"/>
                <w:sz w:val="18"/>
                <w:szCs w:val="18"/>
                <w:color w:val="auto"/>
              </w:rPr>
              <w:t>$29,985.52 (plus applicable sales/use tax)</w:t>
            </w:r>
          </w:p>
        </w:tc>
      </w:tr>
      <w:tr>
        <w:trPr>
          <w:trHeight w:val="439"/>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6.</w:t>
            </w:r>
          </w:p>
        </w:tc>
        <w:tc>
          <w:tcPr>
            <w:tcW w:w="1780" w:type="dxa"/>
            <w:vAlign w:val="bottom"/>
            <w:gridSpan w:val="5"/>
          </w:tcPr>
          <w:p>
            <w:pPr>
              <w:spacing w:after="0"/>
              <w:rPr>
                <w:sz w:val="20"/>
                <w:szCs w:val="20"/>
                <w:color w:val="auto"/>
              </w:rPr>
            </w:pPr>
            <w:r>
              <w:rPr>
                <w:rFonts w:ascii="Arial" w:cs="Arial" w:eastAsia="Arial" w:hAnsi="Arial"/>
                <w:sz w:val="18"/>
                <w:szCs w:val="18"/>
                <w:color w:val="auto"/>
              </w:rPr>
              <w:t>Deposit:</w:t>
            </w:r>
          </w:p>
        </w:tc>
        <w:tc>
          <w:tcPr>
            <w:tcW w:w="9300" w:type="dxa"/>
            <w:vAlign w:val="bottom"/>
          </w:tcPr>
          <w:p>
            <w:pPr>
              <w:ind w:left="380"/>
              <w:spacing w:after="0"/>
              <w:rPr>
                <w:sz w:val="20"/>
                <w:szCs w:val="20"/>
                <w:color w:val="auto"/>
              </w:rPr>
            </w:pPr>
            <w:r>
              <w:rPr>
                <w:rFonts w:ascii="Arial" w:cs="Arial" w:eastAsia="Arial" w:hAnsi="Arial"/>
                <w:sz w:val="18"/>
                <w:szCs w:val="18"/>
                <w:color w:val="auto"/>
                <w:w w:val="91"/>
              </w:rPr>
              <w:t xml:space="preserve">$29,985.52 applied to the last Base Monthly Rental (plus applicable sales/use tax). Lessee shall pay the </w:t>
            </w:r>
            <w:r>
              <w:rPr>
                <w:rFonts w:ascii="Arial" w:cs="Arial" w:eastAsia="Arial" w:hAnsi="Arial"/>
                <w:sz w:val="18"/>
                <w:szCs w:val="18"/>
                <w:i w:val="1"/>
                <w:iCs w:val="1"/>
                <w:color w:val="auto"/>
                <w:w w:val="91"/>
              </w:rPr>
              <w:t>last</w:t>
            </w:r>
            <w:r>
              <w:rPr>
                <w:rFonts w:ascii="Arial" w:cs="Arial" w:eastAsia="Arial" w:hAnsi="Arial"/>
                <w:sz w:val="18"/>
                <w:szCs w:val="18"/>
                <w:color w:val="auto"/>
                <w:w w:val="91"/>
              </w:rPr>
              <w:t xml:space="preserve"> Base Monthly</w:t>
            </w:r>
          </w:p>
        </w:tc>
      </w:tr>
      <w:tr>
        <w:trPr>
          <w:trHeight w:val="20"/>
        </w:trPr>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Rental in advance upon the execution of this Schedule. Lessee acknowledges and agrees that, notwithstanding anything to the contrary herein, this payment is non-refundable to Lessee under any circumstances, including, without limitation, any termination of this Lease for any reason prior to the end of its scheduled term. This payment shall be deemed earned by Lessor, and upon receipt by Lessor, shall immediately be applied to satisfy Lessee’s obligation to make the last Base Monthly Rental. Lessee and Lessor acknowledge that the $50,000 previously paid to Lessor by Lessee shall be applied by Lessor as a credit towards the deposit due hereunder.</w:t>
      </w:r>
    </w:p>
    <w:p>
      <w:pPr>
        <w:spacing w:after="0" w:line="215" w:lineRule="exact"/>
        <w:rPr>
          <w:sz w:val="20"/>
          <w:szCs w:val="20"/>
          <w:color w:val="auto"/>
        </w:rPr>
      </w:pPr>
    </w:p>
    <w:p>
      <w:pPr>
        <w:ind w:left="340" w:hanging="332"/>
        <w:spacing w:after="0"/>
        <w:tabs>
          <w:tab w:leader="none" w:pos="34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Base Lease Rate Factor:</w:t>
      </w:r>
      <w:r>
        <w:rPr>
          <w:rFonts w:ascii="Arial" w:cs="Arial" w:eastAsia="Arial" w:hAnsi="Arial"/>
          <w:sz w:val="18"/>
          <w:szCs w:val="18"/>
          <w:color w:val="auto"/>
        </w:rPr>
        <w:t xml:space="preserve">  0.02732</w:t>
      </w:r>
    </w:p>
    <w:p>
      <w:pPr>
        <w:spacing w:after="0" w:line="248" w:lineRule="exact"/>
        <w:rPr>
          <w:rFonts w:ascii="Arial" w:cs="Arial" w:eastAsia="Arial" w:hAnsi="Arial"/>
          <w:sz w:val="18"/>
          <w:szCs w:val="18"/>
          <w:color w:val="auto"/>
        </w:rPr>
      </w:pPr>
    </w:p>
    <w:p>
      <w:pPr>
        <w:jc w:val="both"/>
        <w:ind w:left="340" w:hanging="332"/>
        <w:spacing w:after="0" w:line="261" w:lineRule="auto"/>
        <w:tabs>
          <w:tab w:leader="none" w:pos="34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Floating Lease Rate Factor:</w:t>
      </w:r>
      <w:r>
        <w:rPr>
          <w:rFonts w:ascii="Arial" w:cs="Arial" w:eastAsia="Arial" w:hAnsi="Arial"/>
          <w:sz w:val="18"/>
          <w:szCs w:val="18"/>
          <w:color w:val="auto"/>
        </w:rPr>
        <w:t xml:space="preserve"> The Base Lease Rate Factor shown in Section 7, </w:t>
      </w:r>
      <w:r>
        <w:rPr>
          <w:rFonts w:ascii="Arial" w:cs="Arial" w:eastAsia="Arial" w:hAnsi="Arial"/>
          <w:sz w:val="18"/>
          <w:szCs w:val="18"/>
          <w:b w:val="1"/>
          <w:bCs w:val="1"/>
          <w:color w:val="auto"/>
        </w:rPr>
        <w:t>which is used to calculate the Base Monthly Rental,</w:t>
      </w:r>
      <w:r>
        <w:rPr>
          <w:rFonts w:ascii="Arial" w:cs="Arial" w:eastAsia="Arial" w:hAnsi="Arial"/>
          <w:sz w:val="18"/>
          <w:szCs w:val="18"/>
          <w:color w:val="auto"/>
        </w:rPr>
        <w:t xml:space="preserve"> shall increase 0.00008775 for every five (5) basis point increase in 36-month U.S. Treasury Notes, until all Items of Equipment have been installed, at which point the date set forth on the Installation Certificate of the Lease shall have occurred. The 36-month U.S. Treasury Note yield used as the basis for the derivation of the Base Lease Rate Factor contained herein is 0.82%.</w:t>
      </w:r>
    </w:p>
    <w:p>
      <w:pPr>
        <w:spacing w:after="0" w:line="211" w:lineRule="exact"/>
        <w:rPr>
          <w:rFonts w:ascii="Arial" w:cs="Arial" w:eastAsia="Arial" w:hAnsi="Arial"/>
          <w:sz w:val="18"/>
          <w:szCs w:val="18"/>
          <w:color w:val="auto"/>
        </w:rPr>
      </w:pPr>
    </w:p>
    <w:p>
      <w:pPr>
        <w:ind w:left="340" w:hanging="332"/>
        <w:spacing w:after="0"/>
        <w:tabs>
          <w:tab w:leader="none" w:pos="34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Equipment Return Location:</w:t>
      </w:r>
      <w:r>
        <w:rPr>
          <w:rFonts w:ascii="Arial" w:cs="Arial" w:eastAsia="Arial" w:hAnsi="Arial"/>
          <w:sz w:val="18"/>
          <w:szCs w:val="18"/>
          <w:color w:val="auto"/>
        </w:rPr>
        <w:t xml:space="preserve"> To Be Advised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Special Terms:</w:t>
      </w:r>
    </w:p>
    <w:p>
      <w:pPr>
        <w:spacing w:after="0" w:line="252" w:lineRule="exact"/>
        <w:rPr>
          <w:rFonts w:ascii="Arial" w:cs="Arial" w:eastAsia="Arial" w:hAnsi="Arial"/>
          <w:sz w:val="18"/>
          <w:szCs w:val="18"/>
          <w:color w:val="auto"/>
        </w:rPr>
      </w:pPr>
    </w:p>
    <w:p>
      <w:pPr>
        <w:jc w:val="both"/>
        <w:ind w:left="980" w:hanging="324"/>
        <w:spacing w:after="0" w:line="254" w:lineRule="auto"/>
        <w:tabs>
          <w:tab w:leader="none" w:pos="980"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Self Maintenance</w:t>
      </w:r>
      <w:r>
        <w:rPr>
          <w:rFonts w:ascii="Arial" w:cs="Arial" w:eastAsia="Arial" w:hAnsi="Arial"/>
          <w:sz w:val="18"/>
          <w:szCs w:val="18"/>
          <w:color w:val="auto"/>
        </w:rPr>
        <w:t>: For this Schedule only, Lessee shall, during the term of the Lease, self-maintain the Equipment, including Improvements, in accordance with manufacturer recommendations, or engage the services of a maintenance organization (the “Maintenance Organization”) to maintain the Equipment, including Improvements, and provide Lessor upon request with a copy of such maintenance contract as amended or supplemented, if applicable. During the term of the Lease, Lessee shall, at its expense, keep the Equipment, including Improvements, in good working order, repair, appearance and condition and make all necessary adjustments, repairs and replacements, all of which shall become the property of Lessor. Lessee shall not use or permit the use of the Equipment, including Improvements, for any purpose for which, in the opinion of the manufacturer of the Equipment, including Improvements, or Maintenance Organization, the Equipment, including Improvements, is not designed or intended.</w:t>
      </w:r>
    </w:p>
    <w:p>
      <w:pPr>
        <w:spacing w:after="0" w:line="219"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Authorization for Automatic Withdrawals</w:t>
      </w:r>
      <w:r>
        <w:rPr>
          <w:rFonts w:ascii="Arial" w:cs="Arial" w:eastAsia="Arial" w:hAnsi="Arial"/>
          <w:sz w:val="18"/>
          <w:szCs w:val="18"/>
          <w:color w:val="auto"/>
        </w:rPr>
        <w:t>: Lessee hereby authorizes Lessor or its assigns to electronically transfer all rental payments and other sums required to fulfill Lessee’s contractual obligation under the Lease from Lessee’s account maintained with its financial institution, and Lessee agrees to execute and deliver an Authorization Agreement for Automatic Withdrawals to Lessor to effect such transfers. Failure or refusal of Lessee to authorize such transfers or failure of Lessor or its assigns to receive such payments by electronic transfer shall constitute an additional Event of Default under Section 16(a) of the Master Agreement.</w:t>
      </w:r>
    </w:p>
    <w:p>
      <w:pPr>
        <w:spacing w:after="0" w:line="215" w:lineRule="exact"/>
        <w:rPr>
          <w:sz w:val="20"/>
          <w:szCs w:val="20"/>
          <w:color w:val="auto"/>
        </w:rPr>
      </w:pPr>
    </w:p>
    <w:p>
      <w:pPr>
        <w:ind w:left="9880"/>
        <w:spacing w:after="0"/>
        <w:rPr>
          <w:sz w:val="20"/>
          <w:szCs w:val="20"/>
          <w:color w:val="auto"/>
        </w:rPr>
      </w:pPr>
      <w:r>
        <w:rPr>
          <w:rFonts w:ascii="Arial" w:cs="Arial" w:eastAsia="Arial" w:hAnsi="Arial"/>
          <w:sz w:val="16"/>
          <w:szCs w:val="16"/>
          <w:color w:val="auto"/>
        </w:rPr>
        <w:t xml:space="preserve">Lessee Initials: </w:t>
      </w:r>
      <w:r>
        <w:rPr>
          <w:rFonts w:ascii="Arial" w:cs="Arial" w:eastAsia="Arial" w:hAnsi="Arial"/>
          <w:sz w:val="16"/>
          <w:szCs w:val="16"/>
          <w:u w:val="single" w:color="auto"/>
          <w:color w:val="auto"/>
        </w:rPr>
        <w:t>DMD</w:t>
      </w:r>
    </w:p>
    <w:p>
      <w:pPr>
        <w:spacing w:after="0" w:line="275" w:lineRule="exact"/>
        <w:rPr>
          <w:sz w:val="20"/>
          <w:szCs w:val="20"/>
          <w:color w:val="auto"/>
        </w:rPr>
      </w:pPr>
    </w:p>
    <w:p>
      <w:pPr>
        <w:jc w:val="both"/>
        <w:ind w:left="980" w:hanging="324"/>
        <w:spacing w:after="0" w:line="264" w:lineRule="auto"/>
        <w:tabs>
          <w:tab w:leader="none" w:pos="98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Guaranty</w:t>
      </w:r>
      <w:r>
        <w:rPr>
          <w:rFonts w:ascii="Arial" w:cs="Arial" w:eastAsia="Arial" w:hAnsi="Arial"/>
          <w:sz w:val="18"/>
          <w:szCs w:val="18"/>
          <w:color w:val="auto"/>
        </w:rPr>
        <w:t>: Notwithstanding anything to the contrary herein, the parties acknowledge and agree that this Lease is guaranteed by Stitch Networks Corporation and USAT Capital Corp, LLC as set forth in the Guaranty documents, each dated April 30, 2014, copies of which are attached hereto and incorporated herein.</w:t>
      </w:r>
    </w:p>
    <w:p>
      <w:pPr>
        <w:spacing w:after="0" w:line="208" w:lineRule="exact"/>
        <w:rPr>
          <w:sz w:val="20"/>
          <w:szCs w:val="20"/>
          <w:color w:val="auto"/>
        </w:rPr>
      </w:pPr>
    </w:p>
    <w:p>
      <w:pPr>
        <w:spacing w:after="0"/>
        <w:tabs>
          <w:tab w:leader="none" w:pos="9220" w:val="left"/>
        </w:tabs>
        <w:rPr>
          <w:sz w:val="20"/>
          <w:szCs w:val="20"/>
          <w:color w:val="auto"/>
        </w:rPr>
      </w:pPr>
      <w:r>
        <w:rPr>
          <w:rFonts w:ascii="Arial" w:cs="Arial" w:eastAsia="Arial" w:hAnsi="Arial"/>
          <w:sz w:val="18"/>
          <w:szCs w:val="18"/>
          <w:color w:val="auto"/>
        </w:rPr>
        <w:t xml:space="preserve">Lessor Initials: </w:t>
      </w:r>
      <w:r>
        <w:rPr>
          <w:rFonts w:ascii="Arial" w:cs="Arial" w:eastAsia="Arial" w:hAnsi="Arial"/>
          <w:sz w:val="18"/>
          <w:szCs w:val="18"/>
          <w:u w:val="single" w:color="auto"/>
          <w:color w:val="auto"/>
        </w:rPr>
        <w:t>KP</w:t>
      </w:r>
      <w:r>
        <w:rPr>
          <w:sz w:val="20"/>
          <w:szCs w:val="20"/>
          <w:color w:val="auto"/>
        </w:rPr>
        <w:tab/>
      </w:r>
      <w:r>
        <w:rPr>
          <w:rFonts w:ascii="Arial" w:cs="Arial" w:eastAsia="Arial" w:hAnsi="Arial"/>
          <w:sz w:val="16"/>
          <w:szCs w:val="16"/>
          <w:color w:val="auto"/>
        </w:rPr>
        <w:t xml:space="preserve">Lessee Initials: </w:t>
      </w:r>
      <w:r>
        <w:rPr>
          <w:rFonts w:ascii="Arial" w:cs="Arial" w:eastAsia="Arial" w:hAnsi="Arial"/>
          <w:sz w:val="16"/>
          <w:szCs w:val="16"/>
          <w:u w:val="single" w:color="auto"/>
          <w:color w:val="auto"/>
        </w:rPr>
        <w:t>DMD</w:t>
      </w:r>
    </w:p>
    <w:p>
      <w:pPr>
        <w:spacing w:after="0" w:line="23" w:lineRule="exact"/>
        <w:rPr>
          <w:sz w:val="20"/>
          <w:szCs w:val="20"/>
          <w:color w:val="auto"/>
        </w:rPr>
      </w:pPr>
    </w:p>
    <w:p>
      <w:pPr>
        <w:jc w:val="both"/>
        <w:ind w:left="980" w:hanging="324"/>
        <w:spacing w:after="0" w:line="254" w:lineRule="auto"/>
        <w:tabs>
          <w:tab w:leader="none" w:pos="98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Sale Leaseback:</w:t>
      </w:r>
      <w:r>
        <w:rPr>
          <w:rFonts w:ascii="Arial" w:cs="Arial" w:eastAsia="Arial" w:hAnsi="Arial"/>
          <w:sz w:val="18"/>
          <w:szCs w:val="18"/>
          <w:color w:val="auto"/>
        </w:rPr>
        <w:t xml:space="preserve"> Notwithstanding anything to the contrary herein, the parties acknowledge and agree that this transaction is structured as a sale leaseback, whereby Lessor shall purchase the equipment from Lessee for purposes of leasing the equipment back to Lessee in accordance with the terms and conditions set forth in the Sale Leaseback Agreement dated April 30, 2014, a copy of which is attached hereto and incorporated herein.</w:t>
      </w:r>
    </w:p>
    <w:p>
      <w:pPr>
        <w:sectPr>
          <w:pgSz w:w="11900" w:h="16838" w:orient="portrait"/>
          <w:cols w:equalWidth="0" w:num="1">
            <w:col w:w="11420"/>
          </w:cols>
          <w:pgMar w:left="240" w:top="922" w:right="239" w:bottom="199" w:gutter="0" w:footer="0" w:header="0"/>
        </w:sectPr>
      </w:pPr>
    </w:p>
    <w:bookmarkStart w:id="196" w:name="page197"/>
    <w:bookmarkEnd w:id="196"/>
    <w:p>
      <w:pPr>
        <w:jc w:val="both"/>
        <w:spacing w:after="0" w:line="254"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both"/>
        <w:ind w:left="980" w:hanging="324"/>
        <w:spacing w:after="0" w:line="254" w:lineRule="auto"/>
        <w:tabs>
          <w:tab w:leader="none" w:pos="98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Master Agreement Amendment</w:t>
      </w:r>
      <w:r>
        <w:rPr>
          <w:rFonts w:ascii="Arial" w:cs="Arial" w:eastAsia="Arial" w:hAnsi="Arial"/>
          <w:sz w:val="18"/>
          <w:szCs w:val="18"/>
          <w:color w:val="auto"/>
        </w:rPr>
        <w:t>: For purposes of this Schedule only, the following shall be added as the last sentence of Section 19(b) of the Master Agreement “At the conclusion of option (ii) above and upon Lessee’s payment to Lessor of (i) all unpaid Rental Payments, including any applicable sales tax, (ii) all unpaid property taxes, (iii) all accrued but unbilled property taxes, and (iv) all unpaid late charges, any and all of the Lessor’s and/or any Assignee’s right, title and interest in and to the Equipment shall pass to Lessee, or if the Equipment includes software which is subject to a license, then any and all of Lessor’s or any Assignee’s rights, title, and interests in and to the software shall pass to Lessee, and the Lease shall terminate. At the time of such termination, Lessor shall remove of record any and all UCC financing statements and any other applicable filings and recordings evidencing the Lease”. All other terms and conditions of the Master Agreement shall remain in full force and effect without change.</w:t>
      </w:r>
    </w:p>
    <w:p>
      <w:pPr>
        <w:spacing w:after="0" w:line="219" w:lineRule="exact"/>
        <w:rPr>
          <w:rFonts w:ascii="Arial" w:cs="Arial" w:eastAsia="Arial" w:hAnsi="Arial"/>
          <w:sz w:val="18"/>
          <w:szCs w:val="18"/>
          <w:color w:val="auto"/>
        </w:rPr>
      </w:pPr>
    </w:p>
    <w:p>
      <w:pPr>
        <w:jc w:val="both"/>
        <w:ind w:left="980" w:hanging="324"/>
        <w:spacing w:after="0" w:line="270" w:lineRule="auto"/>
        <w:tabs>
          <w:tab w:leader="none" w:pos="980"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Tax Payment and Indemnification</w:t>
      </w:r>
      <w:r>
        <w:rPr>
          <w:rFonts w:ascii="Arial" w:cs="Arial" w:eastAsia="Arial" w:hAnsi="Arial"/>
          <w:sz w:val="17"/>
          <w:szCs w:val="17"/>
          <w:color w:val="auto"/>
        </w:rPr>
        <w:t>: Notwithstanding anything to the contrary in the Master Agreement, for this Schedule only, during the term of the Lease, Lessee shall pay directly all taxes, fees, and assessments, including, but not limited to, sales, use and property tax, that may be imposed by any taxing authority on the Equipment, on its purchase, ownership, delivery, possession, operation, rental, return to Lessor or its purchase by Lessee (collectively, “Taxes”). Lessee hereby agrees to indemnify and hold Lessor harmless from and against any and all losses incurred by Lessor arising out of Lessee’s absolute and unconditional obligation to remit any and all Taxes directly to the taxing authority as required under the laws of the state where any Item of Equipment is located (“Jurisdiction”), and to provide quarterly and/or annual reports, as applicable, to Lessor verifying that all Taxes have been paid in accordance with the laws of each applicable Jurisdiction. Lessee further agrees to indemnify, defend and hold Lessor harmless from and against any and all demands, claims, costs, expenses, attorney fees or liabilities that may result therefrom or from enforcement of this Indemnification.</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Lessee Initials: </w:t>
      </w:r>
      <w:r>
        <w:rPr>
          <w:rFonts w:ascii="Arial" w:cs="Arial" w:eastAsia="Arial" w:hAnsi="Arial"/>
          <w:sz w:val="18"/>
          <w:szCs w:val="18"/>
          <w:u w:val="single" w:color="auto"/>
          <w:color w:val="auto"/>
        </w:rPr>
        <w:t>DMD</w:t>
      </w:r>
    </w:p>
    <w:p>
      <w:pPr>
        <w:spacing w:after="0" w:line="252" w:lineRule="exact"/>
        <w:rPr>
          <w:sz w:val="20"/>
          <w:szCs w:val="20"/>
          <w:color w:val="auto"/>
        </w:rPr>
      </w:pPr>
    </w:p>
    <w:p>
      <w:pPr>
        <w:jc w:val="both"/>
        <w:ind w:left="980" w:hanging="324"/>
        <w:spacing w:after="0" w:line="291" w:lineRule="auto"/>
        <w:tabs>
          <w:tab w:leader="none" w:pos="980"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Tracking Report</w:t>
      </w:r>
      <w:r>
        <w:rPr>
          <w:rFonts w:ascii="Arial" w:cs="Arial" w:eastAsia="Arial" w:hAnsi="Arial"/>
          <w:sz w:val="16"/>
          <w:szCs w:val="16"/>
          <w:color w:val="auto"/>
        </w:rPr>
        <w:t xml:space="preserve">: Lessee hereby agrees to provide to Lessor, on a quarterly basis or as requested by Lessor, a current location tracking report for all Items of Equipment, in a form satisfactory to Lessor in its sole discretion. </w:t>
      </w:r>
      <w:r>
        <w:rPr>
          <w:rFonts w:ascii="Arial" w:cs="Arial" w:eastAsia="Arial" w:hAnsi="Arial"/>
          <w:sz w:val="16"/>
          <w:szCs w:val="16"/>
          <w:b w:val="1"/>
          <w:bCs w:val="1"/>
          <w:color w:val="auto"/>
        </w:rPr>
        <w:t>FAILURE OF LESSEE TO PROVIDE THE TRACKING</w:t>
      </w:r>
    </w:p>
    <w:p>
      <w:pPr>
        <w:ind w:left="980"/>
        <w:spacing w:after="0"/>
        <w:rPr>
          <w:rFonts w:ascii="Arial" w:cs="Arial" w:eastAsia="Arial" w:hAnsi="Arial"/>
          <w:sz w:val="16"/>
          <w:szCs w:val="16"/>
          <w:color w:val="auto"/>
        </w:rPr>
      </w:pPr>
      <w:r>
        <w:rPr>
          <w:rFonts w:ascii="Arial" w:cs="Arial" w:eastAsia="Arial" w:hAnsi="Arial"/>
          <w:sz w:val="18"/>
          <w:szCs w:val="18"/>
          <w:b w:val="1"/>
          <w:bCs w:val="1"/>
          <w:color w:val="auto"/>
        </w:rPr>
        <w:t>REPORT TO LESSOR AS PROVIDED HEREIN SHALL CONSTITUTE AN EVENT OF DEFAULT UNDER SECTION 16(a)(IV)</w:t>
      </w:r>
    </w:p>
    <w:p>
      <w:pPr>
        <w:spacing w:after="0" w:line="9"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b w:val="1"/>
          <w:bCs w:val="1"/>
          <w:color w:val="auto"/>
        </w:rPr>
        <w:t>OF THE MASTER AGREEMENT</w:t>
      </w:r>
      <w:r>
        <w:rPr>
          <w:rFonts w:ascii="Arial" w:cs="Arial" w:eastAsia="Arial" w:hAnsi="Arial"/>
          <w:sz w:val="18"/>
          <w:szCs w:val="18"/>
          <w:color w:val="auto"/>
        </w:rPr>
        <w:t>.</w:t>
      </w:r>
    </w:p>
    <w:p>
      <w:pPr>
        <w:spacing w:after="0" w:line="237" w:lineRule="exact"/>
        <w:rPr>
          <w:rFonts w:ascii="Arial" w:cs="Arial" w:eastAsia="Arial" w:hAnsi="Arial"/>
          <w:sz w:val="16"/>
          <w:szCs w:val="16"/>
          <w:color w:val="auto"/>
        </w:rPr>
      </w:pPr>
    </w:p>
    <w:p>
      <w:pPr>
        <w:ind w:left="980" w:hanging="324"/>
        <w:spacing w:after="0"/>
        <w:tabs>
          <w:tab w:leader="none" w:pos="98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Master Agreement Amendment</w:t>
      </w:r>
      <w:r>
        <w:rPr>
          <w:rFonts w:ascii="Arial" w:cs="Arial" w:eastAsia="Arial" w:hAnsi="Arial"/>
          <w:sz w:val="18"/>
          <w:szCs w:val="18"/>
          <w:color w:val="auto"/>
        </w:rPr>
        <w:t>: For this Schedule only, the Master Agreement shall further be amended as follows:</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fourth line of Section 2(a) shall be amended by deleting “calendar quarter” and replacing it with “month”.</w:t>
      </w:r>
    </w:p>
    <w:p>
      <w:pPr>
        <w:spacing w:after="0" w:line="252" w:lineRule="exact"/>
        <w:rPr>
          <w:rFonts w:ascii="Arial" w:cs="Arial" w:eastAsia="Arial" w:hAnsi="Arial"/>
          <w:sz w:val="18"/>
          <w:szCs w:val="18"/>
          <w:color w:val="auto"/>
        </w:rPr>
      </w:pPr>
    </w:p>
    <w:p>
      <w:pPr>
        <w:ind w:left="1620" w:hanging="315"/>
        <w:spacing w:after="0" w:line="277" w:lineRule="auto"/>
        <w:tabs>
          <w:tab w:leader="none" w:pos="16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Section 3(a) shall be amended by deleting the phrase “from the date such Item was installed” and replacing it with “from the Installation Date”.</w:t>
      </w:r>
    </w:p>
    <w:p>
      <w:pPr>
        <w:spacing w:after="0" w:line="197" w:lineRule="exact"/>
        <w:rPr>
          <w:rFonts w:ascii="Arial" w:cs="Arial" w:eastAsia="Arial" w:hAnsi="Arial"/>
          <w:sz w:val="18"/>
          <w:szCs w:val="18"/>
          <w:color w:val="auto"/>
        </w:rPr>
      </w:pPr>
    </w:p>
    <w:p>
      <w:pPr>
        <w:jc w:val="both"/>
        <w:ind w:left="1620" w:hanging="315"/>
        <w:spacing w:after="0" w:line="272" w:lineRule="auto"/>
        <w:tabs>
          <w:tab w:leader="none" w:pos="162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Section 6(b) of the Master Agreement shall be deleted in its entirety and replaced with the following: “(b) Provided that no Event of Default shall have occurred, Lessee and/or its assigns, agents, customers, or sublesses shall, at all times during the term of the Lease, be entitled to unlimited use and enjoyment of the Equipment. In no event shall the Equipment be moved outside the continental, contiguous United States. Lessee and/or its assigns, customers, agents, or sublesses of the equipment will comply with all laws, regulations, and ordinances, and all applicable requirements of the manufacturer of the Equipment that apply to the physical possession, use, operation, condition, and maintenance of the Equipment. Lessee agrees to obtain, or to require its customers or agents to obtain, all permits and licenses necessary for the operation of the Equipment.”</w:t>
      </w:r>
    </w:p>
    <w:p>
      <w:pPr>
        <w:spacing w:after="0" w:line="204" w:lineRule="exact"/>
        <w:rPr>
          <w:rFonts w:ascii="Arial" w:cs="Arial" w:eastAsia="Arial" w:hAnsi="Arial"/>
          <w:sz w:val="17"/>
          <w:szCs w:val="17"/>
          <w:color w:val="auto"/>
        </w:rPr>
      </w:pPr>
    </w:p>
    <w:p>
      <w:pPr>
        <w:ind w:left="1620" w:right="20" w:hanging="315"/>
        <w:spacing w:after="0" w:line="308" w:lineRule="auto"/>
        <w:tabs>
          <w:tab w:leader="none" w:pos="162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The first sentence of Section 6(c) shall be amended by adding “; provided, however, that the foregoing shall not refer to or include any firmware of Lessee or any other intellectual property of Lessee, including Lessee’s software” before the parenthetical phrase.</w:t>
      </w:r>
    </w:p>
    <w:p>
      <w:pPr>
        <w:spacing w:after="0" w:line="173" w:lineRule="exact"/>
        <w:rPr>
          <w:rFonts w:ascii="Arial" w:cs="Arial" w:eastAsia="Arial" w:hAnsi="Arial"/>
          <w:sz w:val="17"/>
          <w:szCs w:val="17"/>
          <w:color w:val="auto"/>
        </w:rPr>
      </w:pPr>
    </w:p>
    <w:p>
      <w:pPr>
        <w:ind w:left="1620" w:hanging="315"/>
        <w:spacing w:after="0"/>
        <w:tabs>
          <w:tab w:leader="none" w:pos="16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first sentence of Section 8(a) shall be deleted.</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Section 8(c) shall be amended as follows:</w:t>
      </w:r>
    </w:p>
    <w:p>
      <w:pPr>
        <w:spacing w:after="0" w:line="252" w:lineRule="exact"/>
        <w:rPr>
          <w:rFonts w:ascii="Arial" w:cs="Arial" w:eastAsia="Arial" w:hAnsi="Arial"/>
          <w:sz w:val="18"/>
          <w:szCs w:val="18"/>
          <w:color w:val="auto"/>
        </w:rPr>
      </w:pPr>
    </w:p>
    <w:p>
      <w:pPr>
        <w:jc w:val="both"/>
        <w:ind w:left="2280" w:hanging="489"/>
        <w:spacing w:after="0" w:line="257" w:lineRule="auto"/>
        <w:tabs>
          <w:tab w:leader="none" w:pos="2280" w:val="left"/>
        </w:tabs>
        <w:numPr>
          <w:ilvl w:val="2"/>
          <w:numId w:val="157"/>
        </w:numPr>
        <w:rPr>
          <w:rFonts w:ascii="Arial" w:cs="Arial" w:eastAsia="Arial" w:hAnsi="Arial"/>
          <w:sz w:val="18"/>
          <w:szCs w:val="18"/>
          <w:color w:val="auto"/>
        </w:rPr>
      </w:pPr>
      <w:r>
        <w:rPr>
          <w:rFonts w:ascii="Arial" w:cs="Arial" w:eastAsia="Arial" w:hAnsi="Arial"/>
          <w:sz w:val="18"/>
          <w:szCs w:val="18"/>
          <w:color w:val="auto"/>
        </w:rPr>
        <w:t>“; PROVIDED, HOWEVER, THAT LESSEE MAY AND IS HEREBY SPECIFICIALLY AUTHORIZED TO FROM TIME TO TIME OR AT ANY TIME TO, ASSIGN, SUBLET, RENT, OR TRANSFER ITS RIGHTS TO THE EQUIPMENT HEREUNDER TO ANY CUSTOMER OR AGENT PURSUANT TO A LEASE, SUBLEASE, RENTAL, PROCESSING AGREEMENT, OR OTHER SIMILAR AGREEMENT (“CUSTOMER AGREEMENT”)” shall be added after “CONSENT OF LESSOR.”</w:t>
      </w:r>
    </w:p>
    <w:p>
      <w:pPr>
        <w:spacing w:after="0" w:line="215" w:lineRule="exact"/>
        <w:rPr>
          <w:rFonts w:ascii="Arial" w:cs="Arial" w:eastAsia="Arial" w:hAnsi="Arial"/>
          <w:sz w:val="18"/>
          <w:szCs w:val="18"/>
          <w:color w:val="auto"/>
        </w:rPr>
      </w:pPr>
    </w:p>
    <w:p>
      <w:pPr>
        <w:ind w:left="2280" w:hanging="489"/>
        <w:spacing w:after="0" w:line="277" w:lineRule="auto"/>
        <w:tabs>
          <w:tab w:leader="none" w:pos="2280" w:val="left"/>
        </w:tabs>
        <w:numPr>
          <w:ilvl w:val="2"/>
          <w:numId w:val="157"/>
        </w:numPr>
        <w:rPr>
          <w:rFonts w:ascii="Arial" w:cs="Arial" w:eastAsia="Arial" w:hAnsi="Arial"/>
          <w:sz w:val="18"/>
          <w:szCs w:val="18"/>
          <w:color w:val="auto"/>
        </w:rPr>
      </w:pPr>
      <w:r>
        <w:rPr>
          <w:rFonts w:ascii="Arial" w:cs="Arial" w:eastAsia="Arial" w:hAnsi="Arial"/>
          <w:sz w:val="18"/>
          <w:szCs w:val="18"/>
          <w:color w:val="auto"/>
        </w:rPr>
        <w:t>“Lessee grants to Lessor the right of first refusal on any sublease or other grant of Lessee’s rights to the Equipment.” shall be deleted.</w:t>
      </w:r>
    </w:p>
    <w:p>
      <w:pPr>
        <w:spacing w:after="0" w:line="197" w:lineRule="exact"/>
        <w:rPr>
          <w:rFonts w:ascii="Arial" w:cs="Arial" w:eastAsia="Arial" w:hAnsi="Arial"/>
          <w:sz w:val="18"/>
          <w:szCs w:val="18"/>
          <w:color w:val="auto"/>
        </w:rPr>
      </w:pPr>
    </w:p>
    <w:p>
      <w:pPr>
        <w:ind w:left="1620" w:hanging="315"/>
        <w:spacing w:after="0"/>
        <w:tabs>
          <w:tab w:leader="none" w:pos="16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Section 11 shall be deleted in its entirety and replaced with the following:</w:t>
      </w: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11. QUIET ENJOYMENT.</w:t>
      </w:r>
      <w:r>
        <w:rPr>
          <w:rFonts w:ascii="Arial" w:cs="Arial" w:eastAsia="Arial" w:hAnsi="Arial"/>
          <w:sz w:val="17"/>
          <w:szCs w:val="17"/>
          <w:color w:val="auto"/>
        </w:rPr>
        <w:t xml:space="preserve"> Lessor and /or any Assignee covenants that so long as Lessee is not in default under a Lease, Lessor</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ind w:left="260"/>
              <w:spacing w:after="0"/>
              <w:rPr>
                <w:sz w:val="20"/>
                <w:szCs w:val="20"/>
                <w:color w:val="auto"/>
              </w:rPr>
            </w:pPr>
            <w:r>
              <w:rPr>
                <w:rFonts w:ascii="Arial" w:cs="Arial" w:eastAsia="Arial" w:hAnsi="Arial"/>
                <w:sz w:val="18"/>
                <w:szCs w:val="18"/>
                <w:color w:val="auto"/>
                <w:w w:val="91"/>
              </w:rPr>
              <w:t>and/or any Assignee shall</w:t>
            </w:r>
          </w:p>
        </w:tc>
        <w:tc>
          <w:tcPr>
            <w:tcW w:w="7360" w:type="dxa"/>
            <w:vAlign w:val="bottom"/>
            <w:gridSpan w:val="2"/>
          </w:tcPr>
          <w:p>
            <w:pPr>
              <w:ind w:left="60"/>
              <w:spacing w:after="0"/>
              <w:rPr>
                <w:sz w:val="20"/>
                <w:szCs w:val="20"/>
                <w:color w:val="auto"/>
              </w:rPr>
            </w:pPr>
            <w:r>
              <w:rPr>
                <w:rFonts w:ascii="Arial" w:cs="Arial" w:eastAsia="Arial" w:hAnsi="Arial"/>
                <w:sz w:val="18"/>
                <w:szCs w:val="18"/>
                <w:color w:val="auto"/>
                <w:w w:val="98"/>
              </w:rPr>
              <w:t>take no action to interfere with Lessee’s assignment, rental, enjoyment, sublease, transfer, or</w:t>
            </w:r>
          </w:p>
        </w:tc>
      </w:tr>
      <w:tr>
        <w:trPr>
          <w:trHeight w:val="404"/>
        </w:trPr>
        <w:tc>
          <w:tcPr>
            <w:tcW w:w="3520" w:type="dxa"/>
            <w:vAlign w:val="bottom"/>
            <w:gridSpan w:val="3"/>
          </w:tcPr>
          <w:p>
            <w:pPr>
              <w:spacing w:after="0"/>
              <w:rPr>
                <w:sz w:val="20"/>
                <w:szCs w:val="20"/>
                <w:color w:val="auto"/>
              </w:rPr>
            </w:pPr>
            <w:r>
              <w:rPr>
                <w:rFonts w:ascii="Arial" w:cs="Arial" w:eastAsia="Arial" w:hAnsi="Arial"/>
                <w:sz w:val="18"/>
                <w:szCs w:val="18"/>
                <w:color w:val="auto"/>
              </w:rPr>
              <w:t>Lessor Initials: KP</w:t>
            </w:r>
          </w:p>
        </w:tc>
        <w:tc>
          <w:tcPr>
            <w:tcW w:w="7360" w:type="dxa"/>
            <w:vAlign w:val="bottom"/>
            <w:gridSpan w:val="2"/>
          </w:tcPr>
          <w:p>
            <w:pPr>
              <w:ind w:left="5800"/>
              <w:spacing w:after="0"/>
              <w:rPr>
                <w:sz w:val="20"/>
                <w:szCs w:val="20"/>
                <w:color w:val="auto"/>
              </w:rPr>
            </w:pPr>
            <w:r>
              <w:rPr>
                <w:rFonts w:ascii="Arial" w:cs="Arial" w:eastAsia="Arial" w:hAnsi="Arial"/>
                <w:sz w:val="18"/>
                <w:szCs w:val="18"/>
                <w:color w:val="auto"/>
                <w:w w:val="93"/>
              </w:rPr>
              <w:t>Lessee Initials: DMD</w:t>
            </w:r>
          </w:p>
        </w:tc>
      </w:tr>
      <w:tr>
        <w:trPr>
          <w:trHeight w:val="20"/>
        </w:trPr>
        <w:tc>
          <w:tcPr>
            <w:tcW w:w="1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p>
      <w:pPr>
        <w:ind w:left="1620"/>
        <w:spacing w:after="0" w:line="277" w:lineRule="auto"/>
        <w:rPr>
          <w:sz w:val="20"/>
          <w:szCs w:val="20"/>
          <w:color w:val="auto"/>
        </w:rPr>
      </w:pPr>
      <w:r>
        <w:rPr>
          <w:rFonts w:ascii="Arial" w:cs="Arial" w:eastAsia="Arial" w:hAnsi="Arial"/>
          <w:sz w:val="18"/>
          <w:szCs w:val="18"/>
          <w:color w:val="auto"/>
        </w:rPr>
        <w:t>other unlimited possession and use of the Equipment or interfere with a Customer Agreement, subject to and in accordance with the provisions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855" w:gutter="0" w:footer="0" w:header="0"/>
        </w:sectPr>
      </w:pPr>
    </w:p>
    <w:bookmarkStart w:id="198" w:name="page199"/>
    <w:bookmarkEnd w:id="198"/>
    <w:p>
      <w:pPr>
        <w:ind w:left="1620" w:hanging="315"/>
        <w:spacing w:after="0"/>
        <w:tabs>
          <w:tab w:leader="none" w:pos="162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following phrase shall be deleted from Section 15(a)(iii) “and in any jurisdiction in which any of the Equipment is located”.</w:t>
      </w:r>
    </w:p>
    <w:p>
      <w:pPr>
        <w:spacing w:after="0" w:line="263" w:lineRule="exact"/>
        <w:rPr>
          <w:rFonts w:ascii="Arial" w:cs="Arial" w:eastAsia="Arial" w:hAnsi="Arial"/>
          <w:sz w:val="17"/>
          <w:szCs w:val="17"/>
          <w:color w:val="auto"/>
        </w:rPr>
      </w:pPr>
    </w:p>
    <w:p>
      <w:pPr>
        <w:ind w:left="1620" w:hanging="315"/>
        <w:spacing w:after="0"/>
        <w:tabs>
          <w:tab w:leader="none" w:pos="16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Section 16(a)(ii) shall be amended by deleting “remove,”.</w:t>
      </w:r>
    </w:p>
    <w:p>
      <w:pPr>
        <w:spacing w:after="0" w:line="252" w:lineRule="exact"/>
        <w:rPr>
          <w:rFonts w:ascii="Arial" w:cs="Arial" w:eastAsia="Arial" w:hAnsi="Arial"/>
          <w:sz w:val="18"/>
          <w:szCs w:val="18"/>
          <w:color w:val="auto"/>
        </w:rPr>
      </w:pPr>
    </w:p>
    <w:p>
      <w:pPr>
        <w:ind w:left="1620" w:hanging="315"/>
        <w:spacing w:after="0" w:line="277" w:lineRule="auto"/>
        <w:tabs>
          <w:tab w:leader="none" w:pos="16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Section 19(g) shall be amended by deleting “, and, upon Lessor’s request, Lessee shall secure from its mortgagee, landlord or owner of the premises a waiver in form and substance reasonably satisfactory to Lessor”.</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 other terms and conditions of the Master Agreement shall remain in full force and effect without change.</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Lessee’s execution and delivery of this Schedule shall constitute its offer to lease the Equipment described herein upon the terms and conditions set forth herein. Lessor’s subsequent execution of this Schedule in Michigan and delivery to Lessee shall constitute its acceptance of the Lease. The Lease shall be deemed made in Michigan.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anything herein or in the Master Agreement to the contrary, Lessee acknowledges and agrees, that Lessor shall be entitled to claim for federal income tax purposes, without limitation, all benefits, credits and deductions related to the Equipment.</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undersigned Lessee acknowledges that this Schedule authorizes the Lessor or its agents or assignee(s) to sign, execute and file on its behalf any and all necessary documents, including UCC financing statements and other filings and recordings, to make public this lease transaction. The parties intend this transaction to be a true lease, but if any court or tribunal, having power to bind the parties, should conclude that all or part of this Schedule is not a true lease but is in the nature of a sale, consignment, or other transaction, the parties intend and the Lessee hereby grants a continuing security interest in the Equipment from the date of this Schedule to secure the payment of all Lessee’s indebtedness to Lessor. In the event serial numbers for Items are unavailable upon execution hereof, Lessee authorizes Lessor to amend this Schedule by inserting correct serial numbers with respect to those Items.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SCHEDULE TOGETHER WITH THE MASTER AGREEMENT AND ANY ADDITIONAL PROVISION(S) REFERRED TO IN ITEM 10 CONSTITUTE THE ENTIRE AGREEMENT BETWEEN THE LESSOR AND LESSEE AS TO THE LEASE AND THE EQUIPMENT.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rPr>
              <w:t>LESSOR:</w:t>
            </w:r>
          </w:p>
        </w:tc>
        <w:tc>
          <w:tcPr>
            <w:tcW w:w="7240" w:type="dxa"/>
            <w:vAlign w:val="bottom"/>
            <w:gridSpan w:val="3"/>
          </w:tcPr>
          <w:p>
            <w:pPr>
              <w:ind w:left="1900"/>
              <w:spacing w:after="0"/>
              <w:rPr>
                <w:sz w:val="20"/>
                <w:szCs w:val="20"/>
                <w:color w:val="auto"/>
              </w:rPr>
            </w:pPr>
            <w:r>
              <w:rPr>
                <w:rFonts w:ascii="Arial" w:cs="Arial" w:eastAsia="Arial" w:hAnsi="Arial"/>
                <w:sz w:val="18"/>
                <w:szCs w:val="18"/>
                <w:color w:val="auto"/>
              </w:rPr>
              <w:t>LESSER:</w:t>
            </w:r>
          </w:p>
        </w:tc>
      </w:tr>
      <w:tr>
        <w:trPr>
          <w:trHeight w:val="230"/>
        </w:trPr>
        <w:tc>
          <w:tcPr>
            <w:tcW w:w="4180" w:type="dxa"/>
            <w:vAlign w:val="bottom"/>
            <w:gridSpan w:val="3"/>
          </w:tcPr>
          <w:p>
            <w:pPr>
              <w:spacing w:after="0"/>
              <w:rPr>
                <w:sz w:val="20"/>
                <w:szCs w:val="20"/>
                <w:color w:val="auto"/>
              </w:rPr>
            </w:pPr>
            <w:r>
              <w:rPr>
                <w:rFonts w:ascii="Arial" w:cs="Arial" w:eastAsia="Arial" w:hAnsi="Arial"/>
                <w:sz w:val="18"/>
                <w:szCs w:val="18"/>
                <w:color w:val="auto"/>
              </w:rPr>
              <w:t>VARILEASE FINANCE, INC.</w:t>
            </w:r>
          </w:p>
        </w:tc>
        <w:tc>
          <w:tcPr>
            <w:tcW w:w="7240" w:type="dxa"/>
            <w:vAlign w:val="bottom"/>
            <w:gridSpan w:val="3"/>
          </w:tcPr>
          <w:p>
            <w:pPr>
              <w:ind w:left="1900"/>
              <w:spacing w:after="0"/>
              <w:rPr>
                <w:sz w:val="20"/>
                <w:szCs w:val="20"/>
                <w:color w:val="auto"/>
              </w:rPr>
            </w:pPr>
            <w:r>
              <w:rPr>
                <w:rFonts w:ascii="Arial" w:cs="Arial" w:eastAsia="Arial" w:hAnsi="Arial"/>
                <w:sz w:val="18"/>
                <w:szCs w:val="18"/>
                <w:color w:val="auto"/>
              </w:rPr>
              <w:t>USA TECHNOLOGIES, INC.</w:t>
            </w:r>
          </w:p>
        </w:tc>
      </w:tr>
      <w:tr>
        <w:trPr>
          <w:trHeight w:val="432"/>
        </w:trPr>
        <w:tc>
          <w:tcPr>
            <w:tcW w:w="4180" w:type="dxa"/>
            <w:vAlign w:val="bottom"/>
            <w:gridSpan w:val="3"/>
          </w:tcPr>
          <w:p>
            <w:pPr>
              <w:spacing w:after="0"/>
              <w:rPr>
                <w:sz w:val="20"/>
                <w:szCs w:val="20"/>
                <w:color w:val="auto"/>
              </w:rPr>
            </w:pPr>
            <w:r>
              <w:rPr>
                <w:rFonts w:ascii="Arial" w:cs="Arial" w:eastAsia="Arial" w:hAnsi="Arial"/>
                <w:sz w:val="18"/>
                <w:szCs w:val="18"/>
                <w:color w:val="auto"/>
              </w:rPr>
              <w:t>By: /s/ Kristy Phillips</w:t>
            </w:r>
          </w:p>
        </w:tc>
        <w:tc>
          <w:tcPr>
            <w:tcW w:w="7240" w:type="dxa"/>
            <w:vAlign w:val="bottom"/>
            <w:gridSpan w:val="3"/>
          </w:tcPr>
          <w:p>
            <w:pPr>
              <w:ind w:left="1900"/>
              <w:spacing w:after="0"/>
              <w:rPr>
                <w:sz w:val="20"/>
                <w:szCs w:val="20"/>
                <w:color w:val="auto"/>
              </w:rPr>
            </w:pPr>
            <w:r>
              <w:rPr>
                <w:rFonts w:ascii="Arial" w:cs="Arial" w:eastAsia="Arial" w:hAnsi="Arial"/>
                <w:sz w:val="18"/>
                <w:szCs w:val="18"/>
                <w:color w:val="auto"/>
              </w:rPr>
              <w:t>By: /s/ David M. DeMedio</w:t>
            </w:r>
          </w:p>
        </w:tc>
      </w:tr>
      <w:tr>
        <w:trPr>
          <w:trHeight w:val="27"/>
        </w:trPr>
        <w:tc>
          <w:tcPr>
            <w:tcW w:w="3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5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3360" w:type="dxa"/>
            <w:vAlign w:val="bottom"/>
          </w:tcPr>
          <w:p>
            <w:pPr>
              <w:spacing w:after="0"/>
              <w:rPr>
                <w:sz w:val="2"/>
                <w:szCs w:val="2"/>
                <w:color w:val="auto"/>
              </w:rPr>
            </w:pPr>
          </w:p>
        </w:tc>
      </w:tr>
      <w:tr>
        <w:trPr>
          <w:trHeight w:val="202"/>
        </w:trPr>
        <w:tc>
          <w:tcPr>
            <w:tcW w:w="1600" w:type="dxa"/>
            <w:vAlign w:val="bottom"/>
            <w:gridSpan w:val="2"/>
          </w:tcPr>
          <w:p>
            <w:pPr>
              <w:spacing w:after="0" w:line="201" w:lineRule="exact"/>
              <w:rPr>
                <w:sz w:val="20"/>
                <w:szCs w:val="20"/>
                <w:color w:val="auto"/>
              </w:rPr>
            </w:pPr>
            <w:r>
              <w:rPr>
                <w:rFonts w:ascii="Arial" w:cs="Arial" w:eastAsia="Arial" w:hAnsi="Arial"/>
                <w:sz w:val="18"/>
                <w:szCs w:val="18"/>
                <w:color w:val="auto"/>
                <w:w w:val="95"/>
              </w:rPr>
              <w:t>Name: Kristy Phillips</w:t>
            </w:r>
          </w:p>
        </w:tc>
        <w:tc>
          <w:tcPr>
            <w:tcW w:w="2580" w:type="dxa"/>
            <w:vAlign w:val="bottom"/>
          </w:tcPr>
          <w:p>
            <w:pPr>
              <w:spacing w:after="0"/>
              <w:rPr>
                <w:sz w:val="17"/>
                <w:szCs w:val="17"/>
                <w:color w:val="auto"/>
              </w:rPr>
            </w:pPr>
          </w:p>
        </w:tc>
        <w:tc>
          <w:tcPr>
            <w:tcW w:w="7240" w:type="dxa"/>
            <w:vAlign w:val="bottom"/>
            <w:gridSpan w:val="3"/>
          </w:tcPr>
          <w:p>
            <w:pPr>
              <w:ind w:left="1900"/>
              <w:spacing w:after="0" w:line="201" w:lineRule="exact"/>
              <w:rPr>
                <w:sz w:val="20"/>
                <w:szCs w:val="20"/>
                <w:color w:val="auto"/>
              </w:rPr>
            </w:pPr>
            <w:r>
              <w:rPr>
                <w:rFonts w:ascii="Arial" w:cs="Arial" w:eastAsia="Arial" w:hAnsi="Arial"/>
                <w:sz w:val="18"/>
                <w:szCs w:val="18"/>
                <w:color w:val="auto"/>
              </w:rPr>
              <w:t>Name: David M. DeMedio</w:t>
            </w:r>
          </w:p>
        </w:tc>
      </w:tr>
      <w:tr>
        <w:trPr>
          <w:trHeight w:val="230"/>
        </w:trPr>
        <w:tc>
          <w:tcPr>
            <w:tcW w:w="4180" w:type="dxa"/>
            <w:vAlign w:val="bottom"/>
            <w:gridSpan w:val="3"/>
          </w:tcPr>
          <w:p>
            <w:pPr>
              <w:spacing w:after="0"/>
              <w:rPr>
                <w:sz w:val="20"/>
                <w:szCs w:val="20"/>
                <w:color w:val="auto"/>
              </w:rPr>
            </w:pPr>
            <w:r>
              <w:rPr>
                <w:rFonts w:ascii="Arial" w:cs="Arial" w:eastAsia="Arial" w:hAnsi="Arial"/>
                <w:sz w:val="18"/>
                <w:szCs w:val="18"/>
                <w:color w:val="auto"/>
              </w:rPr>
              <w:t>Title: Vice President</w:t>
            </w:r>
          </w:p>
        </w:tc>
        <w:tc>
          <w:tcPr>
            <w:tcW w:w="7240" w:type="dxa"/>
            <w:vAlign w:val="bottom"/>
            <w:gridSpan w:val="3"/>
          </w:tcPr>
          <w:p>
            <w:pPr>
              <w:ind w:left="1900"/>
              <w:spacing w:after="0"/>
              <w:rPr>
                <w:sz w:val="20"/>
                <w:szCs w:val="20"/>
                <w:color w:val="auto"/>
              </w:rPr>
            </w:pPr>
            <w:r>
              <w:rPr>
                <w:rFonts w:ascii="Arial" w:cs="Arial" w:eastAsia="Arial" w:hAnsi="Arial"/>
                <w:sz w:val="18"/>
                <w:szCs w:val="18"/>
                <w:color w:val="auto"/>
              </w:rPr>
              <w:t>Title: CFO</w:t>
            </w:r>
          </w:p>
        </w:tc>
      </w:tr>
      <w:tr>
        <w:trPr>
          <w:trHeight w:val="675"/>
        </w:trPr>
        <w:tc>
          <w:tcPr>
            <w:tcW w:w="340" w:type="dxa"/>
            <w:vAlign w:val="bottom"/>
            <w:tcBorders>
              <w:bottom w:val="single" w:sz="8" w:color="DCDCDC"/>
            </w:tcBorders>
          </w:tcPr>
          <w:p>
            <w:pPr>
              <w:spacing w:after="0"/>
              <w:rPr>
                <w:sz w:val="24"/>
                <w:szCs w:val="24"/>
                <w:color w:val="auto"/>
              </w:rPr>
            </w:pPr>
          </w:p>
        </w:tc>
        <w:tc>
          <w:tcPr>
            <w:tcW w:w="1260" w:type="dxa"/>
            <w:vAlign w:val="bottom"/>
            <w:tcBorders>
              <w:bottom w:val="single" w:sz="8" w:color="DCDCDC"/>
            </w:tcBorders>
          </w:tcPr>
          <w:p>
            <w:pPr>
              <w:spacing w:after="0"/>
              <w:rPr>
                <w:sz w:val="24"/>
                <w:szCs w:val="24"/>
                <w:color w:val="auto"/>
              </w:rPr>
            </w:pPr>
          </w:p>
        </w:tc>
        <w:tc>
          <w:tcPr>
            <w:tcW w:w="2580" w:type="dxa"/>
            <w:vAlign w:val="bottom"/>
            <w:tcBorders>
              <w:bottom w:val="single" w:sz="8" w:color="DCDCDC"/>
            </w:tcBorders>
          </w:tcPr>
          <w:p>
            <w:pPr>
              <w:spacing w:after="0"/>
              <w:rPr>
                <w:sz w:val="24"/>
                <w:szCs w:val="24"/>
                <w:color w:val="auto"/>
              </w:rPr>
            </w:pPr>
          </w:p>
        </w:tc>
        <w:tc>
          <w:tcPr>
            <w:tcW w:w="2240" w:type="dxa"/>
            <w:vAlign w:val="bottom"/>
            <w:tcBorders>
              <w:bottom w:val="single" w:sz="8" w:color="DCDCDC"/>
            </w:tcBorders>
          </w:tcPr>
          <w:p>
            <w:pPr>
              <w:spacing w:after="0"/>
              <w:rPr>
                <w:sz w:val="24"/>
                <w:szCs w:val="24"/>
                <w:color w:val="auto"/>
              </w:rPr>
            </w:pPr>
          </w:p>
        </w:tc>
        <w:tc>
          <w:tcPr>
            <w:tcW w:w="1640" w:type="dxa"/>
            <w:vAlign w:val="bottom"/>
            <w:tcBorders>
              <w:bottom w:val="single" w:sz="8" w:color="DCDCDC"/>
            </w:tcBorders>
          </w:tcPr>
          <w:p>
            <w:pPr>
              <w:spacing w:after="0"/>
              <w:rPr>
                <w:sz w:val="24"/>
                <w:szCs w:val="24"/>
                <w:color w:val="auto"/>
              </w:rPr>
            </w:pPr>
          </w:p>
        </w:tc>
        <w:tc>
          <w:tcPr>
            <w:tcW w:w="33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22" w:right="239" w:bottom="1440" w:gutter="0" w:footer="0" w:header="0"/>
        </w:sectPr>
      </w:pPr>
    </w:p>
    <w:bookmarkStart w:id="199" w:name="page200"/>
    <w:bookmarkEnd w:id="19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0" w:type="dxa"/>
            <w:vAlign w:val="bottom"/>
          </w:tcPr>
          <w:p>
            <w:pPr>
              <w:ind w:left="840"/>
              <w:spacing w:after="0"/>
              <w:rPr>
                <w:sz w:val="20"/>
                <w:szCs w:val="20"/>
                <w:color w:val="auto"/>
              </w:rPr>
            </w:pPr>
            <w:r>
              <w:rPr>
                <w:rFonts w:ascii="Arial" w:cs="Arial" w:eastAsia="Arial" w:hAnsi="Arial"/>
                <w:sz w:val="18"/>
                <w:szCs w:val="18"/>
                <w:b w:val="1"/>
                <w:bCs w:val="1"/>
                <w:color w:val="auto"/>
              </w:rPr>
              <w:t>EXHIBIT A</w:t>
            </w: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18"/>
                <w:szCs w:val="18"/>
                <w:b w:val="1"/>
                <w:bCs w:val="1"/>
                <w:color w:val="auto"/>
              </w:rPr>
              <w:t>Lessee:</w:t>
            </w:r>
          </w:p>
        </w:tc>
        <w:tc>
          <w:tcPr>
            <w:tcW w:w="2100" w:type="dxa"/>
            <w:vAlign w:val="bottom"/>
            <w:gridSpan w:val="2"/>
          </w:tcPr>
          <w:p>
            <w:pPr>
              <w:ind w:left="100"/>
              <w:spacing w:after="0"/>
              <w:rPr>
                <w:sz w:val="20"/>
                <w:szCs w:val="20"/>
                <w:color w:val="auto"/>
              </w:rPr>
            </w:pPr>
            <w:r>
              <w:rPr>
                <w:rFonts w:ascii="Arial" w:cs="Arial" w:eastAsia="Arial" w:hAnsi="Arial"/>
                <w:sz w:val="18"/>
                <w:szCs w:val="18"/>
                <w:color w:val="auto"/>
              </w:rPr>
              <w:t>USA Technologies, Inc.</w:t>
            </w:r>
          </w:p>
        </w:tc>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1620" w:type="dxa"/>
            <w:vAlign w:val="bottom"/>
          </w:tcPr>
          <w:p>
            <w:pPr>
              <w:spacing w:after="0"/>
              <w:rPr>
                <w:sz w:val="20"/>
                <w:szCs w:val="20"/>
                <w:color w:val="auto"/>
              </w:rPr>
            </w:pPr>
            <w:r>
              <w:rPr>
                <w:rFonts w:ascii="Arial" w:cs="Arial" w:eastAsia="Arial" w:hAnsi="Arial"/>
                <w:sz w:val="18"/>
                <w:szCs w:val="18"/>
                <w:b w:val="1"/>
                <w:bCs w:val="1"/>
                <w:color w:val="auto"/>
              </w:rPr>
              <w:t>ML dated:</w:t>
            </w:r>
          </w:p>
        </w:tc>
        <w:tc>
          <w:tcPr>
            <w:tcW w:w="1180" w:type="dxa"/>
            <w:vAlign w:val="bottom"/>
          </w:tcPr>
          <w:p>
            <w:pPr>
              <w:ind w:left="100"/>
              <w:spacing w:after="0"/>
              <w:rPr>
                <w:sz w:val="20"/>
                <w:szCs w:val="20"/>
                <w:color w:val="auto"/>
              </w:rPr>
            </w:pPr>
            <w:r>
              <w:rPr>
                <w:rFonts w:ascii="Arial" w:cs="Arial" w:eastAsia="Arial" w:hAnsi="Arial"/>
                <w:sz w:val="18"/>
                <w:szCs w:val="18"/>
                <w:color w:val="auto"/>
                <w:w w:val="93"/>
              </w:rPr>
              <w:t>April 30, 2014</w:t>
            </w: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1620" w:type="dxa"/>
            <w:vAlign w:val="bottom"/>
          </w:tcPr>
          <w:p>
            <w:pPr>
              <w:spacing w:after="0"/>
              <w:rPr>
                <w:sz w:val="20"/>
                <w:szCs w:val="20"/>
                <w:color w:val="auto"/>
              </w:rPr>
            </w:pPr>
            <w:r>
              <w:rPr>
                <w:rFonts w:ascii="Arial" w:cs="Arial" w:eastAsia="Arial" w:hAnsi="Arial"/>
                <w:sz w:val="18"/>
                <w:szCs w:val="18"/>
                <w:b w:val="1"/>
                <w:bCs w:val="1"/>
                <w:color w:val="auto"/>
              </w:rPr>
              <w:t>Schedule No.:</w:t>
            </w:r>
          </w:p>
        </w:tc>
        <w:tc>
          <w:tcPr>
            <w:tcW w:w="1180" w:type="dxa"/>
            <w:vAlign w:val="bottom"/>
          </w:tcPr>
          <w:p>
            <w:pPr>
              <w:ind w:left="100"/>
              <w:spacing w:after="0"/>
              <w:rPr>
                <w:sz w:val="20"/>
                <w:szCs w:val="20"/>
                <w:color w:val="auto"/>
              </w:rPr>
            </w:pPr>
            <w:r>
              <w:rPr>
                <w:rFonts w:ascii="Arial" w:cs="Arial" w:eastAsia="Arial" w:hAnsi="Arial"/>
                <w:sz w:val="18"/>
                <w:szCs w:val="18"/>
                <w:color w:val="auto"/>
              </w:rPr>
              <w:t>06</w:t>
            </w: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1,097,566.65</w:t>
            </w:r>
          </w:p>
        </w:tc>
      </w:tr>
      <w:tr>
        <w:trPr>
          <w:trHeight w:val="439"/>
        </w:trPr>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57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Headquartered at 100 Deerfield Lane, Suite 140, Malvern, PA 19355</w:t>
            </w:r>
          </w:p>
        </w:tc>
        <w:tc>
          <w:tcPr>
            <w:tcW w:w="1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8"/>
        </w:trPr>
        <w:tc>
          <w:tcPr>
            <w:tcW w:w="1620" w:type="dxa"/>
            <w:vAlign w:val="bottom"/>
            <w:tcBorders>
              <w:left w:val="single" w:sz="8" w:color="auto"/>
              <w:right w:val="single" w:sz="8" w:color="auto"/>
            </w:tcBorders>
          </w:tcPr>
          <w:p>
            <w:pPr>
              <w:ind w:left="200"/>
              <w:spacing w:after="0" w:line="198" w:lineRule="exact"/>
              <w:rPr>
                <w:sz w:val="20"/>
                <w:szCs w:val="20"/>
                <w:color w:val="auto"/>
              </w:rPr>
            </w:pPr>
            <w:r>
              <w:rPr>
                <w:rFonts w:ascii="Arial" w:cs="Arial" w:eastAsia="Arial" w:hAnsi="Arial"/>
                <w:sz w:val="18"/>
                <w:szCs w:val="18"/>
                <w:b w:val="1"/>
                <w:bCs w:val="1"/>
                <w:color w:val="auto"/>
              </w:rPr>
              <w:t>Vendor</w:t>
            </w:r>
          </w:p>
        </w:tc>
        <w:tc>
          <w:tcPr>
            <w:tcW w:w="1180" w:type="dxa"/>
            <w:vAlign w:val="bottom"/>
            <w:tcBorders>
              <w:right w:val="single" w:sz="8" w:color="auto"/>
            </w:tcBorders>
          </w:tcPr>
          <w:p>
            <w:pPr>
              <w:ind w:left="120"/>
              <w:spacing w:after="0" w:line="198" w:lineRule="exact"/>
              <w:rPr>
                <w:sz w:val="20"/>
                <w:szCs w:val="20"/>
                <w:color w:val="auto"/>
              </w:rPr>
            </w:pPr>
            <w:r>
              <w:rPr>
                <w:rFonts w:ascii="Arial" w:cs="Arial" w:eastAsia="Arial" w:hAnsi="Arial"/>
                <w:sz w:val="18"/>
                <w:szCs w:val="18"/>
                <w:b w:val="1"/>
                <w:bCs w:val="1"/>
                <w:color w:val="auto"/>
              </w:rPr>
              <w:t>Invoice No.</w:t>
            </w:r>
          </w:p>
        </w:tc>
        <w:tc>
          <w:tcPr>
            <w:tcW w:w="92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Auth</w:t>
            </w:r>
          </w:p>
        </w:tc>
        <w:tc>
          <w:tcPr>
            <w:tcW w:w="6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Qty</w:t>
            </w:r>
          </w:p>
        </w:tc>
        <w:tc>
          <w:tcPr>
            <w:tcW w:w="300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Description</w:t>
            </w:r>
          </w:p>
        </w:tc>
        <w:tc>
          <w:tcPr>
            <w:tcW w:w="150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Serial No.</w:t>
            </w:r>
          </w:p>
        </w:tc>
        <w:tc>
          <w:tcPr>
            <w:tcW w:w="1160" w:type="dxa"/>
            <w:vAlign w:val="bottom"/>
            <w:tcBorders>
              <w:right w:val="single" w:sz="8" w:color="auto"/>
            </w:tcBorders>
            <w:gridSpan w:val="2"/>
          </w:tcPr>
          <w:p>
            <w:pPr>
              <w:ind w:left="80"/>
              <w:spacing w:after="0" w:line="198" w:lineRule="exact"/>
              <w:rPr>
                <w:sz w:val="20"/>
                <w:szCs w:val="20"/>
                <w:color w:val="auto"/>
              </w:rPr>
            </w:pPr>
            <w:r>
              <w:rPr>
                <w:rFonts w:ascii="Arial" w:cs="Arial" w:eastAsia="Arial" w:hAnsi="Arial"/>
                <w:sz w:val="18"/>
                <w:szCs w:val="18"/>
                <w:b w:val="1"/>
                <w:bCs w:val="1"/>
                <w:color w:val="auto"/>
              </w:rPr>
              <w:t>Cost per</w:t>
            </w:r>
          </w:p>
        </w:tc>
        <w:tc>
          <w:tcPr>
            <w:tcW w:w="1360" w:type="dxa"/>
            <w:vAlign w:val="bottom"/>
            <w:gridSpan w:val="2"/>
          </w:tcPr>
          <w:p>
            <w:pPr>
              <w:jc w:val="right"/>
              <w:ind w:right="750"/>
              <w:spacing w:after="0" w:line="198" w:lineRule="exact"/>
              <w:rPr>
                <w:sz w:val="20"/>
                <w:szCs w:val="20"/>
                <w:color w:val="auto"/>
              </w:rPr>
            </w:pPr>
            <w:r>
              <w:rPr>
                <w:rFonts w:ascii="Arial" w:cs="Arial" w:eastAsia="Arial" w:hAnsi="Arial"/>
                <w:sz w:val="18"/>
                <w:szCs w:val="18"/>
                <w:b w:val="1"/>
                <w:bCs w:val="1"/>
                <w:color w:val="auto"/>
              </w:rPr>
              <w:t>Total</w:t>
            </w:r>
          </w:p>
        </w:tc>
      </w:tr>
      <w:tr>
        <w:trPr>
          <w:trHeight w:val="241"/>
        </w:trPr>
        <w:tc>
          <w:tcPr>
            <w:tcW w:w="1620" w:type="dxa"/>
            <w:vAlign w:val="bottom"/>
            <w:tcBorders>
              <w:left w:val="single" w:sz="8" w:color="auto"/>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No.</w:t>
            </w:r>
          </w:p>
        </w:tc>
        <w:tc>
          <w:tcPr>
            <w:tcW w:w="68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Item</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02"/>
        </w:trPr>
        <w:tc>
          <w:tcPr>
            <w:tcW w:w="1620" w:type="dxa"/>
            <w:vAlign w:val="bottom"/>
            <w:tcBorders>
              <w:left w:val="single" w:sz="8" w:color="auto"/>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Masterwork</w:t>
            </w:r>
          </w:p>
        </w:tc>
        <w:tc>
          <w:tcPr>
            <w:tcW w:w="11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117011</w:t>
            </w:r>
          </w:p>
        </w:tc>
        <w:tc>
          <w:tcPr>
            <w:tcW w:w="92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420</w:t>
            </w:r>
          </w:p>
        </w:tc>
        <w:tc>
          <w:tcPr>
            <w:tcW w:w="30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Top Assembly - G8 ePort Verizon</w:t>
            </w:r>
          </w:p>
        </w:tc>
        <w:tc>
          <w:tcPr>
            <w:tcW w:w="15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260" w:type="dxa"/>
            <w:vAlign w:val="bottom"/>
          </w:tcPr>
          <w:p>
            <w:pPr>
              <w:ind w:left="8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104.47</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43,877.40</w:t>
            </w:r>
          </w:p>
        </w:tc>
      </w:tr>
      <w:tr>
        <w:trPr>
          <w:trHeight w:val="216"/>
        </w:trPr>
        <w:tc>
          <w:tcPr>
            <w:tcW w:w="16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Electronics</w:t>
            </w:r>
          </w:p>
        </w:tc>
        <w:tc>
          <w:tcPr>
            <w:tcW w:w="1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CDMA Wireless with OTI RFID Card</w:t>
            </w:r>
          </w:p>
        </w:tc>
        <w:tc>
          <w:tcPr>
            <w:tcW w:w="1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7"/>
        </w:trPr>
        <w:tc>
          <w:tcPr>
            <w:tcW w:w="1620" w:type="dxa"/>
            <w:vAlign w:val="bottom"/>
            <w:tcBorders>
              <w:left w:val="single" w:sz="8" w:color="auto"/>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Reader</w:t>
            </w:r>
          </w:p>
        </w:tc>
        <w:tc>
          <w:tcPr>
            <w:tcW w:w="15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02"/>
        </w:trPr>
        <w:tc>
          <w:tcPr>
            <w:tcW w:w="1620" w:type="dxa"/>
            <w:vAlign w:val="bottom"/>
            <w:tcBorders>
              <w:left w:val="single" w:sz="8" w:color="auto"/>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Masterwork</w:t>
            </w:r>
          </w:p>
        </w:tc>
        <w:tc>
          <w:tcPr>
            <w:tcW w:w="11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117067</w:t>
            </w:r>
          </w:p>
        </w:tc>
        <w:tc>
          <w:tcPr>
            <w:tcW w:w="92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420</w:t>
            </w:r>
          </w:p>
        </w:tc>
        <w:tc>
          <w:tcPr>
            <w:tcW w:w="30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Top Assembly - G8 ePort Verizon</w:t>
            </w:r>
          </w:p>
        </w:tc>
        <w:tc>
          <w:tcPr>
            <w:tcW w:w="15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260" w:type="dxa"/>
            <w:vAlign w:val="bottom"/>
          </w:tcPr>
          <w:p>
            <w:pPr>
              <w:ind w:left="8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104.47</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43,877.40</w:t>
            </w:r>
          </w:p>
        </w:tc>
      </w:tr>
      <w:tr>
        <w:trPr>
          <w:trHeight w:val="216"/>
        </w:trPr>
        <w:tc>
          <w:tcPr>
            <w:tcW w:w="16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Electronics</w:t>
            </w:r>
          </w:p>
        </w:tc>
        <w:tc>
          <w:tcPr>
            <w:tcW w:w="1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CDMA Wireless with OTI RFID Card</w:t>
            </w:r>
          </w:p>
        </w:tc>
        <w:tc>
          <w:tcPr>
            <w:tcW w:w="1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7"/>
        </w:trPr>
        <w:tc>
          <w:tcPr>
            <w:tcW w:w="1620" w:type="dxa"/>
            <w:vAlign w:val="bottom"/>
            <w:tcBorders>
              <w:left w:val="single" w:sz="8" w:color="auto"/>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Reader</w:t>
            </w:r>
          </w:p>
        </w:tc>
        <w:tc>
          <w:tcPr>
            <w:tcW w:w="15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02"/>
        </w:trPr>
        <w:tc>
          <w:tcPr>
            <w:tcW w:w="1620" w:type="dxa"/>
            <w:vAlign w:val="bottom"/>
            <w:tcBorders>
              <w:left w:val="single" w:sz="8" w:color="auto"/>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Masterwork</w:t>
            </w:r>
          </w:p>
        </w:tc>
        <w:tc>
          <w:tcPr>
            <w:tcW w:w="11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117128</w:t>
            </w:r>
          </w:p>
        </w:tc>
        <w:tc>
          <w:tcPr>
            <w:tcW w:w="92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630</w:t>
            </w:r>
          </w:p>
        </w:tc>
        <w:tc>
          <w:tcPr>
            <w:tcW w:w="30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Top Assembly - G8 ePort Verizon</w:t>
            </w:r>
          </w:p>
        </w:tc>
        <w:tc>
          <w:tcPr>
            <w:tcW w:w="15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260" w:type="dxa"/>
            <w:vAlign w:val="bottom"/>
          </w:tcPr>
          <w:p>
            <w:pPr>
              <w:ind w:left="8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104.47</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65,816.10</w:t>
            </w:r>
          </w:p>
        </w:tc>
      </w:tr>
      <w:tr>
        <w:trPr>
          <w:trHeight w:val="216"/>
        </w:trPr>
        <w:tc>
          <w:tcPr>
            <w:tcW w:w="16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Electronics</w:t>
            </w:r>
          </w:p>
        </w:tc>
        <w:tc>
          <w:tcPr>
            <w:tcW w:w="1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CDMA Wireless with OTI RFID Card</w:t>
            </w:r>
          </w:p>
        </w:tc>
        <w:tc>
          <w:tcPr>
            <w:tcW w:w="1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7"/>
        </w:trPr>
        <w:tc>
          <w:tcPr>
            <w:tcW w:w="1620" w:type="dxa"/>
            <w:vAlign w:val="bottom"/>
            <w:tcBorders>
              <w:left w:val="single" w:sz="8" w:color="auto"/>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Reader</w:t>
            </w:r>
          </w:p>
        </w:tc>
        <w:tc>
          <w:tcPr>
            <w:tcW w:w="15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02"/>
        </w:trPr>
        <w:tc>
          <w:tcPr>
            <w:tcW w:w="1620" w:type="dxa"/>
            <w:vAlign w:val="bottom"/>
            <w:tcBorders>
              <w:left w:val="single" w:sz="8" w:color="auto"/>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Masterwork</w:t>
            </w:r>
          </w:p>
        </w:tc>
        <w:tc>
          <w:tcPr>
            <w:tcW w:w="11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117230</w:t>
            </w:r>
          </w:p>
        </w:tc>
        <w:tc>
          <w:tcPr>
            <w:tcW w:w="92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180</w:t>
            </w:r>
          </w:p>
        </w:tc>
        <w:tc>
          <w:tcPr>
            <w:tcW w:w="30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Top Assembly - G8 ePort Verizon</w:t>
            </w:r>
          </w:p>
        </w:tc>
        <w:tc>
          <w:tcPr>
            <w:tcW w:w="15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260" w:type="dxa"/>
            <w:vAlign w:val="bottom"/>
          </w:tcPr>
          <w:p>
            <w:pPr>
              <w:ind w:left="8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104.47</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18,804.60</w:t>
            </w:r>
          </w:p>
        </w:tc>
      </w:tr>
      <w:tr>
        <w:trPr>
          <w:trHeight w:val="216"/>
        </w:trPr>
        <w:tc>
          <w:tcPr>
            <w:tcW w:w="16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Electronics</w:t>
            </w:r>
          </w:p>
        </w:tc>
        <w:tc>
          <w:tcPr>
            <w:tcW w:w="1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CDMA Wireless with OTI RFID Card</w:t>
            </w:r>
          </w:p>
        </w:tc>
        <w:tc>
          <w:tcPr>
            <w:tcW w:w="1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7"/>
        </w:trPr>
        <w:tc>
          <w:tcPr>
            <w:tcW w:w="1620" w:type="dxa"/>
            <w:vAlign w:val="bottom"/>
            <w:tcBorders>
              <w:left w:val="single" w:sz="8" w:color="auto"/>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Reader</w:t>
            </w:r>
          </w:p>
        </w:tc>
        <w:tc>
          <w:tcPr>
            <w:tcW w:w="15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02"/>
        </w:trPr>
        <w:tc>
          <w:tcPr>
            <w:tcW w:w="1620" w:type="dxa"/>
            <w:vAlign w:val="bottom"/>
            <w:tcBorders>
              <w:left w:val="single" w:sz="8" w:color="auto"/>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On Track</w:t>
            </w:r>
          </w:p>
        </w:tc>
        <w:tc>
          <w:tcPr>
            <w:tcW w:w="11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110692</w:t>
            </w:r>
          </w:p>
        </w:tc>
        <w:tc>
          <w:tcPr>
            <w:tcW w:w="92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720</w:t>
            </w:r>
          </w:p>
        </w:tc>
        <w:tc>
          <w:tcPr>
            <w:tcW w:w="30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Saturn 6500 G6A-RS232 with</w:t>
            </w:r>
          </w:p>
        </w:tc>
        <w:tc>
          <w:tcPr>
            <w:tcW w:w="15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260" w:type="dxa"/>
            <w:vAlign w:val="bottom"/>
          </w:tcPr>
          <w:p>
            <w:pPr>
              <w:ind w:left="8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79.95</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57,564.00</w:t>
            </w:r>
          </w:p>
        </w:tc>
      </w:tr>
      <w:tr>
        <w:trPr>
          <w:trHeight w:val="230"/>
        </w:trPr>
        <w:tc>
          <w:tcPr>
            <w:tcW w:w="16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Innovations Ltd.</w:t>
            </w:r>
          </w:p>
        </w:tc>
        <w:tc>
          <w:tcPr>
            <w:tcW w:w="1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Extension Kit</w:t>
            </w:r>
          </w:p>
        </w:tc>
        <w:tc>
          <w:tcPr>
            <w:tcW w:w="1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02"/>
        </w:trPr>
        <w:tc>
          <w:tcPr>
            <w:tcW w:w="1620" w:type="dxa"/>
            <w:vAlign w:val="bottom"/>
            <w:tcBorders>
              <w:left w:val="single" w:sz="8" w:color="auto"/>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On Track</w:t>
            </w:r>
          </w:p>
        </w:tc>
        <w:tc>
          <w:tcPr>
            <w:tcW w:w="11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110714</w:t>
            </w:r>
          </w:p>
        </w:tc>
        <w:tc>
          <w:tcPr>
            <w:tcW w:w="92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1480</w:t>
            </w:r>
          </w:p>
        </w:tc>
        <w:tc>
          <w:tcPr>
            <w:tcW w:w="30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Saturn 6500 G6A-RS232 with</w:t>
            </w:r>
          </w:p>
        </w:tc>
        <w:tc>
          <w:tcPr>
            <w:tcW w:w="15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260" w:type="dxa"/>
            <w:vAlign w:val="bottom"/>
          </w:tcPr>
          <w:p>
            <w:pPr>
              <w:ind w:left="8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79.95</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9"/>
              </w:rPr>
              <w:t>118,326.00</w:t>
            </w:r>
          </w:p>
        </w:tc>
      </w:tr>
      <w:tr>
        <w:trPr>
          <w:trHeight w:val="230"/>
        </w:trPr>
        <w:tc>
          <w:tcPr>
            <w:tcW w:w="16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Innovations Ltd.</w:t>
            </w:r>
          </w:p>
        </w:tc>
        <w:tc>
          <w:tcPr>
            <w:tcW w:w="1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Extension Kit</w:t>
            </w:r>
          </w:p>
        </w:tc>
        <w:tc>
          <w:tcPr>
            <w:tcW w:w="1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02"/>
        </w:trPr>
        <w:tc>
          <w:tcPr>
            <w:tcW w:w="1620" w:type="dxa"/>
            <w:vAlign w:val="bottom"/>
            <w:tcBorders>
              <w:left w:val="single" w:sz="8" w:color="auto"/>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On Track</w:t>
            </w:r>
          </w:p>
        </w:tc>
        <w:tc>
          <w:tcPr>
            <w:tcW w:w="11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110715</w:t>
            </w:r>
          </w:p>
        </w:tc>
        <w:tc>
          <w:tcPr>
            <w:tcW w:w="92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720</w:t>
            </w:r>
          </w:p>
        </w:tc>
        <w:tc>
          <w:tcPr>
            <w:tcW w:w="30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Saturn 6500 G6A-RS232 with</w:t>
            </w:r>
          </w:p>
        </w:tc>
        <w:tc>
          <w:tcPr>
            <w:tcW w:w="15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260" w:type="dxa"/>
            <w:vAlign w:val="bottom"/>
          </w:tcPr>
          <w:p>
            <w:pPr>
              <w:ind w:left="8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79.95</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57,564.00</w:t>
            </w:r>
          </w:p>
        </w:tc>
      </w:tr>
      <w:tr>
        <w:trPr>
          <w:trHeight w:val="230"/>
        </w:trPr>
        <w:tc>
          <w:tcPr>
            <w:tcW w:w="16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Innovations Ltd.</w:t>
            </w:r>
          </w:p>
        </w:tc>
        <w:tc>
          <w:tcPr>
            <w:tcW w:w="1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Extension Kit</w:t>
            </w:r>
          </w:p>
        </w:tc>
        <w:tc>
          <w:tcPr>
            <w:tcW w:w="1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02"/>
        </w:trPr>
        <w:tc>
          <w:tcPr>
            <w:tcW w:w="1620" w:type="dxa"/>
            <w:vAlign w:val="bottom"/>
            <w:tcBorders>
              <w:left w:val="single" w:sz="8" w:color="auto"/>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On Track</w:t>
            </w:r>
          </w:p>
        </w:tc>
        <w:tc>
          <w:tcPr>
            <w:tcW w:w="11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110805</w:t>
            </w:r>
          </w:p>
        </w:tc>
        <w:tc>
          <w:tcPr>
            <w:tcW w:w="92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720</w:t>
            </w:r>
          </w:p>
        </w:tc>
        <w:tc>
          <w:tcPr>
            <w:tcW w:w="30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Saturn 6500 G6A-RS232 with</w:t>
            </w:r>
          </w:p>
        </w:tc>
        <w:tc>
          <w:tcPr>
            <w:tcW w:w="15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260" w:type="dxa"/>
            <w:vAlign w:val="bottom"/>
          </w:tcPr>
          <w:p>
            <w:pPr>
              <w:ind w:left="8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79.95</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57,564.00</w:t>
            </w:r>
          </w:p>
        </w:tc>
      </w:tr>
      <w:tr>
        <w:trPr>
          <w:trHeight w:val="230"/>
        </w:trPr>
        <w:tc>
          <w:tcPr>
            <w:tcW w:w="16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Innovations Ltd.</w:t>
            </w:r>
          </w:p>
        </w:tc>
        <w:tc>
          <w:tcPr>
            <w:tcW w:w="1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Extension Kit</w:t>
            </w:r>
          </w:p>
        </w:tc>
        <w:tc>
          <w:tcPr>
            <w:tcW w:w="1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02"/>
        </w:trPr>
        <w:tc>
          <w:tcPr>
            <w:tcW w:w="1620" w:type="dxa"/>
            <w:vAlign w:val="bottom"/>
            <w:tcBorders>
              <w:left w:val="single" w:sz="8" w:color="auto"/>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On Track</w:t>
            </w:r>
          </w:p>
        </w:tc>
        <w:tc>
          <w:tcPr>
            <w:tcW w:w="11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110806</w:t>
            </w:r>
          </w:p>
        </w:tc>
        <w:tc>
          <w:tcPr>
            <w:tcW w:w="92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720</w:t>
            </w:r>
          </w:p>
        </w:tc>
        <w:tc>
          <w:tcPr>
            <w:tcW w:w="30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Saturn 6500 G6A-RS232 with</w:t>
            </w:r>
          </w:p>
        </w:tc>
        <w:tc>
          <w:tcPr>
            <w:tcW w:w="15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260" w:type="dxa"/>
            <w:vAlign w:val="bottom"/>
          </w:tcPr>
          <w:p>
            <w:pPr>
              <w:ind w:left="8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79.95</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57,564.00</w:t>
            </w:r>
          </w:p>
        </w:tc>
      </w:tr>
      <w:tr>
        <w:trPr>
          <w:trHeight w:val="230"/>
        </w:trPr>
        <w:tc>
          <w:tcPr>
            <w:tcW w:w="16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Innovations Ltd.</w:t>
            </w:r>
          </w:p>
        </w:tc>
        <w:tc>
          <w:tcPr>
            <w:tcW w:w="1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Extension Kit</w:t>
            </w:r>
          </w:p>
        </w:tc>
        <w:tc>
          <w:tcPr>
            <w:tcW w:w="1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02"/>
        </w:trPr>
        <w:tc>
          <w:tcPr>
            <w:tcW w:w="1620" w:type="dxa"/>
            <w:vAlign w:val="bottom"/>
            <w:tcBorders>
              <w:left w:val="single" w:sz="8" w:color="auto"/>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On Track</w:t>
            </w:r>
          </w:p>
        </w:tc>
        <w:tc>
          <w:tcPr>
            <w:tcW w:w="11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110806</w:t>
            </w:r>
          </w:p>
        </w:tc>
        <w:tc>
          <w:tcPr>
            <w:tcW w:w="92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720</w:t>
            </w:r>
          </w:p>
        </w:tc>
        <w:tc>
          <w:tcPr>
            <w:tcW w:w="30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Saturn 6500 G6A-RS232 with</w:t>
            </w:r>
          </w:p>
        </w:tc>
        <w:tc>
          <w:tcPr>
            <w:tcW w:w="15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260" w:type="dxa"/>
            <w:vAlign w:val="bottom"/>
          </w:tcPr>
          <w:p>
            <w:pPr>
              <w:ind w:left="8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79.95</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57,564.00</w:t>
            </w:r>
          </w:p>
        </w:tc>
      </w:tr>
      <w:tr>
        <w:trPr>
          <w:trHeight w:val="230"/>
        </w:trPr>
        <w:tc>
          <w:tcPr>
            <w:tcW w:w="16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Innovations Ltd.</w:t>
            </w:r>
          </w:p>
        </w:tc>
        <w:tc>
          <w:tcPr>
            <w:tcW w:w="1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Extension Kit</w:t>
            </w:r>
          </w:p>
        </w:tc>
        <w:tc>
          <w:tcPr>
            <w:tcW w:w="1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02"/>
        </w:trPr>
        <w:tc>
          <w:tcPr>
            <w:tcW w:w="1620" w:type="dxa"/>
            <w:vAlign w:val="bottom"/>
            <w:tcBorders>
              <w:left w:val="single" w:sz="8" w:color="auto"/>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On Track</w:t>
            </w:r>
          </w:p>
        </w:tc>
        <w:tc>
          <w:tcPr>
            <w:tcW w:w="11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110806</w:t>
            </w:r>
          </w:p>
        </w:tc>
        <w:tc>
          <w:tcPr>
            <w:tcW w:w="92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720</w:t>
            </w:r>
          </w:p>
        </w:tc>
        <w:tc>
          <w:tcPr>
            <w:tcW w:w="30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Saturn 6500 G6A-RS232 with</w:t>
            </w:r>
          </w:p>
        </w:tc>
        <w:tc>
          <w:tcPr>
            <w:tcW w:w="15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260" w:type="dxa"/>
            <w:vAlign w:val="bottom"/>
          </w:tcPr>
          <w:p>
            <w:pPr>
              <w:ind w:left="8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79.95</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57,564.00</w:t>
            </w:r>
          </w:p>
        </w:tc>
      </w:tr>
      <w:tr>
        <w:trPr>
          <w:trHeight w:val="230"/>
        </w:trPr>
        <w:tc>
          <w:tcPr>
            <w:tcW w:w="16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Innovations Ltd.</w:t>
            </w:r>
          </w:p>
        </w:tc>
        <w:tc>
          <w:tcPr>
            <w:tcW w:w="1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Extension Kit</w:t>
            </w:r>
          </w:p>
        </w:tc>
        <w:tc>
          <w:tcPr>
            <w:tcW w:w="1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02"/>
        </w:trPr>
        <w:tc>
          <w:tcPr>
            <w:tcW w:w="1620" w:type="dxa"/>
            <w:vAlign w:val="bottom"/>
            <w:tcBorders>
              <w:left w:val="single" w:sz="8" w:color="auto"/>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On Track</w:t>
            </w:r>
          </w:p>
        </w:tc>
        <w:tc>
          <w:tcPr>
            <w:tcW w:w="11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110839</w:t>
            </w:r>
          </w:p>
        </w:tc>
        <w:tc>
          <w:tcPr>
            <w:tcW w:w="92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720</w:t>
            </w:r>
          </w:p>
        </w:tc>
        <w:tc>
          <w:tcPr>
            <w:tcW w:w="30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Saturn 6500 G6A-RS232 with</w:t>
            </w:r>
          </w:p>
        </w:tc>
        <w:tc>
          <w:tcPr>
            <w:tcW w:w="15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260" w:type="dxa"/>
            <w:vAlign w:val="bottom"/>
          </w:tcPr>
          <w:p>
            <w:pPr>
              <w:ind w:left="8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79.95</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57,564.00</w:t>
            </w:r>
          </w:p>
        </w:tc>
      </w:tr>
      <w:tr>
        <w:trPr>
          <w:trHeight w:val="230"/>
        </w:trPr>
        <w:tc>
          <w:tcPr>
            <w:tcW w:w="16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Innovations Ltd.</w:t>
            </w:r>
          </w:p>
        </w:tc>
        <w:tc>
          <w:tcPr>
            <w:tcW w:w="1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Extension Kit</w:t>
            </w:r>
          </w:p>
        </w:tc>
        <w:tc>
          <w:tcPr>
            <w:tcW w:w="1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02"/>
        </w:trPr>
        <w:tc>
          <w:tcPr>
            <w:tcW w:w="1620" w:type="dxa"/>
            <w:vAlign w:val="bottom"/>
            <w:tcBorders>
              <w:left w:val="single" w:sz="8" w:color="auto"/>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On Track</w:t>
            </w:r>
          </w:p>
        </w:tc>
        <w:tc>
          <w:tcPr>
            <w:tcW w:w="11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110839</w:t>
            </w:r>
          </w:p>
        </w:tc>
        <w:tc>
          <w:tcPr>
            <w:tcW w:w="92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720</w:t>
            </w:r>
          </w:p>
        </w:tc>
        <w:tc>
          <w:tcPr>
            <w:tcW w:w="30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Saturn 6500 G6A-RS232 with</w:t>
            </w:r>
          </w:p>
        </w:tc>
        <w:tc>
          <w:tcPr>
            <w:tcW w:w="15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260" w:type="dxa"/>
            <w:vAlign w:val="bottom"/>
          </w:tcPr>
          <w:p>
            <w:pPr>
              <w:ind w:left="8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79.95</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57,564.00</w:t>
            </w:r>
          </w:p>
        </w:tc>
      </w:tr>
      <w:tr>
        <w:trPr>
          <w:trHeight w:val="230"/>
        </w:trPr>
        <w:tc>
          <w:tcPr>
            <w:tcW w:w="16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Innovations Ltd.</w:t>
            </w:r>
          </w:p>
        </w:tc>
        <w:tc>
          <w:tcPr>
            <w:tcW w:w="1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Extension Kit</w:t>
            </w:r>
          </w:p>
        </w:tc>
        <w:tc>
          <w:tcPr>
            <w:tcW w:w="1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02"/>
        </w:trPr>
        <w:tc>
          <w:tcPr>
            <w:tcW w:w="1620" w:type="dxa"/>
            <w:vAlign w:val="bottom"/>
            <w:tcBorders>
              <w:left w:val="single" w:sz="8" w:color="auto"/>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On Track</w:t>
            </w:r>
          </w:p>
        </w:tc>
        <w:tc>
          <w:tcPr>
            <w:tcW w:w="11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110839</w:t>
            </w:r>
          </w:p>
        </w:tc>
        <w:tc>
          <w:tcPr>
            <w:tcW w:w="92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680</w:t>
            </w:r>
          </w:p>
        </w:tc>
        <w:tc>
          <w:tcPr>
            <w:tcW w:w="30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Saturn 6500 G6A-RS232 with</w:t>
            </w:r>
          </w:p>
        </w:tc>
        <w:tc>
          <w:tcPr>
            <w:tcW w:w="15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260" w:type="dxa"/>
            <w:vAlign w:val="bottom"/>
          </w:tcPr>
          <w:p>
            <w:pPr>
              <w:ind w:left="8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79.95</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54,366.00</w:t>
            </w:r>
          </w:p>
        </w:tc>
      </w:tr>
      <w:tr>
        <w:trPr>
          <w:trHeight w:val="230"/>
        </w:trPr>
        <w:tc>
          <w:tcPr>
            <w:tcW w:w="16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Innovations Ltd.</w:t>
            </w:r>
          </w:p>
        </w:tc>
        <w:tc>
          <w:tcPr>
            <w:tcW w:w="1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Extension Kit</w:t>
            </w:r>
          </w:p>
        </w:tc>
        <w:tc>
          <w:tcPr>
            <w:tcW w:w="1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02"/>
        </w:trPr>
        <w:tc>
          <w:tcPr>
            <w:tcW w:w="1620" w:type="dxa"/>
            <w:vAlign w:val="bottom"/>
            <w:tcBorders>
              <w:left w:val="single" w:sz="8" w:color="auto"/>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On Track</w:t>
            </w:r>
          </w:p>
        </w:tc>
        <w:tc>
          <w:tcPr>
            <w:tcW w:w="11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111495</w:t>
            </w:r>
          </w:p>
        </w:tc>
        <w:tc>
          <w:tcPr>
            <w:tcW w:w="92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57</w:t>
            </w:r>
          </w:p>
        </w:tc>
        <w:tc>
          <w:tcPr>
            <w:tcW w:w="30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Saturn 6500 G6A-RS232 with</w:t>
            </w:r>
          </w:p>
        </w:tc>
        <w:tc>
          <w:tcPr>
            <w:tcW w:w="15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260" w:type="dxa"/>
            <w:vAlign w:val="bottom"/>
          </w:tcPr>
          <w:p>
            <w:pPr>
              <w:ind w:left="8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69.95</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3,987.15</w:t>
            </w:r>
          </w:p>
        </w:tc>
      </w:tr>
      <w:tr>
        <w:trPr>
          <w:trHeight w:val="230"/>
        </w:trPr>
        <w:tc>
          <w:tcPr>
            <w:tcW w:w="16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Innovations Ltd.</w:t>
            </w:r>
          </w:p>
        </w:tc>
        <w:tc>
          <w:tcPr>
            <w:tcW w:w="1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Extension Kit</w:t>
            </w:r>
          </w:p>
        </w:tc>
        <w:tc>
          <w:tcPr>
            <w:tcW w:w="1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02"/>
        </w:trPr>
        <w:tc>
          <w:tcPr>
            <w:tcW w:w="1620" w:type="dxa"/>
            <w:vAlign w:val="bottom"/>
            <w:tcBorders>
              <w:left w:val="single" w:sz="8" w:color="auto"/>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Telit Wireless</w:t>
            </w:r>
          </w:p>
        </w:tc>
        <w:tc>
          <w:tcPr>
            <w:tcW w:w="11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5643</w:t>
            </w:r>
          </w:p>
        </w:tc>
        <w:tc>
          <w:tcPr>
            <w:tcW w:w="92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3000</w:t>
            </w:r>
          </w:p>
        </w:tc>
        <w:tc>
          <w:tcPr>
            <w:tcW w:w="30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CC864 Dual Verizon</w:t>
            </w:r>
          </w:p>
        </w:tc>
        <w:tc>
          <w:tcPr>
            <w:tcW w:w="15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260" w:type="dxa"/>
            <w:vAlign w:val="bottom"/>
          </w:tcPr>
          <w:p>
            <w:pPr>
              <w:ind w:left="8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36.00</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9"/>
              </w:rPr>
              <w:t>108,000.00</w:t>
            </w:r>
          </w:p>
        </w:tc>
      </w:tr>
      <w:tr>
        <w:trPr>
          <w:trHeight w:val="230"/>
        </w:trPr>
        <w:tc>
          <w:tcPr>
            <w:tcW w:w="16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Solutions</w:t>
            </w:r>
          </w:p>
        </w:tc>
        <w:tc>
          <w:tcPr>
            <w:tcW w:w="1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02"/>
        </w:trPr>
        <w:tc>
          <w:tcPr>
            <w:tcW w:w="1620" w:type="dxa"/>
            <w:vAlign w:val="bottom"/>
            <w:tcBorders>
              <w:left w:val="single" w:sz="8" w:color="auto"/>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Telit Wireless</w:t>
            </w:r>
          </w:p>
        </w:tc>
        <w:tc>
          <w:tcPr>
            <w:tcW w:w="118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9830000076</w:t>
            </w:r>
          </w:p>
        </w:tc>
        <w:tc>
          <w:tcPr>
            <w:tcW w:w="92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I</w:t>
            </w:r>
          </w:p>
        </w:tc>
        <w:tc>
          <w:tcPr>
            <w:tcW w:w="6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5000</w:t>
            </w:r>
          </w:p>
        </w:tc>
        <w:tc>
          <w:tcPr>
            <w:tcW w:w="30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CC864 Dual Module Verizon</w:t>
            </w:r>
          </w:p>
        </w:tc>
        <w:tc>
          <w:tcPr>
            <w:tcW w:w="15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0</w:t>
            </w:r>
          </w:p>
        </w:tc>
        <w:tc>
          <w:tcPr>
            <w:tcW w:w="260" w:type="dxa"/>
            <w:vAlign w:val="bottom"/>
          </w:tcPr>
          <w:p>
            <w:pPr>
              <w:ind w:left="80"/>
              <w:spacing w:after="0" w:line="201"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36.00</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9"/>
              </w:rPr>
              <w:t>180,000.00</w:t>
            </w:r>
          </w:p>
        </w:tc>
      </w:tr>
      <w:tr>
        <w:trPr>
          <w:trHeight w:val="230"/>
        </w:trPr>
        <w:tc>
          <w:tcPr>
            <w:tcW w:w="16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Solutions</w:t>
            </w:r>
          </w:p>
        </w:tc>
        <w:tc>
          <w:tcPr>
            <w:tcW w:w="1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gridSpan w:val="2"/>
          </w:tcPr>
          <w:p>
            <w:pPr>
              <w:spacing w:after="0"/>
              <w:rPr>
                <w:sz w:val="19"/>
                <w:szCs w:val="19"/>
                <w:color w:val="auto"/>
              </w:rPr>
            </w:pPr>
          </w:p>
        </w:tc>
        <w:tc>
          <w:tcPr>
            <w:tcW w:w="1360" w:type="dxa"/>
            <w:vAlign w:val="bottom"/>
            <w:tcBorders>
              <w:bottom w:val="single" w:sz="8" w:color="auto"/>
            </w:tcBorders>
            <w:gridSpan w:val="2"/>
          </w:tcPr>
          <w:p>
            <w:pPr>
              <w:spacing w:after="0"/>
              <w:rPr>
                <w:sz w:val="19"/>
                <w:szCs w:val="19"/>
                <w:color w:val="auto"/>
              </w:rPr>
            </w:pPr>
          </w:p>
        </w:tc>
      </w:tr>
      <w:tr>
        <w:trPr>
          <w:trHeight w:val="198"/>
        </w:trPr>
        <w:tc>
          <w:tcPr>
            <w:tcW w:w="4400" w:type="dxa"/>
            <w:vAlign w:val="bottom"/>
            <w:tcBorders>
              <w:left w:val="single" w:sz="8" w:color="auto"/>
            </w:tcBorders>
            <w:gridSpan w:val="4"/>
          </w:tcPr>
          <w:p>
            <w:pPr>
              <w:ind w:left="200"/>
              <w:spacing w:after="0" w:line="198" w:lineRule="exact"/>
              <w:rPr>
                <w:sz w:val="20"/>
                <w:szCs w:val="20"/>
                <w:color w:val="auto"/>
              </w:rPr>
            </w:pPr>
            <w:r>
              <w:rPr>
                <w:rFonts w:ascii="Arial" w:cs="Arial" w:eastAsia="Arial" w:hAnsi="Arial"/>
                <w:sz w:val="18"/>
                <w:szCs w:val="18"/>
                <w:b w:val="1"/>
                <w:bCs w:val="1"/>
                <w:color w:val="auto"/>
                <w:w w:val="88"/>
              </w:rPr>
              <w:t>together with all additions, alterations, accessions and</w:t>
            </w:r>
          </w:p>
        </w:tc>
        <w:tc>
          <w:tcPr>
            <w:tcW w:w="7020" w:type="dxa"/>
            <w:vAlign w:val="bottom"/>
            <w:tcBorders>
              <w:right w:val="single" w:sz="8" w:color="auto"/>
            </w:tcBorders>
            <w:gridSpan w:val="6"/>
          </w:tcPr>
          <w:p>
            <w:pPr>
              <w:ind w:left="20"/>
              <w:spacing w:after="0" w:line="198" w:lineRule="exact"/>
              <w:rPr>
                <w:sz w:val="20"/>
                <w:szCs w:val="20"/>
                <w:color w:val="auto"/>
              </w:rPr>
            </w:pPr>
            <w:r>
              <w:rPr>
                <w:rFonts w:ascii="Arial" w:cs="Arial" w:eastAsia="Arial" w:hAnsi="Arial"/>
                <w:sz w:val="18"/>
                <w:szCs w:val="18"/>
                <w:b w:val="1"/>
                <w:bCs w:val="1"/>
                <w:color w:val="auto"/>
                <w:w w:val="89"/>
              </w:rPr>
              <w:t>modifications thereto and replacements of any part thereof, and substitutions therefore, all</w:t>
            </w:r>
          </w:p>
        </w:tc>
      </w:tr>
      <w:tr>
        <w:trPr>
          <w:trHeight w:val="216"/>
        </w:trPr>
        <w:tc>
          <w:tcPr>
            <w:tcW w:w="11420" w:type="dxa"/>
            <w:vAlign w:val="bottom"/>
            <w:tcBorders>
              <w:left w:val="single" w:sz="8" w:color="auto"/>
              <w:right w:val="single" w:sz="8" w:color="auto"/>
            </w:tcBorders>
            <w:gridSpan w:val="10"/>
          </w:tcPr>
          <w:p>
            <w:pPr>
              <w:ind w:left="200"/>
              <w:spacing w:after="0"/>
              <w:rPr>
                <w:sz w:val="20"/>
                <w:szCs w:val="20"/>
                <w:color w:val="auto"/>
              </w:rPr>
            </w:pPr>
            <w:r>
              <w:rPr>
                <w:rFonts w:ascii="Arial" w:cs="Arial" w:eastAsia="Arial" w:hAnsi="Arial"/>
                <w:sz w:val="18"/>
                <w:szCs w:val="18"/>
                <w:b w:val="1"/>
                <w:bCs w:val="1"/>
                <w:color w:val="auto"/>
                <w:w w:val="96"/>
              </w:rPr>
              <w:t>accessories, and attachments, in whole or in part. Any related software (embedded therein or otherwise), all intangibles and other rights</w:t>
            </w:r>
          </w:p>
        </w:tc>
      </w:tr>
      <w:tr>
        <w:trPr>
          <w:trHeight w:val="216"/>
        </w:trPr>
        <w:tc>
          <w:tcPr>
            <w:tcW w:w="11420" w:type="dxa"/>
            <w:vAlign w:val="bottom"/>
            <w:tcBorders>
              <w:left w:val="single" w:sz="8" w:color="auto"/>
              <w:right w:val="single" w:sz="8" w:color="auto"/>
            </w:tcBorders>
            <w:gridSpan w:val="10"/>
          </w:tcPr>
          <w:p>
            <w:pPr>
              <w:ind w:left="200"/>
              <w:spacing w:after="0"/>
              <w:rPr>
                <w:sz w:val="20"/>
                <w:szCs w:val="20"/>
                <w:color w:val="auto"/>
              </w:rPr>
            </w:pPr>
            <w:r>
              <w:rPr>
                <w:rFonts w:ascii="Arial" w:cs="Arial" w:eastAsia="Arial" w:hAnsi="Arial"/>
                <w:sz w:val="18"/>
                <w:szCs w:val="18"/>
                <w:b w:val="1"/>
                <w:bCs w:val="1"/>
                <w:color w:val="auto"/>
                <w:w w:val="89"/>
              </w:rPr>
              <w:t>associated with such equipment, including without limitation any licenses to use or own such equipment, any manufacturer’s or other warranties</w:t>
            </w:r>
          </w:p>
        </w:tc>
      </w:tr>
      <w:tr>
        <w:trPr>
          <w:trHeight w:val="216"/>
        </w:trPr>
        <w:tc>
          <w:tcPr>
            <w:tcW w:w="11420" w:type="dxa"/>
            <w:vAlign w:val="bottom"/>
            <w:tcBorders>
              <w:left w:val="single" w:sz="8" w:color="auto"/>
              <w:right w:val="single" w:sz="8" w:color="auto"/>
            </w:tcBorders>
            <w:gridSpan w:val="10"/>
          </w:tcPr>
          <w:p>
            <w:pPr>
              <w:ind w:left="200"/>
              <w:spacing w:after="0"/>
              <w:rPr>
                <w:sz w:val="20"/>
                <w:szCs w:val="20"/>
                <w:color w:val="auto"/>
              </w:rPr>
            </w:pPr>
            <w:r>
              <w:rPr>
                <w:rFonts w:ascii="Arial" w:cs="Arial" w:eastAsia="Arial" w:hAnsi="Arial"/>
                <w:sz w:val="18"/>
                <w:szCs w:val="18"/>
                <w:b w:val="1"/>
                <w:bCs w:val="1"/>
                <w:color w:val="auto"/>
                <w:w w:val="91"/>
              </w:rPr>
              <w:t>with respect to such equipment, all goods, refunds, rebates, remittances, insurance and insurance proceeds, and all rights related thereto, and</w:t>
            </w:r>
          </w:p>
        </w:tc>
      </w:tr>
      <w:tr>
        <w:trPr>
          <w:trHeight w:val="216"/>
        </w:trPr>
        <w:tc>
          <w:tcPr>
            <w:tcW w:w="11420" w:type="dxa"/>
            <w:vAlign w:val="bottom"/>
            <w:tcBorders>
              <w:left w:val="single" w:sz="8" w:color="auto"/>
              <w:right w:val="single" w:sz="8" w:color="auto"/>
            </w:tcBorders>
            <w:gridSpan w:val="10"/>
          </w:tcPr>
          <w:p>
            <w:pPr>
              <w:ind w:left="200"/>
              <w:spacing w:after="0"/>
              <w:rPr>
                <w:sz w:val="20"/>
                <w:szCs w:val="20"/>
                <w:color w:val="auto"/>
              </w:rPr>
            </w:pPr>
            <w:r>
              <w:rPr>
                <w:rFonts w:ascii="Arial" w:cs="Arial" w:eastAsia="Arial" w:hAnsi="Arial"/>
                <w:sz w:val="18"/>
                <w:szCs w:val="18"/>
                <w:b w:val="1"/>
                <w:bCs w:val="1"/>
                <w:color w:val="auto"/>
                <w:w w:val="92"/>
              </w:rPr>
              <w:t>other property or rights to which the Lessee may be or become entitled by reason of Lessee’s interest in the equipment, software or personal</w:t>
            </w:r>
          </w:p>
        </w:tc>
      </w:tr>
      <w:tr>
        <w:trPr>
          <w:trHeight w:val="241"/>
        </w:trPr>
        <w:tc>
          <w:tcPr>
            <w:tcW w:w="162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property.</w:t>
            </w:r>
          </w:p>
        </w:tc>
        <w:tc>
          <w:tcPr>
            <w:tcW w:w="1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420"/>
          </w:cols>
          <w:pgMar w:left="240" w:top="675" w:right="239" w:bottom="76" w:gutter="0" w:footer="0" w:header="0"/>
        </w:sectPr>
      </w:pPr>
    </w:p>
    <w:bookmarkStart w:id="200" w:name="page201"/>
    <w:bookmarkEnd w:id="2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10.38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Varilease Finance,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6340 South 3000 East,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 84121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www.varilease.com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801.733.8100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801.733.8900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NO. 01</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Reference is made to Schedule No. 01 dated April 30, 2014 (the “Schedule”) incorporating by reference Master Lease Agreement dated April 30, 2014 between VARILEASE FINANCE, INC. (the “Lessor”) and USA TECHNOLOGIES, INC. (the “Lessee”) (the “Master Agreement”). The Schedule and Master Agreement shall hereinafter be referred to collectively as the “Lease”. All capitalized terms used herein but not defined herein shall have the same meanings ascribed to them in the Lease.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Schedule is hereby amended effective as of June 20, 2014 by deleting Sections 5, 6 and 7 in their entirety and replacing them with the following:</w:t>
      </w:r>
    </w:p>
    <w:p>
      <w:pPr>
        <w:spacing w:after="0" w:line="247"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8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2040" w:type="dxa"/>
            <w:vAlign w:val="bottom"/>
            <w:gridSpan w:val="3"/>
          </w:tcPr>
          <w:p>
            <w:pPr>
              <w:spacing w:after="0"/>
              <w:rPr>
                <w:sz w:val="20"/>
                <w:szCs w:val="20"/>
                <w:color w:val="auto"/>
              </w:rPr>
            </w:pPr>
            <w:r>
              <w:rPr>
                <w:rFonts w:ascii="Arial" w:cs="Arial" w:eastAsia="Arial" w:hAnsi="Arial"/>
                <w:sz w:val="18"/>
                <w:szCs w:val="18"/>
                <w:color w:val="auto"/>
              </w:rPr>
              <w:t>Base Monthly Rental:</w:t>
            </w:r>
          </w:p>
        </w:tc>
        <w:tc>
          <w:tcPr>
            <w:tcW w:w="7900" w:type="dxa"/>
            <w:vAlign w:val="bottom"/>
          </w:tcPr>
          <w:p>
            <w:pPr>
              <w:ind w:left="440"/>
              <w:spacing w:after="0"/>
              <w:rPr>
                <w:sz w:val="20"/>
                <w:szCs w:val="20"/>
                <w:color w:val="auto"/>
              </w:rPr>
            </w:pPr>
            <w:r>
              <w:rPr>
                <w:rFonts w:ascii="Arial" w:cs="Arial" w:eastAsia="Arial" w:hAnsi="Arial"/>
                <w:sz w:val="18"/>
                <w:szCs w:val="18"/>
                <w:color w:val="auto"/>
              </w:rPr>
              <w:t>$55,025.20 (plus applicable sales/use tax)</w:t>
            </w:r>
          </w:p>
        </w:tc>
      </w:tr>
      <w:tr>
        <w:trPr>
          <w:trHeight w:val="439"/>
        </w:trPr>
        <w:tc>
          <w:tcPr>
            <w:tcW w:w="18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w:t>
            </w:r>
          </w:p>
        </w:tc>
        <w:tc>
          <w:tcPr>
            <w:tcW w:w="500" w:type="dxa"/>
            <w:vAlign w:val="bottom"/>
          </w:tcPr>
          <w:p>
            <w:pPr>
              <w:spacing w:after="0"/>
              <w:rPr>
                <w:sz w:val="24"/>
                <w:szCs w:val="24"/>
                <w:color w:val="auto"/>
              </w:rPr>
            </w:pPr>
          </w:p>
        </w:tc>
        <w:tc>
          <w:tcPr>
            <w:tcW w:w="7900" w:type="dxa"/>
            <w:vAlign w:val="bottom"/>
          </w:tcPr>
          <w:p>
            <w:pPr>
              <w:ind w:left="600"/>
              <w:spacing w:after="0"/>
              <w:rPr>
                <w:sz w:val="20"/>
                <w:szCs w:val="20"/>
                <w:color w:val="auto"/>
              </w:rPr>
            </w:pPr>
            <w:r>
              <w:rPr>
                <w:rFonts w:ascii="Arial" w:cs="Arial" w:eastAsia="Arial" w:hAnsi="Arial"/>
                <w:sz w:val="18"/>
                <w:szCs w:val="18"/>
                <w:color w:val="auto"/>
                <w:w w:val="91"/>
              </w:rPr>
              <w:t>$55,025.20 applied to the last Base Monthly Rental (plus applicable sales/use tax). Lessee shall pay</w:t>
            </w: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last</w:t>
      </w:r>
      <w:r>
        <w:rPr>
          <w:rFonts w:ascii="Arial" w:cs="Arial" w:eastAsia="Arial" w:hAnsi="Arial"/>
          <w:sz w:val="17"/>
          <w:szCs w:val="17"/>
          <w:color w:val="auto"/>
        </w:rPr>
        <w:t xml:space="preserve"> Base Monthly Rental in advance upon the execution of this Schedule. Lessee acknowledges and agrees that, notwithstanding anything to the contrary herein, this payment is non-refundable to Lessee under any circumstances, including, without limitation, any termination of this Lease for any reason prior to the end of its scheduled term. This payment shall be deemed earned by Lessor, and upon receipt by Lessor, shall immediately be applied to satisfy Lessee’s obligation to make the last Base Monthly Rental.</w:t>
      </w:r>
    </w:p>
    <w:p>
      <w:pPr>
        <w:spacing w:after="0" w:line="181"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2340" w:type="dxa"/>
            <w:vAlign w:val="bottom"/>
            <w:gridSpan w:val="3"/>
          </w:tcPr>
          <w:p>
            <w:pPr>
              <w:spacing w:after="0"/>
              <w:rPr>
                <w:sz w:val="20"/>
                <w:szCs w:val="20"/>
                <w:color w:val="auto"/>
              </w:rPr>
            </w:pPr>
            <w:r>
              <w:rPr>
                <w:rFonts w:ascii="Arial" w:cs="Arial" w:eastAsia="Arial" w:hAnsi="Arial"/>
                <w:sz w:val="18"/>
                <w:szCs w:val="18"/>
                <w:color w:val="auto"/>
              </w:rPr>
              <w:t>7. Base Lease Rate Factor:</w:t>
            </w:r>
          </w:p>
        </w:tc>
        <w:tc>
          <w:tcPr>
            <w:tcW w:w="980" w:type="dxa"/>
            <w:vAlign w:val="bottom"/>
          </w:tcPr>
          <w:p>
            <w:pPr>
              <w:jc w:val="right"/>
              <w:spacing w:after="0"/>
              <w:rPr>
                <w:sz w:val="20"/>
                <w:szCs w:val="20"/>
                <w:color w:val="auto"/>
              </w:rPr>
            </w:pPr>
            <w:r>
              <w:rPr>
                <w:rFonts w:ascii="Arial" w:cs="Arial" w:eastAsia="Arial" w:hAnsi="Arial"/>
                <w:sz w:val="18"/>
                <w:szCs w:val="18"/>
                <w:color w:val="auto"/>
              </w:rPr>
              <w:t>0.02750</w:t>
            </w:r>
          </w:p>
        </w:tc>
      </w:tr>
      <w:tr>
        <w:trPr>
          <w:trHeight w:val="20"/>
        </w:trPr>
        <w:tc>
          <w:tcPr>
            <w:tcW w:w="1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the Schedule shall remain in full force and effect without change.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Dated: July 9, 2014.</w:t>
            </w:r>
          </w:p>
        </w:tc>
        <w:tc>
          <w:tcPr>
            <w:tcW w:w="2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18"/>
        </w:trPr>
        <w:tc>
          <w:tcPr>
            <w:tcW w:w="3940" w:type="dxa"/>
            <w:vAlign w:val="bottom"/>
            <w:gridSpan w:val="3"/>
          </w:tcPr>
          <w:p>
            <w:pPr>
              <w:spacing w:after="0"/>
              <w:rPr>
                <w:sz w:val="20"/>
                <w:szCs w:val="20"/>
                <w:color w:val="auto"/>
              </w:rPr>
            </w:pPr>
            <w:r>
              <w:rPr>
                <w:rFonts w:ascii="Arial" w:cs="Arial" w:eastAsia="Arial" w:hAnsi="Arial"/>
                <w:sz w:val="18"/>
                <w:szCs w:val="18"/>
                <w:color w:val="auto"/>
              </w:rPr>
              <w:t>LESSOR:</w:t>
            </w:r>
          </w:p>
        </w:tc>
        <w:tc>
          <w:tcPr>
            <w:tcW w:w="7480" w:type="dxa"/>
            <w:vAlign w:val="bottom"/>
            <w:gridSpan w:val="3"/>
          </w:tcPr>
          <w:p>
            <w:pPr>
              <w:ind w:left="1700"/>
              <w:spacing w:after="0"/>
              <w:rPr>
                <w:sz w:val="20"/>
                <w:szCs w:val="20"/>
                <w:color w:val="auto"/>
              </w:rPr>
            </w:pPr>
            <w:r>
              <w:rPr>
                <w:rFonts w:ascii="Arial" w:cs="Arial" w:eastAsia="Arial" w:hAnsi="Arial"/>
                <w:sz w:val="18"/>
                <w:szCs w:val="18"/>
                <w:color w:val="auto"/>
              </w:rPr>
              <w:t>LESSEE:</w:t>
            </w:r>
          </w:p>
        </w:tc>
      </w:t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VARILEASE FINANCE, INC.</w:t>
            </w:r>
          </w:p>
        </w:tc>
        <w:tc>
          <w:tcPr>
            <w:tcW w:w="7480" w:type="dxa"/>
            <w:vAlign w:val="bottom"/>
            <w:gridSpan w:val="3"/>
          </w:tcPr>
          <w:p>
            <w:pPr>
              <w:ind w:left="1700"/>
              <w:spacing w:after="0"/>
              <w:rPr>
                <w:sz w:val="20"/>
                <w:szCs w:val="20"/>
                <w:color w:val="auto"/>
              </w:rPr>
            </w:pPr>
            <w:r>
              <w:rPr>
                <w:rFonts w:ascii="Arial" w:cs="Arial" w:eastAsia="Arial" w:hAnsi="Arial"/>
                <w:sz w:val="18"/>
                <w:szCs w:val="18"/>
                <w:color w:val="auto"/>
              </w:rPr>
              <w:t>USA TECHNOLOGIES, INC.</w:t>
            </w:r>
          </w:p>
        </w:tc>
      </w:tr>
      <w:tr>
        <w:trPr>
          <w:trHeight w:val="432"/>
        </w:trPr>
        <w:tc>
          <w:tcPr>
            <w:tcW w:w="3940" w:type="dxa"/>
            <w:vAlign w:val="bottom"/>
            <w:gridSpan w:val="3"/>
          </w:tcPr>
          <w:p>
            <w:pPr>
              <w:spacing w:after="0"/>
              <w:rPr>
                <w:sz w:val="20"/>
                <w:szCs w:val="20"/>
                <w:color w:val="auto"/>
              </w:rPr>
            </w:pPr>
            <w:r>
              <w:rPr>
                <w:rFonts w:ascii="Arial" w:cs="Arial" w:eastAsia="Arial" w:hAnsi="Arial"/>
                <w:sz w:val="18"/>
                <w:szCs w:val="18"/>
                <w:color w:val="auto"/>
              </w:rPr>
              <w:t>By: /s/ Kristy Phillips</w:t>
            </w:r>
          </w:p>
        </w:tc>
        <w:tc>
          <w:tcPr>
            <w:tcW w:w="7480" w:type="dxa"/>
            <w:vAlign w:val="bottom"/>
            <w:gridSpan w:val="3"/>
          </w:tcPr>
          <w:p>
            <w:pPr>
              <w:ind w:left="1700"/>
              <w:spacing w:after="0"/>
              <w:rPr>
                <w:sz w:val="20"/>
                <w:szCs w:val="20"/>
                <w:color w:val="auto"/>
              </w:rPr>
            </w:pPr>
            <w:r>
              <w:rPr>
                <w:rFonts w:ascii="Arial" w:cs="Arial" w:eastAsia="Arial" w:hAnsi="Arial"/>
                <w:sz w:val="18"/>
                <w:szCs w:val="18"/>
                <w:color w:val="auto"/>
              </w:rPr>
              <w:t>By: /s/ David M. DeMedio</w:t>
            </w:r>
          </w:p>
        </w:tc>
      </w:tr>
      <w:tr>
        <w:trPr>
          <w:trHeight w:val="27"/>
        </w:trPr>
        <w:tc>
          <w:tcPr>
            <w:tcW w:w="3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3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3800" w:type="dxa"/>
            <w:vAlign w:val="bottom"/>
          </w:tcPr>
          <w:p>
            <w:pPr>
              <w:spacing w:after="0"/>
              <w:rPr>
                <w:sz w:val="2"/>
                <w:szCs w:val="2"/>
                <w:color w:val="auto"/>
              </w:rPr>
            </w:pPr>
          </w:p>
        </w:tc>
      </w:tr>
      <w:tr>
        <w:trPr>
          <w:trHeight w:val="202"/>
        </w:trPr>
        <w:tc>
          <w:tcPr>
            <w:tcW w:w="1620" w:type="dxa"/>
            <w:vAlign w:val="bottom"/>
            <w:gridSpan w:val="2"/>
          </w:tcPr>
          <w:p>
            <w:pPr>
              <w:spacing w:after="0" w:line="201" w:lineRule="exact"/>
              <w:rPr>
                <w:sz w:val="20"/>
                <w:szCs w:val="20"/>
                <w:color w:val="auto"/>
              </w:rPr>
            </w:pPr>
            <w:r>
              <w:rPr>
                <w:rFonts w:ascii="Arial" w:cs="Arial" w:eastAsia="Arial" w:hAnsi="Arial"/>
                <w:sz w:val="18"/>
                <w:szCs w:val="18"/>
                <w:color w:val="auto"/>
                <w:w w:val="96"/>
              </w:rPr>
              <w:t>Name: Kristy Phillips</w:t>
            </w:r>
          </w:p>
        </w:tc>
        <w:tc>
          <w:tcPr>
            <w:tcW w:w="2320" w:type="dxa"/>
            <w:vAlign w:val="bottom"/>
          </w:tcPr>
          <w:p>
            <w:pPr>
              <w:spacing w:after="0"/>
              <w:rPr>
                <w:sz w:val="17"/>
                <w:szCs w:val="17"/>
                <w:color w:val="auto"/>
              </w:rPr>
            </w:pPr>
          </w:p>
        </w:tc>
        <w:tc>
          <w:tcPr>
            <w:tcW w:w="7480" w:type="dxa"/>
            <w:vAlign w:val="bottom"/>
            <w:gridSpan w:val="3"/>
          </w:tcPr>
          <w:p>
            <w:pPr>
              <w:ind w:left="1700"/>
              <w:spacing w:after="0" w:line="201" w:lineRule="exact"/>
              <w:rPr>
                <w:sz w:val="20"/>
                <w:szCs w:val="20"/>
                <w:color w:val="auto"/>
              </w:rPr>
            </w:pPr>
            <w:r>
              <w:rPr>
                <w:rFonts w:ascii="Arial" w:cs="Arial" w:eastAsia="Arial" w:hAnsi="Arial"/>
                <w:sz w:val="18"/>
                <w:szCs w:val="18"/>
                <w:color w:val="auto"/>
              </w:rPr>
              <w:t>Name: David M. DeMedio</w:t>
            </w:r>
          </w:p>
        </w:tc>
      </w:t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Title: Vice President</w:t>
            </w:r>
          </w:p>
        </w:tc>
        <w:tc>
          <w:tcPr>
            <w:tcW w:w="7480" w:type="dxa"/>
            <w:vAlign w:val="bottom"/>
            <w:gridSpan w:val="3"/>
          </w:tcPr>
          <w:p>
            <w:pPr>
              <w:ind w:left="1700"/>
              <w:spacing w:after="0"/>
              <w:rPr>
                <w:sz w:val="20"/>
                <w:szCs w:val="20"/>
                <w:color w:val="auto"/>
              </w:rPr>
            </w:pPr>
            <w:r>
              <w:rPr>
                <w:rFonts w:ascii="Arial" w:cs="Arial" w:eastAsia="Arial" w:hAnsi="Arial"/>
                <w:sz w:val="18"/>
                <w:szCs w:val="18"/>
                <w:color w:val="auto"/>
              </w:rPr>
              <w:t>Title: CFO</w:t>
            </w:r>
          </w:p>
        </w:tc>
      </w:tr>
      <w:tr>
        <w:trPr>
          <w:trHeight w:val="675"/>
        </w:trPr>
        <w:tc>
          <w:tcPr>
            <w:tcW w:w="320" w:type="dxa"/>
            <w:vAlign w:val="bottom"/>
            <w:tcBorders>
              <w:bottom w:val="single" w:sz="8" w:color="DCDCDC"/>
            </w:tcBorders>
          </w:tcPr>
          <w:p>
            <w:pPr>
              <w:spacing w:after="0"/>
              <w:rPr>
                <w:sz w:val="24"/>
                <w:szCs w:val="24"/>
                <w:color w:val="auto"/>
              </w:rPr>
            </w:pPr>
          </w:p>
        </w:tc>
        <w:tc>
          <w:tcPr>
            <w:tcW w:w="1300" w:type="dxa"/>
            <w:vAlign w:val="bottom"/>
            <w:tcBorders>
              <w:bottom w:val="single" w:sz="8" w:color="DCDCDC"/>
            </w:tcBorders>
          </w:tcPr>
          <w:p>
            <w:pPr>
              <w:spacing w:after="0"/>
              <w:rPr>
                <w:sz w:val="24"/>
                <w:szCs w:val="24"/>
                <w:color w:val="auto"/>
              </w:rPr>
            </w:pPr>
          </w:p>
        </w:tc>
        <w:tc>
          <w:tcPr>
            <w:tcW w:w="2320" w:type="dxa"/>
            <w:vAlign w:val="bottom"/>
            <w:tcBorders>
              <w:bottom w:val="single" w:sz="8" w:color="DCDCDC"/>
            </w:tcBorders>
          </w:tcPr>
          <w:p>
            <w:pPr>
              <w:spacing w:after="0"/>
              <w:rPr>
                <w:sz w:val="24"/>
                <w:szCs w:val="24"/>
                <w:color w:val="auto"/>
              </w:rPr>
            </w:pPr>
          </w:p>
        </w:tc>
        <w:tc>
          <w:tcPr>
            <w:tcW w:w="2060" w:type="dxa"/>
            <w:vAlign w:val="bottom"/>
            <w:tcBorders>
              <w:bottom w:val="single" w:sz="8" w:color="DCDCDC"/>
            </w:tcBorders>
          </w:tcPr>
          <w:p>
            <w:pPr>
              <w:spacing w:after="0"/>
              <w:rPr>
                <w:sz w:val="24"/>
                <w:szCs w:val="24"/>
                <w:color w:val="auto"/>
              </w:rPr>
            </w:pPr>
          </w:p>
        </w:tc>
        <w:tc>
          <w:tcPr>
            <w:tcW w:w="1620" w:type="dxa"/>
            <w:vAlign w:val="bottom"/>
            <w:tcBorders>
              <w:bottom w:val="single" w:sz="8" w:color="DCDCDC"/>
            </w:tcBorders>
          </w:tcPr>
          <w:p>
            <w:pPr>
              <w:spacing w:after="0"/>
              <w:rPr>
                <w:sz w:val="24"/>
                <w:szCs w:val="24"/>
                <w:color w:val="auto"/>
              </w:rPr>
            </w:pPr>
          </w:p>
        </w:tc>
        <w:tc>
          <w:tcPr>
            <w:tcW w:w="38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256"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10.39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Varilease Finance,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6340 South 3000 East,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 84121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www.varilease.com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801.733.8100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801.733.8900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NO. 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Reference is made to Schedule No. 02 dated April 30, 2014 (the “Schedule”) incorporating by reference Master Lease Agreement dated April 30, 2014 between VARILEASE FINANCE, INC. (the “Lessor”) and USA TECHNOLOGIES, INC. (the “Lessee”) (the “Master Agreement”). The Schedule and Master Agreement shall hereinafter be referred to collectively as the “Lease”. All capitalized terms used herein but not defined herein shall have the same meanings ascribed to them in the Lease.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Schedule is hereby amended effective as of June 24, 2014 by deleting Sections 5, 6 and 7 in their entirety and replacing them with the following:</w:t>
      </w:r>
    </w:p>
    <w:p>
      <w:pPr>
        <w:spacing w:after="0" w:line="247"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8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2060" w:type="dxa"/>
            <w:vAlign w:val="bottom"/>
            <w:gridSpan w:val="3"/>
          </w:tcPr>
          <w:p>
            <w:pPr>
              <w:spacing w:after="0"/>
              <w:rPr>
                <w:sz w:val="20"/>
                <w:szCs w:val="20"/>
                <w:color w:val="auto"/>
              </w:rPr>
            </w:pPr>
            <w:r>
              <w:rPr>
                <w:rFonts w:ascii="Arial" w:cs="Arial" w:eastAsia="Arial" w:hAnsi="Arial"/>
                <w:sz w:val="18"/>
                <w:szCs w:val="18"/>
                <w:color w:val="auto"/>
              </w:rPr>
              <w:t>Base Monthly Rental:</w:t>
            </w:r>
          </w:p>
        </w:tc>
        <w:tc>
          <w:tcPr>
            <w:tcW w:w="7880" w:type="dxa"/>
            <w:vAlign w:val="bottom"/>
          </w:tcPr>
          <w:p>
            <w:pPr>
              <w:ind w:left="460"/>
              <w:spacing w:after="0"/>
              <w:rPr>
                <w:sz w:val="20"/>
                <w:szCs w:val="20"/>
                <w:color w:val="auto"/>
              </w:rPr>
            </w:pPr>
            <w:r>
              <w:rPr>
                <w:rFonts w:ascii="Arial" w:cs="Arial" w:eastAsia="Arial" w:hAnsi="Arial"/>
                <w:sz w:val="18"/>
                <w:szCs w:val="18"/>
                <w:color w:val="auto"/>
              </w:rPr>
              <w:t>$27,339.91 (plus applicable sales/use tax)</w:t>
            </w:r>
          </w:p>
        </w:tc>
      </w:tr>
      <w:tr>
        <w:trPr>
          <w:trHeight w:val="439"/>
        </w:trPr>
        <w:tc>
          <w:tcPr>
            <w:tcW w:w="18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w:t>
            </w:r>
          </w:p>
        </w:tc>
        <w:tc>
          <w:tcPr>
            <w:tcW w:w="520" w:type="dxa"/>
            <w:vAlign w:val="bottom"/>
          </w:tcPr>
          <w:p>
            <w:pPr>
              <w:spacing w:after="0"/>
              <w:rPr>
                <w:sz w:val="24"/>
                <w:szCs w:val="24"/>
                <w:color w:val="auto"/>
              </w:rPr>
            </w:pPr>
          </w:p>
        </w:tc>
        <w:tc>
          <w:tcPr>
            <w:tcW w:w="7880" w:type="dxa"/>
            <w:vAlign w:val="bottom"/>
          </w:tcPr>
          <w:p>
            <w:pPr>
              <w:ind w:left="600"/>
              <w:spacing w:after="0"/>
              <w:rPr>
                <w:sz w:val="20"/>
                <w:szCs w:val="20"/>
                <w:color w:val="auto"/>
              </w:rPr>
            </w:pPr>
            <w:r>
              <w:rPr>
                <w:rFonts w:ascii="Arial" w:cs="Arial" w:eastAsia="Arial" w:hAnsi="Arial"/>
                <w:sz w:val="18"/>
                <w:szCs w:val="18"/>
                <w:color w:val="auto"/>
                <w:w w:val="91"/>
              </w:rPr>
              <w:t>$27,339.91 applied to the last Base Monthly Rental (plus applicable sales/use tax). Lessee shall pay</w:t>
            </w: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color w:val="auto"/>
        </w:rPr>
        <w:t>the last Base Monthly Rental in advance upon the execution of this Schedule. Lessee acknowledges and agrees that, notwithstanding anything to the contrary herein, this payment is non-refundable to Lessee under any circumstances, including, without limitation, any termination of this Lease for any reason prior to the end of its scheduled term. This payment shall be deemed earned by Lessor, and upon receipt by Lessor, shall immediately be applied to satisfy Lessee’s obligation to make the last Base Monthly Rental.</w:t>
      </w:r>
    </w:p>
    <w:p>
      <w:pPr>
        <w:spacing w:after="0" w:line="181"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2340" w:type="dxa"/>
            <w:vAlign w:val="bottom"/>
            <w:gridSpan w:val="3"/>
          </w:tcPr>
          <w:p>
            <w:pPr>
              <w:spacing w:after="0"/>
              <w:rPr>
                <w:sz w:val="20"/>
                <w:szCs w:val="20"/>
                <w:color w:val="auto"/>
              </w:rPr>
            </w:pPr>
            <w:r>
              <w:rPr>
                <w:rFonts w:ascii="Arial" w:cs="Arial" w:eastAsia="Arial" w:hAnsi="Arial"/>
                <w:sz w:val="18"/>
                <w:szCs w:val="18"/>
                <w:color w:val="auto"/>
              </w:rPr>
              <w:t>7. Base Lease Rate Factor:</w:t>
            </w:r>
          </w:p>
        </w:tc>
        <w:tc>
          <w:tcPr>
            <w:tcW w:w="980" w:type="dxa"/>
            <w:vAlign w:val="bottom"/>
          </w:tcPr>
          <w:p>
            <w:pPr>
              <w:jc w:val="right"/>
              <w:spacing w:after="0"/>
              <w:rPr>
                <w:sz w:val="20"/>
                <w:szCs w:val="20"/>
                <w:color w:val="auto"/>
              </w:rPr>
            </w:pPr>
            <w:r>
              <w:rPr>
                <w:rFonts w:ascii="Arial" w:cs="Arial" w:eastAsia="Arial" w:hAnsi="Arial"/>
                <w:sz w:val="18"/>
                <w:szCs w:val="18"/>
                <w:color w:val="auto"/>
              </w:rPr>
              <w:t>0.02750</w:t>
            </w:r>
          </w:p>
        </w:tc>
      </w:tr>
      <w:tr>
        <w:trPr>
          <w:trHeight w:val="20"/>
        </w:trPr>
        <w:tc>
          <w:tcPr>
            <w:tcW w:w="1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the Schedule shall remain in full force and effect without change.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Dated: July 9, 2014.</w:t>
            </w:r>
          </w:p>
        </w:tc>
        <w:tc>
          <w:tcPr>
            <w:tcW w:w="2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18"/>
        </w:trPr>
        <w:tc>
          <w:tcPr>
            <w:tcW w:w="3940" w:type="dxa"/>
            <w:vAlign w:val="bottom"/>
            <w:gridSpan w:val="3"/>
          </w:tcPr>
          <w:p>
            <w:pPr>
              <w:spacing w:after="0"/>
              <w:rPr>
                <w:sz w:val="20"/>
                <w:szCs w:val="20"/>
                <w:color w:val="auto"/>
              </w:rPr>
            </w:pPr>
            <w:r>
              <w:rPr>
                <w:rFonts w:ascii="Arial" w:cs="Arial" w:eastAsia="Arial" w:hAnsi="Arial"/>
                <w:sz w:val="18"/>
                <w:szCs w:val="18"/>
                <w:color w:val="auto"/>
              </w:rPr>
              <w:t>LESSOR:</w:t>
            </w:r>
          </w:p>
        </w:tc>
        <w:tc>
          <w:tcPr>
            <w:tcW w:w="7480" w:type="dxa"/>
            <w:vAlign w:val="bottom"/>
            <w:gridSpan w:val="3"/>
          </w:tcPr>
          <w:p>
            <w:pPr>
              <w:ind w:left="1700"/>
              <w:spacing w:after="0"/>
              <w:rPr>
                <w:sz w:val="20"/>
                <w:szCs w:val="20"/>
                <w:color w:val="auto"/>
              </w:rPr>
            </w:pPr>
            <w:r>
              <w:rPr>
                <w:rFonts w:ascii="Arial" w:cs="Arial" w:eastAsia="Arial" w:hAnsi="Arial"/>
                <w:sz w:val="18"/>
                <w:szCs w:val="18"/>
                <w:color w:val="auto"/>
              </w:rPr>
              <w:t>LESSEE:</w:t>
            </w:r>
          </w:p>
        </w:tc>
      </w:t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VARILEASE FINANCE, INC.</w:t>
            </w:r>
          </w:p>
        </w:tc>
        <w:tc>
          <w:tcPr>
            <w:tcW w:w="7480" w:type="dxa"/>
            <w:vAlign w:val="bottom"/>
            <w:gridSpan w:val="3"/>
          </w:tcPr>
          <w:p>
            <w:pPr>
              <w:ind w:left="1700"/>
              <w:spacing w:after="0"/>
              <w:rPr>
                <w:sz w:val="20"/>
                <w:szCs w:val="20"/>
                <w:color w:val="auto"/>
              </w:rPr>
            </w:pPr>
            <w:r>
              <w:rPr>
                <w:rFonts w:ascii="Arial" w:cs="Arial" w:eastAsia="Arial" w:hAnsi="Arial"/>
                <w:sz w:val="18"/>
                <w:szCs w:val="18"/>
                <w:color w:val="auto"/>
              </w:rPr>
              <w:t>USA TECHNOLOGIES, INC.</w:t>
            </w:r>
          </w:p>
        </w:tc>
      </w:tr>
      <w:tr>
        <w:trPr>
          <w:trHeight w:val="432"/>
        </w:trPr>
        <w:tc>
          <w:tcPr>
            <w:tcW w:w="3940" w:type="dxa"/>
            <w:vAlign w:val="bottom"/>
            <w:gridSpan w:val="3"/>
          </w:tcPr>
          <w:p>
            <w:pPr>
              <w:spacing w:after="0"/>
              <w:rPr>
                <w:sz w:val="20"/>
                <w:szCs w:val="20"/>
                <w:color w:val="auto"/>
              </w:rPr>
            </w:pPr>
            <w:r>
              <w:rPr>
                <w:rFonts w:ascii="Arial" w:cs="Arial" w:eastAsia="Arial" w:hAnsi="Arial"/>
                <w:sz w:val="18"/>
                <w:szCs w:val="18"/>
                <w:color w:val="auto"/>
              </w:rPr>
              <w:t>By: /s/ Kristy Phillips</w:t>
            </w:r>
          </w:p>
        </w:tc>
        <w:tc>
          <w:tcPr>
            <w:tcW w:w="7480" w:type="dxa"/>
            <w:vAlign w:val="bottom"/>
            <w:gridSpan w:val="3"/>
          </w:tcPr>
          <w:p>
            <w:pPr>
              <w:ind w:left="1700"/>
              <w:spacing w:after="0"/>
              <w:rPr>
                <w:sz w:val="20"/>
                <w:szCs w:val="20"/>
                <w:color w:val="auto"/>
              </w:rPr>
            </w:pPr>
            <w:r>
              <w:rPr>
                <w:rFonts w:ascii="Arial" w:cs="Arial" w:eastAsia="Arial" w:hAnsi="Arial"/>
                <w:sz w:val="18"/>
                <w:szCs w:val="18"/>
                <w:color w:val="auto"/>
              </w:rPr>
              <w:t>By: /s/ David M. DeMedio</w:t>
            </w:r>
          </w:p>
        </w:tc>
      </w:tr>
      <w:tr>
        <w:trPr>
          <w:trHeight w:val="27"/>
        </w:trPr>
        <w:tc>
          <w:tcPr>
            <w:tcW w:w="3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3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3800" w:type="dxa"/>
            <w:vAlign w:val="bottom"/>
          </w:tcPr>
          <w:p>
            <w:pPr>
              <w:spacing w:after="0"/>
              <w:rPr>
                <w:sz w:val="2"/>
                <w:szCs w:val="2"/>
                <w:color w:val="auto"/>
              </w:rPr>
            </w:pPr>
          </w:p>
        </w:tc>
      </w:tr>
      <w:tr>
        <w:trPr>
          <w:trHeight w:val="202"/>
        </w:trPr>
        <w:tc>
          <w:tcPr>
            <w:tcW w:w="1620" w:type="dxa"/>
            <w:vAlign w:val="bottom"/>
            <w:gridSpan w:val="2"/>
          </w:tcPr>
          <w:p>
            <w:pPr>
              <w:spacing w:after="0" w:line="201" w:lineRule="exact"/>
              <w:rPr>
                <w:sz w:val="20"/>
                <w:szCs w:val="20"/>
                <w:color w:val="auto"/>
              </w:rPr>
            </w:pPr>
            <w:r>
              <w:rPr>
                <w:rFonts w:ascii="Arial" w:cs="Arial" w:eastAsia="Arial" w:hAnsi="Arial"/>
                <w:sz w:val="18"/>
                <w:szCs w:val="18"/>
                <w:color w:val="auto"/>
                <w:w w:val="96"/>
              </w:rPr>
              <w:t>Name: Kristy Phillips</w:t>
            </w:r>
          </w:p>
        </w:tc>
        <w:tc>
          <w:tcPr>
            <w:tcW w:w="2320" w:type="dxa"/>
            <w:vAlign w:val="bottom"/>
          </w:tcPr>
          <w:p>
            <w:pPr>
              <w:spacing w:after="0"/>
              <w:rPr>
                <w:sz w:val="17"/>
                <w:szCs w:val="17"/>
                <w:color w:val="auto"/>
              </w:rPr>
            </w:pPr>
          </w:p>
        </w:tc>
        <w:tc>
          <w:tcPr>
            <w:tcW w:w="7480" w:type="dxa"/>
            <w:vAlign w:val="bottom"/>
            <w:gridSpan w:val="3"/>
          </w:tcPr>
          <w:p>
            <w:pPr>
              <w:ind w:left="1700"/>
              <w:spacing w:after="0" w:line="201" w:lineRule="exact"/>
              <w:rPr>
                <w:sz w:val="20"/>
                <w:szCs w:val="20"/>
                <w:color w:val="auto"/>
              </w:rPr>
            </w:pPr>
            <w:r>
              <w:rPr>
                <w:rFonts w:ascii="Arial" w:cs="Arial" w:eastAsia="Arial" w:hAnsi="Arial"/>
                <w:sz w:val="18"/>
                <w:szCs w:val="18"/>
                <w:color w:val="auto"/>
              </w:rPr>
              <w:t>Name: David M. DeMedio</w:t>
            </w:r>
          </w:p>
        </w:tc>
      </w:t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Title: Vice President</w:t>
            </w:r>
          </w:p>
        </w:tc>
        <w:tc>
          <w:tcPr>
            <w:tcW w:w="7480" w:type="dxa"/>
            <w:vAlign w:val="bottom"/>
            <w:gridSpan w:val="3"/>
          </w:tcPr>
          <w:p>
            <w:pPr>
              <w:ind w:left="1700"/>
              <w:spacing w:after="0"/>
              <w:rPr>
                <w:sz w:val="20"/>
                <w:szCs w:val="20"/>
                <w:color w:val="auto"/>
              </w:rPr>
            </w:pPr>
            <w:r>
              <w:rPr>
                <w:rFonts w:ascii="Arial" w:cs="Arial" w:eastAsia="Arial" w:hAnsi="Arial"/>
                <w:sz w:val="18"/>
                <w:szCs w:val="18"/>
                <w:color w:val="auto"/>
              </w:rPr>
              <w:t>Title: CFO</w:t>
            </w:r>
          </w:p>
        </w:tc>
      </w:tr>
      <w:tr>
        <w:trPr>
          <w:trHeight w:val="648"/>
        </w:trPr>
        <w:tc>
          <w:tcPr>
            <w:tcW w:w="320" w:type="dxa"/>
            <w:vAlign w:val="bottom"/>
            <w:tcBorders>
              <w:bottom w:val="single" w:sz="8" w:color="DCDCDC"/>
            </w:tcBorders>
          </w:tcPr>
          <w:p>
            <w:pPr>
              <w:spacing w:after="0"/>
              <w:rPr>
                <w:sz w:val="24"/>
                <w:szCs w:val="24"/>
                <w:color w:val="auto"/>
              </w:rPr>
            </w:pPr>
          </w:p>
        </w:tc>
        <w:tc>
          <w:tcPr>
            <w:tcW w:w="1300" w:type="dxa"/>
            <w:vAlign w:val="bottom"/>
            <w:tcBorders>
              <w:bottom w:val="single" w:sz="8" w:color="DCDCDC"/>
            </w:tcBorders>
          </w:tcPr>
          <w:p>
            <w:pPr>
              <w:spacing w:after="0"/>
              <w:rPr>
                <w:sz w:val="24"/>
                <w:szCs w:val="24"/>
                <w:color w:val="auto"/>
              </w:rPr>
            </w:pPr>
          </w:p>
        </w:tc>
        <w:tc>
          <w:tcPr>
            <w:tcW w:w="2320" w:type="dxa"/>
            <w:vAlign w:val="bottom"/>
            <w:tcBorders>
              <w:bottom w:val="single" w:sz="8" w:color="DCDCDC"/>
            </w:tcBorders>
          </w:tcPr>
          <w:p>
            <w:pPr>
              <w:spacing w:after="0"/>
              <w:rPr>
                <w:sz w:val="24"/>
                <w:szCs w:val="24"/>
                <w:color w:val="auto"/>
              </w:rPr>
            </w:pPr>
          </w:p>
        </w:tc>
        <w:tc>
          <w:tcPr>
            <w:tcW w:w="2060" w:type="dxa"/>
            <w:vAlign w:val="bottom"/>
            <w:tcBorders>
              <w:bottom w:val="single" w:sz="8" w:color="DCDCDC"/>
            </w:tcBorders>
          </w:tcPr>
          <w:p>
            <w:pPr>
              <w:spacing w:after="0"/>
              <w:rPr>
                <w:sz w:val="24"/>
                <w:szCs w:val="24"/>
                <w:color w:val="auto"/>
              </w:rPr>
            </w:pPr>
          </w:p>
        </w:tc>
        <w:tc>
          <w:tcPr>
            <w:tcW w:w="1620" w:type="dxa"/>
            <w:vAlign w:val="bottom"/>
            <w:tcBorders>
              <w:bottom w:val="single" w:sz="8" w:color="DCDCDC"/>
            </w:tcBorders>
          </w:tcPr>
          <w:p>
            <w:pPr>
              <w:spacing w:after="0"/>
              <w:rPr>
                <w:sz w:val="24"/>
                <w:szCs w:val="24"/>
                <w:color w:val="auto"/>
              </w:rPr>
            </w:pPr>
          </w:p>
        </w:tc>
        <w:tc>
          <w:tcPr>
            <w:tcW w:w="38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257"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10.40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Varilease Finance,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6340 South 3000 East,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 84121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www.varilease.com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801.733.8100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801.733.8900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NO. 03</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Reference is made to Schedule No. 03 dated April 30, 2014 (the “Schedule”) incorporating by reference Master Lease Agreement dated April 30, 2014 between VARILEASE FINANCE, INC. (the “Lessor”) and USA TECHNOLOGIES, INC. (the “Lessee”) (the “Master Agreement”). The Schedule and Master Agreement shall hereinafter be referred to collectively as the “Lease”. All capitalized terms used herein but not defined herein shall have the same meanings ascribed to them in the Lease.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Schedule is hereby amended effective as of July 22, 2014 by deleting Sections 5, 6 and 7 in their entirety and replacing them with the following:</w:t>
      </w:r>
    </w:p>
    <w:p>
      <w:pPr>
        <w:spacing w:after="0" w:line="247"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8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2020" w:type="dxa"/>
            <w:vAlign w:val="bottom"/>
            <w:gridSpan w:val="3"/>
          </w:tcPr>
          <w:p>
            <w:pPr>
              <w:spacing w:after="0"/>
              <w:rPr>
                <w:sz w:val="20"/>
                <w:szCs w:val="20"/>
                <w:color w:val="auto"/>
              </w:rPr>
            </w:pPr>
            <w:r>
              <w:rPr>
                <w:rFonts w:ascii="Arial" w:cs="Arial" w:eastAsia="Arial" w:hAnsi="Arial"/>
                <w:sz w:val="18"/>
                <w:szCs w:val="18"/>
                <w:color w:val="auto"/>
              </w:rPr>
              <w:t>Base Monthly Rental:</w:t>
            </w:r>
          </w:p>
        </w:tc>
        <w:tc>
          <w:tcPr>
            <w:tcW w:w="7920" w:type="dxa"/>
            <w:vAlign w:val="bottom"/>
          </w:tcPr>
          <w:p>
            <w:pPr>
              <w:ind w:left="420"/>
              <w:spacing w:after="0"/>
              <w:rPr>
                <w:sz w:val="20"/>
                <w:szCs w:val="20"/>
                <w:color w:val="auto"/>
              </w:rPr>
            </w:pPr>
            <w:r>
              <w:rPr>
                <w:rFonts w:ascii="Arial" w:cs="Arial" w:eastAsia="Arial" w:hAnsi="Arial"/>
                <w:sz w:val="18"/>
                <w:szCs w:val="18"/>
                <w:color w:val="auto"/>
              </w:rPr>
              <w:t>$30,336.48 (plus applicable sales/use tax)</w:t>
            </w:r>
          </w:p>
        </w:tc>
      </w:tr>
      <w:tr>
        <w:trPr>
          <w:trHeight w:val="439"/>
        </w:trPr>
        <w:tc>
          <w:tcPr>
            <w:tcW w:w="18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w:t>
            </w:r>
          </w:p>
        </w:tc>
        <w:tc>
          <w:tcPr>
            <w:tcW w:w="480" w:type="dxa"/>
            <w:vAlign w:val="bottom"/>
          </w:tcPr>
          <w:p>
            <w:pPr>
              <w:spacing w:after="0"/>
              <w:rPr>
                <w:sz w:val="24"/>
                <w:szCs w:val="24"/>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w w:val="90"/>
              </w:rPr>
              <w:t>$30,336.48 applied to the last Base Monthly Rental (plus applicable sales/use tax). Lessee shall pay the</w:t>
            </w: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i w:val="1"/>
          <w:iCs w:val="1"/>
          <w:color w:val="auto"/>
        </w:rPr>
        <w:t xml:space="preserve">last </w:t>
      </w:r>
      <w:r>
        <w:rPr>
          <w:rFonts w:ascii="Arial" w:cs="Arial" w:eastAsia="Arial" w:hAnsi="Arial"/>
          <w:sz w:val="17"/>
          <w:szCs w:val="17"/>
          <w:color w:val="auto"/>
        </w:rPr>
        <w:t>Base Monthly Rental in advance upon the execution of this Schedule. Lessee acknowledges and agrees that, notwithstanding anything</w:t>
      </w:r>
      <w:r>
        <w:rPr>
          <w:rFonts w:ascii="Arial" w:cs="Arial" w:eastAsia="Arial" w:hAnsi="Arial"/>
          <w:sz w:val="17"/>
          <w:szCs w:val="17"/>
          <w:i w:val="1"/>
          <w:iCs w:val="1"/>
          <w:color w:val="auto"/>
        </w:rPr>
        <w:t xml:space="preserve"> </w:t>
      </w:r>
      <w:r>
        <w:rPr>
          <w:rFonts w:ascii="Arial" w:cs="Arial" w:eastAsia="Arial" w:hAnsi="Arial"/>
          <w:sz w:val="17"/>
          <w:szCs w:val="17"/>
          <w:color w:val="auto"/>
        </w:rPr>
        <w:t>to the contrary herein, this payment is non-refundable to Lessee under any circumstances, including, without limitation, any termination of this Lease for any reason prior to the end of its scheduled term. This payment shall be deemed earned by Lessor, and upon receipt by Lessor, shall immediately be applied to satisfy Lessee’s obligation to make the last Base Monthly Rental.</w:t>
      </w:r>
    </w:p>
    <w:p>
      <w:pPr>
        <w:spacing w:after="0" w:line="181"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2320" w:type="dxa"/>
            <w:vAlign w:val="bottom"/>
            <w:gridSpan w:val="3"/>
          </w:tcPr>
          <w:p>
            <w:pPr>
              <w:spacing w:after="0"/>
              <w:rPr>
                <w:sz w:val="20"/>
                <w:szCs w:val="20"/>
                <w:color w:val="auto"/>
              </w:rPr>
            </w:pPr>
            <w:r>
              <w:rPr>
                <w:rFonts w:ascii="Arial" w:cs="Arial" w:eastAsia="Arial" w:hAnsi="Arial"/>
                <w:sz w:val="18"/>
                <w:szCs w:val="18"/>
                <w:color w:val="auto"/>
              </w:rPr>
              <w:t>7. Base Lease Rate Factor:</w:t>
            </w:r>
          </w:p>
        </w:tc>
        <w:tc>
          <w:tcPr>
            <w:tcW w:w="960" w:type="dxa"/>
            <w:vAlign w:val="bottom"/>
          </w:tcPr>
          <w:p>
            <w:pPr>
              <w:jc w:val="right"/>
              <w:spacing w:after="0"/>
              <w:rPr>
                <w:sz w:val="20"/>
                <w:szCs w:val="20"/>
                <w:color w:val="auto"/>
              </w:rPr>
            </w:pPr>
            <w:r>
              <w:rPr>
                <w:rFonts w:ascii="Arial" w:cs="Arial" w:eastAsia="Arial" w:hAnsi="Arial"/>
                <w:sz w:val="18"/>
                <w:szCs w:val="18"/>
                <w:color w:val="auto"/>
              </w:rPr>
              <w:t>0.02758</w:t>
            </w:r>
          </w:p>
        </w:tc>
      </w:tr>
      <w:tr>
        <w:trPr>
          <w:trHeight w:val="20"/>
        </w:trPr>
        <w:tc>
          <w:tcPr>
            <w:tcW w:w="1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the Schedule shall remain in full force and effect without change.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gridSpan w:val="3"/>
          </w:tcPr>
          <w:p>
            <w:pPr>
              <w:spacing w:after="0"/>
              <w:rPr>
                <w:sz w:val="20"/>
                <w:szCs w:val="20"/>
                <w:color w:val="auto"/>
              </w:rPr>
            </w:pPr>
            <w:r>
              <w:rPr>
                <w:rFonts w:ascii="Arial" w:cs="Arial" w:eastAsia="Arial" w:hAnsi="Arial"/>
                <w:sz w:val="18"/>
                <w:szCs w:val="18"/>
                <w:color w:val="auto"/>
              </w:rPr>
              <w:t>Dated: July 25, 2014.</w:t>
            </w:r>
          </w:p>
        </w:tc>
        <w:tc>
          <w:tcPr>
            <w:tcW w:w="2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418"/>
        </w:trPr>
        <w:tc>
          <w:tcPr>
            <w:tcW w:w="4000" w:type="dxa"/>
            <w:vAlign w:val="bottom"/>
            <w:gridSpan w:val="3"/>
          </w:tcPr>
          <w:p>
            <w:pPr>
              <w:spacing w:after="0"/>
              <w:rPr>
                <w:sz w:val="20"/>
                <w:szCs w:val="20"/>
                <w:color w:val="auto"/>
              </w:rPr>
            </w:pPr>
            <w:r>
              <w:rPr>
                <w:rFonts w:ascii="Arial" w:cs="Arial" w:eastAsia="Arial" w:hAnsi="Arial"/>
                <w:sz w:val="18"/>
                <w:szCs w:val="18"/>
                <w:color w:val="auto"/>
              </w:rPr>
              <w:t>LESSOR:</w:t>
            </w:r>
          </w:p>
        </w:tc>
        <w:tc>
          <w:tcPr>
            <w:tcW w:w="7420" w:type="dxa"/>
            <w:vAlign w:val="bottom"/>
            <w:gridSpan w:val="3"/>
          </w:tcPr>
          <w:p>
            <w:pPr>
              <w:ind w:left="1740"/>
              <w:spacing w:after="0"/>
              <w:rPr>
                <w:sz w:val="20"/>
                <w:szCs w:val="20"/>
                <w:color w:val="auto"/>
              </w:rPr>
            </w:pPr>
            <w:r>
              <w:rPr>
                <w:rFonts w:ascii="Arial" w:cs="Arial" w:eastAsia="Arial" w:hAnsi="Arial"/>
                <w:sz w:val="18"/>
                <w:szCs w:val="18"/>
                <w:color w:val="auto"/>
              </w:rPr>
              <w:t>LESSEE:</w:t>
            </w:r>
          </w:p>
        </w:tc>
      </w:tr>
      <w:tr>
        <w:trPr>
          <w:trHeight w:val="230"/>
        </w:trPr>
        <w:tc>
          <w:tcPr>
            <w:tcW w:w="4000" w:type="dxa"/>
            <w:vAlign w:val="bottom"/>
            <w:gridSpan w:val="3"/>
          </w:tcPr>
          <w:p>
            <w:pPr>
              <w:spacing w:after="0"/>
              <w:rPr>
                <w:sz w:val="20"/>
                <w:szCs w:val="20"/>
                <w:color w:val="auto"/>
              </w:rPr>
            </w:pPr>
            <w:r>
              <w:rPr>
                <w:rFonts w:ascii="Arial" w:cs="Arial" w:eastAsia="Arial" w:hAnsi="Arial"/>
                <w:sz w:val="18"/>
                <w:szCs w:val="18"/>
                <w:color w:val="auto"/>
              </w:rPr>
              <w:t>VARILEASE FINANCE, INC.</w:t>
            </w:r>
          </w:p>
        </w:tc>
        <w:tc>
          <w:tcPr>
            <w:tcW w:w="7420" w:type="dxa"/>
            <w:vAlign w:val="bottom"/>
            <w:gridSpan w:val="3"/>
          </w:tcPr>
          <w:p>
            <w:pPr>
              <w:ind w:left="1740"/>
              <w:spacing w:after="0"/>
              <w:rPr>
                <w:sz w:val="20"/>
                <w:szCs w:val="20"/>
                <w:color w:val="auto"/>
              </w:rPr>
            </w:pPr>
            <w:r>
              <w:rPr>
                <w:rFonts w:ascii="Arial" w:cs="Arial" w:eastAsia="Arial" w:hAnsi="Arial"/>
                <w:sz w:val="18"/>
                <w:szCs w:val="18"/>
                <w:color w:val="auto"/>
              </w:rPr>
              <w:t>USA TECHNOLOGIES, INC.</w:t>
            </w:r>
          </w:p>
        </w:tc>
      </w:tr>
      <w:tr>
        <w:trPr>
          <w:trHeight w:val="432"/>
        </w:trPr>
        <w:tc>
          <w:tcPr>
            <w:tcW w:w="4000" w:type="dxa"/>
            <w:vAlign w:val="bottom"/>
            <w:gridSpan w:val="3"/>
          </w:tcPr>
          <w:p>
            <w:pPr>
              <w:spacing w:after="0"/>
              <w:rPr>
                <w:sz w:val="20"/>
                <w:szCs w:val="20"/>
                <w:color w:val="auto"/>
              </w:rPr>
            </w:pPr>
            <w:r>
              <w:rPr>
                <w:rFonts w:ascii="Arial" w:cs="Arial" w:eastAsia="Arial" w:hAnsi="Arial"/>
                <w:sz w:val="18"/>
                <w:szCs w:val="18"/>
                <w:color w:val="auto"/>
              </w:rPr>
              <w:t>By: /s/ Kristy Phillips</w:t>
            </w:r>
          </w:p>
        </w:tc>
        <w:tc>
          <w:tcPr>
            <w:tcW w:w="7420" w:type="dxa"/>
            <w:vAlign w:val="bottom"/>
            <w:gridSpan w:val="3"/>
          </w:tcPr>
          <w:p>
            <w:pPr>
              <w:ind w:left="1740"/>
              <w:spacing w:after="0"/>
              <w:rPr>
                <w:sz w:val="20"/>
                <w:szCs w:val="20"/>
                <w:color w:val="auto"/>
              </w:rPr>
            </w:pPr>
            <w:r>
              <w:rPr>
                <w:rFonts w:ascii="Arial" w:cs="Arial" w:eastAsia="Arial" w:hAnsi="Arial"/>
                <w:sz w:val="18"/>
                <w:szCs w:val="18"/>
                <w:color w:val="auto"/>
              </w:rPr>
              <w:t>By: /s/ David M. DeMedio</w:t>
            </w:r>
          </w:p>
        </w:tc>
      </w:tr>
      <w:tr>
        <w:trPr>
          <w:trHeight w:val="27"/>
        </w:trPr>
        <w:tc>
          <w:tcPr>
            <w:tcW w:w="3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3680" w:type="dxa"/>
            <w:vAlign w:val="bottom"/>
          </w:tcPr>
          <w:p>
            <w:pPr>
              <w:spacing w:after="0"/>
              <w:rPr>
                <w:sz w:val="2"/>
                <w:szCs w:val="2"/>
                <w:color w:val="auto"/>
              </w:rPr>
            </w:pPr>
          </w:p>
        </w:tc>
      </w:tr>
      <w:tr>
        <w:trPr>
          <w:trHeight w:val="202"/>
        </w:trPr>
        <w:tc>
          <w:tcPr>
            <w:tcW w:w="1620" w:type="dxa"/>
            <w:vAlign w:val="bottom"/>
            <w:gridSpan w:val="2"/>
          </w:tcPr>
          <w:p>
            <w:pPr>
              <w:spacing w:after="0" w:line="201" w:lineRule="exact"/>
              <w:rPr>
                <w:sz w:val="20"/>
                <w:szCs w:val="20"/>
                <w:color w:val="auto"/>
              </w:rPr>
            </w:pPr>
            <w:r>
              <w:rPr>
                <w:rFonts w:ascii="Arial" w:cs="Arial" w:eastAsia="Arial" w:hAnsi="Arial"/>
                <w:sz w:val="18"/>
                <w:szCs w:val="18"/>
                <w:color w:val="auto"/>
                <w:w w:val="96"/>
              </w:rPr>
              <w:t>Name: Kristy Phillips</w:t>
            </w:r>
          </w:p>
        </w:tc>
        <w:tc>
          <w:tcPr>
            <w:tcW w:w="2380" w:type="dxa"/>
            <w:vAlign w:val="bottom"/>
          </w:tcPr>
          <w:p>
            <w:pPr>
              <w:spacing w:after="0"/>
              <w:rPr>
                <w:sz w:val="17"/>
                <w:szCs w:val="17"/>
                <w:color w:val="auto"/>
              </w:rPr>
            </w:pPr>
          </w:p>
        </w:tc>
        <w:tc>
          <w:tcPr>
            <w:tcW w:w="7420" w:type="dxa"/>
            <w:vAlign w:val="bottom"/>
            <w:gridSpan w:val="3"/>
          </w:tcPr>
          <w:p>
            <w:pPr>
              <w:ind w:left="1740"/>
              <w:spacing w:after="0" w:line="201" w:lineRule="exact"/>
              <w:rPr>
                <w:sz w:val="20"/>
                <w:szCs w:val="20"/>
                <w:color w:val="auto"/>
              </w:rPr>
            </w:pPr>
            <w:r>
              <w:rPr>
                <w:rFonts w:ascii="Arial" w:cs="Arial" w:eastAsia="Arial" w:hAnsi="Arial"/>
                <w:sz w:val="18"/>
                <w:szCs w:val="18"/>
                <w:color w:val="auto"/>
              </w:rPr>
              <w:t>Name: David M. DeMedio</w:t>
            </w:r>
          </w:p>
        </w:tc>
      </w:tr>
      <w:tr>
        <w:trPr>
          <w:trHeight w:val="230"/>
        </w:trPr>
        <w:tc>
          <w:tcPr>
            <w:tcW w:w="4000" w:type="dxa"/>
            <w:vAlign w:val="bottom"/>
            <w:gridSpan w:val="3"/>
          </w:tcPr>
          <w:p>
            <w:pPr>
              <w:spacing w:after="0"/>
              <w:rPr>
                <w:sz w:val="20"/>
                <w:szCs w:val="20"/>
                <w:color w:val="auto"/>
              </w:rPr>
            </w:pPr>
            <w:r>
              <w:rPr>
                <w:rFonts w:ascii="Arial" w:cs="Arial" w:eastAsia="Arial" w:hAnsi="Arial"/>
                <w:sz w:val="18"/>
                <w:szCs w:val="18"/>
                <w:color w:val="auto"/>
              </w:rPr>
              <w:t>Title: Vice President</w:t>
            </w:r>
          </w:p>
        </w:tc>
        <w:tc>
          <w:tcPr>
            <w:tcW w:w="7420" w:type="dxa"/>
            <w:vAlign w:val="bottom"/>
            <w:gridSpan w:val="3"/>
          </w:tcPr>
          <w:p>
            <w:pPr>
              <w:ind w:left="1740"/>
              <w:spacing w:after="0"/>
              <w:rPr>
                <w:sz w:val="20"/>
                <w:szCs w:val="20"/>
                <w:color w:val="auto"/>
              </w:rPr>
            </w:pPr>
            <w:r>
              <w:rPr>
                <w:rFonts w:ascii="Arial" w:cs="Arial" w:eastAsia="Arial" w:hAnsi="Arial"/>
                <w:sz w:val="18"/>
                <w:szCs w:val="18"/>
                <w:color w:val="auto"/>
              </w:rPr>
              <w:t>Title: CFO</w:t>
            </w:r>
          </w:p>
        </w:tc>
      </w:tr>
      <w:tr>
        <w:trPr>
          <w:trHeight w:val="648"/>
        </w:trPr>
        <w:tc>
          <w:tcPr>
            <w:tcW w:w="320" w:type="dxa"/>
            <w:vAlign w:val="bottom"/>
            <w:tcBorders>
              <w:bottom w:val="single" w:sz="8" w:color="DCDCDC"/>
            </w:tcBorders>
          </w:tcPr>
          <w:p>
            <w:pPr>
              <w:spacing w:after="0"/>
              <w:rPr>
                <w:sz w:val="24"/>
                <w:szCs w:val="24"/>
                <w:color w:val="auto"/>
              </w:rPr>
            </w:pPr>
          </w:p>
        </w:tc>
        <w:tc>
          <w:tcPr>
            <w:tcW w:w="1300" w:type="dxa"/>
            <w:vAlign w:val="bottom"/>
            <w:tcBorders>
              <w:bottom w:val="single" w:sz="8" w:color="DCDCDC"/>
            </w:tcBorders>
          </w:tcPr>
          <w:p>
            <w:pPr>
              <w:spacing w:after="0"/>
              <w:rPr>
                <w:sz w:val="24"/>
                <w:szCs w:val="24"/>
                <w:color w:val="auto"/>
              </w:rPr>
            </w:pPr>
          </w:p>
        </w:tc>
        <w:tc>
          <w:tcPr>
            <w:tcW w:w="2380" w:type="dxa"/>
            <w:vAlign w:val="bottom"/>
            <w:tcBorders>
              <w:bottom w:val="single" w:sz="8" w:color="DCDCDC"/>
            </w:tcBorders>
          </w:tcPr>
          <w:p>
            <w:pPr>
              <w:spacing w:after="0"/>
              <w:rPr>
                <w:sz w:val="24"/>
                <w:szCs w:val="24"/>
                <w:color w:val="auto"/>
              </w:rPr>
            </w:pPr>
          </w:p>
        </w:tc>
        <w:tc>
          <w:tcPr>
            <w:tcW w:w="2100" w:type="dxa"/>
            <w:vAlign w:val="bottom"/>
            <w:tcBorders>
              <w:bottom w:val="single" w:sz="8" w:color="DCDCDC"/>
            </w:tcBorders>
          </w:tcPr>
          <w:p>
            <w:pPr>
              <w:spacing w:after="0"/>
              <w:rPr>
                <w:sz w:val="24"/>
                <w:szCs w:val="24"/>
                <w:color w:val="auto"/>
              </w:rPr>
            </w:pPr>
          </w:p>
        </w:tc>
        <w:tc>
          <w:tcPr>
            <w:tcW w:w="1640" w:type="dxa"/>
            <w:vAlign w:val="bottom"/>
            <w:tcBorders>
              <w:bottom w:val="single" w:sz="8" w:color="DCDCDC"/>
            </w:tcBorders>
          </w:tcPr>
          <w:p>
            <w:pPr>
              <w:spacing w:after="0"/>
              <w:rPr>
                <w:sz w:val="24"/>
                <w:szCs w:val="24"/>
                <w:color w:val="auto"/>
              </w:rPr>
            </w:pPr>
          </w:p>
        </w:tc>
        <w:tc>
          <w:tcPr>
            <w:tcW w:w="36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256"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10.41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Varilease Finance,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6340 South 3000 East,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 84121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www.varilease.com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801.733.8100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801.733.8900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NO. 04</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Reference is made to Schedule No. 04 dated April 30, 2014 (the “Schedule”) incorporating by reference Master Lease Agreement dated April 30, 2014 between VARILEASE FINANCE, INC. (the “Lessor”) and USA TECHNOLOGIES, INC. (the “Lessee”) (the “Master Agreement”). The Schedule and Master Agreement shall hereinafter be referred to collectively as the “Lease”. All capitalized terms used herein but not defined herein shall have the same meanings ascribed to them in the Lease.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Schedule is hereby amended effective as of July 22, 2014 by deleting Sections 5, 6 and 7 in their entirety and replacing them with the following:</w:t>
      </w:r>
    </w:p>
    <w:p>
      <w:pPr>
        <w:spacing w:after="0" w:line="247"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8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2020" w:type="dxa"/>
            <w:vAlign w:val="bottom"/>
            <w:gridSpan w:val="3"/>
          </w:tcPr>
          <w:p>
            <w:pPr>
              <w:spacing w:after="0"/>
              <w:rPr>
                <w:sz w:val="20"/>
                <w:szCs w:val="20"/>
                <w:color w:val="auto"/>
              </w:rPr>
            </w:pPr>
            <w:r>
              <w:rPr>
                <w:rFonts w:ascii="Arial" w:cs="Arial" w:eastAsia="Arial" w:hAnsi="Arial"/>
                <w:sz w:val="18"/>
                <w:szCs w:val="18"/>
                <w:color w:val="auto"/>
              </w:rPr>
              <w:t>Base Monthly Rental:</w:t>
            </w:r>
          </w:p>
        </w:tc>
        <w:tc>
          <w:tcPr>
            <w:tcW w:w="7920" w:type="dxa"/>
            <w:vAlign w:val="bottom"/>
          </w:tcPr>
          <w:p>
            <w:pPr>
              <w:ind w:left="420"/>
              <w:spacing w:after="0"/>
              <w:rPr>
                <w:sz w:val="20"/>
                <w:szCs w:val="20"/>
                <w:color w:val="auto"/>
              </w:rPr>
            </w:pPr>
            <w:r>
              <w:rPr>
                <w:rFonts w:ascii="Arial" w:cs="Arial" w:eastAsia="Arial" w:hAnsi="Arial"/>
                <w:sz w:val="18"/>
                <w:szCs w:val="18"/>
                <w:color w:val="auto"/>
              </w:rPr>
              <w:t>$35,941.62 (plus applicable sales/use tax)</w:t>
            </w:r>
          </w:p>
        </w:tc>
      </w:tr>
      <w:tr>
        <w:trPr>
          <w:trHeight w:val="439"/>
        </w:trPr>
        <w:tc>
          <w:tcPr>
            <w:tcW w:w="18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w:t>
            </w:r>
          </w:p>
        </w:tc>
        <w:tc>
          <w:tcPr>
            <w:tcW w:w="480" w:type="dxa"/>
            <w:vAlign w:val="bottom"/>
          </w:tcPr>
          <w:p>
            <w:pPr>
              <w:spacing w:after="0"/>
              <w:rPr>
                <w:sz w:val="24"/>
                <w:szCs w:val="24"/>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w w:val="90"/>
              </w:rPr>
              <w:t>$35,941.62 applied to the last Base Monthly Rental (plus applicable sales/use tax). Lessee shall pay the</w:t>
            </w: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i w:val="1"/>
          <w:iCs w:val="1"/>
          <w:color w:val="auto"/>
        </w:rPr>
        <w:t xml:space="preserve">last </w:t>
      </w:r>
      <w:r>
        <w:rPr>
          <w:rFonts w:ascii="Arial" w:cs="Arial" w:eastAsia="Arial" w:hAnsi="Arial"/>
          <w:sz w:val="17"/>
          <w:szCs w:val="17"/>
          <w:color w:val="auto"/>
        </w:rPr>
        <w:t>Base Monthly Rental in advance upon the execution of this Schedule. Lessee acknowledges and agrees that, notwithstanding anything</w:t>
      </w:r>
      <w:r>
        <w:rPr>
          <w:rFonts w:ascii="Arial" w:cs="Arial" w:eastAsia="Arial" w:hAnsi="Arial"/>
          <w:sz w:val="17"/>
          <w:szCs w:val="17"/>
          <w:i w:val="1"/>
          <w:iCs w:val="1"/>
          <w:color w:val="auto"/>
        </w:rPr>
        <w:t xml:space="preserve"> </w:t>
      </w:r>
      <w:r>
        <w:rPr>
          <w:rFonts w:ascii="Arial" w:cs="Arial" w:eastAsia="Arial" w:hAnsi="Arial"/>
          <w:sz w:val="17"/>
          <w:szCs w:val="17"/>
          <w:color w:val="auto"/>
        </w:rPr>
        <w:t>to the contrary herein, this payment is non-refundable to Lessee under any circumstances, including, without limitation, any termination of this Lease for any reason prior to the end of its scheduled term. This payment shall be deemed earned by Lessor, and upon receipt by Lessor, shall immediately be applied to satisfy Lessee’s obligation to make the last Base Monthly Rental.</w:t>
      </w:r>
    </w:p>
    <w:p>
      <w:pPr>
        <w:spacing w:after="0" w:line="181"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2320" w:type="dxa"/>
            <w:vAlign w:val="bottom"/>
            <w:gridSpan w:val="3"/>
          </w:tcPr>
          <w:p>
            <w:pPr>
              <w:spacing w:after="0"/>
              <w:rPr>
                <w:sz w:val="20"/>
                <w:szCs w:val="20"/>
                <w:color w:val="auto"/>
              </w:rPr>
            </w:pPr>
            <w:r>
              <w:rPr>
                <w:rFonts w:ascii="Arial" w:cs="Arial" w:eastAsia="Arial" w:hAnsi="Arial"/>
                <w:sz w:val="18"/>
                <w:szCs w:val="18"/>
                <w:color w:val="auto"/>
              </w:rPr>
              <w:t>7. Base Lease Rate Factor:</w:t>
            </w:r>
          </w:p>
        </w:tc>
        <w:tc>
          <w:tcPr>
            <w:tcW w:w="960" w:type="dxa"/>
            <w:vAlign w:val="bottom"/>
          </w:tcPr>
          <w:p>
            <w:pPr>
              <w:jc w:val="right"/>
              <w:spacing w:after="0"/>
              <w:rPr>
                <w:sz w:val="20"/>
                <w:szCs w:val="20"/>
                <w:color w:val="auto"/>
              </w:rPr>
            </w:pPr>
            <w:r>
              <w:rPr>
                <w:rFonts w:ascii="Arial" w:cs="Arial" w:eastAsia="Arial" w:hAnsi="Arial"/>
                <w:sz w:val="18"/>
                <w:szCs w:val="18"/>
                <w:color w:val="auto"/>
              </w:rPr>
              <w:t>0.02758</w:t>
            </w:r>
          </w:p>
        </w:tc>
      </w:tr>
      <w:tr>
        <w:trPr>
          <w:trHeight w:val="20"/>
        </w:trPr>
        <w:tc>
          <w:tcPr>
            <w:tcW w:w="1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the Schedule shall remain in full force and effect without change.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gridSpan w:val="3"/>
          </w:tcPr>
          <w:p>
            <w:pPr>
              <w:spacing w:after="0"/>
              <w:rPr>
                <w:sz w:val="20"/>
                <w:szCs w:val="20"/>
                <w:color w:val="auto"/>
              </w:rPr>
            </w:pPr>
            <w:r>
              <w:rPr>
                <w:rFonts w:ascii="Arial" w:cs="Arial" w:eastAsia="Arial" w:hAnsi="Arial"/>
                <w:sz w:val="18"/>
                <w:szCs w:val="18"/>
                <w:color w:val="auto"/>
              </w:rPr>
              <w:t>Dated: July 29, 2014.</w:t>
            </w:r>
          </w:p>
        </w:tc>
        <w:tc>
          <w:tcPr>
            <w:tcW w:w="20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418"/>
        </w:trPr>
        <w:tc>
          <w:tcPr>
            <w:tcW w:w="3960" w:type="dxa"/>
            <w:vAlign w:val="bottom"/>
            <w:gridSpan w:val="3"/>
          </w:tcPr>
          <w:p>
            <w:pPr>
              <w:spacing w:after="0"/>
              <w:rPr>
                <w:sz w:val="20"/>
                <w:szCs w:val="20"/>
                <w:color w:val="auto"/>
              </w:rPr>
            </w:pPr>
            <w:r>
              <w:rPr>
                <w:rFonts w:ascii="Arial" w:cs="Arial" w:eastAsia="Arial" w:hAnsi="Arial"/>
                <w:sz w:val="18"/>
                <w:szCs w:val="18"/>
                <w:color w:val="auto"/>
              </w:rPr>
              <w:t>LESSOR:</w:t>
            </w:r>
          </w:p>
        </w:tc>
        <w:tc>
          <w:tcPr>
            <w:tcW w:w="7460" w:type="dxa"/>
            <w:vAlign w:val="bottom"/>
            <w:gridSpan w:val="3"/>
          </w:tcPr>
          <w:p>
            <w:pPr>
              <w:ind w:left="1700"/>
              <w:spacing w:after="0"/>
              <w:rPr>
                <w:sz w:val="20"/>
                <w:szCs w:val="20"/>
                <w:color w:val="auto"/>
              </w:rPr>
            </w:pPr>
            <w:r>
              <w:rPr>
                <w:rFonts w:ascii="Arial" w:cs="Arial" w:eastAsia="Arial" w:hAnsi="Arial"/>
                <w:sz w:val="18"/>
                <w:szCs w:val="18"/>
                <w:color w:val="auto"/>
              </w:rPr>
              <w:t>LESSEE:</w:t>
            </w:r>
          </w:p>
        </w:tc>
      </w:tr>
      <w:tr>
        <w:trPr>
          <w:trHeight w:val="230"/>
        </w:trPr>
        <w:tc>
          <w:tcPr>
            <w:tcW w:w="3960" w:type="dxa"/>
            <w:vAlign w:val="bottom"/>
            <w:gridSpan w:val="3"/>
          </w:tcPr>
          <w:p>
            <w:pPr>
              <w:spacing w:after="0"/>
              <w:rPr>
                <w:sz w:val="20"/>
                <w:szCs w:val="20"/>
                <w:color w:val="auto"/>
              </w:rPr>
            </w:pPr>
            <w:r>
              <w:rPr>
                <w:rFonts w:ascii="Arial" w:cs="Arial" w:eastAsia="Arial" w:hAnsi="Arial"/>
                <w:sz w:val="18"/>
                <w:szCs w:val="18"/>
                <w:color w:val="auto"/>
              </w:rPr>
              <w:t>VARILEASE FINANCE, INC.</w:t>
            </w:r>
          </w:p>
        </w:tc>
        <w:tc>
          <w:tcPr>
            <w:tcW w:w="7460" w:type="dxa"/>
            <w:vAlign w:val="bottom"/>
            <w:gridSpan w:val="3"/>
          </w:tcPr>
          <w:p>
            <w:pPr>
              <w:ind w:left="1700"/>
              <w:spacing w:after="0"/>
              <w:rPr>
                <w:sz w:val="20"/>
                <w:szCs w:val="20"/>
                <w:color w:val="auto"/>
              </w:rPr>
            </w:pPr>
            <w:r>
              <w:rPr>
                <w:rFonts w:ascii="Arial" w:cs="Arial" w:eastAsia="Arial" w:hAnsi="Arial"/>
                <w:sz w:val="18"/>
                <w:szCs w:val="18"/>
                <w:color w:val="auto"/>
              </w:rPr>
              <w:t>USA TECHNOLOGIES, INC.</w:t>
            </w:r>
          </w:p>
        </w:tc>
      </w:tr>
      <w:tr>
        <w:trPr>
          <w:trHeight w:val="432"/>
        </w:trPr>
        <w:tc>
          <w:tcPr>
            <w:tcW w:w="3960" w:type="dxa"/>
            <w:vAlign w:val="bottom"/>
            <w:gridSpan w:val="3"/>
          </w:tcPr>
          <w:p>
            <w:pPr>
              <w:spacing w:after="0"/>
              <w:rPr>
                <w:sz w:val="20"/>
                <w:szCs w:val="20"/>
                <w:color w:val="auto"/>
              </w:rPr>
            </w:pPr>
            <w:r>
              <w:rPr>
                <w:rFonts w:ascii="Arial" w:cs="Arial" w:eastAsia="Arial" w:hAnsi="Arial"/>
                <w:sz w:val="18"/>
                <w:szCs w:val="18"/>
                <w:color w:val="auto"/>
              </w:rPr>
              <w:t>By: /s/ Kristy Phillips</w:t>
            </w:r>
          </w:p>
        </w:tc>
        <w:tc>
          <w:tcPr>
            <w:tcW w:w="7460" w:type="dxa"/>
            <w:vAlign w:val="bottom"/>
            <w:gridSpan w:val="3"/>
          </w:tcPr>
          <w:p>
            <w:pPr>
              <w:ind w:left="1700"/>
              <w:spacing w:after="0"/>
              <w:rPr>
                <w:sz w:val="20"/>
                <w:szCs w:val="20"/>
                <w:color w:val="auto"/>
              </w:rPr>
            </w:pPr>
            <w:r>
              <w:rPr>
                <w:rFonts w:ascii="Arial" w:cs="Arial" w:eastAsia="Arial" w:hAnsi="Arial"/>
                <w:sz w:val="18"/>
                <w:szCs w:val="18"/>
                <w:color w:val="auto"/>
              </w:rPr>
              <w:t>By: /s/ David M. DeMedio</w:t>
            </w:r>
          </w:p>
        </w:tc>
      </w:tr>
      <w:tr>
        <w:trPr>
          <w:trHeight w:val="27"/>
        </w:trPr>
        <w:tc>
          <w:tcPr>
            <w:tcW w:w="3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3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3820" w:type="dxa"/>
            <w:vAlign w:val="bottom"/>
          </w:tcPr>
          <w:p>
            <w:pPr>
              <w:spacing w:after="0"/>
              <w:rPr>
                <w:sz w:val="2"/>
                <w:szCs w:val="2"/>
                <w:color w:val="auto"/>
              </w:rPr>
            </w:pPr>
          </w:p>
        </w:tc>
      </w:tr>
      <w:tr>
        <w:trPr>
          <w:trHeight w:val="202"/>
        </w:trPr>
        <w:tc>
          <w:tcPr>
            <w:tcW w:w="1620" w:type="dxa"/>
            <w:vAlign w:val="bottom"/>
            <w:gridSpan w:val="2"/>
          </w:tcPr>
          <w:p>
            <w:pPr>
              <w:spacing w:after="0" w:line="201" w:lineRule="exact"/>
              <w:rPr>
                <w:sz w:val="20"/>
                <w:szCs w:val="20"/>
                <w:color w:val="auto"/>
              </w:rPr>
            </w:pPr>
            <w:r>
              <w:rPr>
                <w:rFonts w:ascii="Arial" w:cs="Arial" w:eastAsia="Arial" w:hAnsi="Arial"/>
                <w:sz w:val="18"/>
                <w:szCs w:val="18"/>
                <w:color w:val="auto"/>
                <w:w w:val="96"/>
              </w:rPr>
              <w:t>Name: Kristy Phillips</w:t>
            </w:r>
          </w:p>
        </w:tc>
        <w:tc>
          <w:tcPr>
            <w:tcW w:w="2340" w:type="dxa"/>
            <w:vAlign w:val="bottom"/>
          </w:tcPr>
          <w:p>
            <w:pPr>
              <w:spacing w:after="0"/>
              <w:rPr>
                <w:sz w:val="17"/>
                <w:szCs w:val="17"/>
                <w:color w:val="auto"/>
              </w:rPr>
            </w:pPr>
          </w:p>
        </w:tc>
        <w:tc>
          <w:tcPr>
            <w:tcW w:w="7460" w:type="dxa"/>
            <w:vAlign w:val="bottom"/>
            <w:gridSpan w:val="3"/>
          </w:tcPr>
          <w:p>
            <w:pPr>
              <w:ind w:left="1700"/>
              <w:spacing w:after="0" w:line="201" w:lineRule="exact"/>
              <w:rPr>
                <w:sz w:val="20"/>
                <w:szCs w:val="20"/>
                <w:color w:val="auto"/>
              </w:rPr>
            </w:pPr>
            <w:r>
              <w:rPr>
                <w:rFonts w:ascii="Arial" w:cs="Arial" w:eastAsia="Arial" w:hAnsi="Arial"/>
                <w:sz w:val="18"/>
                <w:szCs w:val="18"/>
                <w:color w:val="auto"/>
              </w:rPr>
              <w:t>Name: David M. DeMedio</w:t>
            </w:r>
          </w:p>
        </w:tc>
      </w:tr>
      <w:tr>
        <w:trPr>
          <w:trHeight w:val="230"/>
        </w:trPr>
        <w:tc>
          <w:tcPr>
            <w:tcW w:w="3960" w:type="dxa"/>
            <w:vAlign w:val="bottom"/>
            <w:gridSpan w:val="3"/>
          </w:tcPr>
          <w:p>
            <w:pPr>
              <w:spacing w:after="0"/>
              <w:rPr>
                <w:sz w:val="20"/>
                <w:szCs w:val="20"/>
                <w:color w:val="auto"/>
              </w:rPr>
            </w:pPr>
            <w:r>
              <w:rPr>
                <w:rFonts w:ascii="Arial" w:cs="Arial" w:eastAsia="Arial" w:hAnsi="Arial"/>
                <w:sz w:val="18"/>
                <w:szCs w:val="18"/>
                <w:color w:val="auto"/>
              </w:rPr>
              <w:t>Title: Vice President</w:t>
            </w:r>
          </w:p>
        </w:tc>
        <w:tc>
          <w:tcPr>
            <w:tcW w:w="7460" w:type="dxa"/>
            <w:vAlign w:val="bottom"/>
            <w:gridSpan w:val="3"/>
          </w:tcPr>
          <w:p>
            <w:pPr>
              <w:ind w:left="1700"/>
              <w:spacing w:after="0"/>
              <w:rPr>
                <w:sz w:val="20"/>
                <w:szCs w:val="20"/>
                <w:color w:val="auto"/>
              </w:rPr>
            </w:pPr>
            <w:r>
              <w:rPr>
                <w:rFonts w:ascii="Arial" w:cs="Arial" w:eastAsia="Arial" w:hAnsi="Arial"/>
                <w:sz w:val="18"/>
                <w:szCs w:val="18"/>
                <w:color w:val="auto"/>
              </w:rPr>
              <w:t>Title: CFO</w:t>
            </w:r>
          </w:p>
        </w:tc>
      </w:tr>
      <w:tr>
        <w:trPr>
          <w:trHeight w:val="675"/>
        </w:trPr>
        <w:tc>
          <w:tcPr>
            <w:tcW w:w="320" w:type="dxa"/>
            <w:vAlign w:val="bottom"/>
            <w:tcBorders>
              <w:bottom w:val="single" w:sz="8" w:color="DCDCDC"/>
            </w:tcBorders>
          </w:tcPr>
          <w:p>
            <w:pPr>
              <w:spacing w:after="0"/>
              <w:rPr>
                <w:sz w:val="24"/>
                <w:szCs w:val="24"/>
                <w:color w:val="auto"/>
              </w:rPr>
            </w:pPr>
          </w:p>
        </w:tc>
        <w:tc>
          <w:tcPr>
            <w:tcW w:w="1300" w:type="dxa"/>
            <w:vAlign w:val="bottom"/>
            <w:tcBorders>
              <w:bottom w:val="single" w:sz="8" w:color="DCDCDC"/>
            </w:tcBorders>
          </w:tcPr>
          <w:p>
            <w:pPr>
              <w:spacing w:after="0"/>
              <w:rPr>
                <w:sz w:val="24"/>
                <w:szCs w:val="24"/>
                <w:color w:val="auto"/>
              </w:rPr>
            </w:pPr>
          </w:p>
        </w:tc>
        <w:tc>
          <w:tcPr>
            <w:tcW w:w="2340" w:type="dxa"/>
            <w:vAlign w:val="bottom"/>
            <w:tcBorders>
              <w:bottom w:val="single" w:sz="8" w:color="DCDCDC"/>
            </w:tcBorders>
          </w:tcPr>
          <w:p>
            <w:pPr>
              <w:spacing w:after="0"/>
              <w:rPr>
                <w:sz w:val="24"/>
                <w:szCs w:val="24"/>
                <w:color w:val="auto"/>
              </w:rPr>
            </w:pPr>
          </w:p>
        </w:tc>
        <w:tc>
          <w:tcPr>
            <w:tcW w:w="2000" w:type="dxa"/>
            <w:vAlign w:val="bottom"/>
            <w:tcBorders>
              <w:bottom w:val="single" w:sz="8" w:color="DCDCDC"/>
            </w:tcBorders>
          </w:tcPr>
          <w:p>
            <w:pPr>
              <w:spacing w:after="0"/>
              <w:rPr>
                <w:sz w:val="24"/>
                <w:szCs w:val="24"/>
                <w:color w:val="auto"/>
              </w:rPr>
            </w:pPr>
          </w:p>
        </w:tc>
        <w:tc>
          <w:tcPr>
            <w:tcW w:w="1640" w:type="dxa"/>
            <w:vAlign w:val="bottom"/>
            <w:tcBorders>
              <w:bottom w:val="single" w:sz="8" w:color="DCDCDC"/>
            </w:tcBorders>
          </w:tcPr>
          <w:p>
            <w:pPr>
              <w:spacing w:after="0"/>
              <w:rPr>
                <w:sz w:val="24"/>
                <w:szCs w:val="24"/>
                <w:color w:val="auto"/>
              </w:rPr>
            </w:pPr>
          </w:p>
        </w:tc>
        <w:tc>
          <w:tcPr>
            <w:tcW w:w="38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256"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10.42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Varilease Finance,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6340 South 3000 East,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 84121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www.varilease.com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801.733.8100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801.733.8900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NO. 05</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Reference is made to Schedule No. 05 dated April 30, 2014 (the “Schedule”) incorporating by reference Master Lease Agreement dated April 30, 2014 between VARILEASE FINANCE, INC. (the “Lessor”) and USA TECHNOLOGIES, INC. (the “Lessee”) (the “Master Agreement”). The Schedule and Master Agreement shall hereinafter be referred to collectively as the “Lease”. All capitalized terms used herein but not defined herein shall have the same meanings ascribed to them in the Lease.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Schedule is hereby amended effective as of July 22, 2014 by deleting Sections 5, 6 and 7 in their entirety and replacing them with the following:</w:t>
      </w:r>
    </w:p>
    <w:p>
      <w:pPr>
        <w:spacing w:after="0" w:line="247"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8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2020" w:type="dxa"/>
            <w:vAlign w:val="bottom"/>
            <w:gridSpan w:val="3"/>
          </w:tcPr>
          <w:p>
            <w:pPr>
              <w:spacing w:after="0"/>
              <w:rPr>
                <w:sz w:val="20"/>
                <w:szCs w:val="20"/>
                <w:color w:val="auto"/>
              </w:rPr>
            </w:pPr>
            <w:r>
              <w:rPr>
                <w:rFonts w:ascii="Arial" w:cs="Arial" w:eastAsia="Arial" w:hAnsi="Arial"/>
                <w:sz w:val="18"/>
                <w:szCs w:val="18"/>
                <w:color w:val="auto"/>
              </w:rPr>
              <w:t>Base Monthly Rental:</w:t>
            </w:r>
          </w:p>
        </w:tc>
        <w:tc>
          <w:tcPr>
            <w:tcW w:w="7920" w:type="dxa"/>
            <w:vAlign w:val="bottom"/>
          </w:tcPr>
          <w:p>
            <w:pPr>
              <w:ind w:left="420"/>
              <w:spacing w:after="0"/>
              <w:rPr>
                <w:sz w:val="20"/>
                <w:szCs w:val="20"/>
                <w:color w:val="auto"/>
              </w:rPr>
            </w:pPr>
            <w:r>
              <w:rPr>
                <w:rFonts w:ascii="Arial" w:cs="Arial" w:eastAsia="Arial" w:hAnsi="Arial"/>
                <w:sz w:val="18"/>
                <w:szCs w:val="18"/>
                <w:color w:val="auto"/>
              </w:rPr>
              <w:t>$41,182.19 (plus applicable sales/use tax)</w:t>
            </w:r>
          </w:p>
        </w:tc>
      </w:tr>
      <w:tr>
        <w:trPr>
          <w:trHeight w:val="439"/>
        </w:trPr>
        <w:tc>
          <w:tcPr>
            <w:tcW w:w="18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w:t>
            </w:r>
          </w:p>
        </w:tc>
        <w:tc>
          <w:tcPr>
            <w:tcW w:w="480" w:type="dxa"/>
            <w:vAlign w:val="bottom"/>
          </w:tcPr>
          <w:p>
            <w:pPr>
              <w:spacing w:after="0"/>
              <w:rPr>
                <w:sz w:val="24"/>
                <w:szCs w:val="24"/>
                <w:color w:val="auto"/>
              </w:rPr>
            </w:pPr>
          </w:p>
        </w:tc>
        <w:tc>
          <w:tcPr>
            <w:tcW w:w="7920" w:type="dxa"/>
            <w:vAlign w:val="bottom"/>
          </w:tcPr>
          <w:p>
            <w:pPr>
              <w:ind w:left="620"/>
              <w:spacing w:after="0"/>
              <w:rPr>
                <w:sz w:val="20"/>
                <w:szCs w:val="20"/>
                <w:color w:val="auto"/>
              </w:rPr>
            </w:pPr>
            <w:r>
              <w:rPr>
                <w:rFonts w:ascii="Arial" w:cs="Arial" w:eastAsia="Arial" w:hAnsi="Arial"/>
                <w:sz w:val="18"/>
                <w:szCs w:val="18"/>
                <w:color w:val="auto"/>
                <w:w w:val="91"/>
              </w:rPr>
              <w:t>$41,182.19 applied to the last Base Monthly Rental (plus applicable sales/use tax). Lessee shall pay</w:t>
            </w: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last</w:t>
      </w:r>
      <w:r>
        <w:rPr>
          <w:rFonts w:ascii="Arial" w:cs="Arial" w:eastAsia="Arial" w:hAnsi="Arial"/>
          <w:sz w:val="17"/>
          <w:szCs w:val="17"/>
          <w:color w:val="auto"/>
        </w:rPr>
        <w:t xml:space="preserve"> Base Monthly Rental in advance upon the execution of this Schedule. Lessee acknowledges and agrees that, notwithstanding anything to the contrary herein, this payment is non-refundable to Lessee under any circumstances, including, without limitation, any termination of this Lease for any reason prior to the end of its scheduled term. This payment shall be deemed earned by Lessor, and upon receipt by Lessor, shall immediately be applied to satisfy Lessee’s obligation to make the last Base Monthly Rental.</w:t>
      </w:r>
    </w:p>
    <w:p>
      <w:pPr>
        <w:spacing w:after="0" w:line="181"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2320" w:type="dxa"/>
            <w:vAlign w:val="bottom"/>
            <w:gridSpan w:val="3"/>
          </w:tcPr>
          <w:p>
            <w:pPr>
              <w:spacing w:after="0"/>
              <w:rPr>
                <w:sz w:val="20"/>
                <w:szCs w:val="20"/>
                <w:color w:val="auto"/>
              </w:rPr>
            </w:pPr>
            <w:r>
              <w:rPr>
                <w:rFonts w:ascii="Arial" w:cs="Arial" w:eastAsia="Arial" w:hAnsi="Arial"/>
                <w:sz w:val="18"/>
                <w:szCs w:val="18"/>
                <w:color w:val="auto"/>
              </w:rPr>
              <w:t>7. Base Lease Rate Factor:</w:t>
            </w:r>
          </w:p>
        </w:tc>
        <w:tc>
          <w:tcPr>
            <w:tcW w:w="960" w:type="dxa"/>
            <w:vAlign w:val="bottom"/>
          </w:tcPr>
          <w:p>
            <w:pPr>
              <w:jc w:val="right"/>
              <w:spacing w:after="0"/>
              <w:rPr>
                <w:sz w:val="20"/>
                <w:szCs w:val="20"/>
                <w:color w:val="auto"/>
              </w:rPr>
            </w:pPr>
            <w:r>
              <w:rPr>
                <w:rFonts w:ascii="Arial" w:cs="Arial" w:eastAsia="Arial" w:hAnsi="Arial"/>
                <w:sz w:val="18"/>
                <w:szCs w:val="18"/>
                <w:color w:val="auto"/>
              </w:rPr>
              <w:t>0.02758</w:t>
            </w:r>
          </w:p>
        </w:tc>
      </w:tr>
      <w:tr>
        <w:trPr>
          <w:trHeight w:val="20"/>
        </w:trPr>
        <w:tc>
          <w:tcPr>
            <w:tcW w:w="1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the Schedule shall remain in full force and effect without change.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Dated: July 30, 2014.</w:t>
            </w:r>
          </w:p>
        </w:tc>
        <w:tc>
          <w:tcPr>
            <w:tcW w:w="20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18"/>
        </w:trPr>
        <w:tc>
          <w:tcPr>
            <w:tcW w:w="3940" w:type="dxa"/>
            <w:vAlign w:val="bottom"/>
            <w:gridSpan w:val="3"/>
          </w:tcPr>
          <w:p>
            <w:pPr>
              <w:spacing w:after="0"/>
              <w:rPr>
                <w:sz w:val="20"/>
                <w:szCs w:val="20"/>
                <w:color w:val="auto"/>
              </w:rPr>
            </w:pPr>
            <w:r>
              <w:rPr>
                <w:rFonts w:ascii="Arial" w:cs="Arial" w:eastAsia="Arial" w:hAnsi="Arial"/>
                <w:sz w:val="18"/>
                <w:szCs w:val="18"/>
                <w:color w:val="auto"/>
              </w:rPr>
              <w:t>LESSOR:</w:t>
            </w:r>
          </w:p>
        </w:tc>
        <w:tc>
          <w:tcPr>
            <w:tcW w:w="7480" w:type="dxa"/>
            <w:vAlign w:val="bottom"/>
            <w:gridSpan w:val="3"/>
          </w:tcPr>
          <w:p>
            <w:pPr>
              <w:ind w:left="1680"/>
              <w:spacing w:after="0"/>
              <w:rPr>
                <w:sz w:val="20"/>
                <w:szCs w:val="20"/>
                <w:color w:val="auto"/>
              </w:rPr>
            </w:pPr>
            <w:r>
              <w:rPr>
                <w:rFonts w:ascii="Arial" w:cs="Arial" w:eastAsia="Arial" w:hAnsi="Arial"/>
                <w:sz w:val="18"/>
                <w:szCs w:val="18"/>
                <w:color w:val="auto"/>
              </w:rPr>
              <w:t>LESSEE:</w:t>
            </w:r>
          </w:p>
        </w:tc>
      </w:t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VARILEASE FINANCE, INC.</w:t>
            </w:r>
          </w:p>
        </w:tc>
        <w:tc>
          <w:tcPr>
            <w:tcW w:w="7480" w:type="dxa"/>
            <w:vAlign w:val="bottom"/>
            <w:gridSpan w:val="3"/>
          </w:tcPr>
          <w:p>
            <w:pPr>
              <w:ind w:left="1680"/>
              <w:spacing w:after="0"/>
              <w:rPr>
                <w:sz w:val="20"/>
                <w:szCs w:val="20"/>
                <w:color w:val="auto"/>
              </w:rPr>
            </w:pPr>
            <w:r>
              <w:rPr>
                <w:rFonts w:ascii="Arial" w:cs="Arial" w:eastAsia="Arial" w:hAnsi="Arial"/>
                <w:sz w:val="18"/>
                <w:szCs w:val="18"/>
                <w:color w:val="auto"/>
              </w:rPr>
              <w:t>USA TECHNOLOGIES, INC.</w:t>
            </w:r>
          </w:p>
        </w:tc>
      </w:tr>
      <w:tr>
        <w:trPr>
          <w:trHeight w:val="432"/>
        </w:trPr>
        <w:tc>
          <w:tcPr>
            <w:tcW w:w="3940" w:type="dxa"/>
            <w:vAlign w:val="bottom"/>
            <w:gridSpan w:val="3"/>
          </w:tcPr>
          <w:p>
            <w:pPr>
              <w:spacing w:after="0"/>
              <w:rPr>
                <w:sz w:val="20"/>
                <w:szCs w:val="20"/>
                <w:color w:val="auto"/>
              </w:rPr>
            </w:pPr>
            <w:r>
              <w:rPr>
                <w:rFonts w:ascii="Arial" w:cs="Arial" w:eastAsia="Arial" w:hAnsi="Arial"/>
                <w:sz w:val="18"/>
                <w:szCs w:val="18"/>
                <w:color w:val="auto"/>
              </w:rPr>
              <w:t>By: /s/ Kristy Phillips</w:t>
            </w:r>
          </w:p>
        </w:tc>
        <w:tc>
          <w:tcPr>
            <w:tcW w:w="7480" w:type="dxa"/>
            <w:vAlign w:val="bottom"/>
            <w:gridSpan w:val="3"/>
          </w:tcPr>
          <w:p>
            <w:pPr>
              <w:ind w:left="1680"/>
              <w:spacing w:after="0"/>
              <w:rPr>
                <w:sz w:val="20"/>
                <w:szCs w:val="20"/>
                <w:color w:val="auto"/>
              </w:rPr>
            </w:pPr>
            <w:r>
              <w:rPr>
                <w:rFonts w:ascii="Arial" w:cs="Arial" w:eastAsia="Arial" w:hAnsi="Arial"/>
                <w:sz w:val="18"/>
                <w:szCs w:val="18"/>
                <w:color w:val="auto"/>
              </w:rPr>
              <w:t>By: /s/ David M. DeMedio</w:t>
            </w:r>
          </w:p>
        </w:tc>
      </w:tr>
      <w:tr>
        <w:trPr>
          <w:trHeight w:val="27"/>
        </w:trPr>
        <w:tc>
          <w:tcPr>
            <w:tcW w:w="3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3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3800" w:type="dxa"/>
            <w:vAlign w:val="bottom"/>
          </w:tcPr>
          <w:p>
            <w:pPr>
              <w:spacing w:after="0"/>
              <w:rPr>
                <w:sz w:val="2"/>
                <w:szCs w:val="2"/>
                <w:color w:val="auto"/>
              </w:rPr>
            </w:pPr>
          </w:p>
        </w:tc>
      </w:tr>
      <w:tr>
        <w:trPr>
          <w:trHeight w:val="202"/>
        </w:trPr>
        <w:tc>
          <w:tcPr>
            <w:tcW w:w="1620" w:type="dxa"/>
            <w:vAlign w:val="bottom"/>
            <w:gridSpan w:val="2"/>
          </w:tcPr>
          <w:p>
            <w:pPr>
              <w:spacing w:after="0" w:line="201" w:lineRule="exact"/>
              <w:rPr>
                <w:sz w:val="20"/>
                <w:szCs w:val="20"/>
                <w:color w:val="auto"/>
              </w:rPr>
            </w:pPr>
            <w:r>
              <w:rPr>
                <w:rFonts w:ascii="Arial" w:cs="Arial" w:eastAsia="Arial" w:hAnsi="Arial"/>
                <w:sz w:val="18"/>
                <w:szCs w:val="18"/>
                <w:color w:val="auto"/>
                <w:w w:val="96"/>
              </w:rPr>
              <w:t>Name: Kristy Phillips</w:t>
            </w:r>
          </w:p>
        </w:tc>
        <w:tc>
          <w:tcPr>
            <w:tcW w:w="2320" w:type="dxa"/>
            <w:vAlign w:val="bottom"/>
          </w:tcPr>
          <w:p>
            <w:pPr>
              <w:spacing w:after="0"/>
              <w:rPr>
                <w:sz w:val="17"/>
                <w:szCs w:val="17"/>
                <w:color w:val="auto"/>
              </w:rPr>
            </w:pPr>
          </w:p>
        </w:tc>
        <w:tc>
          <w:tcPr>
            <w:tcW w:w="7480" w:type="dxa"/>
            <w:vAlign w:val="bottom"/>
            <w:gridSpan w:val="3"/>
          </w:tcPr>
          <w:p>
            <w:pPr>
              <w:ind w:left="1680"/>
              <w:spacing w:after="0" w:line="201" w:lineRule="exact"/>
              <w:rPr>
                <w:sz w:val="20"/>
                <w:szCs w:val="20"/>
                <w:color w:val="auto"/>
              </w:rPr>
            </w:pPr>
            <w:r>
              <w:rPr>
                <w:rFonts w:ascii="Arial" w:cs="Arial" w:eastAsia="Arial" w:hAnsi="Arial"/>
                <w:sz w:val="18"/>
                <w:szCs w:val="18"/>
                <w:color w:val="auto"/>
              </w:rPr>
              <w:t>Name: David M. DeMedio</w:t>
            </w:r>
          </w:p>
        </w:tc>
      </w:t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Title: Vice President</w:t>
            </w:r>
          </w:p>
        </w:tc>
        <w:tc>
          <w:tcPr>
            <w:tcW w:w="7480" w:type="dxa"/>
            <w:vAlign w:val="bottom"/>
            <w:gridSpan w:val="3"/>
          </w:tcPr>
          <w:p>
            <w:pPr>
              <w:ind w:left="1680"/>
              <w:spacing w:after="0"/>
              <w:rPr>
                <w:sz w:val="20"/>
                <w:szCs w:val="20"/>
                <w:color w:val="auto"/>
              </w:rPr>
            </w:pPr>
            <w:r>
              <w:rPr>
                <w:rFonts w:ascii="Arial" w:cs="Arial" w:eastAsia="Arial" w:hAnsi="Arial"/>
                <w:sz w:val="18"/>
                <w:szCs w:val="18"/>
                <w:color w:val="auto"/>
              </w:rPr>
              <w:t>Title: CFO</w:t>
            </w:r>
          </w:p>
        </w:tc>
      </w:tr>
      <w:tr>
        <w:trPr>
          <w:trHeight w:val="675"/>
        </w:trPr>
        <w:tc>
          <w:tcPr>
            <w:tcW w:w="320" w:type="dxa"/>
            <w:vAlign w:val="bottom"/>
            <w:tcBorders>
              <w:bottom w:val="single" w:sz="8" w:color="DCDCDC"/>
            </w:tcBorders>
          </w:tcPr>
          <w:p>
            <w:pPr>
              <w:spacing w:after="0"/>
              <w:rPr>
                <w:sz w:val="24"/>
                <w:szCs w:val="24"/>
                <w:color w:val="auto"/>
              </w:rPr>
            </w:pPr>
          </w:p>
        </w:tc>
        <w:tc>
          <w:tcPr>
            <w:tcW w:w="1300" w:type="dxa"/>
            <w:vAlign w:val="bottom"/>
            <w:tcBorders>
              <w:bottom w:val="single" w:sz="8" w:color="DCDCDC"/>
            </w:tcBorders>
          </w:tcPr>
          <w:p>
            <w:pPr>
              <w:spacing w:after="0"/>
              <w:rPr>
                <w:sz w:val="24"/>
                <w:szCs w:val="24"/>
                <w:color w:val="auto"/>
              </w:rPr>
            </w:pPr>
          </w:p>
        </w:tc>
        <w:tc>
          <w:tcPr>
            <w:tcW w:w="2320" w:type="dxa"/>
            <w:vAlign w:val="bottom"/>
            <w:tcBorders>
              <w:bottom w:val="single" w:sz="8" w:color="DCDCDC"/>
            </w:tcBorders>
          </w:tcPr>
          <w:p>
            <w:pPr>
              <w:spacing w:after="0"/>
              <w:rPr>
                <w:sz w:val="24"/>
                <w:szCs w:val="24"/>
                <w:color w:val="auto"/>
              </w:rPr>
            </w:pPr>
          </w:p>
        </w:tc>
        <w:tc>
          <w:tcPr>
            <w:tcW w:w="2040" w:type="dxa"/>
            <w:vAlign w:val="bottom"/>
            <w:tcBorders>
              <w:bottom w:val="single" w:sz="8" w:color="DCDCDC"/>
            </w:tcBorders>
          </w:tcPr>
          <w:p>
            <w:pPr>
              <w:spacing w:after="0"/>
              <w:rPr>
                <w:sz w:val="24"/>
                <w:szCs w:val="24"/>
                <w:color w:val="auto"/>
              </w:rPr>
            </w:pPr>
          </w:p>
        </w:tc>
        <w:tc>
          <w:tcPr>
            <w:tcW w:w="1640" w:type="dxa"/>
            <w:vAlign w:val="bottom"/>
            <w:tcBorders>
              <w:bottom w:val="single" w:sz="8" w:color="DCDCDC"/>
            </w:tcBorders>
          </w:tcPr>
          <w:p>
            <w:pPr>
              <w:spacing w:after="0"/>
              <w:rPr>
                <w:sz w:val="24"/>
                <w:szCs w:val="24"/>
                <w:color w:val="auto"/>
              </w:rPr>
            </w:pPr>
          </w:p>
        </w:tc>
        <w:tc>
          <w:tcPr>
            <w:tcW w:w="38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256"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10.43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Varilease Finance,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6340 South 3000 East,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 84121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www.varilease.com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801.733.8100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801.733.8900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NO. 06</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Reference is made to Schedule No. 06 dated April 30, 2014 (the “Schedule”) incorporating by reference Master Lease Agreement dated April 30, 2014 between VARILEASE FINANCE, INC. (the “Lessor”) and USA TECHNOLOGIES, INC. (the “Lessee”) (the “Master Agreement”). The Schedule and Master Agreement shall hereinafter be referred to collectively as the “Lease”. All capitalized terms used herein but not defined herein shall have the same meanings ascribed to them in the Lease.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Schedule is hereby amended effective as of July 22, 2014 by deleting Sections 5, 6 and 7 in their entirety and replacing them with the following:</w:t>
      </w:r>
    </w:p>
    <w:p>
      <w:pPr>
        <w:spacing w:after="0" w:line="247"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8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2020" w:type="dxa"/>
            <w:vAlign w:val="bottom"/>
            <w:gridSpan w:val="3"/>
          </w:tcPr>
          <w:p>
            <w:pPr>
              <w:spacing w:after="0"/>
              <w:rPr>
                <w:sz w:val="20"/>
                <w:szCs w:val="20"/>
                <w:color w:val="auto"/>
              </w:rPr>
            </w:pPr>
            <w:r>
              <w:rPr>
                <w:rFonts w:ascii="Arial" w:cs="Arial" w:eastAsia="Arial" w:hAnsi="Arial"/>
                <w:sz w:val="18"/>
                <w:szCs w:val="18"/>
                <w:color w:val="auto"/>
              </w:rPr>
              <w:t>Base Monthly Rental:</w:t>
            </w:r>
          </w:p>
        </w:tc>
        <w:tc>
          <w:tcPr>
            <w:tcW w:w="7920" w:type="dxa"/>
            <w:vAlign w:val="bottom"/>
          </w:tcPr>
          <w:p>
            <w:pPr>
              <w:ind w:left="420"/>
              <w:spacing w:after="0"/>
              <w:rPr>
                <w:sz w:val="20"/>
                <w:szCs w:val="20"/>
                <w:color w:val="auto"/>
              </w:rPr>
            </w:pPr>
            <w:r>
              <w:rPr>
                <w:rFonts w:ascii="Arial" w:cs="Arial" w:eastAsia="Arial" w:hAnsi="Arial"/>
                <w:sz w:val="18"/>
                <w:szCs w:val="18"/>
                <w:color w:val="auto"/>
              </w:rPr>
              <w:t>$30,270.89 (plus applicable sales/use tax)</w:t>
            </w:r>
          </w:p>
        </w:tc>
      </w:tr>
      <w:tr>
        <w:trPr>
          <w:trHeight w:val="439"/>
        </w:trPr>
        <w:tc>
          <w:tcPr>
            <w:tcW w:w="18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w:t>
            </w:r>
          </w:p>
        </w:tc>
        <w:tc>
          <w:tcPr>
            <w:tcW w:w="480" w:type="dxa"/>
            <w:vAlign w:val="bottom"/>
          </w:tcPr>
          <w:p>
            <w:pPr>
              <w:spacing w:after="0"/>
              <w:rPr>
                <w:sz w:val="24"/>
                <w:szCs w:val="24"/>
                <w:color w:val="auto"/>
              </w:rPr>
            </w:pPr>
          </w:p>
        </w:tc>
        <w:tc>
          <w:tcPr>
            <w:tcW w:w="7920" w:type="dxa"/>
            <w:vAlign w:val="bottom"/>
          </w:tcPr>
          <w:p>
            <w:pPr>
              <w:ind w:left="620"/>
              <w:spacing w:after="0"/>
              <w:rPr>
                <w:sz w:val="20"/>
                <w:szCs w:val="20"/>
                <w:color w:val="auto"/>
              </w:rPr>
            </w:pPr>
            <w:r>
              <w:rPr>
                <w:rFonts w:ascii="Arial" w:cs="Arial" w:eastAsia="Arial" w:hAnsi="Arial"/>
                <w:sz w:val="18"/>
                <w:szCs w:val="18"/>
                <w:color w:val="auto"/>
                <w:w w:val="91"/>
              </w:rPr>
              <w:t>$30,270.89 applied to the last Base Monthly Rental (plus applicable sales/use tax). Lessee shall pay</w:t>
            </w:r>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last</w:t>
      </w:r>
      <w:r>
        <w:rPr>
          <w:rFonts w:ascii="Arial" w:cs="Arial" w:eastAsia="Arial" w:hAnsi="Arial"/>
          <w:sz w:val="17"/>
          <w:szCs w:val="17"/>
          <w:color w:val="auto"/>
        </w:rPr>
        <w:t xml:space="preserve"> Base Monthly Rental in advance upon the execution of this Schedule. Lessee acknowledges and agrees that, notwithstanding anything to the contrary herein, this payment is non-refundable to Lessee under any circumstances, including, without limitation, any termination of this Lease for any reason prior to the end of its scheduled term. This payment shall be deemed earned by Lessor, and upon receipt by Lessor, shall immediately be applied to satisfy Lessee’s obligation to make the last Base Monthly Rental.</w:t>
      </w:r>
    </w:p>
    <w:p>
      <w:pPr>
        <w:spacing w:after="0" w:line="181"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2280" w:type="dxa"/>
            <w:vAlign w:val="bottom"/>
            <w:gridSpan w:val="3"/>
          </w:tcPr>
          <w:p>
            <w:pPr>
              <w:spacing w:after="0"/>
              <w:rPr>
                <w:sz w:val="20"/>
                <w:szCs w:val="20"/>
                <w:color w:val="auto"/>
              </w:rPr>
            </w:pPr>
            <w:r>
              <w:rPr>
                <w:rFonts w:ascii="Arial" w:cs="Arial" w:eastAsia="Arial" w:hAnsi="Arial"/>
                <w:sz w:val="18"/>
                <w:szCs w:val="18"/>
                <w:color w:val="auto"/>
              </w:rPr>
              <w:t>7. Base Lease Rate Factor:</w:t>
            </w:r>
          </w:p>
        </w:tc>
        <w:tc>
          <w:tcPr>
            <w:tcW w:w="960" w:type="dxa"/>
            <w:vAlign w:val="bottom"/>
          </w:tcPr>
          <w:p>
            <w:pPr>
              <w:jc w:val="right"/>
              <w:spacing w:after="0"/>
              <w:rPr>
                <w:sz w:val="20"/>
                <w:szCs w:val="20"/>
                <w:color w:val="auto"/>
              </w:rPr>
            </w:pPr>
            <w:r>
              <w:rPr>
                <w:rFonts w:ascii="Arial" w:cs="Arial" w:eastAsia="Arial" w:hAnsi="Arial"/>
                <w:sz w:val="18"/>
                <w:szCs w:val="18"/>
                <w:color w:val="auto"/>
              </w:rPr>
              <w:t>0.02758</w:t>
            </w:r>
          </w:p>
        </w:tc>
      </w:tr>
      <w:tr>
        <w:trPr>
          <w:trHeight w:val="20"/>
        </w:trPr>
        <w:tc>
          <w:tcPr>
            <w:tcW w:w="1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the Schedule shall remain in full force and effect without change.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Dated: August 1, 2014.</w:t>
            </w:r>
          </w:p>
        </w:tc>
        <w:tc>
          <w:tcPr>
            <w:tcW w:w="2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18"/>
        </w:trPr>
        <w:tc>
          <w:tcPr>
            <w:tcW w:w="3940" w:type="dxa"/>
            <w:vAlign w:val="bottom"/>
            <w:gridSpan w:val="3"/>
          </w:tcPr>
          <w:p>
            <w:pPr>
              <w:spacing w:after="0"/>
              <w:rPr>
                <w:sz w:val="20"/>
                <w:szCs w:val="20"/>
                <w:color w:val="auto"/>
              </w:rPr>
            </w:pPr>
            <w:r>
              <w:rPr>
                <w:rFonts w:ascii="Arial" w:cs="Arial" w:eastAsia="Arial" w:hAnsi="Arial"/>
                <w:sz w:val="18"/>
                <w:szCs w:val="18"/>
                <w:color w:val="auto"/>
              </w:rPr>
              <w:t>LESSOR:</w:t>
            </w:r>
          </w:p>
        </w:tc>
        <w:tc>
          <w:tcPr>
            <w:tcW w:w="7480" w:type="dxa"/>
            <w:vAlign w:val="bottom"/>
            <w:gridSpan w:val="3"/>
          </w:tcPr>
          <w:p>
            <w:pPr>
              <w:ind w:left="1700"/>
              <w:spacing w:after="0"/>
              <w:rPr>
                <w:sz w:val="20"/>
                <w:szCs w:val="20"/>
                <w:color w:val="auto"/>
              </w:rPr>
            </w:pPr>
            <w:r>
              <w:rPr>
                <w:rFonts w:ascii="Arial" w:cs="Arial" w:eastAsia="Arial" w:hAnsi="Arial"/>
                <w:sz w:val="18"/>
                <w:szCs w:val="18"/>
                <w:color w:val="auto"/>
              </w:rPr>
              <w:t>LESSEE:</w:t>
            </w:r>
          </w:p>
        </w:tc>
      </w:t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VARILEASE FINANCE, INC.</w:t>
            </w:r>
          </w:p>
        </w:tc>
        <w:tc>
          <w:tcPr>
            <w:tcW w:w="7480" w:type="dxa"/>
            <w:vAlign w:val="bottom"/>
            <w:gridSpan w:val="3"/>
          </w:tcPr>
          <w:p>
            <w:pPr>
              <w:ind w:left="1700"/>
              <w:spacing w:after="0"/>
              <w:rPr>
                <w:sz w:val="20"/>
                <w:szCs w:val="20"/>
                <w:color w:val="auto"/>
              </w:rPr>
            </w:pPr>
            <w:r>
              <w:rPr>
                <w:rFonts w:ascii="Arial" w:cs="Arial" w:eastAsia="Arial" w:hAnsi="Arial"/>
                <w:sz w:val="18"/>
                <w:szCs w:val="18"/>
                <w:color w:val="auto"/>
              </w:rPr>
              <w:t>USA TECHNOLOGIES, INC.</w:t>
            </w:r>
          </w:p>
        </w:tc>
      </w:tr>
      <w:tr>
        <w:trPr>
          <w:trHeight w:val="432"/>
        </w:trPr>
        <w:tc>
          <w:tcPr>
            <w:tcW w:w="3940" w:type="dxa"/>
            <w:vAlign w:val="bottom"/>
            <w:gridSpan w:val="3"/>
          </w:tcPr>
          <w:p>
            <w:pPr>
              <w:spacing w:after="0"/>
              <w:rPr>
                <w:sz w:val="20"/>
                <w:szCs w:val="20"/>
                <w:color w:val="auto"/>
              </w:rPr>
            </w:pPr>
            <w:r>
              <w:rPr>
                <w:rFonts w:ascii="Arial" w:cs="Arial" w:eastAsia="Arial" w:hAnsi="Arial"/>
                <w:sz w:val="18"/>
                <w:szCs w:val="18"/>
                <w:color w:val="auto"/>
              </w:rPr>
              <w:t>By: /s/ Kristy Phillips</w:t>
            </w:r>
          </w:p>
        </w:tc>
        <w:tc>
          <w:tcPr>
            <w:tcW w:w="7480" w:type="dxa"/>
            <w:vAlign w:val="bottom"/>
            <w:gridSpan w:val="3"/>
          </w:tcPr>
          <w:p>
            <w:pPr>
              <w:ind w:left="1700"/>
              <w:spacing w:after="0"/>
              <w:rPr>
                <w:sz w:val="20"/>
                <w:szCs w:val="20"/>
                <w:color w:val="auto"/>
              </w:rPr>
            </w:pPr>
            <w:r>
              <w:rPr>
                <w:rFonts w:ascii="Arial" w:cs="Arial" w:eastAsia="Arial" w:hAnsi="Arial"/>
                <w:sz w:val="18"/>
                <w:szCs w:val="18"/>
                <w:color w:val="auto"/>
              </w:rPr>
              <w:t>By: /s/ David M. DeMedio</w:t>
            </w:r>
          </w:p>
        </w:tc>
      </w:tr>
      <w:tr>
        <w:trPr>
          <w:trHeight w:val="27"/>
        </w:trPr>
        <w:tc>
          <w:tcPr>
            <w:tcW w:w="3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3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3800" w:type="dxa"/>
            <w:vAlign w:val="bottom"/>
          </w:tcPr>
          <w:p>
            <w:pPr>
              <w:spacing w:after="0"/>
              <w:rPr>
                <w:sz w:val="2"/>
                <w:szCs w:val="2"/>
                <w:color w:val="auto"/>
              </w:rPr>
            </w:pPr>
          </w:p>
        </w:tc>
      </w:tr>
      <w:tr>
        <w:trPr>
          <w:trHeight w:val="202"/>
        </w:trPr>
        <w:tc>
          <w:tcPr>
            <w:tcW w:w="1620" w:type="dxa"/>
            <w:vAlign w:val="bottom"/>
            <w:gridSpan w:val="2"/>
          </w:tcPr>
          <w:p>
            <w:pPr>
              <w:spacing w:after="0" w:line="201" w:lineRule="exact"/>
              <w:rPr>
                <w:sz w:val="20"/>
                <w:szCs w:val="20"/>
                <w:color w:val="auto"/>
              </w:rPr>
            </w:pPr>
            <w:r>
              <w:rPr>
                <w:rFonts w:ascii="Arial" w:cs="Arial" w:eastAsia="Arial" w:hAnsi="Arial"/>
                <w:sz w:val="18"/>
                <w:szCs w:val="18"/>
                <w:color w:val="auto"/>
                <w:w w:val="96"/>
              </w:rPr>
              <w:t>Name: Kristy Phillips</w:t>
            </w:r>
          </w:p>
        </w:tc>
        <w:tc>
          <w:tcPr>
            <w:tcW w:w="2320" w:type="dxa"/>
            <w:vAlign w:val="bottom"/>
          </w:tcPr>
          <w:p>
            <w:pPr>
              <w:spacing w:after="0"/>
              <w:rPr>
                <w:sz w:val="17"/>
                <w:szCs w:val="17"/>
                <w:color w:val="auto"/>
              </w:rPr>
            </w:pPr>
          </w:p>
        </w:tc>
        <w:tc>
          <w:tcPr>
            <w:tcW w:w="7480" w:type="dxa"/>
            <w:vAlign w:val="bottom"/>
            <w:gridSpan w:val="3"/>
          </w:tcPr>
          <w:p>
            <w:pPr>
              <w:ind w:left="1700"/>
              <w:spacing w:after="0" w:line="201" w:lineRule="exact"/>
              <w:rPr>
                <w:sz w:val="20"/>
                <w:szCs w:val="20"/>
                <w:color w:val="auto"/>
              </w:rPr>
            </w:pPr>
            <w:r>
              <w:rPr>
                <w:rFonts w:ascii="Arial" w:cs="Arial" w:eastAsia="Arial" w:hAnsi="Arial"/>
                <w:sz w:val="18"/>
                <w:szCs w:val="18"/>
                <w:color w:val="auto"/>
              </w:rPr>
              <w:t>Name: David M. DeMedio</w:t>
            </w:r>
          </w:p>
        </w:tc>
      </w:t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Title: Vice President</w:t>
            </w:r>
          </w:p>
        </w:tc>
        <w:tc>
          <w:tcPr>
            <w:tcW w:w="7480" w:type="dxa"/>
            <w:vAlign w:val="bottom"/>
            <w:gridSpan w:val="3"/>
          </w:tcPr>
          <w:p>
            <w:pPr>
              <w:ind w:left="1700"/>
              <w:spacing w:after="0"/>
              <w:rPr>
                <w:sz w:val="20"/>
                <w:szCs w:val="20"/>
                <w:color w:val="auto"/>
              </w:rPr>
            </w:pPr>
            <w:r>
              <w:rPr>
                <w:rFonts w:ascii="Arial" w:cs="Arial" w:eastAsia="Arial" w:hAnsi="Arial"/>
                <w:sz w:val="18"/>
                <w:szCs w:val="18"/>
                <w:color w:val="auto"/>
              </w:rPr>
              <w:t>Title: CFO</w:t>
            </w:r>
          </w:p>
        </w:tc>
      </w:tr>
      <w:tr>
        <w:trPr>
          <w:trHeight w:val="675"/>
        </w:trPr>
        <w:tc>
          <w:tcPr>
            <w:tcW w:w="320" w:type="dxa"/>
            <w:vAlign w:val="bottom"/>
            <w:tcBorders>
              <w:bottom w:val="single" w:sz="8" w:color="DCDCDC"/>
            </w:tcBorders>
          </w:tcPr>
          <w:p>
            <w:pPr>
              <w:spacing w:after="0"/>
              <w:rPr>
                <w:sz w:val="24"/>
                <w:szCs w:val="24"/>
                <w:color w:val="auto"/>
              </w:rPr>
            </w:pPr>
          </w:p>
        </w:tc>
        <w:tc>
          <w:tcPr>
            <w:tcW w:w="1300" w:type="dxa"/>
            <w:vAlign w:val="bottom"/>
            <w:tcBorders>
              <w:bottom w:val="single" w:sz="8" w:color="DCDCDC"/>
            </w:tcBorders>
          </w:tcPr>
          <w:p>
            <w:pPr>
              <w:spacing w:after="0"/>
              <w:rPr>
                <w:sz w:val="24"/>
                <w:szCs w:val="24"/>
                <w:color w:val="auto"/>
              </w:rPr>
            </w:pPr>
          </w:p>
        </w:tc>
        <w:tc>
          <w:tcPr>
            <w:tcW w:w="2320" w:type="dxa"/>
            <w:vAlign w:val="bottom"/>
            <w:tcBorders>
              <w:bottom w:val="single" w:sz="8" w:color="DCDCDC"/>
            </w:tcBorders>
          </w:tcPr>
          <w:p>
            <w:pPr>
              <w:spacing w:after="0"/>
              <w:rPr>
                <w:sz w:val="24"/>
                <w:szCs w:val="24"/>
                <w:color w:val="auto"/>
              </w:rPr>
            </w:pPr>
          </w:p>
        </w:tc>
        <w:tc>
          <w:tcPr>
            <w:tcW w:w="2060" w:type="dxa"/>
            <w:vAlign w:val="bottom"/>
            <w:tcBorders>
              <w:bottom w:val="single" w:sz="8" w:color="DCDCDC"/>
            </w:tcBorders>
          </w:tcPr>
          <w:p>
            <w:pPr>
              <w:spacing w:after="0"/>
              <w:rPr>
                <w:sz w:val="24"/>
                <w:szCs w:val="24"/>
                <w:color w:val="auto"/>
              </w:rPr>
            </w:pPr>
          </w:p>
        </w:tc>
        <w:tc>
          <w:tcPr>
            <w:tcW w:w="1620" w:type="dxa"/>
            <w:vAlign w:val="bottom"/>
            <w:tcBorders>
              <w:bottom w:val="single" w:sz="8" w:color="DCDCDC"/>
            </w:tcBorders>
          </w:tcPr>
          <w:p>
            <w:pPr>
              <w:spacing w:after="0"/>
              <w:rPr>
                <w:sz w:val="24"/>
                <w:szCs w:val="24"/>
                <w:color w:val="auto"/>
              </w:rPr>
            </w:pPr>
          </w:p>
        </w:tc>
        <w:tc>
          <w:tcPr>
            <w:tcW w:w="38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247"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255"/>
                    </a:xfrm>
                    <a:prstGeom prst="rect">
                      <a:avLst/>
                    </a:prstGeom>
                    <a:noFill/>
                  </pic:spPr>
                </pic:pic>
              </a:graphicData>
            </a:graphic>
          </wp:anchor>
        </w:drawing>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consent to the incorporation by reference in each of the Registration Statements (Nos. 333-184185 and 333-198049) on Form S-8 of USA Technologies, Inc. of our report dated September 29, 2014, relating to our audits of the consolidated financial statements and schedule which appear in this Annual Report on Form 10-K for the year ended June 30,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McGladrey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2014</w:t>
      </w:r>
    </w:p>
    <w:p>
      <w:pPr>
        <w:sectPr>
          <w:pgSz w:w="11900" w:h="16838" w:orient="portrait"/>
          <w:cols w:equalWidth="0" w:num="1">
            <w:col w:w="11420"/>
          </w:cols>
          <w:pgMar w:left="240" w:top="203"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Stephen P. Herbert., certify that:</w:t>
      </w:r>
    </w:p>
    <w:p>
      <w:pPr>
        <w:spacing w:after="0" w:line="252" w:lineRule="exact"/>
        <w:rPr>
          <w:sz w:val="20"/>
          <w:szCs w:val="20"/>
          <w:color w:val="auto"/>
        </w:rPr>
      </w:pPr>
    </w:p>
    <w:p>
      <w:pPr>
        <w:ind w:left="180" w:hanging="172"/>
        <w:spacing w:after="0"/>
        <w:tabs>
          <w:tab w:leader="none" w:pos="1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USA Technologies, Inc.;</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1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208" w:lineRule="exact"/>
        <w:rPr>
          <w:sz w:val="20"/>
          <w:szCs w:val="20"/>
          <w:color w:val="auto"/>
        </w:rPr>
      </w:pPr>
    </w:p>
    <w:p>
      <w:pPr>
        <w:ind w:firstLine="8"/>
        <w:spacing w:after="0" w:line="277" w:lineRule="auto"/>
        <w:tabs>
          <w:tab w:leader="none" w:pos="19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97"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September 29, 2014</w:t>
      </w:r>
      <w:r>
        <w:rPr>
          <w:sz w:val="20"/>
          <w:szCs w:val="20"/>
          <w:color w:val="auto"/>
        </w:rPr>
        <w:tab/>
      </w:r>
      <w:r>
        <w:rPr>
          <w:rFonts w:ascii="Arial" w:cs="Arial" w:eastAsia="Arial" w:hAnsi="Arial"/>
          <w:sz w:val="15"/>
          <w:szCs w:val="15"/>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180975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Herbert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M. DeMedio, certify that:</w:t>
      </w:r>
    </w:p>
    <w:p>
      <w:pPr>
        <w:spacing w:after="0" w:line="252" w:lineRule="exact"/>
        <w:rPr>
          <w:sz w:val="20"/>
          <w:szCs w:val="20"/>
          <w:color w:val="auto"/>
        </w:rPr>
      </w:pPr>
    </w:p>
    <w:p>
      <w:pPr>
        <w:ind w:left="180" w:hanging="172"/>
        <w:spacing w:after="0"/>
        <w:tabs>
          <w:tab w:leader="none" w:pos="1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USA Technologies, Inc.;</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208" w:lineRule="exact"/>
        <w:rPr>
          <w:sz w:val="20"/>
          <w:szCs w:val="20"/>
          <w:color w:val="auto"/>
        </w:rPr>
      </w:pPr>
    </w:p>
    <w:p>
      <w:pPr>
        <w:ind w:firstLine="8"/>
        <w:spacing w:after="0" w:line="277" w:lineRule="auto"/>
        <w:tabs>
          <w:tab w:leader="none" w:pos="19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97"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September 29, 2014</w:t>
      </w:r>
      <w:r>
        <w:rPr>
          <w:sz w:val="20"/>
          <w:szCs w:val="20"/>
          <w:color w:val="auto"/>
        </w:rPr>
        <w:tab/>
      </w:r>
      <w:r>
        <w:rPr>
          <w:rFonts w:ascii="Arial" w:cs="Arial" w:eastAsia="Arial" w:hAnsi="Arial"/>
          <w:sz w:val="17"/>
          <w:szCs w:val="17"/>
          <w:color w:val="auto"/>
        </w:rPr>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180975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M. DeMedio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the accompanying Annual Report of USA Technologies, Inc., (the “Company”) on Form 10-K for the period ended June 30, 2014 (the “Report”), I, Stephen P. Herbert., Chief Executive Officer of the Company, hereby certify that to my knowledge:</w:t>
      </w:r>
    </w:p>
    <w:p>
      <w:pPr>
        <w:spacing w:after="0" w:line="197" w:lineRule="exact"/>
        <w:rPr>
          <w:sz w:val="20"/>
          <w:szCs w:val="20"/>
          <w:color w:val="auto"/>
        </w:rPr>
      </w:pPr>
    </w:p>
    <w:p>
      <w:pPr>
        <w:ind w:left="260" w:hanging="252"/>
        <w:spacing w:after="0"/>
        <w:tabs>
          <w:tab w:leader="none" w:pos="2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4907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Stephen P. Herbert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211" w:name="page212"/>
    <w:bookmarkEnd w:id="211"/>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the accompanying Annual Report of USA Technologies, Inc., (the “Company”) on Form 10-K for the period ended June 30, 2014 (the “Report”), I, David M. DeMedio, Chief Financial Officer of the Company, hereby certify that to my knowledge:</w:t>
      </w:r>
    </w:p>
    <w:p>
      <w:pPr>
        <w:spacing w:after="0" w:line="197" w:lineRule="exact"/>
        <w:rPr>
          <w:sz w:val="20"/>
          <w:szCs w:val="20"/>
          <w:color w:val="auto"/>
        </w:rPr>
      </w:pPr>
    </w:p>
    <w:p>
      <w:pPr>
        <w:ind w:left="260" w:hanging="252"/>
        <w:spacing w:after="0"/>
        <w:tabs>
          <w:tab w:leader="none" w:pos="2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4404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8440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M. DeMedio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FFCA11"/>
    <w:multiLevelType w:val="hybridMultilevel"/>
    <w:lvl w:ilvl="0">
      <w:lvlJc w:val="left"/>
      <w:lvlText w:val="x"/>
      <w:numFmt w:val="bullet"/>
      <w:start w:val="1"/>
    </w:lvl>
  </w:abstractNum>
  <w:abstractNum w:abstractNumId="1">
    <w:nsid w:val="1A27709E"/>
    <w:multiLevelType w:val="hybridMultilevel"/>
    <w:lvl w:ilvl="0">
      <w:lvlJc w:val="left"/>
      <w:lvlText w:val="o"/>
      <w:numFmt w:val="bullet"/>
      <w:start w:val="1"/>
    </w:lvl>
  </w:abstractNum>
  <w:abstractNum w:abstractNumId="2">
    <w:nsid w:val="71EA1109"/>
    <w:multiLevelType w:val="hybridMultilevel"/>
    <w:lvl w:ilvl="0">
      <w:lvlJc w:val="left"/>
      <w:lvlText w:val="■"/>
      <w:numFmt w:val="bullet"/>
      <w:start w:val="1"/>
    </w:lvl>
  </w:abstractNum>
  <w:abstractNum w:abstractNumId="3">
    <w:nsid w:val="100F59DC"/>
    <w:multiLevelType w:val="hybridMultilevel"/>
    <w:lvl w:ilvl="0">
      <w:lvlJc w:val="left"/>
      <w:lvlText w:val="●"/>
      <w:numFmt w:val="bullet"/>
      <w:start w:val="1"/>
    </w:lvl>
  </w:abstractNum>
  <w:abstractNum w:abstractNumId="4">
    <w:nsid w:val="7FB7E0AA"/>
    <w:multiLevelType w:val="hybridMultilevel"/>
    <w:lvl w:ilvl="0">
      <w:lvlJc w:val="left"/>
      <w:lvlText w:val="●"/>
      <w:numFmt w:val="bullet"/>
      <w:start w:val="1"/>
    </w:lvl>
  </w:abstractNum>
  <w:abstractNum w:abstractNumId="5">
    <w:nsid w:val="6EB5BD4"/>
    <w:multiLevelType w:val="hybridMultilevel"/>
    <w:lvl w:ilvl="0">
      <w:lvlJc w:val="left"/>
      <w:lvlText w:val="●"/>
      <w:numFmt w:val="bullet"/>
      <w:start w:val="1"/>
    </w:lvl>
  </w:abstractNum>
  <w:abstractNum w:abstractNumId="6">
    <w:nsid w:val="6F6DD9AC"/>
    <w:multiLevelType w:val="hybridMultilevel"/>
    <w:lvl w:ilvl="0">
      <w:lvlJc w:val="left"/>
      <w:lvlText w:val="●"/>
      <w:numFmt w:val="bullet"/>
      <w:start w:val="1"/>
    </w:lvl>
  </w:abstractNum>
  <w:abstractNum w:abstractNumId="7">
    <w:nsid w:val="94211F2"/>
    <w:multiLevelType w:val="hybridMultilevel"/>
    <w:lvl w:ilvl="0">
      <w:lvlJc w:val="left"/>
      <w:lvlText w:val="%1."/>
      <w:numFmt w:val="decimal"/>
      <w:start w:val="1"/>
    </w:lvl>
  </w:abstractNum>
  <w:abstractNum w:abstractNumId="8">
    <w:nsid w:val="885E1B"/>
    <w:multiLevelType w:val="hybridMultilevel"/>
    <w:lvl w:ilvl="0">
      <w:lvlJc w:val="left"/>
      <w:lvlText w:val="%1."/>
      <w:numFmt w:val="decimal"/>
      <w:start w:val="2"/>
    </w:lvl>
  </w:abstractNum>
  <w:abstractNum w:abstractNumId="9">
    <w:nsid w:val="76272110"/>
    <w:multiLevelType w:val="hybridMultilevel"/>
    <w:lvl w:ilvl="0">
      <w:lvlJc w:val="left"/>
      <w:lvlText w:val="●"/>
      <w:numFmt w:val="bullet"/>
      <w:start w:val="1"/>
    </w:lvl>
  </w:abstractNum>
  <w:abstractNum w:abstractNumId="10">
    <w:nsid w:val="4C04A8AF"/>
    <w:multiLevelType w:val="hybridMultilevel"/>
    <w:lvl w:ilvl="0">
      <w:lvlJc w:val="left"/>
      <w:lvlText w:val="●"/>
      <w:numFmt w:val="bullet"/>
      <w:start w:val="1"/>
    </w:lvl>
  </w:abstractNum>
  <w:abstractNum w:abstractNumId="11">
    <w:nsid w:val="1716703B"/>
    <w:multiLevelType w:val="hybridMultilevel"/>
    <w:lvl w:ilvl="0">
      <w:lvlJc w:val="left"/>
      <w:lvlText w:val="●"/>
      <w:numFmt w:val="bullet"/>
      <w:start w:val="1"/>
    </w:lvl>
  </w:abstractNum>
  <w:abstractNum w:abstractNumId="12">
    <w:nsid w:val="14E17E33"/>
    <w:multiLevelType w:val="hybridMultilevel"/>
    <w:lvl w:ilvl="0">
      <w:lvlJc w:val="left"/>
      <w:lvlText w:val="●"/>
      <w:numFmt w:val="bullet"/>
      <w:start w:val="1"/>
    </w:lvl>
  </w:abstractNum>
  <w:abstractNum w:abstractNumId="13">
    <w:nsid w:val="3222E7CD"/>
    <w:multiLevelType w:val="hybridMultilevel"/>
    <w:lvl w:ilvl="0">
      <w:lvlJc w:val="left"/>
      <w:lvlText w:val="●"/>
      <w:numFmt w:val="bullet"/>
      <w:start w:val="1"/>
    </w:lvl>
  </w:abstractNum>
  <w:abstractNum w:abstractNumId="14">
    <w:nsid w:val="74DE0EE3"/>
    <w:multiLevelType w:val="hybridMultilevel"/>
    <w:lvl w:ilvl="0">
      <w:lvlJc w:val="left"/>
      <w:lvlText w:val="●"/>
      <w:numFmt w:val="bullet"/>
      <w:start w:val="1"/>
    </w:lvl>
  </w:abstractNum>
  <w:abstractNum w:abstractNumId="15">
    <w:nsid w:val="68EBC550"/>
    <w:multiLevelType w:val="hybridMultilevel"/>
    <w:lvl w:ilvl="0">
      <w:lvlJc w:val="left"/>
      <w:lvlText w:val="●"/>
      <w:numFmt w:val="bullet"/>
      <w:start w:val="1"/>
    </w:lvl>
  </w:abstractNum>
  <w:abstractNum w:abstractNumId="16">
    <w:nsid w:val="2DF6D648"/>
    <w:multiLevelType w:val="hybridMultilevel"/>
    <w:lvl w:ilvl="0">
      <w:lvlJc w:val="left"/>
      <w:lvlText w:val="●"/>
      <w:numFmt w:val="bullet"/>
      <w:start w:val="1"/>
    </w:lvl>
  </w:abstractNum>
  <w:abstractNum w:abstractNumId="17">
    <w:nsid w:val="46B7D447"/>
    <w:multiLevelType w:val="hybridMultilevel"/>
    <w:lvl w:ilvl="0">
      <w:lvlJc w:val="left"/>
      <w:lvlText w:val="●"/>
      <w:numFmt w:val="bullet"/>
      <w:start w:val="1"/>
    </w:lvl>
  </w:abstractNum>
  <w:abstractNum w:abstractNumId="18">
    <w:nsid w:val="4A2AC315"/>
    <w:multiLevelType w:val="hybridMultilevel"/>
    <w:lvl w:ilvl="0">
      <w:lvlJc w:val="left"/>
      <w:lvlText w:val="●"/>
      <w:numFmt w:val="bullet"/>
      <w:start w:val="1"/>
    </w:lvl>
  </w:abstractNum>
  <w:abstractNum w:abstractNumId="19">
    <w:nsid w:val="39EE015C"/>
    <w:multiLevelType w:val="hybridMultilevel"/>
    <w:lvl w:ilvl="0">
      <w:lvlJc w:val="left"/>
      <w:lvlText w:val="●"/>
      <w:numFmt w:val="bullet"/>
      <w:start w:val="1"/>
    </w:lvl>
  </w:abstractNum>
  <w:abstractNum w:abstractNumId="20">
    <w:nsid w:val="57FC4FBB"/>
    <w:multiLevelType w:val="hybridMultilevel"/>
    <w:lvl w:ilvl="0">
      <w:lvlJc w:val="left"/>
      <w:lvlText w:val="(%1)"/>
      <w:numFmt w:val="decimal"/>
      <w:start w:val="1"/>
    </w:lvl>
  </w:abstractNum>
  <w:abstractNum w:abstractNumId="21">
    <w:nsid w:val="CC1016F"/>
    <w:multiLevelType w:val="hybridMultilevel"/>
    <w:lvl w:ilvl="0">
      <w:lvlJc w:val="left"/>
      <w:lvlText w:val="●"/>
      <w:numFmt w:val="bullet"/>
      <w:start w:val="1"/>
    </w:lvl>
  </w:abstractNum>
  <w:abstractNum w:abstractNumId="22">
    <w:nsid w:val="43F18422"/>
    <w:multiLevelType w:val="hybridMultilevel"/>
    <w:lvl w:ilvl="0">
      <w:lvlJc w:val="left"/>
      <w:lvlText w:val="●"/>
      <w:numFmt w:val="bullet"/>
      <w:start w:val="1"/>
    </w:lvl>
  </w:abstractNum>
  <w:abstractNum w:abstractNumId="23">
    <w:nsid w:val="60EF0119"/>
    <w:multiLevelType w:val="hybridMultilevel"/>
    <w:lvl w:ilvl="0">
      <w:lvlJc w:val="left"/>
      <w:lvlText w:val="●"/>
      <w:numFmt w:val="bullet"/>
      <w:start w:val="1"/>
    </w:lvl>
  </w:abstractNum>
  <w:abstractNum w:abstractNumId="24">
    <w:nsid w:val="26F324BA"/>
    <w:multiLevelType w:val="hybridMultilevel"/>
    <w:lvl w:ilvl="0">
      <w:lvlJc w:val="left"/>
      <w:lvlText w:val="●"/>
      <w:numFmt w:val="bullet"/>
      <w:start w:val="1"/>
    </w:lvl>
  </w:abstractNum>
  <w:abstractNum w:abstractNumId="25">
    <w:nsid w:val="7F01579B"/>
    <w:multiLevelType w:val="hybridMultilevel"/>
    <w:lvl w:ilvl="0">
      <w:lvlJc w:val="left"/>
      <w:lvlText w:val="●"/>
      <w:numFmt w:val="bullet"/>
      <w:start w:val="1"/>
    </w:lvl>
  </w:abstractNum>
  <w:abstractNum w:abstractNumId="26">
    <w:nsid w:val="49DA307D"/>
    <w:multiLevelType w:val="hybridMultilevel"/>
    <w:lvl w:ilvl="0">
      <w:lvlJc w:val="left"/>
      <w:lvlText w:val="●"/>
      <w:numFmt w:val="bullet"/>
      <w:start w:val="1"/>
    </w:lvl>
  </w:abstractNum>
  <w:abstractNum w:abstractNumId="27">
    <w:nsid w:val="7055A5F5"/>
    <w:multiLevelType w:val="hybridMultilevel"/>
    <w:lvl w:ilvl="0">
      <w:lvlJc w:val="left"/>
      <w:lvlText w:val="●"/>
      <w:numFmt w:val="bullet"/>
      <w:start w:val="1"/>
    </w:lvl>
  </w:abstractNum>
  <w:abstractNum w:abstractNumId="28">
    <w:nsid w:val="5FB8370B"/>
    <w:multiLevelType w:val="hybridMultilevel"/>
    <w:lvl w:ilvl="0">
      <w:lvlJc w:val="left"/>
      <w:lvlText w:val="%1)"/>
      <w:numFmt w:val="decimal"/>
      <w:start w:val="4"/>
    </w:lvl>
  </w:abstractNum>
  <w:abstractNum w:abstractNumId="29">
    <w:nsid w:val="50801EE1"/>
    <w:multiLevelType w:val="hybridMultilevel"/>
    <w:lvl w:ilvl="0">
      <w:lvlJc w:val="left"/>
      <w:lvlText w:val="(%1)"/>
      <w:numFmt w:val="decimal"/>
      <w:start w:val="1"/>
    </w:lvl>
  </w:abstractNum>
  <w:abstractNum w:abstractNumId="30">
    <w:nsid w:val="488AC1A"/>
    <w:multiLevelType w:val="hybridMultilevel"/>
    <w:lvl w:ilvl="0">
      <w:lvlJc w:val="left"/>
      <w:lvlText w:val="●"/>
      <w:numFmt w:val="bullet"/>
      <w:start w:val="1"/>
    </w:lvl>
  </w:abstractNum>
  <w:abstractNum w:abstractNumId="31">
    <w:nsid w:val="5FB8011C"/>
    <w:multiLevelType w:val="hybridMultilevel"/>
    <w:lvl w:ilvl="0">
      <w:lvlJc w:val="left"/>
      <w:lvlText w:val="●"/>
      <w:numFmt w:val="bullet"/>
      <w:start w:val="1"/>
    </w:lvl>
  </w:abstractNum>
  <w:abstractNum w:abstractNumId="32">
    <w:nsid w:val="6AA78F7F"/>
    <w:multiLevelType w:val="hybridMultilevel"/>
    <w:lvl w:ilvl="0">
      <w:lvlJc w:val="left"/>
      <w:lvlText w:val="●"/>
      <w:numFmt w:val="bullet"/>
      <w:start w:val="1"/>
    </w:lvl>
  </w:abstractNum>
  <w:abstractNum w:abstractNumId="33">
    <w:nsid w:val="7672BD23"/>
    <w:multiLevelType w:val="hybridMultilevel"/>
    <w:lvl w:ilvl="0">
      <w:lvlJc w:val="left"/>
      <w:lvlText w:val="(%1)"/>
      <w:numFmt w:val="decimal"/>
      <w:start w:val="1"/>
    </w:lvl>
  </w:abstractNum>
  <w:abstractNum w:abstractNumId="34">
    <w:nsid w:val="6FC75AF8"/>
    <w:multiLevelType w:val="hybridMultilevel"/>
    <w:lvl w:ilvl="0">
      <w:lvlJc w:val="left"/>
      <w:lvlText w:val="(%1)"/>
      <w:numFmt w:val="decimal"/>
      <w:start w:val="1"/>
    </w:lvl>
  </w:abstractNum>
  <w:abstractNum w:abstractNumId="35">
    <w:nsid w:val="6A5F7029"/>
    <w:multiLevelType w:val="hybridMultilevel"/>
    <w:lvl w:ilvl="0">
      <w:lvlJc w:val="left"/>
      <w:lvlText w:val="(%1)"/>
      <w:numFmt w:val="decimal"/>
      <w:start w:val="1"/>
    </w:lvl>
  </w:abstractNum>
  <w:abstractNum w:abstractNumId="36">
    <w:nsid w:val="7D5E18F8"/>
    <w:multiLevelType w:val="hybridMultilevel"/>
    <w:lvl w:ilvl="0">
      <w:lvlJc w:val="left"/>
      <w:lvlText w:val="(%1)"/>
      <w:numFmt w:val="decimal"/>
      <w:start w:val="1"/>
    </w:lvl>
  </w:abstractNum>
  <w:abstractNum w:abstractNumId="37">
    <w:nsid w:val="5F3534A4"/>
    <w:multiLevelType w:val="hybridMultilevel"/>
    <w:lvl w:ilvl="0">
      <w:lvlJc w:val="left"/>
      <w:lvlText w:val="(%1)"/>
      <w:numFmt w:val="decimal"/>
      <w:start w:val="1"/>
    </w:lvl>
    <w:lvl w:ilvl="1">
      <w:lvlJc w:val="left"/>
      <w:lvlText w:val="●"/>
      <w:numFmt w:val="bullet"/>
      <w:start w:val="1"/>
    </w:lvl>
  </w:abstractNum>
  <w:abstractNum w:abstractNumId="38">
    <w:nsid w:val="73A1821B"/>
    <w:multiLevelType w:val="hybridMultilevel"/>
    <w:lvl w:ilvl="0">
      <w:lvlJc w:val="left"/>
      <w:lvlText w:val="(%1)"/>
      <w:numFmt w:val="decimal"/>
      <w:start w:val="2"/>
    </w:lvl>
    <w:lvl w:ilvl="1">
      <w:lvlJc w:val="left"/>
      <w:lvlText w:val="●"/>
      <w:numFmt w:val="bullet"/>
      <w:start w:val="1"/>
    </w:lvl>
  </w:abstractNum>
  <w:abstractNum w:abstractNumId="39">
    <w:nsid w:val="7DE67713"/>
    <w:multiLevelType w:val="hybridMultilevel"/>
    <w:lvl w:ilvl="0">
      <w:lvlJc w:val="left"/>
      <w:lvlText w:val="(%1)"/>
      <w:numFmt w:val="decimal"/>
      <w:start w:val="1"/>
    </w:lvl>
  </w:abstractNum>
  <w:abstractNum w:abstractNumId="40">
    <w:nsid w:val="555C55B5"/>
    <w:multiLevelType w:val="hybridMultilevel"/>
    <w:lvl w:ilvl="0">
      <w:lvlJc w:val="left"/>
      <w:lvlText w:val="**"/>
      <w:numFmt w:val="bullet"/>
      <w:start w:val="1"/>
    </w:lvl>
  </w:abstractNum>
  <w:abstractNum w:abstractNumId="41">
    <w:nsid w:val="3FA62ACA"/>
    <w:multiLevelType w:val="hybridMultilevel"/>
    <w:lvl w:ilvl="0">
      <w:lvlJc w:val="left"/>
      <w:lvlText w:val="%1."/>
      <w:numFmt w:val="decimal"/>
      <w:start w:val="1"/>
    </w:lvl>
  </w:abstractNum>
  <w:abstractNum w:abstractNumId="42">
    <w:nsid w:val="14FCE74E"/>
    <w:multiLevelType w:val="hybridMultilevel"/>
    <w:lvl w:ilvl="0">
      <w:lvlJc w:val="left"/>
      <w:lvlText w:val="%1."/>
      <w:numFmt w:val="decimal"/>
      <w:start w:val="6"/>
    </w:lvl>
    <w:lvl w:ilvl="1">
      <w:lvlJc w:val="left"/>
      <w:lvlText w:val="(%2)"/>
      <w:numFmt w:val="lowerLetter"/>
      <w:start w:val="1"/>
    </w:lvl>
  </w:abstractNum>
  <w:abstractNum w:abstractNumId="43">
    <w:nsid w:val="6A3DD3E8"/>
    <w:multiLevelType w:val="hybridMultilevel"/>
    <w:lvl w:ilvl="0">
      <w:lvlJc w:val="left"/>
      <w:lvlText w:val="%1."/>
      <w:numFmt w:val="decimal"/>
      <w:start w:val="1"/>
    </w:lvl>
  </w:abstractNum>
  <w:abstractNum w:abstractNumId="44">
    <w:nsid w:val="71C91298"/>
    <w:multiLevelType w:val="hybridMultilevel"/>
    <w:lvl w:ilvl="0">
      <w:lvlJc w:val="left"/>
      <w:lvlText w:val="%1."/>
      <w:numFmt w:val="decimal"/>
      <w:start w:val="2"/>
    </w:lvl>
  </w:abstractNum>
  <w:abstractNum w:abstractNumId="45">
    <w:nsid w:val="9DAF632"/>
    <w:multiLevelType w:val="hybridMultilevel"/>
    <w:lvl w:ilvl="0">
      <w:lvlJc w:val="left"/>
      <w:lvlText w:val="%1."/>
      <w:numFmt w:val="decimal"/>
      <w:start w:val="3"/>
    </w:lvl>
  </w:abstractNum>
  <w:abstractNum w:abstractNumId="46">
    <w:nsid w:val="53299938"/>
    <w:multiLevelType w:val="hybridMultilevel"/>
    <w:lvl w:ilvl="0">
      <w:lvlJc w:val="left"/>
      <w:lvlText w:val="%1."/>
      <w:numFmt w:val="decimal"/>
      <w:start w:val="5"/>
    </w:lvl>
    <w:lvl w:ilvl="1">
      <w:lvlJc w:val="left"/>
      <w:lvlText w:val="(%2)"/>
      <w:numFmt w:val="lowerLetter"/>
      <w:start w:val="1"/>
    </w:lvl>
  </w:abstractNum>
  <w:abstractNum w:abstractNumId="47">
    <w:nsid w:val="1FBFE8E0"/>
    <w:multiLevelType w:val="hybridMultilevel"/>
    <w:lvl w:ilvl="0">
      <w:lvlJc w:val="left"/>
      <w:lvlText w:val="1"/>
      <w:numFmt w:val="bullet"/>
      <w:start w:val="1"/>
    </w:lvl>
  </w:abstractNum>
  <w:abstractNum w:abstractNumId="48">
    <w:nsid w:val="5092CA79"/>
    <w:multiLevelType w:val="hybridMultilevel"/>
    <w:lvl w:ilvl="0">
      <w:lvlJc w:val="left"/>
      <w:lvlText w:val="4"/>
      <w:numFmt w:val="bullet"/>
      <w:start w:val="1"/>
    </w:lvl>
  </w:abstractNum>
  <w:abstractNum w:abstractNumId="49">
    <w:nsid w:val="1D545C4D"/>
    <w:multiLevelType w:val="hybridMultilevel"/>
    <w:lvl w:ilvl="0">
      <w:lvlJc w:val="left"/>
      <w:lvlText w:val="7"/>
      <w:numFmt w:val="bullet"/>
      <w:start w:val="1"/>
    </w:lvl>
  </w:abstractNum>
  <w:abstractNum w:abstractNumId="50">
    <w:nsid w:val="59ADEA3D"/>
    <w:multiLevelType w:val="hybridMultilevel"/>
    <w:lvl w:ilvl="0">
      <w:lvlJc w:val="left"/>
      <w:lvlText w:val="8"/>
      <w:numFmt w:val="bullet"/>
      <w:start w:val="1"/>
    </w:lvl>
  </w:abstractNum>
  <w:abstractNum w:abstractNumId="51">
    <w:nsid w:val="288F1A34"/>
    <w:multiLevelType w:val="hybridMultilevel"/>
    <w:lvl w:ilvl="0">
      <w:lvlJc w:val="left"/>
      <w:lvlText w:val="%1."/>
      <w:numFmt w:val="decimal"/>
      <w:start w:val="1"/>
    </w:lvl>
  </w:abstractNum>
  <w:abstractNum w:abstractNumId="52">
    <w:nsid w:val="2A155DBC"/>
    <w:multiLevelType w:val="hybridMultilevel"/>
    <w:lvl w:ilvl="0">
      <w:lvlJc w:val="left"/>
      <w:lvlText w:val="%1."/>
      <w:numFmt w:val="decimal"/>
      <w:start w:val="3"/>
    </w:lvl>
  </w:abstractNum>
  <w:abstractNum w:abstractNumId="53">
    <w:nsid w:val="1D9F6E5F"/>
    <w:multiLevelType w:val="hybridMultilevel"/>
    <w:lvl w:ilvl="0">
      <w:lvlJc w:val="left"/>
      <w:lvlText w:val="%1."/>
      <w:numFmt w:val="decimal"/>
      <w:start w:val="4"/>
    </w:lvl>
  </w:abstractNum>
  <w:abstractNum w:abstractNumId="54">
    <w:nsid w:val="97E1B4E"/>
    <w:multiLevelType w:val="hybridMultilevel"/>
    <w:lvl w:ilvl="0">
      <w:lvlJc w:val="left"/>
      <w:lvlText w:val="%1."/>
      <w:numFmt w:val="decimal"/>
      <w:start w:val="5"/>
    </w:lvl>
    <w:lvl w:ilvl="1">
      <w:lvlJc w:val="left"/>
      <w:lvlText w:val="(%2)"/>
      <w:numFmt w:val="lowerLetter"/>
      <w:start w:val="1"/>
    </w:lvl>
  </w:abstractNum>
  <w:abstractNum w:abstractNumId="55">
    <w:nsid w:val="51088277"/>
    <w:multiLevelType w:val="hybridMultilevel"/>
    <w:lvl w:ilvl="0">
      <w:lvlJc w:val="left"/>
      <w:lvlText w:val="%1."/>
      <w:numFmt w:val="decimal"/>
      <w:start w:val="1"/>
    </w:lvl>
  </w:abstractNum>
  <w:abstractNum w:abstractNumId="56">
    <w:nsid w:val="1CA0C5FA"/>
    <w:multiLevelType w:val="hybridMultilevel"/>
    <w:lvl w:ilvl="0">
      <w:lvlJc w:val="left"/>
      <w:lvlText w:val="%1."/>
      <w:numFmt w:val="decimal"/>
      <w:start w:val="2"/>
    </w:lvl>
  </w:abstractNum>
  <w:abstractNum w:abstractNumId="57">
    <w:nsid w:val="53584BCB"/>
    <w:multiLevelType w:val="hybridMultilevel"/>
    <w:lvl w:ilvl="0">
      <w:lvlJc w:val="left"/>
      <w:lvlText w:val="(%1)"/>
      <w:numFmt w:val="lowerLetter"/>
      <w:start w:val="1"/>
    </w:lvl>
  </w:abstractNum>
  <w:abstractNum w:abstractNumId="58">
    <w:nsid w:val="415E286C"/>
    <w:multiLevelType w:val="hybridMultilevel"/>
    <w:lvl w:ilvl="0">
      <w:lvlJc w:val="left"/>
      <w:lvlText w:val="%1."/>
      <w:numFmt w:val="decimal"/>
      <w:start w:val="3"/>
    </w:lvl>
  </w:abstractNum>
  <w:abstractNum w:abstractNumId="59">
    <w:nsid w:val="7C58FD05"/>
    <w:multiLevelType w:val="hybridMultilevel"/>
    <w:lvl w:ilvl="0">
      <w:lvlJc w:val="left"/>
      <w:lvlText w:val="(%1)"/>
      <w:numFmt w:val="lowerLetter"/>
      <w:start w:val="1"/>
    </w:lvl>
  </w:abstractNum>
  <w:abstractNum w:abstractNumId="60">
    <w:nsid w:val="23D86AAC"/>
    <w:multiLevelType w:val="hybridMultilevel"/>
    <w:lvl w:ilvl="0">
      <w:lvlJc w:val="left"/>
      <w:lvlText w:val="%1."/>
      <w:numFmt w:val="decimal"/>
      <w:start w:val="4"/>
    </w:lvl>
  </w:abstractNum>
  <w:abstractNum w:abstractNumId="61">
    <w:nsid w:val="45E6D486"/>
    <w:multiLevelType w:val="hybridMultilevel"/>
    <w:lvl w:ilvl="0">
      <w:lvlJc w:val="left"/>
      <w:lvlText w:val="%1."/>
      <w:numFmt w:val="decimal"/>
      <w:start w:val="5"/>
    </w:lvl>
  </w:abstractNum>
  <w:abstractNum w:abstractNumId="62">
    <w:nsid w:val="5C10FE21"/>
    <w:multiLevelType w:val="hybridMultilevel"/>
    <w:lvl w:ilvl="0">
      <w:lvlJc w:val="left"/>
      <w:lvlText w:val="%1."/>
      <w:numFmt w:val="decimal"/>
      <w:start w:val="6"/>
    </w:lvl>
  </w:abstractNum>
  <w:abstractNum w:abstractNumId="63">
    <w:nsid w:val="E7FFA2B"/>
    <w:multiLevelType w:val="hybridMultilevel"/>
    <w:lvl w:ilvl="0">
      <w:lvlJc w:val="left"/>
      <w:lvlText w:val="(%1)"/>
      <w:numFmt w:val="lowerLetter"/>
      <w:start w:val="1"/>
    </w:lvl>
  </w:abstractNum>
  <w:abstractNum w:abstractNumId="64">
    <w:nsid w:val="3C5991AA"/>
    <w:multiLevelType w:val="hybridMultilevel"/>
    <w:lvl w:ilvl="0">
      <w:lvlJc w:val="left"/>
      <w:lvlText w:val="(%1)"/>
      <w:numFmt w:val="lowerLetter"/>
      <w:start w:val="4"/>
    </w:lvl>
  </w:abstractNum>
  <w:abstractNum w:abstractNumId="65">
    <w:nsid w:val="4BD8591A"/>
    <w:multiLevelType w:val="hybridMultilevel"/>
    <w:lvl w:ilvl="0">
      <w:lvlJc w:val="left"/>
      <w:lvlText w:val="%1."/>
      <w:numFmt w:val="decimal"/>
      <w:start w:val="7"/>
    </w:lvl>
  </w:abstractNum>
  <w:abstractNum w:abstractNumId="66">
    <w:nsid w:val="78DF6A55"/>
    <w:multiLevelType w:val="hybridMultilevel"/>
    <w:lvl w:ilvl="0">
      <w:lvlJc w:val="left"/>
      <w:lvlText w:val="%1."/>
      <w:numFmt w:val="decimal"/>
      <w:start w:val="8"/>
    </w:lvl>
  </w:abstractNum>
  <w:abstractNum w:abstractNumId="67">
    <w:nsid w:val="39B7AAA2"/>
    <w:multiLevelType w:val="hybridMultilevel"/>
    <w:lvl w:ilvl="0">
      <w:lvlJc w:val="left"/>
      <w:lvlText w:val="(%1)"/>
      <w:numFmt w:val="lowerLetter"/>
      <w:start w:val="1"/>
    </w:lvl>
  </w:abstractNum>
  <w:abstractNum w:abstractNumId="68">
    <w:nsid w:val="2B0D8DBE"/>
    <w:multiLevelType w:val="hybridMultilevel"/>
    <w:lvl w:ilvl="0">
      <w:lvlJc w:val="left"/>
      <w:lvlText w:val="%1."/>
      <w:numFmt w:val="decimal"/>
      <w:start w:val="9"/>
    </w:lvl>
  </w:abstractNum>
  <w:abstractNum w:abstractNumId="69">
    <w:nsid w:val="6C80EC70"/>
    <w:multiLevelType w:val="hybridMultilevel"/>
    <w:lvl w:ilvl="0">
      <w:lvlJc w:val="left"/>
      <w:lvlText w:val="(%1)"/>
      <w:numFmt w:val="lowerLetter"/>
      <w:start w:val="2"/>
    </w:lvl>
  </w:abstractNum>
  <w:abstractNum w:abstractNumId="70">
    <w:nsid w:val="379E21B5"/>
    <w:multiLevelType w:val="hybridMultilevel"/>
    <w:lvl w:ilvl="0">
      <w:lvlJc w:val="left"/>
      <w:lvlText w:val="%1."/>
      <w:numFmt w:val="decimal"/>
      <w:start w:val="10"/>
    </w:lvl>
  </w:abstractNum>
  <w:abstractNum w:abstractNumId="71">
    <w:nsid w:val="69E373"/>
    <w:multiLevelType w:val="hybridMultilevel"/>
    <w:lvl w:ilvl="0">
      <w:lvlJc w:val="left"/>
      <w:lvlText w:val="(%1)"/>
      <w:numFmt w:val="lowerLetter"/>
      <w:start w:val="1"/>
    </w:lvl>
    <w:lvl w:ilvl="1">
      <w:lvlJc w:val="left"/>
      <w:lvlText w:val="(%2)"/>
      <w:numFmt w:val="lowerRoman"/>
      <w:start w:val="1"/>
    </w:lvl>
  </w:abstractNum>
  <w:abstractNum w:abstractNumId="72">
    <w:nsid w:val="2C27173B"/>
    <w:multiLevelType w:val="hybridMultilevel"/>
    <w:lvl w:ilvl="0">
      <w:lvlJc w:val="left"/>
      <w:lvlText w:val="(%1)"/>
      <w:numFmt w:val="lowerRoman"/>
      <w:start w:val="3"/>
    </w:lvl>
  </w:abstractNum>
  <w:abstractNum w:abstractNumId="73">
    <w:nsid w:val="4C9B0904"/>
    <w:multiLevelType w:val="hybridMultilevel"/>
    <w:lvl w:ilvl="0">
      <w:lvlJc w:val="left"/>
      <w:lvlText w:val="(%1)"/>
      <w:numFmt w:val="lowerRoman"/>
      <w:start w:val="4"/>
    </w:lvl>
  </w:abstractNum>
  <w:abstractNum w:abstractNumId="74">
    <w:nsid w:val="6AA7B75C"/>
    <w:multiLevelType w:val="hybridMultilevel"/>
    <w:lvl w:ilvl="0">
      <w:lvlJc w:val="left"/>
      <w:lvlText w:val="(%1)"/>
      <w:numFmt w:val="lowerLetter"/>
      <w:start w:val="2"/>
    </w:lvl>
  </w:abstractNum>
  <w:abstractNum w:abstractNumId="75">
    <w:nsid w:val="1DF029D3"/>
    <w:multiLevelType w:val="hybridMultilevel"/>
    <w:lvl w:ilvl="0">
      <w:lvlJc w:val="left"/>
      <w:lvlText w:val="%1."/>
      <w:numFmt w:val="decimal"/>
      <w:start w:val="11"/>
    </w:lvl>
  </w:abstractNum>
  <w:abstractNum w:abstractNumId="76">
    <w:nsid w:val="5675FF36"/>
    <w:multiLevelType w:val="hybridMultilevel"/>
    <w:lvl w:ilvl="0">
      <w:lvlJc w:val="left"/>
      <w:lvlText w:val="%1."/>
      <w:numFmt w:val="decimal"/>
      <w:start w:val="12"/>
    </w:lvl>
  </w:abstractNum>
  <w:abstractNum w:abstractNumId="77">
    <w:nsid w:val="3DD15094"/>
    <w:multiLevelType w:val="hybridMultilevel"/>
    <w:lvl w:ilvl="0">
      <w:lvlJc w:val="left"/>
      <w:lvlText w:val="%1."/>
      <w:numFmt w:val="decimal"/>
      <w:start w:val="13"/>
    </w:lvl>
  </w:abstractNum>
  <w:abstractNum w:abstractNumId="78">
    <w:nsid w:val="3DB012B3"/>
    <w:multiLevelType w:val="hybridMultilevel"/>
    <w:lvl w:ilvl="0">
      <w:lvlJc w:val="left"/>
      <w:lvlText w:val="(%1)"/>
      <w:numFmt w:val="lowerLetter"/>
      <w:start w:val="1"/>
    </w:lvl>
  </w:abstractNum>
  <w:abstractNum w:abstractNumId="79">
    <w:nsid w:val="2708C9AF"/>
    <w:multiLevelType w:val="hybridMultilevel"/>
    <w:lvl w:ilvl="0">
      <w:lvlJc w:val="left"/>
      <w:lvlText w:val="%1."/>
      <w:numFmt w:val="decimal"/>
      <w:start w:val="14"/>
    </w:lvl>
  </w:abstractNum>
  <w:abstractNum w:abstractNumId="80">
    <w:nsid w:val="5B25ACE2"/>
    <w:multiLevelType w:val="hybridMultilevel"/>
    <w:lvl w:ilvl="0">
      <w:lvlJc w:val="left"/>
      <w:lvlText w:val="%1."/>
      <w:numFmt w:val="decimal"/>
      <w:start w:val="15"/>
    </w:lvl>
  </w:abstractNum>
  <w:abstractNum w:abstractNumId="81">
    <w:nsid w:val="175DFCF0"/>
    <w:multiLevelType w:val="hybridMultilevel"/>
    <w:lvl w:ilvl="0">
      <w:lvlJc w:val="left"/>
      <w:lvlText w:val="(%1)"/>
      <w:numFmt w:val="lowerLetter"/>
      <w:start w:val="1"/>
    </w:lvl>
  </w:abstractNum>
  <w:abstractNum w:abstractNumId="82">
    <w:nsid w:val="4F97E3E4"/>
    <w:multiLevelType w:val="hybridMultilevel"/>
    <w:lvl w:ilvl="0">
      <w:lvlJc w:val="left"/>
      <w:lvlText w:val="%1."/>
      <w:numFmt w:val="decimal"/>
      <w:start w:val="16"/>
    </w:lvl>
  </w:abstractNum>
  <w:abstractNum w:abstractNumId="83">
    <w:nsid w:val="53B0A9E"/>
    <w:multiLevelType w:val="hybridMultilevel"/>
    <w:lvl w:ilvl="0">
      <w:lvlJc w:val="left"/>
      <w:lvlText w:val="(%1)"/>
      <w:numFmt w:val="lowerLetter"/>
      <w:start w:val="1"/>
    </w:lvl>
    <w:lvl w:ilvl="1">
      <w:lvlJc w:val="left"/>
      <w:lvlText w:val="(%2)"/>
      <w:numFmt w:val="lowerRoman"/>
      <w:start w:val="1"/>
    </w:lvl>
  </w:abstractNum>
  <w:abstractNum w:abstractNumId="84">
    <w:nsid w:val="34FD6B4F"/>
    <w:multiLevelType w:val="hybridMultilevel"/>
    <w:lvl w:ilvl="0">
      <w:lvlJc w:val="left"/>
      <w:lvlText w:val="%1"/>
      <w:numFmt w:val="lowerLetter"/>
      <w:start w:val="1"/>
    </w:lvl>
    <w:lvl w:ilvl="1">
      <w:lvlJc w:val="left"/>
      <w:lvlText w:val="(%2)"/>
      <w:numFmt w:val="lowerRoman"/>
      <w:start w:val="9"/>
    </w:lvl>
  </w:abstractNum>
  <w:abstractNum w:abstractNumId="85">
    <w:nsid w:val="5915FF32"/>
    <w:multiLevelType w:val="hybridMultilevel"/>
    <w:lvl w:ilvl="0">
      <w:lvlJc w:val="left"/>
      <w:lvlText w:val="(%1)"/>
      <w:numFmt w:val="lowerLetter"/>
      <w:start w:val="2"/>
    </w:lvl>
    <w:lvl w:ilvl="1">
      <w:lvlJc w:val="left"/>
      <w:lvlText w:val="%2"/>
      <w:numFmt w:val="lowerRoman"/>
      <w:start w:val="1"/>
    </w:lvl>
  </w:abstractNum>
  <w:abstractNum w:abstractNumId="86">
    <w:nsid w:val="56438D15"/>
    <w:multiLevelType w:val="hybridMultilevel"/>
    <w:lvl w:ilvl="0">
      <w:lvlJc w:val="left"/>
      <w:lvlText w:val="(%1)"/>
      <w:numFmt w:val="lowerLetter"/>
      <w:start w:val="3"/>
    </w:lvl>
  </w:abstractNum>
  <w:abstractNum w:abstractNumId="87">
    <w:nsid w:val="519E3149"/>
    <w:multiLevelType w:val="hybridMultilevel"/>
    <w:lvl w:ilvl="0">
      <w:lvlJc w:val="left"/>
      <w:lvlText w:val="%1."/>
      <w:numFmt w:val="decimal"/>
      <w:start w:val="17"/>
    </w:lvl>
  </w:abstractNum>
  <w:abstractNum w:abstractNumId="88">
    <w:nsid w:val="2C6E4AFD"/>
    <w:multiLevelType w:val="hybridMultilevel"/>
    <w:lvl w:ilvl="0">
      <w:lvlJc w:val="left"/>
      <w:lvlText w:val="%1."/>
      <w:numFmt w:val="decimal"/>
      <w:start w:val="18"/>
    </w:lvl>
  </w:abstractNum>
  <w:abstractNum w:abstractNumId="89">
    <w:nsid w:val="17A1B582"/>
    <w:multiLevelType w:val="hybridMultilevel"/>
    <w:lvl w:ilvl="0">
      <w:lvlJc w:val="left"/>
      <w:lvlText w:val="%1."/>
      <w:numFmt w:val="decimal"/>
      <w:start w:val="19"/>
    </w:lvl>
  </w:abstractNum>
  <w:abstractNum w:abstractNumId="90">
    <w:nsid w:val="4DF72E4E"/>
    <w:multiLevelType w:val="hybridMultilevel"/>
    <w:lvl w:ilvl="0">
      <w:lvlJc w:val="left"/>
      <w:lvlText w:val="(%1)"/>
      <w:numFmt w:val="lowerLetter"/>
      <w:start w:val="1"/>
    </w:lvl>
  </w:abstractNum>
  <w:abstractNum w:abstractNumId="91">
    <w:nsid w:val="5046B5A9"/>
    <w:multiLevelType w:val="hybridMultilevel"/>
    <w:lvl w:ilvl="0">
      <w:lvlJc w:val="left"/>
      <w:lvlText w:val="(%1)"/>
      <w:numFmt w:val="lowerLetter"/>
      <w:start w:val="4"/>
    </w:lvl>
  </w:abstractNum>
  <w:abstractNum w:abstractNumId="92">
    <w:nsid w:val="5D888A08"/>
    <w:multiLevelType w:val="hybridMultilevel"/>
    <w:lvl w:ilvl="0">
      <w:lvlJc w:val="left"/>
      <w:lvlText w:val="(%1)"/>
      <w:numFmt w:val="lowerLetter"/>
      <w:start w:val="11"/>
    </w:lvl>
  </w:abstractNum>
  <w:abstractNum w:abstractNumId="93">
    <w:nsid w:val="2A082C70"/>
    <w:multiLevelType w:val="hybridMultilevel"/>
    <w:lvl w:ilvl="0">
      <w:lvlJc w:val="left"/>
      <w:lvlText w:val="(%1)"/>
      <w:numFmt w:val="lowerLetter"/>
      <w:start w:val="13"/>
    </w:lvl>
  </w:abstractNum>
  <w:abstractNum w:abstractNumId="94">
    <w:nsid w:val="5EC6AFD4"/>
    <w:multiLevelType w:val="hybridMultilevel"/>
    <w:lvl w:ilvl="0">
      <w:lvlJc w:val="left"/>
      <w:lvlText w:val="(%1)"/>
      <w:numFmt w:val="lowerLetter"/>
      <w:start w:val="14"/>
    </w:lvl>
  </w:abstractNum>
  <w:abstractNum w:abstractNumId="95">
    <w:nsid w:val="19E21BB2"/>
    <w:multiLevelType w:val="hybridMultilevel"/>
    <w:lvl w:ilvl="0">
      <w:lvlJc w:val="left"/>
      <w:lvlText w:val="%1."/>
      <w:numFmt w:val="decimal"/>
      <w:start w:val="1"/>
    </w:lvl>
  </w:abstractNum>
  <w:abstractNum w:abstractNumId="96">
    <w:nsid w:val="75E0858A"/>
    <w:multiLevelType w:val="hybridMultilevel"/>
    <w:lvl w:ilvl="0">
      <w:lvlJc w:val="left"/>
      <w:lvlText w:val="%1."/>
      <w:numFmt w:val="decimal"/>
      <w:start w:val="7"/>
    </w:lvl>
    <w:lvl w:ilvl="1">
      <w:lvlJc w:val="left"/>
      <w:lvlText w:val="%2."/>
      <w:numFmt w:val="lowerLetter"/>
      <w:start w:val="1"/>
    </w:lvl>
  </w:abstractNum>
  <w:abstractNum w:abstractNumId="97">
    <w:nsid w:val="57A61A29"/>
    <w:multiLevelType w:val="hybridMultilevel"/>
    <w:lvl w:ilvl="0">
      <w:lvlJc w:val="left"/>
      <w:lvlText w:val="%1."/>
      <w:numFmt w:val="decimal"/>
      <w:start w:val="10"/>
    </w:lvl>
  </w:abstractNum>
  <w:abstractNum w:abstractNumId="98">
    <w:nsid w:val="5399C654"/>
    <w:multiLevelType w:val="hybridMultilevel"/>
    <w:lvl w:ilvl="0">
      <w:lvlJc w:val="left"/>
      <w:lvlText w:val="%1."/>
      <w:numFmt w:val="decimal"/>
      <w:start w:val="1"/>
    </w:lvl>
  </w:abstractNum>
  <w:abstractNum w:abstractNumId="99">
    <w:nsid w:val="20EE1348"/>
    <w:multiLevelType w:val="hybridMultilevel"/>
    <w:lvl w:ilvl="0">
      <w:lvlJc w:val="left"/>
      <w:lvlText w:val="%1."/>
      <w:numFmt w:val="decimal"/>
      <w:start w:val="5"/>
    </w:lvl>
  </w:abstractNum>
  <w:abstractNum w:abstractNumId="100">
    <w:nsid w:val="4427069A"/>
    <w:multiLevelType w:val="hybridMultilevel"/>
    <w:lvl w:ilvl="0">
      <w:lvlJc w:val="left"/>
      <w:lvlText w:val="%1."/>
      <w:numFmt w:val="decimal"/>
      <w:start w:val="7"/>
    </w:lvl>
    <w:lvl w:ilvl="1">
      <w:lvlJc w:val="left"/>
      <w:lvlText w:val="%2."/>
      <w:numFmt w:val="lowerLetter"/>
      <w:start w:val="1"/>
    </w:lvl>
  </w:abstractNum>
  <w:abstractNum w:abstractNumId="101">
    <w:nsid w:val="B37E80A"/>
    <w:multiLevelType w:val="hybridMultilevel"/>
    <w:lvl w:ilvl="0">
      <w:lvlJc w:val="left"/>
      <w:lvlText w:val="%1."/>
      <w:numFmt w:val="lowerLetter"/>
      <w:start w:val="3"/>
    </w:lvl>
  </w:abstractNum>
  <w:abstractNum w:abstractNumId="102">
    <w:nsid w:val="2157F6BC"/>
    <w:multiLevelType w:val="hybridMultilevel"/>
    <w:lvl w:ilvl="0">
      <w:lvlJc w:val="left"/>
      <w:lvlText w:val="%1."/>
      <w:numFmt w:val="lowerLetter"/>
      <w:start w:val="4"/>
    </w:lvl>
  </w:abstractNum>
  <w:abstractNum w:abstractNumId="103">
    <w:nsid w:val="704E1DD5"/>
    <w:multiLevelType w:val="hybridMultilevel"/>
    <w:lvl w:ilvl="0">
      <w:lvlJc w:val="left"/>
      <w:lvlText w:val="%1."/>
      <w:numFmt w:val="lowerLetter"/>
      <w:start w:val="5"/>
    </w:lvl>
  </w:abstractNum>
  <w:abstractNum w:abstractNumId="104">
    <w:nsid w:val="57D2F10E"/>
    <w:multiLevelType w:val="hybridMultilevel"/>
    <w:lvl w:ilvl="0">
      <w:lvlJc w:val="left"/>
      <w:lvlText w:val="%1."/>
      <w:numFmt w:val="lowerLetter"/>
      <w:start w:val="7"/>
    </w:lvl>
    <w:lvl w:ilvl="1">
      <w:lvlJc w:val="left"/>
      <w:lvlText w:val="%2."/>
      <w:numFmt w:val="decimal"/>
      <w:start w:val="1"/>
    </w:lvl>
    <w:lvl w:ilvl="2">
      <w:lvlJc w:val="left"/>
      <w:lvlText w:val="%3."/>
      <w:numFmt w:val="lowerRoman"/>
      <w:start w:val="1"/>
    </w:lvl>
  </w:abstractNum>
  <w:abstractNum w:abstractNumId="105">
    <w:nsid w:val="BFFAE18"/>
    <w:multiLevelType w:val="hybridMultilevel"/>
    <w:lvl w:ilvl="0">
      <w:lvlJc w:val="left"/>
      <w:lvlText w:val="%1."/>
      <w:numFmt w:val="decimal"/>
      <w:start w:val="8"/>
    </w:lvl>
  </w:abstractNum>
  <w:abstractNum w:abstractNumId="106">
    <w:nsid w:val="E3E47A8"/>
    <w:multiLevelType w:val="hybridMultilevel"/>
    <w:lvl w:ilvl="0">
      <w:lvlJc w:val="left"/>
      <w:lvlText w:val="%1."/>
      <w:numFmt w:val="decimal"/>
      <w:start w:val="10"/>
    </w:lvl>
  </w:abstractNum>
  <w:abstractNum w:abstractNumId="107">
    <w:nsid w:val="2E48F044"/>
    <w:multiLevelType w:val="hybridMultilevel"/>
    <w:lvl w:ilvl="0">
      <w:lvlJc w:val="left"/>
      <w:lvlText w:val="%1."/>
      <w:numFmt w:val="decimal"/>
      <w:start w:val="1"/>
    </w:lvl>
    <w:lvl w:ilvl="1">
      <w:lvlJc w:val="left"/>
      <w:lvlText w:val="%2."/>
      <w:numFmt w:val="decimal"/>
      <w:start w:val="2"/>
    </w:lvl>
  </w:abstractNum>
  <w:abstractNum w:abstractNumId="108">
    <w:nsid w:val="49D0FEAC"/>
    <w:multiLevelType w:val="hybridMultilevel"/>
    <w:lvl w:ilvl="0">
      <w:lvlJc w:val="left"/>
      <w:lvlText w:val="%1"/>
      <w:numFmt w:val="decimal"/>
      <w:start w:val="1"/>
    </w:lvl>
    <w:lvl w:ilvl="1">
      <w:lvlJc w:val="left"/>
      <w:lvlText w:val="%2."/>
      <w:numFmt w:val="decimal"/>
      <w:start w:val="6"/>
    </w:lvl>
    <w:lvl w:ilvl="2">
      <w:lvlJc w:val="left"/>
      <w:lvlText w:val="%3."/>
      <w:numFmt w:val="lowerLetter"/>
      <w:start w:val="2"/>
    </w:lvl>
    <w:lvl w:ilvl="3">
      <w:lvlJc w:val="left"/>
      <w:lvlText w:val="%4."/>
      <w:numFmt w:val="lowerLetter"/>
      <w:start w:val="1"/>
    </w:lvl>
  </w:abstractNum>
  <w:abstractNum w:abstractNumId="109">
    <w:nsid w:val="4BEE5A5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110">
    <w:nsid w:val="5551B9F3"/>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111">
    <w:nsid w:val="24F6AB8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12">
    <w:nsid w:val="634C574C"/>
    <w:multiLevelType w:val="hybridMultilevel"/>
    <w:lvl w:ilvl="0">
      <w:lvlJc w:val="left"/>
      <w:lvlText w:val="%1."/>
      <w:numFmt w:val="decimal"/>
      <w:start w:val="10"/>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13">
    <w:nsid w:val="24E99DD7"/>
    <w:multiLevelType w:val="hybridMultilevel"/>
    <w:lvl w:ilvl="0">
      <w:lvlJc w:val="left"/>
      <w:lvlText w:val="%1."/>
      <w:numFmt w:val="decimal"/>
      <w:start w:val="1"/>
    </w:lvl>
  </w:abstractNum>
  <w:abstractNum w:abstractNumId="114">
    <w:nsid w:val="2A31B62D"/>
    <w:multiLevelType w:val="hybridMultilevel"/>
    <w:lvl w:ilvl="0">
      <w:lvlJc w:val="left"/>
      <w:lvlText w:val="%1."/>
      <w:numFmt w:val="decimal"/>
      <w:start w:val="7"/>
    </w:lvl>
    <w:lvl w:ilvl="1">
      <w:lvlJc w:val="left"/>
      <w:lvlText w:val="%2."/>
      <w:numFmt w:val="lowerLetter"/>
      <w:start w:val="1"/>
    </w:lvl>
  </w:abstractNum>
  <w:abstractNum w:abstractNumId="115">
    <w:nsid w:val="1849C29B"/>
    <w:multiLevelType w:val="hybridMultilevel"/>
    <w:lvl w:ilvl="0">
      <w:lvlJc w:val="left"/>
      <w:lvlText w:val="%1."/>
      <w:numFmt w:val="lowerLetter"/>
      <w:start w:val="3"/>
    </w:lvl>
  </w:abstractNum>
  <w:abstractNum w:abstractNumId="116">
    <w:nsid w:val="7DFF9D09"/>
    <w:multiLevelType w:val="hybridMultilevel"/>
    <w:lvl w:ilvl="0">
      <w:lvlJc w:val="left"/>
      <w:lvlText w:val="%1."/>
      <w:numFmt w:val="lowerLetter"/>
      <w:start w:val="4"/>
    </w:lvl>
  </w:abstractNum>
  <w:abstractNum w:abstractNumId="117">
    <w:nsid w:val="754342"/>
    <w:multiLevelType w:val="hybridMultilevel"/>
    <w:lvl w:ilvl="0">
      <w:lvlJc w:val="left"/>
      <w:lvlText w:val="%1"/>
      <w:numFmt w:val="lowerLetter"/>
      <w:start w:val="1"/>
    </w:lvl>
    <w:lvl w:ilvl="1">
      <w:lvlJc w:val="left"/>
      <w:lvlText w:val="%2."/>
      <w:numFmt w:val="lowerLetter"/>
      <w:start w:val="5"/>
    </w:lvl>
  </w:abstractNum>
  <w:abstractNum w:abstractNumId="118">
    <w:nsid w:val="69E7F3E5"/>
    <w:multiLevelType w:val="hybridMultilevel"/>
    <w:lvl w:ilvl="0">
      <w:lvlJc w:val="left"/>
      <w:lvlText w:val="%1."/>
      <w:numFmt w:val="lowerLetter"/>
      <w:start w:val="6"/>
    </w:lvl>
    <w:lvl w:ilvl="1">
      <w:lvlJc w:val="left"/>
      <w:lvlText w:val="%2"/>
      <w:numFmt w:val="lowerLetter"/>
      <w:start w:val="1"/>
    </w:lvl>
  </w:abstractNum>
  <w:abstractNum w:abstractNumId="119">
    <w:nsid w:val="2A6DE806"/>
    <w:multiLevelType w:val="hybridMultilevel"/>
    <w:lvl w:ilvl="0">
      <w:lvlJc w:val="left"/>
      <w:lvlText w:val="%1."/>
      <w:numFmt w:val="lowerLetter"/>
      <w:start w:val="7"/>
    </w:lvl>
    <w:lvl w:ilvl="1">
      <w:lvlJc w:val="left"/>
      <w:lvlText w:val="%2."/>
      <w:numFmt w:val="decimal"/>
      <w:start w:val="1"/>
    </w:lvl>
    <w:lvl w:ilvl="2">
      <w:lvlJc w:val="left"/>
      <w:lvlText w:val="%3."/>
      <w:numFmt w:val="lowerRoman"/>
      <w:start w:val="1"/>
    </w:lvl>
  </w:abstractNum>
  <w:abstractNum w:abstractNumId="120">
    <w:nsid w:val="1816F8C4"/>
    <w:multiLevelType w:val="hybridMultilevel"/>
    <w:lvl w:ilvl="0">
      <w:lvlJc w:val="left"/>
      <w:lvlText w:val="%1."/>
      <w:numFmt w:val="decimal"/>
      <w:start w:val="8"/>
    </w:lvl>
  </w:abstractNum>
  <w:abstractNum w:abstractNumId="121">
    <w:nsid w:val="37DF2233"/>
    <w:multiLevelType w:val="hybridMultilevel"/>
    <w:lvl w:ilvl="0">
      <w:lvlJc w:val="left"/>
      <w:lvlText w:val="%1."/>
      <w:numFmt w:val="decimal"/>
      <w:start w:val="10"/>
    </w:lvl>
  </w:abstractNum>
  <w:abstractNum w:abstractNumId="122">
    <w:nsid w:val="7AB49DAF"/>
    <w:multiLevelType w:val="hybridMultilevel"/>
    <w:lvl w:ilvl="0">
      <w:lvlJc w:val="left"/>
      <w:lvlText w:val="%1."/>
      <w:numFmt w:val="decimal"/>
      <w:start w:val="1"/>
    </w:lvl>
  </w:abstractNum>
  <w:abstractNum w:abstractNumId="123">
    <w:nsid w:val="759F82CD"/>
    <w:multiLevelType w:val="hybridMultilevel"/>
    <w:lvl w:ilvl="0">
      <w:lvlJc w:val="left"/>
      <w:lvlText w:val="%1."/>
      <w:numFmt w:val="decimal"/>
      <w:start w:val="6"/>
    </w:lvl>
    <w:lvl w:ilvl="1">
      <w:lvlJc w:val="left"/>
      <w:lvlText w:val="%2."/>
      <w:numFmt w:val="lowerLetter"/>
      <w:start w:val="1"/>
    </w:lvl>
  </w:abstractNum>
  <w:abstractNum w:abstractNumId="124">
    <w:nsid w:val="61E74EA3"/>
    <w:multiLevelType w:val="hybridMultilevel"/>
    <w:lvl w:ilvl="0">
      <w:lvlJc w:val="left"/>
      <w:lvlText w:val="%1."/>
      <w:numFmt w:val="decimal"/>
      <w:start w:val="1"/>
    </w:lvl>
  </w:abstractNum>
  <w:abstractNum w:abstractNumId="125">
    <w:nsid w:val="597B4D84"/>
    <w:multiLevelType w:val="hybridMultilevel"/>
    <w:lvl w:ilvl="0">
      <w:lvlJc w:val="left"/>
      <w:lvlText w:val="%1."/>
      <w:numFmt w:val="decimal"/>
      <w:start w:val="8"/>
    </w:lvl>
    <w:lvl w:ilvl="1">
      <w:lvlJc w:val="left"/>
      <w:lvlText w:val="%2."/>
      <w:numFmt w:val="lowerLetter"/>
      <w:start w:val="1"/>
    </w:lvl>
  </w:abstractNum>
  <w:abstractNum w:abstractNumId="126">
    <w:nsid w:val="F819E7F"/>
    <w:multiLevelType w:val="hybridMultilevel"/>
    <w:lvl w:ilvl="0">
      <w:lvlJc w:val="left"/>
      <w:lvlText w:val="%1."/>
      <w:numFmt w:val="lowerLetter"/>
      <w:start w:val="3"/>
    </w:lvl>
  </w:abstractNum>
  <w:abstractNum w:abstractNumId="127">
    <w:nsid w:val="57C7D42D"/>
    <w:multiLevelType w:val="hybridMultilevel"/>
    <w:lvl w:ilvl="0">
      <w:lvlJc w:val="left"/>
      <w:lvlText w:val="%1."/>
      <w:numFmt w:val="lowerLetter"/>
      <w:start w:val="4"/>
    </w:lvl>
  </w:abstractNum>
  <w:abstractNum w:abstractNumId="128">
    <w:nsid w:val="312167AD"/>
    <w:multiLevelType w:val="hybridMultilevel"/>
    <w:lvl w:ilvl="0">
      <w:lvlJc w:val="left"/>
      <w:lvlText w:val="%1."/>
      <w:numFmt w:val="lowerLetter"/>
      <w:start w:val="5"/>
    </w:lvl>
  </w:abstractNum>
  <w:abstractNum w:abstractNumId="129">
    <w:nsid w:val="631B64D4"/>
    <w:multiLevelType w:val="hybridMultilevel"/>
    <w:lvl w:ilvl="0">
      <w:lvlJc w:val="left"/>
      <w:lvlText w:val="%1."/>
      <w:numFmt w:val="lowerLetter"/>
      <w:start w:val="7"/>
    </w:lvl>
    <w:lvl w:ilvl="1">
      <w:lvlJc w:val="left"/>
      <w:lvlText w:val="%2."/>
      <w:numFmt w:val="decimal"/>
      <w:start w:val="1"/>
    </w:lvl>
    <w:lvl w:ilvl="2">
      <w:lvlJc w:val="left"/>
      <w:lvlText w:val="%3."/>
      <w:numFmt w:val="lowerRoman"/>
      <w:start w:val="1"/>
    </w:lvl>
  </w:abstractNum>
  <w:abstractNum w:abstractNumId="130">
    <w:nsid w:val="78B5E776"/>
    <w:multiLevelType w:val="hybridMultilevel"/>
    <w:lvl w:ilvl="0">
      <w:lvlJc w:val="left"/>
      <w:lvlText w:val="%1."/>
      <w:numFmt w:val="decimal"/>
      <w:start w:val="8"/>
    </w:lvl>
  </w:abstractNum>
  <w:abstractNum w:abstractNumId="131">
    <w:nsid w:val="75486E47"/>
    <w:multiLevelType w:val="hybridMultilevel"/>
    <w:lvl w:ilvl="0">
      <w:lvlJc w:val="left"/>
      <w:lvlText w:val="%1."/>
      <w:numFmt w:val="decimal"/>
      <w:start w:val="1"/>
    </w:lvl>
  </w:abstractNum>
  <w:abstractNum w:abstractNumId="132">
    <w:nsid w:val="6E534CDE"/>
    <w:multiLevelType w:val="hybridMultilevel"/>
    <w:lvl w:ilvl="0">
      <w:lvlJc w:val="left"/>
      <w:lvlText w:val="%1."/>
      <w:numFmt w:val="decimal"/>
      <w:start w:val="6"/>
    </w:lvl>
    <w:lvl w:ilvl="1">
      <w:lvlJc w:val="left"/>
      <w:lvlText w:val="%2."/>
      <w:numFmt w:val="lowerLetter"/>
      <w:start w:val="1"/>
    </w:lvl>
  </w:abstractNum>
  <w:abstractNum w:abstractNumId="133">
    <w:nsid w:val="1A0DDE32"/>
    <w:multiLevelType w:val="hybridMultilevel"/>
    <w:lvl w:ilvl="0">
      <w:lvlJc w:val="left"/>
      <w:lvlText w:val="%1."/>
      <w:numFmt w:val="decimal"/>
      <w:start w:val="1"/>
    </w:lvl>
  </w:abstractNum>
  <w:abstractNum w:abstractNumId="134">
    <w:nsid w:val="65968C1C"/>
    <w:multiLevelType w:val="hybridMultilevel"/>
    <w:lvl w:ilvl="0">
      <w:lvlJc w:val="left"/>
      <w:lvlText w:val="%1."/>
      <w:numFmt w:val="decimal"/>
      <w:start w:val="7"/>
    </w:lvl>
    <w:lvl w:ilvl="1">
      <w:lvlJc w:val="left"/>
      <w:lvlText w:val="%2."/>
      <w:numFmt w:val="lowerLetter"/>
      <w:start w:val="1"/>
    </w:lvl>
  </w:abstractNum>
  <w:abstractNum w:abstractNumId="135">
    <w:nsid w:val="46263DEC"/>
    <w:multiLevelType w:val="hybridMultilevel"/>
    <w:lvl w:ilvl="0">
      <w:lvlJc w:val="left"/>
      <w:lvlText w:val="%1."/>
      <w:numFmt w:val="lowerLetter"/>
      <w:start w:val="3"/>
    </w:lvl>
  </w:abstractNum>
  <w:abstractNum w:abstractNumId="136">
    <w:nsid w:val="260D8C4A"/>
    <w:multiLevelType w:val="hybridMultilevel"/>
    <w:lvl w:ilvl="0">
      <w:lvlJc w:val="left"/>
      <w:lvlText w:val="%1."/>
      <w:numFmt w:val="lowerLetter"/>
      <w:start w:val="4"/>
    </w:lvl>
  </w:abstractNum>
  <w:abstractNum w:abstractNumId="137">
    <w:nsid w:val="73D4D3C4"/>
    <w:multiLevelType w:val="hybridMultilevel"/>
    <w:lvl w:ilvl="0">
      <w:lvlJc w:val="left"/>
      <w:lvlText w:val="%1."/>
      <w:numFmt w:val="lowerLetter"/>
      <w:start w:val="5"/>
    </w:lvl>
  </w:abstractNum>
  <w:abstractNum w:abstractNumId="138">
    <w:nsid w:val="746F2E30"/>
    <w:multiLevelType w:val="hybridMultilevel"/>
    <w:lvl w:ilvl="0">
      <w:lvlJc w:val="left"/>
      <w:lvlText w:val="%1."/>
      <w:numFmt w:val="lowerLetter"/>
      <w:start w:val="7"/>
    </w:lvl>
    <w:lvl w:ilvl="1">
      <w:lvlJc w:val="left"/>
      <w:lvlText w:val="%2."/>
      <w:numFmt w:val="decimal"/>
      <w:start w:val="1"/>
    </w:lvl>
    <w:lvl w:ilvl="2">
      <w:lvlJc w:val="left"/>
      <w:lvlText w:val="%3."/>
      <w:numFmt w:val="lowerRoman"/>
      <w:start w:val="1"/>
    </w:lvl>
  </w:abstractNum>
  <w:abstractNum w:abstractNumId="139">
    <w:nsid w:val="6FDE8AF6"/>
    <w:multiLevelType w:val="hybridMultilevel"/>
    <w:lvl w:ilvl="0">
      <w:lvlJc w:val="left"/>
      <w:lvlText w:val="%1."/>
      <w:numFmt w:val="decimal"/>
      <w:start w:val="8"/>
    </w:lvl>
  </w:abstractNum>
  <w:abstractNum w:abstractNumId="140">
    <w:nsid w:val="3FC32E20"/>
    <w:multiLevelType w:val="hybridMultilevel"/>
    <w:lvl w:ilvl="0">
      <w:lvlJc w:val="left"/>
      <w:lvlText w:val="%1."/>
      <w:numFmt w:val="decimal"/>
      <w:start w:val="1"/>
    </w:lvl>
  </w:abstractNum>
  <w:abstractNum w:abstractNumId="141">
    <w:nsid w:val="49C0E823"/>
    <w:multiLevelType w:val="hybridMultilevel"/>
    <w:lvl w:ilvl="0">
      <w:lvlJc w:val="left"/>
      <w:lvlText w:val="%1."/>
      <w:numFmt w:val="decimal"/>
      <w:start w:val="6"/>
    </w:lvl>
    <w:lvl w:ilvl="1">
      <w:lvlJc w:val="left"/>
      <w:lvlText w:val="%2."/>
      <w:numFmt w:val="lowerLetter"/>
      <w:start w:val="1"/>
    </w:lvl>
  </w:abstractNum>
  <w:abstractNum w:abstractNumId="142">
    <w:nsid w:val="14D53685"/>
    <w:multiLevelType w:val="hybridMultilevel"/>
    <w:lvl w:ilvl="0">
      <w:lvlJc w:val="left"/>
      <w:lvlText w:val="%1."/>
      <w:numFmt w:val="decimal"/>
      <w:start w:val="1"/>
    </w:lvl>
  </w:abstractNum>
  <w:abstractNum w:abstractNumId="143">
    <w:nsid w:val="230F856C"/>
    <w:multiLevelType w:val="hybridMultilevel"/>
    <w:lvl w:ilvl="0">
      <w:lvlJc w:val="left"/>
      <w:lvlText w:val="%1."/>
      <w:numFmt w:val="decimal"/>
      <w:start w:val="7"/>
    </w:lvl>
    <w:lvl w:ilvl="1">
      <w:lvlJc w:val="left"/>
      <w:lvlText w:val="%2."/>
      <w:numFmt w:val="lowerLetter"/>
      <w:start w:val="1"/>
    </w:lvl>
  </w:abstractNum>
  <w:abstractNum w:abstractNumId="144">
    <w:nsid w:val="6EAA85FB"/>
    <w:multiLevelType w:val="hybridMultilevel"/>
    <w:lvl w:ilvl="0">
      <w:lvlJc w:val="left"/>
      <w:lvlText w:val="%1."/>
      <w:numFmt w:val="lowerLetter"/>
      <w:start w:val="3"/>
    </w:lvl>
  </w:abstractNum>
  <w:abstractNum w:abstractNumId="145">
    <w:nsid w:val="3F06ECB2"/>
    <w:multiLevelType w:val="hybridMultilevel"/>
    <w:lvl w:ilvl="0">
      <w:lvlJc w:val="left"/>
      <w:lvlText w:val="%1."/>
      <w:numFmt w:val="lowerLetter"/>
      <w:start w:val="4"/>
    </w:lvl>
  </w:abstractNum>
  <w:abstractNum w:abstractNumId="146">
    <w:nsid w:val="3B594807"/>
    <w:multiLevelType w:val="hybridMultilevel"/>
    <w:lvl w:ilvl="0">
      <w:lvlJc w:val="left"/>
      <w:lvlText w:val="%1."/>
      <w:numFmt w:val="lowerLetter"/>
      <w:start w:val="5"/>
    </w:lvl>
  </w:abstractNum>
  <w:abstractNum w:abstractNumId="147">
    <w:nsid w:val="6CAA2304"/>
    <w:multiLevelType w:val="hybridMultilevel"/>
    <w:lvl w:ilvl="0">
      <w:lvlJc w:val="left"/>
      <w:lvlText w:val="%1."/>
      <w:numFmt w:val="lowerLetter"/>
      <w:start w:val="7"/>
    </w:lvl>
    <w:lvl w:ilvl="1">
      <w:lvlJc w:val="left"/>
      <w:lvlText w:val="%2."/>
      <w:numFmt w:val="decimal"/>
      <w:start w:val="1"/>
    </w:lvl>
    <w:lvl w:ilvl="2">
      <w:lvlJc w:val="left"/>
      <w:lvlText w:val="%3."/>
      <w:numFmt w:val="lowerRoman"/>
      <w:start w:val="1"/>
    </w:lvl>
  </w:abstractNum>
  <w:abstractNum w:abstractNumId="148">
    <w:nsid w:val="3F7C2FF4"/>
    <w:multiLevelType w:val="hybridMultilevel"/>
    <w:lvl w:ilvl="0">
      <w:lvlJc w:val="left"/>
      <w:lvlText w:val="%1."/>
      <w:numFmt w:val="decimal"/>
      <w:start w:val="8"/>
    </w:lvl>
  </w:abstractNum>
  <w:abstractNum w:abstractNumId="149">
    <w:nsid w:val="25413BEC"/>
    <w:multiLevelType w:val="hybridMultilevel"/>
    <w:lvl w:ilvl="0">
      <w:lvlJc w:val="left"/>
      <w:lvlText w:val="%1."/>
      <w:numFmt w:val="decimal"/>
      <w:start w:val="1"/>
    </w:lvl>
  </w:abstractNum>
  <w:abstractNum w:abstractNumId="150">
    <w:nsid w:val="17180B0B"/>
    <w:multiLevelType w:val="hybridMultilevel"/>
    <w:lvl w:ilvl="0">
      <w:lvlJc w:val="left"/>
      <w:lvlText w:val="%1."/>
      <w:numFmt w:val="decimal"/>
      <w:start w:val="6"/>
    </w:lvl>
    <w:lvl w:ilvl="1">
      <w:lvlJc w:val="left"/>
      <w:lvlText w:val="%2."/>
      <w:numFmt w:val="lowerLetter"/>
      <w:start w:val="1"/>
    </w:lvl>
  </w:abstractNum>
  <w:abstractNum w:abstractNumId="151">
    <w:nsid w:val="579328B9"/>
    <w:multiLevelType w:val="hybridMultilevel"/>
    <w:lvl w:ilvl="0">
      <w:lvlJc w:val="left"/>
      <w:lvlText w:val="%1."/>
      <w:numFmt w:val="decimal"/>
      <w:start w:val="1"/>
    </w:lvl>
  </w:abstractNum>
  <w:abstractNum w:abstractNumId="152">
    <w:nsid w:val="5D205E20"/>
    <w:multiLevelType w:val="hybridMultilevel"/>
    <w:lvl w:ilvl="0">
      <w:lvlJc w:val="left"/>
      <w:lvlText w:val="%1."/>
      <w:numFmt w:val="decimal"/>
      <w:start w:val="7"/>
    </w:lvl>
    <w:lvl w:ilvl="1">
      <w:lvlJc w:val="left"/>
      <w:lvlText w:val="%2."/>
      <w:numFmt w:val="lowerLetter"/>
      <w:start w:val="1"/>
    </w:lvl>
  </w:abstractNum>
  <w:abstractNum w:abstractNumId="153">
    <w:nsid w:val="11CCA8BA"/>
    <w:multiLevelType w:val="hybridMultilevel"/>
    <w:lvl w:ilvl="0">
      <w:lvlJc w:val="left"/>
      <w:lvlText w:val="%1."/>
      <w:numFmt w:val="lowerLetter"/>
      <w:start w:val="3"/>
    </w:lvl>
  </w:abstractNum>
  <w:abstractNum w:abstractNumId="154">
    <w:nsid w:val="4D32AB86"/>
    <w:multiLevelType w:val="hybridMultilevel"/>
    <w:lvl w:ilvl="0">
      <w:lvlJc w:val="left"/>
      <w:lvlText w:val="%1."/>
      <w:numFmt w:val="lowerLetter"/>
      <w:start w:val="4"/>
    </w:lvl>
  </w:abstractNum>
  <w:abstractNum w:abstractNumId="155">
    <w:nsid w:val="3F07ACC3"/>
    <w:multiLevelType w:val="hybridMultilevel"/>
    <w:lvl w:ilvl="0">
      <w:lvlJc w:val="left"/>
      <w:lvlText w:val="%1."/>
      <w:numFmt w:val="lowerLetter"/>
      <w:start w:val="5"/>
    </w:lvl>
  </w:abstractNum>
  <w:abstractNum w:abstractNumId="156">
    <w:nsid w:val="6B47F63E"/>
    <w:multiLevelType w:val="hybridMultilevel"/>
    <w:lvl w:ilvl="0">
      <w:lvlJc w:val="left"/>
      <w:lvlText w:val="%1."/>
      <w:numFmt w:val="lowerLetter"/>
      <w:start w:val="7"/>
    </w:lvl>
    <w:lvl w:ilvl="1">
      <w:lvlJc w:val="left"/>
      <w:lvlText w:val="%2."/>
      <w:numFmt w:val="decimal"/>
      <w:start w:val="1"/>
    </w:lvl>
    <w:lvl w:ilvl="2">
      <w:lvlJc w:val="left"/>
      <w:lvlText w:val="%3."/>
      <w:numFmt w:val="lowerRoman"/>
      <w:start w:val="1"/>
    </w:lvl>
  </w:abstractNum>
  <w:abstractNum w:abstractNumId="157">
    <w:nsid w:val="5CB44A05"/>
    <w:multiLevelType w:val="hybridMultilevel"/>
    <w:lvl w:ilvl="0">
      <w:lvlJc w:val="left"/>
      <w:lvlText w:val="%1."/>
      <w:numFmt w:val="decimal"/>
      <w:start w:val="8"/>
    </w:lvl>
  </w:abstractNum>
  <w:abstractNum w:abstractNumId="158">
    <w:nsid w:val="16CF80F1"/>
    <w:multiLevelType w:val="hybridMultilevel"/>
    <w:lvl w:ilvl="0">
      <w:lvlJc w:val="left"/>
      <w:lvlText w:val="%1."/>
      <w:numFmt w:val="decimal"/>
      <w:start w:val="1"/>
    </w:lvl>
  </w:abstractNum>
  <w:abstractNum w:abstractNumId="159">
    <w:nsid w:val="1C695DEC"/>
    <w:multiLevelType w:val="hybridMultilevel"/>
    <w:lvl w:ilvl="0">
      <w:lvlJc w:val="left"/>
      <w:lvlText w:val="%1."/>
      <w:numFmt w:val="decimal"/>
      <w:start w:val="5"/>
    </w:lvl>
  </w:abstractNum>
  <w:abstractNum w:abstractNumId="160">
    <w:nsid w:val="3FCFAED9"/>
    <w:multiLevelType w:val="hybridMultilevel"/>
    <w:lvl w:ilvl="0">
      <w:lvlJc w:val="left"/>
      <w:lvlText w:val="%1."/>
      <w:numFmt w:val="decimal"/>
      <w:start w:val="1"/>
    </w:lvl>
  </w:abstractNum>
  <w:abstractNum w:abstractNumId="161">
    <w:nsid w:val="F856867"/>
    <w:multiLevelType w:val="hybridMultilevel"/>
    <w:lvl w:ilvl="0">
      <w:lvlJc w:val="left"/>
      <w:lvlText w:val="%1."/>
      <w:numFmt w:val="decimal"/>
      <w:start w:val="5"/>
    </w:lvl>
  </w:abstractNum>
  <w:abstractNum w:abstractNumId="162">
    <w:nsid w:val="11B1CC33"/>
    <w:multiLevelType w:val="hybridMultilevel"/>
    <w:lvl w:ilvl="0">
      <w:lvlJc w:val="left"/>
      <w:lvlText w:val="(%1)"/>
      <w:numFmt w:val="decimal"/>
      <w:start w:val="1"/>
    </w:lvl>
  </w:abstractNum>
  <w:abstractNum w:abstractNumId="163">
    <w:nsid w:val="2E22FB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2019-12-06T07:37:36Z</dcterms:created>
  <dcterms:modified xsi:type="dcterms:W3CDTF">2019-12-06T07:37:36Z</dcterms:modified>
</cp:coreProperties>
</file>