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25" w:lineRule="exact"/>
        <w:rPr>
          <w:sz w:val="24"/>
          <w:szCs w:val="24"/>
          <w:color w:val="auto"/>
        </w:rPr>
      </w:pPr>
    </w:p>
    <w:p>
      <w:pPr>
        <w:ind w:left="3900" w:right="1740" w:hanging="3892"/>
        <w:spacing w:after="0" w:line="534" w:lineRule="auto"/>
        <w:tabs>
          <w:tab w:leader="none" w:pos="49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 (d) OF THE SECURITIES EXCHANGE ACT OF 1934 For the quarterly period ended March 31,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660" w:right="2660" w:hanging="2652"/>
        <w:spacing w:after="0" w:line="566" w:lineRule="auto"/>
        <w:tabs>
          <w:tab w:leader="none" w:pos="493"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2840" w:type="dxa"/>
            <w:vAlign w:val="bottom"/>
            <w:gridSpan w:val="2"/>
          </w:tcPr>
          <w:p>
            <w:pPr>
              <w:spacing w:after="0"/>
              <w:rPr>
                <w:sz w:val="20"/>
                <w:szCs w:val="20"/>
                <w:color w:val="auto"/>
              </w:rPr>
            </w:pPr>
          </w:p>
        </w:tc>
        <w:tc>
          <w:tcPr>
            <w:tcW w:w="2980" w:type="dxa"/>
            <w:vAlign w:val="bottom"/>
            <w:gridSpan w:val="4"/>
          </w:tcPr>
          <w:p>
            <w:pPr>
              <w:jc w:val="right"/>
              <w:ind w:right="20"/>
              <w:spacing w:after="0"/>
              <w:rPr>
                <w:sz w:val="20"/>
                <w:szCs w:val="20"/>
                <w:color w:val="auto"/>
              </w:rPr>
            </w:pPr>
            <w:r>
              <w:rPr>
                <w:rFonts w:ascii="Arial" w:cs="Arial" w:eastAsia="Arial" w:hAnsi="Arial"/>
                <w:sz w:val="18"/>
                <w:szCs w:val="18"/>
                <w:color w:val="auto"/>
              </w:rPr>
              <w:t>23-2679963</w:t>
            </w:r>
          </w:p>
        </w:tc>
        <w:tc>
          <w:tcPr>
            <w:tcW w:w="82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gridSpan w:val="5"/>
          </w:tcPr>
          <w:p>
            <w:pPr>
              <w:ind w:left="1180"/>
              <w:spacing w:after="0"/>
              <w:rPr>
                <w:sz w:val="20"/>
                <w:szCs w:val="20"/>
                <w:color w:val="auto"/>
              </w:rPr>
            </w:pPr>
            <w:r>
              <w:rPr>
                <w:rFonts w:ascii="Arial" w:cs="Arial" w:eastAsia="Arial" w:hAnsi="Arial"/>
                <w:sz w:val="18"/>
                <w:szCs w:val="18"/>
                <w:color w:val="auto"/>
                <w:w w:val="93"/>
              </w:rPr>
              <w:t>(I.R.S. Employer Identification No.)</w:t>
            </w:r>
          </w:p>
        </w:tc>
      </w:tr>
      <w:tr>
        <w:trPr>
          <w:trHeight w:val="452"/>
        </w:trPr>
        <w:tc>
          <w:tcPr>
            <w:tcW w:w="300" w:type="dxa"/>
            <w:vAlign w:val="bottom"/>
          </w:tcPr>
          <w:p>
            <w:pPr>
              <w:spacing w:after="0"/>
              <w:rPr>
                <w:sz w:val="24"/>
                <w:szCs w:val="24"/>
                <w:color w:val="auto"/>
              </w:rPr>
            </w:pPr>
          </w:p>
        </w:tc>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1240" w:type="dxa"/>
            <w:vAlign w:val="bottom"/>
          </w:tcPr>
          <w:p>
            <w:pPr>
              <w:spacing w:after="0"/>
              <w:rPr>
                <w:sz w:val="24"/>
                <w:szCs w:val="24"/>
                <w:color w:val="auto"/>
              </w:rPr>
            </w:pPr>
          </w:p>
        </w:tc>
        <w:tc>
          <w:tcPr>
            <w:tcW w:w="23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19355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gridSpan w:val="4"/>
          </w:tcPr>
          <w:p>
            <w:pPr>
              <w:ind w:left="100"/>
              <w:spacing w:after="0"/>
              <w:rPr>
                <w:sz w:val="20"/>
                <w:szCs w:val="20"/>
                <w:color w:val="auto"/>
              </w:rPr>
            </w:pPr>
            <w:r>
              <w:rPr>
                <w:rFonts w:ascii="Arial" w:cs="Arial" w:eastAsia="Arial" w:hAnsi="Arial"/>
                <w:sz w:val="18"/>
                <w:szCs w:val="18"/>
                <w:color w:val="auto"/>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8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2600" w:space="720"/>
            <w:col w:w="344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May 1, 2015, there were 35,761,163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40" w:type="dxa"/>
            <w:vAlign w:val="bottom"/>
            <w:gridSpan w:val="6"/>
          </w:tcPr>
          <w:p>
            <w:pPr>
              <w:jc w:val="center"/>
              <w:ind w:right="440"/>
              <w:spacing w:after="0"/>
              <w:rPr>
                <w:sz w:val="20"/>
                <w:szCs w:val="20"/>
                <w:color w:val="auto"/>
              </w:rPr>
            </w:pPr>
            <w:r>
              <w:rPr>
                <w:rFonts w:ascii="Arial" w:cs="Arial" w:eastAsia="Arial" w:hAnsi="Arial"/>
                <w:sz w:val="18"/>
                <w:szCs w:val="18"/>
                <w:color w:val="auto"/>
                <w:w w:val="96"/>
              </w:rPr>
              <w:t>USA TECHNOLOGIES, INC.</w:t>
            </w:r>
          </w:p>
        </w:tc>
        <w:tc>
          <w:tcPr>
            <w:tcW w:w="3520" w:type="dxa"/>
            <w:vAlign w:val="bottom"/>
          </w:tcPr>
          <w:p>
            <w:pPr>
              <w:spacing w:after="0"/>
              <w:rPr>
                <w:sz w:val="20"/>
                <w:szCs w:val="20"/>
                <w:color w:val="auto"/>
              </w:rPr>
            </w:pPr>
          </w:p>
        </w:tc>
      </w:tr>
      <w:tr>
        <w:trPr>
          <w:trHeight w:val="459"/>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40" w:type="dxa"/>
            <w:vAlign w:val="bottom"/>
            <w:gridSpan w:val="6"/>
          </w:tcPr>
          <w:p>
            <w:pPr>
              <w:jc w:val="center"/>
              <w:ind w:right="440"/>
              <w:spacing w:after="0"/>
              <w:rPr>
                <w:sz w:val="20"/>
                <w:szCs w:val="20"/>
                <w:color w:val="auto"/>
              </w:rPr>
            </w:pPr>
            <w:r>
              <w:rPr>
                <w:rFonts w:ascii="Arial" w:cs="Arial" w:eastAsia="Arial" w:hAnsi="Arial"/>
                <w:sz w:val="18"/>
                <w:szCs w:val="18"/>
                <w:color w:val="auto"/>
                <w:w w:val="95"/>
              </w:rPr>
              <w:t>TABLE OF CONTENTS</w:t>
            </w:r>
          </w:p>
        </w:tc>
        <w:tc>
          <w:tcPr>
            <w:tcW w:w="3520" w:type="dxa"/>
            <w:vAlign w:val="bottom"/>
          </w:tcPr>
          <w:p>
            <w:pPr>
              <w:spacing w:after="0"/>
              <w:rPr>
                <w:sz w:val="24"/>
                <w:szCs w:val="24"/>
                <w:color w:val="auto"/>
              </w:rPr>
            </w:pPr>
          </w:p>
        </w:tc>
      </w:tr>
      <w:tr>
        <w:trPr>
          <w:trHeight w:val="459"/>
        </w:trPr>
        <w:tc>
          <w:tcPr>
            <w:tcW w:w="7900" w:type="dxa"/>
            <w:vAlign w:val="bottom"/>
            <w:gridSpan w:val="14"/>
          </w:tcPr>
          <w:p>
            <w:pPr>
              <w:spacing w:after="0"/>
              <w:rPr>
                <w:sz w:val="20"/>
                <w:szCs w:val="20"/>
                <w:color w:val="auto"/>
              </w:rPr>
            </w:pPr>
            <w:r>
              <w:rPr>
                <w:rFonts w:ascii="Arial" w:cs="Arial" w:eastAsia="Arial" w:hAnsi="Arial"/>
                <w:sz w:val="18"/>
                <w:szCs w:val="18"/>
                <w:color w:val="auto"/>
              </w:rPr>
              <w:t>Part I - Financial Information</w:t>
            </w:r>
          </w:p>
        </w:tc>
        <w:tc>
          <w:tcPr>
            <w:tcW w:w="3520" w:type="dxa"/>
            <w:vAlign w:val="bottom"/>
          </w:tcPr>
          <w:p>
            <w:pPr>
              <w:spacing w:after="0"/>
              <w:rPr>
                <w:sz w:val="24"/>
                <w:szCs w:val="24"/>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2"/>
          </w:tcPr>
          <w:p>
            <w:pPr>
              <w:spacing w:after="0"/>
              <w:rPr>
                <w:sz w:val="20"/>
                <w:szCs w:val="20"/>
                <w:color w:val="auto"/>
              </w:rPr>
            </w:pPr>
            <w:r>
              <w:rPr>
                <w:rFonts w:ascii="Arial" w:cs="Arial" w:eastAsia="Arial" w:hAnsi="Arial"/>
                <w:sz w:val="18"/>
                <w:szCs w:val="18"/>
                <w:color w:val="auto"/>
              </w:rPr>
              <w:t>Consolidated Financial Statements (Unaudited)</w:t>
            </w:r>
          </w:p>
        </w:tc>
        <w:tc>
          <w:tcPr>
            <w:tcW w:w="352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2015 and June 30, 2014</w:t>
              </w:r>
            </w:hyperlink>
          </w:p>
        </w:tc>
        <w:tc>
          <w:tcPr>
            <w:tcW w:w="3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 Three and nine months ended March 31, 2015 and 2014</w:t>
              </w:r>
            </w:hyperlink>
          </w:p>
        </w:tc>
        <w:tc>
          <w:tcPr>
            <w:tcW w:w="3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20" w:type="dxa"/>
            <w:vAlign w:val="bottom"/>
            <w:tcBorders>
              <w:top w:val="single" w:sz="8" w:color="0000EE"/>
            </w:tcBorders>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Nine months ended March 31, 2015</w:t>
              </w:r>
            </w:hyperlink>
          </w:p>
        </w:tc>
        <w:tc>
          <w:tcPr>
            <w:tcW w:w="6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 Three and nine months ended March 31, 2015 and 2014</w:t>
              </w:r>
            </w:hyperlink>
          </w:p>
        </w:tc>
        <w:tc>
          <w:tcPr>
            <w:tcW w:w="3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00" w:type="dxa"/>
            <w:vAlign w:val="bottom"/>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620" w:type="dxa"/>
            <w:vAlign w:val="bottom"/>
            <w:gridSpan w:val="2"/>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30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720" w:type="dxa"/>
            <w:vAlign w:val="bottom"/>
            <w:gridSpan w:val="5"/>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300" w:type="dxa"/>
            <w:vAlign w:val="bottom"/>
          </w:tcPr>
          <w:p>
            <w:pPr>
              <w:spacing w:after="0"/>
              <w:rPr>
                <w:sz w:val="24"/>
                <w:szCs w:val="24"/>
                <w:color w:val="auto"/>
              </w:rPr>
            </w:pPr>
          </w:p>
        </w:tc>
        <w:tc>
          <w:tcPr>
            <w:tcW w:w="708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3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12"/>
        </w:trPr>
        <w:tc>
          <w:tcPr>
            <w:tcW w:w="790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 - Other Information</w:t>
              </w:r>
            </w:hyperlink>
          </w:p>
        </w:tc>
        <w:tc>
          <w:tcPr>
            <w:tcW w:w="35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300" w:type="dxa"/>
            <w:vAlign w:val="bottom"/>
          </w:tcPr>
          <w:p>
            <w:pPr>
              <w:spacing w:after="0"/>
              <w:rPr>
                <w:sz w:val="24"/>
                <w:szCs w:val="24"/>
                <w:color w:val="auto"/>
              </w:rPr>
            </w:pPr>
          </w:p>
        </w:tc>
        <w:tc>
          <w:tcPr>
            <w:tcW w:w="708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3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30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1720" w:type="dxa"/>
            <w:vAlign w:val="bottom"/>
            <w:tcBorders>
              <w:top w:val="single" w:sz="8" w:color="0000EE"/>
            </w:tcBorders>
            <w:gridSpan w:val="4"/>
          </w:tcPr>
          <w:p>
            <w:pPr>
              <w:spacing w:after="0"/>
              <w:rPr>
                <w:sz w:val="24"/>
                <w:szCs w:val="24"/>
                <w:color w:val="auto"/>
              </w:rPr>
            </w:pPr>
          </w:p>
        </w:tc>
        <w:tc>
          <w:tcPr>
            <w:tcW w:w="4760" w:type="dxa"/>
            <w:vAlign w:val="bottom"/>
            <w:gridSpan w:val="7"/>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Signatures</w:t>
              </w:r>
            </w:hyperlink>
          </w:p>
        </w:tc>
        <w:tc>
          <w:tcPr>
            <w:tcW w:w="6320" w:type="dxa"/>
            <w:vAlign w:val="bottom"/>
            <w:gridSpan w:val="10"/>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696"/>
        </w:trPr>
        <w:tc>
          <w:tcPr>
            <w:tcW w:w="5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6240" w:type="dxa"/>
            <w:vAlign w:val="bottom"/>
            <w:tcBorders>
              <w:bottom w:val="single" w:sz="8" w:color="DCDCDC"/>
            </w:tcBorders>
            <w:gridSpan w:val="9"/>
          </w:tcPr>
          <w:p>
            <w:pPr>
              <w:jc w:val="center"/>
              <w:ind w:left="3450"/>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5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5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Cash</w:t>
            </w:r>
          </w:p>
        </w:tc>
        <w:tc>
          <w:tcPr>
            <w:tcW w:w="4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8,474,706</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9,072,320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uncollectible accounts of $493,000 and $63,000, respectively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3,403,489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Finance receivables</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749,631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4,241,057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414,046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907,691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907,691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18,190,620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14,633,527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3,505,248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423,255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13,574,402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21,138,580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26,169,378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26,353,330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432,100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7,663,208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69,958,211</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70,764,242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5,208,646</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7,753,911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1,994,746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Line of credit</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416,695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16,774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Deferred gain from sale-leaseback transactions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860,390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12,497,251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15,244,537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1,708,484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68,671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Warrant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1,240,996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1,115,446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761,790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4,133,597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1,783,038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16,630,848</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17,027,575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3"/>
              </w:rPr>
              <w:t>Authorized shares- 1,800,000 Series A convertible preferred- Authorized shares- 900,000 Issued and outstanding</w:t>
            </w:r>
          </w:p>
        </w:tc>
        <w:tc>
          <w:tcPr>
            <w:tcW w:w="3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shares- 442,968 (liquidation preference of $17,022,682 and $16,690,456, respectively)</w:t>
            </w:r>
          </w:p>
        </w:tc>
        <w:tc>
          <w:tcPr>
            <w:tcW w:w="3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3,138,056</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95"/>
              </w:rPr>
              <w:t>Common stock, no par value: Authorized shares- 640,000,000 Issued and outstanding shares- 35,691,572 and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35,514,685, respectively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224,689,374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224,210,197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4"/>
              </w:rPr>
              <w:t>(174,500,067)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2"/>
              </w:rPr>
              <w:t>(173,611,586)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53,327,363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53,736,667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80" w:type="dxa"/>
            <w:vAlign w:val="bottom"/>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69,958,211</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70,764,242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License and transaction fees</w:t>
            </w: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11,059,846</w:t>
            </w:r>
          </w:p>
        </w:tc>
        <w:tc>
          <w:tcPr>
            <w:tcW w:w="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8,999,689</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31,695,564</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0"/>
              </w:rPr>
              <w:t>26,177,818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Equipment sales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4,297,894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1,444,243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8,735,715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4,959,686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15,357,740</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10,443,932</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40,431,279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0"/>
              </w:rPr>
              <w:t>31,137,504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Cost of services</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7,157,333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5,785,721</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21,566,280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0"/>
              </w:rPr>
              <w:t>16,690,569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Cost of equipment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3,054,268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660,423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6,850,366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3,036,243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5,146,139</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3,997,788</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12,014,633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0"/>
              </w:rPr>
              <w:t>11,410,692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4,279,888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3,479,300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11,442,439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9,968,212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134,845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152,953</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455,985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438,337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4,414,733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3,632,253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11,898,424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10,406,549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731,406</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365,535</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116,209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1,004,143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26,394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3,102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40,491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(85,349)</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(60,934)</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(209,689)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(1,101,241)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(168,897)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(655,787)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4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(1,160,196)</w:t>
            </w: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(226,729)</w:t>
            </w: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(824,985)</w:t>
            </w:r>
          </w:p>
        </w:tc>
        <w:tc>
          <w:tcPr>
            <w:tcW w:w="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(148,669)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provision for income taxes</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(428,790)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138,806</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(708,776)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855,474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(137,820)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26,727,720</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(179,705)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26,713,897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(566,610)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26,866,526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(888,481)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27,569,371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(332,226)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(332,226)</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(664,452)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(898,836)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26,534,300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(1,552,933)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26,904,919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(basic and diluted)</w:t>
            </w: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0.75</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(0.04)</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w w:val="90"/>
              </w:rPr>
              <w:t>Weighted average number of common shares outstanding (basic and diluted)</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35,687,650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93"/>
              </w:rPr>
              <w:t>35,504,911</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35,645,712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0"/>
              </w:rPr>
              <w:t>34,313,396</w:t>
            </w:r>
          </w:p>
        </w:tc>
        <w:tc>
          <w:tcPr>
            <w:tcW w:w="0" w:type="dxa"/>
            <w:vAlign w:val="bottom"/>
          </w:tcPr>
          <w:p>
            <w:pPr>
              <w:spacing w:after="0"/>
              <w:rPr>
                <w:sz w:val="1"/>
                <w:szCs w:val="1"/>
                <w:color w:val="auto"/>
              </w:rPr>
            </w:pPr>
          </w:p>
        </w:tc>
      </w:tr>
      <w:tr>
        <w:trPr>
          <w:trHeight w:val="459"/>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58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jc w:val="right"/>
              <w:ind w:right="2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4"/>
          </w:tcPr>
          <w:p>
            <w:pPr>
              <w:jc w:val="center"/>
              <w:ind w:left="810"/>
              <w:spacing w:after="0"/>
              <w:rPr>
                <w:sz w:val="20"/>
                <w:szCs w:val="20"/>
                <w:color w:val="auto"/>
              </w:rPr>
            </w:pPr>
            <w:r>
              <w:rPr>
                <w:rFonts w:ascii="Arial" w:cs="Arial" w:eastAsia="Arial" w:hAnsi="Arial"/>
                <w:sz w:val="18"/>
                <w:szCs w:val="18"/>
                <w:color w:val="auto"/>
                <w:w w:val="91"/>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8"/>
                <w:szCs w:val="18"/>
                <w:color w:val="auto"/>
                <w:w w:val="94"/>
              </w:rPr>
              <w:t>Convertible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2014</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3,138,056</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35,514,685</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224,210,197</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2"/>
              </w:rPr>
              <w:t>(173,611,586)</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53,736,667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10,002</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62,682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17,357</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2013 Stock</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136,102</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266,461</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266,461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Charges incurred under the 2014 Stock</w:t>
            </w:r>
          </w:p>
        </w:tc>
        <w:tc>
          <w:tcPr>
            <w:tcW w:w="1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Option Incentive Plan</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256,742</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(61,987)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(888,481)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(888,481)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March 31, 2015</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442,968</w:t>
            </w:r>
          </w:p>
        </w:tc>
        <w:tc>
          <w:tcPr>
            <w:tcW w:w="120" w:type="dxa"/>
            <w:vAlign w:val="bottom"/>
            <w:shd w:val="clear" w:color="auto" w:fill="F0FFFF"/>
          </w:tcPr>
          <w:p>
            <w:pPr>
              <w:spacing w:after="0"/>
              <w:rPr>
                <w:sz w:val="20"/>
                <w:szCs w:val="20"/>
                <w:color w:val="auto"/>
              </w:rPr>
            </w:pP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3,138,056</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35,691,572</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224,689,374</w:t>
            </w: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2"/>
              </w:rPr>
              <w:t>(174,500,067)</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53,327,363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(566,610)</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97"/>
              </w:rPr>
              <w:t>26,866,526</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(888,481)</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5"/>
              </w:rPr>
              <w:t>27,569,371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6"/>
              </w:rPr>
              <w:t>Adjustments to reconcile net income (loss) to net cash provided by (used in)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Charges incurred in connection with the vesting and issuance of common stock</w:t>
            </w: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 employee and director compensation</w:t>
            </w:r>
          </w:p>
        </w:tc>
        <w:tc>
          <w:tcPr>
            <w:tcW w:w="1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216,469</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60,024</w:t>
            </w:r>
          </w:p>
        </w:tc>
        <w:tc>
          <w:tcPr>
            <w:tcW w:w="2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541,164</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(Gain) loss on disposal of property and equipment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Non-cash interest and amortization of debt discount</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Bad debt expense,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302,632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(11,277)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602,344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1,433,251</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1,413,521</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4,350,373</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1,101,241</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168,897</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655,787</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121,046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(26,727,720)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183,952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(26,713,897)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 from sale leaseback transactions</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(215,098)</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(618,522)</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(974,176)</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(470,164)</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(1,257,429)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Finance receivables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(2,248,618)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27,064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(3,782,292)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650,784</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214,495</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(1,292,164)</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52,483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(207,305)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(150,646)</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386,832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(2,610,090)</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(929,035)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234,465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184,532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(38,556)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(300,984)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16,774</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(4,247)</w:t>
            </w:r>
          </w:p>
        </w:tc>
        <w:tc>
          <w:tcPr>
            <w:tcW w:w="8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65,320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2,162,782</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(4,378,897)</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4,817,958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(35,134)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(54,229)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for rental program</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(2,643,439)</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(1,641,993)</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9"/>
              </w:rPr>
              <w:t>(7,211,661)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9"/>
              </w:rPr>
              <w:t>Proceeds from sale of rental equipment under sale leaseback transactions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4,993,879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19,327</w:t>
            </w: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5,513</w:t>
            </w: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54,238</w:t>
            </w:r>
          </w:p>
        </w:tc>
        <w:tc>
          <w:tcPr>
            <w:tcW w:w="8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15,467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(2,673,060)</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3,351,895</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9"/>
              </w:rPr>
              <w:t>(7,241,647)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proceeds from the exercise of common stock warrants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ind w:left="40"/>
              <w:spacing w:after="0"/>
              <w:rPr>
                <w:sz w:val="20"/>
                <w:szCs w:val="20"/>
                <w:color w:val="auto"/>
              </w:rPr>
            </w:pPr>
            <w:r>
              <w:rPr>
                <w:rFonts w:ascii="Arial" w:cs="Arial" w:eastAsia="Arial" w:hAnsi="Arial"/>
                <w:sz w:val="18"/>
                <w:szCs w:val="18"/>
                <w:color w:val="auto"/>
              </w:rPr>
              <w:t>and the retirement of common stock</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521,762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(61,987)</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2,286,849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(repayment) from line of credit,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long-term debt</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1,752,717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1,752,717</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(89,366)</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(261,342)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1,659,842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432,396</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429,388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1,740,629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(77,882)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(597,614)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6,734,077</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6,654,999</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9,072,320</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8,474,706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6,577,117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8,474,706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6,577,117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i w:val="1"/>
                <w:iCs w:val="1"/>
                <w:color w:val="auto"/>
              </w:rPr>
              <w:t xml:space="preserve">Supplemental disclosures of cash flow information </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67,102</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59,399</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202,293</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189,203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Depreciation expense allocated to cost of sales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1,271,207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1,260,568</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3,867,189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3,493,726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Reclass of rental program property to inventory, net</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1,374,447</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13,686</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1,393,096</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Prepaid items financed with debt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144,312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103,125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195,725</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107,903</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217,761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342,963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394,866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233,857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Disposal of property and equipment under sale leaseback transactions</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3,873,275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424"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2014. In the opinion of management, all adjustments considered necessary for a fair presentation, consisting of normal recurring adjustments, have been included. Operating results for the three and nine month periods ended March 31, 2015 are not necessarily indicative of the results that may be expected for the year ending June 30, 2015. The balance sheet at June 30, 2014 has been derived from the audited consolidated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a net loss of $566,610 and $888,481 for the three and nine month periods ended March 31, 2015, respectively. The Company had net income of $27,530,652 for the year ended June 30, 2014. Included in net income for the year ended June 30, 2014 was a benefit for income taxes of $27,255,398. Net income (loss) includes adjustments for changes to the fair value of our warrant liabilities, which are subject to secondary market conditions, and are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on hand, and its line of credit (see Note 4), and may raise capital to meet its cash flow requirements including the issuance of Common Stock or debt financing.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OUT-OF-PERIOD ADJUSTMENT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2015, the Company recorded an approximately $747,000 out-of-period decrease in cost of equipment and accounts payable that affected our balance sheet and results of operations as of and for the three months ended March 31, 2015. The adjustment was identified during our review of accounts payable. Management evaluated the effect of the adjustment on the Company’s financial statements based on SEC Staff Accounting Bulletin (“SAB”) No. 99 and SAB 108 and concluded that it was immaterial to the current and prior year’s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offers extended payment terms to certain customers for equipment sales under its QuickStart Program. In accordance with the Financial Accounting Standards Board Accounting Standards Codification® (“ASC”) Topic 840, “Leases”, agreements under the QuickStart Program qualify for sales-type lease accounting. Accordingly, the future minimum lease payments are classified as finance receivables in the Company’s consolidated balance sheets. QuickStart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2015, the Company entered into a Purchase and Sale Agreement (the “QS Sale Agreement”) with an equipment leasing company related to the Company’s QuickStart Program. Under the QS Sale Agreement, the Company received funds in exchange for assigning to the leasing company its rights to all of the future lease payments under certain existing QuickStart leases between the Company and its customers. In accordance with FASB ASC Topic 840, “Transfer of Leased Property”, the Company accounts for each QS Sale transaction as a secured borrowing, as such, the proceeds received by the Company are recorded as a financing obligation on the Company’s consolidated balance sheet and interest expense is recognized in the Company’s consolidated statement of operations over the term of the financing. At the same time, the finance receivables related to the QS Sale Agreement remain on the Company’s consolidated balance sheet and interest revenue is recognized in the Company’s statement of operations over the term of the QuickStart leases. Under a separate Vendor Agreement between the Company and the same equipment leasing company, and subject to the terms and conditions thereof, the Company may in the future sell its ePort equipment to the leasing company, and the leasing company would enter into a QuickStart lease directly with the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offers its customers a rental program for its ePort devices, the JumpStart Program (“JumpStart”). JumpStart terms are typically 36 months and are cancellable with thirty to sixty days’ written notice. In accordance with ASC 840, “Leases”, the Company classifies the rental agreements as operating leases, with service fee revenue related to the leases included in license and transaction fees in the Consolidated Statements of Operations. Cost for the JumpStart revenues, which consists of depreciation expense on the JumpStart equipment, is included in cost of services in the Consolidated Statements of Operations. ePort equipment utilized by the JumpStart Program is included in property and equipment, net on the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nine months ended March 31, 2015 and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4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2"/>
              </w:rPr>
              <w:t>March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1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4,254,879</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472,587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749,631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Non-current portion of finance receivables</w:t>
            </w:r>
          </w:p>
        </w:tc>
        <w:tc>
          <w:tcPr>
            <w:tcW w:w="1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3,505,248</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352,794</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top w:val="single" w:sz="8" w:color="F0FFFF"/>
            </w:tcBorders>
            <w:shd w:val="clear" w:color="auto" w:fill="F0FFFF"/>
          </w:tcPr>
          <w:p>
            <w:pPr>
              <w:spacing w:after="0" w:line="20" w:lineRule="exact"/>
              <w:rPr>
                <w:sz w:val="1"/>
                <w:szCs w:val="1"/>
                <w:color w:val="auto"/>
              </w:rPr>
            </w:pPr>
          </w:p>
        </w:tc>
        <w:tc>
          <w:tcPr>
            <w:tcW w:w="17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2015 and June 30, 2014,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center"/>
              <w:ind w:left="270"/>
              <w:spacing w:after="0"/>
              <w:rPr>
                <w:sz w:val="20"/>
                <w:szCs w:val="20"/>
                <w:color w:val="auto"/>
              </w:rPr>
            </w:pPr>
            <w:r>
              <w:rPr>
                <w:rFonts w:ascii="Arial" w:cs="Arial" w:eastAsia="Arial" w:hAnsi="Arial"/>
                <w:sz w:val="18"/>
                <w:szCs w:val="18"/>
                <w:color w:val="auto"/>
                <w:w w:val="93"/>
              </w:rPr>
              <w:t>Credit Quality Indicators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center"/>
              <w:ind w:left="250"/>
              <w:spacing w:after="0"/>
              <w:rPr>
                <w:sz w:val="20"/>
                <w:szCs w:val="20"/>
                <w:color w:val="auto"/>
              </w:rPr>
            </w:pPr>
            <w:r>
              <w:rPr>
                <w:rFonts w:ascii="Arial" w:cs="Arial" w:eastAsia="Arial" w:hAnsi="Arial"/>
                <w:sz w:val="18"/>
                <w:szCs w:val="18"/>
                <w:color w:val="auto"/>
                <w:w w:val="92"/>
              </w:rPr>
              <w:t>As of March 31, 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60" w:type="dxa"/>
            <w:vAlign w:val="bottom"/>
            <w:gridSpan w:val="8"/>
          </w:tcPr>
          <w:p>
            <w:pPr>
              <w:ind w:left="20"/>
              <w:spacing w:after="0"/>
              <w:rPr>
                <w:sz w:val="20"/>
                <w:szCs w:val="20"/>
                <w:color w:val="auto"/>
              </w:rPr>
            </w:pPr>
            <w:r>
              <w:rPr>
                <w:rFonts w:ascii="Arial" w:cs="Arial" w:eastAsia="Arial" w:hAnsi="Arial"/>
                <w:sz w:val="18"/>
                <w:szCs w:val="18"/>
                <w:color w:val="auto"/>
              </w:rPr>
              <w:t>Credit risk profile based on payment activity: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gridSpan w:val="7"/>
            <w:vMerge w:val="restart"/>
          </w:tcPr>
          <w:p>
            <w:pPr>
              <w:ind w:left="340"/>
              <w:spacing w:after="0"/>
              <w:rPr>
                <w:sz w:val="20"/>
                <w:szCs w:val="20"/>
                <w:color w:val="auto"/>
              </w:rPr>
            </w:pPr>
            <w:r>
              <w:rPr>
                <w:rFonts w:ascii="Arial" w:cs="Arial" w:eastAsia="Arial" w:hAnsi="Arial"/>
                <w:sz w:val="18"/>
                <w:szCs w:val="18"/>
                <w:color w:val="auto"/>
              </w:rPr>
              <w:t>Leases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gridSpan w:val="7"/>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1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Performing</w:t>
            </w: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w w:val="97"/>
              </w:rPr>
              <w:t>4,248,673</w:t>
            </w:r>
          </w:p>
        </w:tc>
        <w:tc>
          <w:tcPr>
            <w:tcW w:w="100" w:type="dxa"/>
            <w:vAlign w:val="bottom"/>
            <w:shd w:val="clear" w:color="auto" w:fill="F0FFFF"/>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Nonperforming</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9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9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9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w w:val="97"/>
              </w:rPr>
              <w:t>4,254,879</w:t>
            </w:r>
          </w:p>
        </w:tc>
        <w:tc>
          <w:tcPr>
            <w:tcW w:w="100" w:type="dxa"/>
            <w:vAlign w:val="bottom"/>
            <w:shd w:val="clear" w:color="auto" w:fill="F0FFFF"/>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top w:val="single" w:sz="8" w:color="F0FFFF"/>
            </w:tcBorders>
          </w:tcPr>
          <w:p>
            <w:pPr>
              <w:spacing w:after="0"/>
              <w:rPr>
                <w:sz w:val="24"/>
                <w:szCs w:val="24"/>
                <w:color w:val="auto"/>
              </w:rPr>
            </w:pPr>
          </w:p>
        </w:tc>
        <w:tc>
          <w:tcPr>
            <w:tcW w:w="180" w:type="dxa"/>
            <w:vAlign w:val="bottom"/>
            <w:tcBorders>
              <w:top w:val="single" w:sz="8" w:color="F0FFFF"/>
            </w:tcBorders>
          </w:tcPr>
          <w:p>
            <w:pPr>
              <w:spacing w:after="0"/>
              <w:rPr>
                <w:sz w:val="24"/>
                <w:szCs w:val="24"/>
                <w:color w:val="auto"/>
              </w:rPr>
            </w:pPr>
          </w:p>
        </w:tc>
        <w:tc>
          <w:tcPr>
            <w:tcW w:w="960" w:type="dxa"/>
            <w:vAlign w:val="bottom"/>
            <w:tcBorders>
              <w:top w:val="single" w:sz="8" w:color="F0FFFF"/>
            </w:tcBorders>
          </w:tcPr>
          <w:p>
            <w:pPr>
              <w:spacing w:after="0"/>
              <w:rPr>
                <w:sz w:val="24"/>
                <w:szCs w:val="24"/>
                <w:color w:val="auto"/>
              </w:rPr>
            </w:pPr>
          </w:p>
        </w:tc>
        <w:tc>
          <w:tcPr>
            <w:tcW w:w="4200" w:type="dxa"/>
            <w:vAlign w:val="bottom"/>
            <w:tcBorders>
              <w:top w:val="single" w:sz="8" w:color="F0FFFF"/>
            </w:tcBorders>
            <w:gridSpan w:val="13"/>
          </w:tcPr>
          <w:p>
            <w:pPr>
              <w:jc w:val="center"/>
              <w:ind w:right="620"/>
              <w:spacing w:after="0"/>
              <w:rPr>
                <w:sz w:val="20"/>
                <w:szCs w:val="20"/>
                <w:color w:val="auto"/>
              </w:rPr>
            </w:pPr>
            <w:r>
              <w:rPr>
                <w:rFonts w:ascii="Arial" w:cs="Arial" w:eastAsia="Arial" w:hAnsi="Arial"/>
                <w:sz w:val="18"/>
                <w:szCs w:val="18"/>
                <w:color w:val="auto"/>
                <w:w w:val="90"/>
              </w:rPr>
              <w:t>Age Analysis of Past Due Finance Receivables</w:t>
            </w:r>
          </w:p>
        </w:tc>
        <w:tc>
          <w:tcPr>
            <w:tcW w:w="120" w:type="dxa"/>
            <w:vAlign w:val="bottom"/>
            <w:tcBorders>
              <w:top w:val="single" w:sz="8" w:color="F0FFFF"/>
            </w:tcBorders>
          </w:tcPr>
          <w:p>
            <w:pPr>
              <w:spacing w:after="0"/>
              <w:rPr>
                <w:sz w:val="24"/>
                <w:szCs w:val="24"/>
                <w:color w:val="auto"/>
              </w:rPr>
            </w:pPr>
          </w:p>
        </w:tc>
        <w:tc>
          <w:tcPr>
            <w:tcW w:w="180" w:type="dxa"/>
            <w:vAlign w:val="bottom"/>
            <w:tcBorders>
              <w:top w:val="single" w:sz="8" w:color="F0FFFF"/>
            </w:tcBorders>
          </w:tcPr>
          <w:p>
            <w:pPr>
              <w:spacing w:after="0"/>
              <w:rPr>
                <w:sz w:val="24"/>
                <w:szCs w:val="24"/>
                <w:color w:val="auto"/>
              </w:rPr>
            </w:pPr>
          </w:p>
        </w:tc>
        <w:tc>
          <w:tcPr>
            <w:tcW w:w="600" w:type="dxa"/>
            <w:vAlign w:val="bottom"/>
            <w:tcBorders>
              <w:top w:val="single" w:sz="8" w:color="F0FF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center"/>
              <w:ind w:left="250"/>
              <w:spacing w:after="0"/>
              <w:rPr>
                <w:sz w:val="20"/>
                <w:szCs w:val="20"/>
                <w:color w:val="auto"/>
              </w:rPr>
            </w:pPr>
            <w:r>
              <w:rPr>
                <w:rFonts w:ascii="Arial" w:cs="Arial" w:eastAsia="Arial" w:hAnsi="Arial"/>
                <w:sz w:val="18"/>
                <w:szCs w:val="18"/>
                <w:color w:val="auto"/>
                <w:w w:val="92"/>
              </w:rPr>
              <w:t>As of March 31, 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31 – 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61 – 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8"/>
                <w:szCs w:val="18"/>
                <w:color w:val="auto"/>
                <w:w w:val="89"/>
              </w:rPr>
              <w:t>Total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Days 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Days 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90 Days Past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Total 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8"/>
                <w:szCs w:val="18"/>
                <w:color w:val="auto"/>
                <w:w w:val="87"/>
              </w:rPr>
              <w:t>Finance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8"/>
                <w:szCs w:val="18"/>
                <w:color w:val="auto"/>
                <w:w w:val="89"/>
              </w:rPr>
              <w:t>Receivables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40" w:type="dxa"/>
            <w:vAlign w:val="bottom"/>
            <w:shd w:val="clear" w:color="auto" w:fill="F0FFFF"/>
          </w:tcPr>
          <w:p>
            <w:pPr>
              <w:spacing w:after="0"/>
              <w:rPr>
                <w:sz w:val="20"/>
                <w:szCs w:val="20"/>
                <w:color w:val="auto"/>
              </w:rPr>
            </w:pPr>
            <w:r>
              <w:rPr>
                <w:rFonts w:ascii="Arial" w:cs="Arial" w:eastAsia="Arial" w:hAnsi="Arial"/>
                <w:sz w:val="18"/>
                <w:szCs w:val="18"/>
                <w:color w:val="auto"/>
                <w:w w:val="89"/>
              </w:rPr>
              <w:t>Leases</w:t>
            </w:r>
          </w:p>
        </w:tc>
        <w:tc>
          <w:tcPr>
            <w:tcW w:w="18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3,537</w:t>
            </w:r>
          </w:p>
        </w:tc>
        <w:tc>
          <w:tcPr>
            <w:tcW w:w="4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515</w:t>
            </w:r>
          </w:p>
        </w:tc>
        <w:tc>
          <w:tcPr>
            <w:tcW w:w="3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4,248,673</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4,254,879</w:t>
            </w:r>
          </w:p>
        </w:tc>
        <w:tc>
          <w:tcPr>
            <w:tcW w:w="12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4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16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3,537</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4,248,673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4,254,879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8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jc w:val="center"/>
              <w:ind w:right="75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3. ACCRUED EXPENSES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2"/>
              </w:rPr>
              <w:t>March 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760" w:type="dxa"/>
            <w:vAlign w:val="bottom"/>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2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649,269</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545,110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300,656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601,762</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640,958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264,316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95,698</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155,712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other</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760" w:type="dxa"/>
            <w:vAlign w:val="bottom"/>
            <w:shd w:val="clear" w:color="auto" w:fill="F0FFFF"/>
          </w:tcPr>
          <w:p>
            <w:pPr>
              <w:spacing w:after="0"/>
              <w:rPr>
                <w:sz w:val="20"/>
                <w:szCs w:val="20"/>
                <w:color w:val="auto"/>
              </w:rPr>
            </w:pPr>
          </w:p>
        </w:tc>
        <w:tc>
          <w:tcPr>
            <w:tcW w:w="2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2,063,417</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2,101,973</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60" w:type="dxa"/>
            <w:vAlign w:val="bottom"/>
            <w:tcBorders>
              <w:top w:val="single" w:sz="8" w:color="F0FFFF"/>
            </w:tcBorders>
            <w:shd w:val="clear" w:color="auto" w:fill="F0FFFF"/>
          </w:tcPr>
          <w:p>
            <w:pPr>
              <w:spacing w:after="0" w:line="20" w:lineRule="exact"/>
              <w:rPr>
                <w:sz w:val="1"/>
                <w:szCs w:val="1"/>
                <w:color w:val="auto"/>
              </w:rPr>
            </w:pPr>
          </w:p>
        </w:tc>
        <w:tc>
          <w:tcPr>
            <w:tcW w:w="19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due on the Line of Credit was $4,000,000 and $5,000,000 at March 31, 2015 and June 30, 2014, respectively. At March 31, 2015, $3,000,000 was available under the Line of Credit. The Company received a waiver from the Bank for its Required Minimum Liquidity covenant as of January 31, 2015. The Company was in compliance with all covenants as of March 31, 2015.</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2014, the Company and the Bank entered into a Ninth Amendment to the Loan and Security Agreement to change the definition of Adjusted EBITDA for the quarter ended September 30, 2014.</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2015, the Company and the Bank entered into a Tenth Amendment to the Loan and Security Agreement to change, among other things, the definition of Required Minimum Liquidity for the month ended February 28,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4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2"/>
              </w:rPr>
              <w:t>March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24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374,633</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414,525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Loan agreements</w:t>
            </w:r>
          </w:p>
        </w:tc>
        <w:tc>
          <w:tcPr>
            <w:tcW w:w="2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1,750,546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F0FFFF"/>
          </w:tcPr>
          <w:p>
            <w:pPr>
              <w:spacing w:after="0"/>
              <w:rPr>
                <w:sz w:val="18"/>
                <w:szCs w:val="18"/>
                <w:color w:val="auto"/>
              </w:rPr>
            </w:pPr>
          </w:p>
        </w:tc>
        <w:tc>
          <w:tcPr>
            <w:tcW w:w="23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2,125,179</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422,776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current portion</w:t>
            </w:r>
          </w:p>
        </w:tc>
        <w:tc>
          <w:tcPr>
            <w:tcW w:w="2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416,695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180" w:type="dxa"/>
            <w:vAlign w:val="bottom"/>
            <w:shd w:val="clear" w:color="auto" w:fill="F0FFFF"/>
          </w:tcPr>
          <w:p>
            <w:pPr>
              <w:spacing w:after="0"/>
              <w:rPr>
                <w:sz w:val="20"/>
                <w:szCs w:val="20"/>
                <w:color w:val="auto"/>
              </w:rPr>
            </w:pPr>
          </w:p>
        </w:tc>
        <w:tc>
          <w:tcPr>
            <w:tcW w:w="24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1,708,484</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249,865</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Borders>
              <w:top w:val="single" w:sz="8" w:color="F0FFFF"/>
            </w:tcBorders>
            <w:shd w:val="clear" w:color="auto" w:fill="F0FFFF"/>
          </w:tcPr>
          <w:p>
            <w:pPr>
              <w:spacing w:after="0" w:line="20" w:lineRule="exact"/>
              <w:rPr>
                <w:sz w:val="1"/>
                <w:szCs w:val="1"/>
                <w:color w:val="auto"/>
              </w:rPr>
            </w:pPr>
          </w:p>
        </w:tc>
        <w:tc>
          <w:tcPr>
            <w:tcW w:w="23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2014, the Company financed a portion of the premiums for various insurance policies totaling $103,125, due in nine monthly payments through April 2015 at an interest rate of 5.27%.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2014, the Company entered into a capital lease for network equipment totaling $107,903 due in twelve quarterly installments of $9,831 through August 2017.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under the QS Sale Agreement (Notes 1 and 2) related to the Company’s QuickStart Program, the Company recorded a financing obligation of $1,752,717, which represented the proceeds received in exchange for assigning to the leasing company its rights to all of the future lease payments under certain existing QuickStart leases between the Company and its customers. Monthly installments in the range of $4,618 to $37,213 will be made through July 2020 at an interest rate of 9.45%.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 that is required to be measured at fair value as of March 31, 2015 and June 30, 2014:</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March 31, 2015 (unaudited)</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from September 18, 2011 through September 18, 2016</w:t>
            </w:r>
          </w:p>
        </w:tc>
        <w:tc>
          <w:tcPr>
            <w:tcW w:w="104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1,240,996</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1,240,996</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F0FFFF"/>
          </w:tcPr>
          <w:p>
            <w:pPr>
              <w:ind w:left="20"/>
              <w:spacing w:after="0"/>
              <w:rPr>
                <w:sz w:val="20"/>
                <w:szCs w:val="20"/>
                <w:color w:val="auto"/>
              </w:rPr>
            </w:pPr>
            <w:r>
              <w:rPr>
                <w:rFonts w:ascii="Arial" w:cs="Arial" w:eastAsia="Arial" w:hAnsi="Arial"/>
                <w:sz w:val="18"/>
                <w:szCs w:val="18"/>
                <w:color w:val="auto"/>
              </w:rPr>
              <w:t>June 30, 2014</w:t>
            </w: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Level 1</w:t>
            </w:r>
          </w:p>
        </w:tc>
        <w:tc>
          <w:tcPr>
            <w:tcW w:w="2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9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from September 18, 2011 through September 18, 2016</w:t>
            </w:r>
          </w:p>
        </w:tc>
        <w:tc>
          <w:tcPr>
            <w:tcW w:w="104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585,209</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585,209</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and June 30, 2014, the Company held no Level 1 or Level 2 financial instruments.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2015 and June 30, 2014, the fair values of the Company’s Level 3 financial instrument totaled $1,240,996 and $585,209,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three and nine months ended March 31, 2015 and 2014.</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nine months ended March 31, 2015 and 2014:</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98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11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(585,209)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Gain (loss) due to change in fair value of warrant liabilities,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(655,787)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shd w:val="clear" w:color="auto" w:fill="F0FFFF"/>
          </w:tcPr>
          <w:p>
            <w:pPr>
              <w:spacing w:after="0"/>
              <w:rPr>
                <w:sz w:val="20"/>
                <w:szCs w:val="20"/>
                <w:color w:val="auto"/>
              </w:rPr>
            </w:pPr>
            <w:r>
              <w:rPr>
                <w:rFonts w:ascii="Arial" w:cs="Arial" w:eastAsia="Arial" w:hAnsi="Arial"/>
                <w:sz w:val="18"/>
                <w:szCs w:val="18"/>
                <w:color w:val="auto"/>
              </w:rPr>
              <w:t>Ending balance</w:t>
            </w:r>
          </w:p>
        </w:tc>
        <w:tc>
          <w:tcPr>
            <w:tcW w:w="11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(1,240,996)</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(638,334)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March 31, 2015, an income tax provision of $137,820 and $179,705, respectively, was recorded; of those amounts, $395,605 for the nine months ended March 31, 2015 was due to the decrease in the applicable tax rate utilized to tax effect the deferred tax assets that was caused by a state income tax law change. The remaining benefit of $215,900 for the nine months ended March 31, 2015 was based upon loss before provision for income taxes using an estimated annual effective income tax rate of 64% for the fiscal year ending June 30, 2015 and the effect of a change in estimated state income tax rates, the effect of which was treated discretely.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significant deferred tax assets, a substantial amount of which result from operating loss carryforwards. In periods prior to the quarter ended March 31, 2014, the Company had determined that it was more likely than not that the benefit of its deferred tax assets would not be realized and recorded a full valuation allowance against such assets. As of March 31, 2014 the Company determined that it was more likely than not that it would realize a substantial portion of its deferred tax assets and reduced its valuation allowance by $26,713,897.</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reduction of the $26,713,897 in valuation allowances is reflected as an income tax benefit in the provision for income taxes for the three months and nine months ended March 31, 2014. The provision for income taxes for the three months ended March 31, 2014 also reflects a benefit of $13,823 which represents the provision for income taxes recorded through December 31, 2013 relating to amortization of indefinite life intangible assets and goodwill for income tax purposes and not subject to offset against finite life assets when full valuation allowances were reflected against deferred tax assets.</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ended</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March 31, 2014</w:t>
            </w: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March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F0FFFF"/>
          </w:tcPr>
          <w:p>
            <w:pPr>
              <w:spacing w:after="0"/>
              <w:rPr>
                <w:sz w:val="20"/>
                <w:szCs w:val="20"/>
                <w:color w:val="auto"/>
              </w:rPr>
            </w:pPr>
            <w:r>
              <w:rPr>
                <w:rFonts w:ascii="Arial" w:cs="Arial" w:eastAsia="Arial" w:hAnsi="Arial"/>
                <w:sz w:val="18"/>
                <w:szCs w:val="18"/>
                <w:color w:val="auto"/>
              </w:rPr>
              <w:t>Income before benefit from income taxes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138,806</w:t>
            </w: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855,474</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Estimated annual effective tax rate</w:t>
            </w: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F0FF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Reversal of provision for income taxes recorded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for the six months ended December 31, 2013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(13,823)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F0FFFF"/>
          </w:tcPr>
          <w:p>
            <w:pPr>
              <w:spacing w:after="0"/>
              <w:rPr>
                <w:sz w:val="20"/>
                <w:szCs w:val="20"/>
                <w:color w:val="auto"/>
              </w:rPr>
            </w:pPr>
            <w:r>
              <w:rPr>
                <w:rFonts w:ascii="Arial" w:cs="Arial" w:eastAsia="Arial" w:hAnsi="Arial"/>
                <w:sz w:val="18"/>
                <w:szCs w:val="18"/>
                <w:color w:val="auto"/>
              </w:rPr>
              <w:t>Benefit from reversal of valuation allowances</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(26,713,897)</w:t>
            </w: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(26,713,897)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(26,727,720)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(26,713,897)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COMMON STOCK OPTIONS AND WARRANTS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Under the 2011 Stock Incentive Plan, the Company recorded $0 and $604 of stock compensation expense and 0 and 10,002 shares of Common Stock vested during the three and nine months ended March 31, 2015, respectively, related to shares granted to Directors of the Company in July 2012.</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2012 Stock Incentive Plan, the Company recorded stock compensation expense of $2,879 and $17,357 and 2,500 and 62,682 shares of Common Stock vested during the three and nine months ended March 31, 2015, respectively. All of the expense and 7,500 of the shares vested in the nine months ended March 31, 2015 related to a grant in 2014 to a non-executive employee. Additionally, 23,698 and 31,484 of the shares were issued in the nine months ended March 31, 2015 related to payment to Directors for services on the Board of Directors in the fourth quarter of fiscal 2014 and to certain non-executive employees for fiscal 2014 performance, respectively.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2013 Stock Incentive Plan, the Company recorded stock compensation expense of $111,199 and $266,461 and 28,727 and 136,102 shares of Common stock were issued during the three and nine months ended March 31, 2015. These amounts include expenses and issuances to Directors, non-executive employees, as well as to the Company’s executives under the 2014 Long Term Stock Incentive Plan and expenses under the 2015 Long Term Stock Incentive Plans (“LTI Stock Plans”) as more fully described below. Stock compensation expense of $29,583 and $112,083 related to the vesting of shares for Directors in lieu of cash payment for services on the Board of Directors and 28,727 and 48,866 shares of Common Stock were issued during the three and nine months ended March 31, 2015. No expense and 68,633 of shares were issued during the nine months ended March 31, 2015 to certain non-executive employees for fiscal 2014 performance.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account of the 2014 LTI Stock Plan, the Company recorded stock compensation expense under the 2013 Stock Incentive Plan during the three and nine months ended March 31, 2015 of $8,586 and $25,760, respectively, for shares vesting June 30, 2015 and 2016. In addition, the Company issued 18,603 shares of Common Stock for shares vested on June 30, 2014, respectively, on account of the 2014 LTI Stock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COMMON STOCK OPTIONS AND WARRANTS (CONTINUED)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28, 2014, the Board of Directors approved the 2015 LTI Stock Plan covering Stephen P. Herbert, Chairman and Chief Executive Officer, and David M. DeMedio, Chief Financial Officer. The 2015 LTI Stock Plan provides that each executive officer would be awarded shares of common stock of the Company in the event that certain metrics relating to the Company’s 2015 fiscal year would result in specified ranges of year-over-year percentage growth. The metrics are total number of connections as of June 30, 2015 as compared to total number of connections as of June 30, 2014 and adjusted EBITDA earned during the 2015 fiscal year as compared to adjusted EBITDA earned during the 2014 fiscal year.</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Stephen P. Herbert – $341,227 (100% of base salary); and David M. DeMedio – $178,406 (75% of base salary). If all of the maximum distinguished year-over-year percentage target goals are achieved, the executive officers would be awarded shares having the following value: Mr. Herbert – $682,454 (200% of base salary); and Mr. DeMedio – $356,812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2015 LTI Stock Plan would vest as follows: one-third at the time of issuance (June 30, 2015); one-third on the first anniversary of issuance; and one-third on the second anniversary of issuance. The Company recorded stock compensation expense of $73,030 and $128,619 during the three and nine months ended March 31, 2015, respectively, on account of the 2015 LTI Stock Plan.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March 31, 2015, non-executive employees of the Company cancelled 31,899 shares of Common Stock to satisfy $61,987 of payroll tax obligations resulting from share based compensation.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March 31, 2014, the Company recorded stock compensation expense of $60,024 and $248,880 and 31,770 and 164,466 shares of Common Stock were issued, respectively; $44,432 and $165,768 of expenses related to compensation for Directors of the Company; $24,499 and $88,639 of expense related to compensation of Company executives; and, a reversal of compensation expense of $0 and $5,527 for non-executive employees of the Company for the three and nine months ended March 31, 2014, respectively.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nine months ended March 31, 2014, executive officers exercised their rights to cancel shares of Common Stock awarded to them under prior employment agreements and the Special Equity Plan granted to an executive officer in September 2012 for the payment of payroll taxes, including 13,796 and 42,354 shares of the Company’s Common Stock to satisfy $27,731 and $75,106 of related payroll obligations,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28, 2014, the Board of Directors awarded options to purchase common stock under the Company’s 2014 Stock Option Incentive Plan to each of Messrs. Herbert and DeMedio.</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Herbert was awarded incentive stock options intended to qualify under Section 422 of the Internal Revenue Code of 1986, as amended (the “Code), to purchase up to 55,555 shares at an exercise price of $1.80 per share. The options vest on September 1, 2015, and expire if not exercised prior to September 1, 2021. Mr. Herbert was also awarded non-qualified stock options to purchase up to 150,000 shares at an exercise price of $1.80 per share. The options vest as follows: one-third on September 1, 2015; one-third on September 1, 2016; and one-third on September 1, 2017. The options expire if not exercised prior to September 1, 2021.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COMMON STOCK OPTIONS AND WARRANTS (CONTINUED)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DeMedio was awarded incentive stock options intended to qualify under Section 422 of the Code to purchase up to 33,333 shares at an exercise price of $1.80 per share. The options vest on September 1, 2015, and expire if not exercised prior to September 1, 2021. Mr. DeMedio was also awarded non-qualified stock options to purchase up to 90,000 shares at an exercise price of $1.80 per share. The options vest as follows: one-third on September 1, 2015; one-third on September 1, 2016; and one-third on September 1, 2017. The options expire if not exercised prior to September 1, 2021.</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2015, various non-executive employees were awarded options to purchase a total of 85,000 shares of common stock under the Company’s 2014 Stock Option Incentive Plan.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options granted during the nine months ended March 31, 2015 was estimated at the grant date using the following weighted average assumptions: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August 2014</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w w:val="93"/>
              </w:rPr>
              <w:t>January 2015</w:t>
            </w:r>
          </w:p>
        </w:tc>
      </w:tr>
      <w:tr>
        <w:trPr>
          <w:trHeight w:val="216"/>
        </w:trPr>
        <w:tc>
          <w:tcPr>
            <w:tcW w:w="20" w:type="dxa"/>
            <w:vAlign w:val="bottom"/>
          </w:tcPr>
          <w:p>
            <w:pPr>
              <w:spacing w:after="0"/>
              <w:rPr>
                <w:sz w:val="18"/>
                <w:szCs w:val="18"/>
                <w:color w:val="auto"/>
              </w:rPr>
            </w:pPr>
          </w:p>
        </w:tc>
        <w:tc>
          <w:tcPr>
            <w:tcW w:w="5120" w:type="dxa"/>
            <w:vAlign w:val="bottom"/>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F0FFFF"/>
          </w:tcPr>
          <w:p>
            <w:pPr>
              <w:spacing w:after="0"/>
              <w:rPr>
                <w:sz w:val="18"/>
                <w:szCs w:val="18"/>
                <w:color w:val="auto"/>
              </w:rPr>
            </w:pPr>
          </w:p>
        </w:tc>
        <w:tc>
          <w:tcPr>
            <w:tcW w:w="1440" w:type="dxa"/>
            <w:vAlign w:val="bottom"/>
            <w:tcBorders>
              <w:top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life</w:t>
            </w: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w w:val="98"/>
              </w:rPr>
              <w:t>7 years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 years</w:t>
            </w:r>
          </w:p>
        </w:tc>
      </w:tr>
      <w:tr>
        <w:trPr>
          <w:trHeight w:val="216"/>
        </w:trPr>
        <w:tc>
          <w:tcPr>
            <w:tcW w:w="20" w:type="dxa"/>
            <w:vAlign w:val="bottom"/>
          </w:tcPr>
          <w:p>
            <w:pPr>
              <w:spacing w:after="0"/>
              <w:rPr>
                <w:sz w:val="18"/>
                <w:szCs w:val="18"/>
                <w:color w:val="auto"/>
              </w:rPr>
            </w:pPr>
          </w:p>
        </w:tc>
        <w:tc>
          <w:tcPr>
            <w:tcW w:w="512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F0FFFF"/>
          </w:tcPr>
          <w:p>
            <w:pPr>
              <w:spacing w:after="0"/>
              <w:rPr>
                <w:sz w:val="18"/>
                <w:szCs w:val="18"/>
                <w:color w:val="auto"/>
              </w:rPr>
            </w:pPr>
          </w:p>
        </w:tc>
        <w:tc>
          <w:tcPr>
            <w:tcW w:w="144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0.00%</w:t>
            </w: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1.92%</w:t>
            </w:r>
          </w:p>
        </w:tc>
      </w:tr>
    </w:tbl>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and nine months ended March 31, 2015, the Company recorded compensation expense of $88,733 and $188,452, respectively, related to the stock options granted to the executive and non-executive employees of the Company during the current fiscal year under the 2014 Stock Option Incentive Plan.</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the three and nine months ended March 31, 2015, the Company recorded compensation expense of $13,658 and $68,290, respectively, for stock options granted in the fiscal year ended June 30, 2014 to its non-employee Directors under the 2014 Stock Option Incentive Plan. In the three months ended March 31, 2015 options to purchase up to 20,000 shares common stock were forfeited with the resignation of a non-employee Director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during the three and nine months ended March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WARRANTS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warrants were issued, exercised or expired during the three and nine months ended March 31, 2015. Warrants were exercised during the three and nine months ended March 31, 2014, resulting in the issuance of 0 and 2,090,226, respectively, shares of Common Stock at $1.13 per share. The Company received cash proceeds of $549,493 and $2,361,955 for the three and nine months ended March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Company and Varilease Finance, Inc. (“Varilease”), entered into six Sale Leaseback Agreements (the “Sale Leaseback Agreements” or a “Sale Leaseback Agreement”) pursuant to which Varilease purchased ePort equipment owned by the Company and used by the Company in its JumpStart Program. As of June 30, 2014, Varilease completed the purchase from the Company, the ePort equipment under the first two of the Sale Leaseback Agreements as described in our Annual Report on Form 10-K for the year ended June 30, 2014.</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2014, Varilease completed the purchase from the Company of the ePort equipment described in the last four of the Sale Leaseback Agreements.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the completion of the sale under these agreements, the Company computed a gain on the sale of its ePort equipment, which is deferred and will be amortized in proportion to the related gross rental charged to expense over the lease terms in accordance with the FASB topic ASC 840-40, “Sale Leaseback Transactions”. The computed gain on the sale will be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Varilease a base monthly rental for this equipment during the 36-month lease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the sale, the Company computed a gain on the sale of its ePort equipment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Year ended</w:t>
            </w:r>
          </w:p>
        </w:tc>
        <w:tc>
          <w:tcPr>
            <w:tcW w:w="1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Nine months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June 30, 2014</w:t>
            </w:r>
          </w:p>
        </w:tc>
        <w:tc>
          <w:tcPr>
            <w:tcW w:w="10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 2015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Rental equipment sold, cost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1,918,920</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3,873,275</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5,792,195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Rental equipment sold, accumulated depreciation upon sale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(76,032)</w:t>
            </w:r>
          </w:p>
        </w:tc>
        <w:tc>
          <w:tcPr>
            <w:tcW w:w="10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(331,069)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Rental equipment sold, net book value</w:t>
            </w:r>
          </w:p>
        </w:tc>
        <w:tc>
          <w:tcPr>
            <w:tcW w:w="9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4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1,842,888</w:t>
            </w:r>
          </w:p>
        </w:tc>
        <w:tc>
          <w:tcPr>
            <w:tcW w:w="24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5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3,542,206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5,385,094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sale</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2,995,095</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4,993,879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Gain on sale of rental equipment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1,152,207</w:t>
            </w:r>
          </w:p>
        </w:tc>
        <w:tc>
          <w:tcPr>
            <w:tcW w:w="24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1,451,673</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2,603,880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deferred gain for the nine months ended March 31, 2015 from the sale leaseback transactions: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March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 June 30, 2014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1,142,685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1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1,451,673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100" w:type="dxa"/>
            <w:vAlign w:val="bottom"/>
            <w:shd w:val="clear" w:color="auto" w:fill="F0FFFF"/>
          </w:tcPr>
          <w:p>
            <w:pPr>
              <w:spacing w:after="0"/>
              <w:rPr>
                <w:sz w:val="19"/>
                <w:szCs w:val="19"/>
                <w:color w:val="auto"/>
              </w:rPr>
            </w:pPr>
          </w:p>
        </w:tc>
        <w:tc>
          <w:tcPr>
            <w:tcW w:w="16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(618,522)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Ending balance, March 31, 2015</w:t>
            </w: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1,975,836</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shd w:val="clear" w:color="auto" w:fill="F0FFFF"/>
          </w:tcPr>
          <w:p>
            <w:pPr>
              <w:spacing w:after="0"/>
              <w:rPr>
                <w:sz w:val="19"/>
                <w:szCs w:val="19"/>
                <w:color w:val="auto"/>
              </w:rPr>
            </w:pPr>
          </w:p>
        </w:tc>
        <w:tc>
          <w:tcPr>
            <w:tcW w:w="15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860,390</w:t>
            </w:r>
          </w:p>
        </w:tc>
        <w:tc>
          <w:tcPr>
            <w:tcW w:w="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Non-current portion of deferred gain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1,115,446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obligated to pay Varilease a base monthly rental of approximately $220,000 for this equipment during the 36-month lease term. Future minimum lease payments subsequent to March 31, 2015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Operating Leases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from Sale Leaseback</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2015 (remaining three months)</w:t>
            </w:r>
          </w:p>
        </w:tc>
        <w:tc>
          <w:tcPr>
            <w:tcW w:w="3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660,289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2,641,155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3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5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2,641,155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2018</w:t>
            </w:r>
          </w:p>
        </w:tc>
        <w:tc>
          <w:tcPr>
            <w:tcW w:w="3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137,731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Total minimum lease payments</w:t>
            </w:r>
          </w:p>
        </w:tc>
        <w:tc>
          <w:tcPr>
            <w:tcW w:w="3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6,080,330</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1720" w:type="dxa"/>
            <w:vAlign w:val="bottom"/>
            <w:tcBorders>
              <w:bottom w:val="single" w:sz="8" w:color="DCDCDC"/>
            </w:tcBorders>
          </w:tcPr>
          <w:p>
            <w:pPr>
              <w:spacing w:after="0"/>
              <w:rPr>
                <w:sz w:val="24"/>
                <w:szCs w:val="24"/>
                <w:color w:val="auto"/>
              </w:rPr>
            </w:pPr>
          </w:p>
        </w:tc>
        <w:tc>
          <w:tcPr>
            <w:tcW w:w="3080" w:type="dxa"/>
            <w:vAlign w:val="bottom"/>
            <w:tcBorders>
              <w:top w:val="single" w:sz="8" w:color="F0FFFF"/>
              <w:bottom w:val="single" w:sz="8" w:color="DCDCDC"/>
            </w:tcBorders>
          </w:tcPr>
          <w:p>
            <w:pPr>
              <w:spacing w:after="0"/>
              <w:rPr>
                <w:sz w:val="24"/>
                <w:szCs w:val="24"/>
                <w:color w:val="auto"/>
              </w:rPr>
            </w:pPr>
          </w:p>
        </w:tc>
        <w:tc>
          <w:tcPr>
            <w:tcW w:w="3180" w:type="dxa"/>
            <w:vAlign w:val="bottom"/>
            <w:tcBorders>
              <w:top w:val="single" w:sz="8" w:color="F0FFFF"/>
              <w:bottom w:val="single" w:sz="8" w:color="DCDCDC"/>
            </w:tcBorders>
          </w:tcPr>
          <w:p>
            <w:pPr>
              <w:jc w:val="right"/>
              <w:ind w:right="209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DCDCDC"/>
            </w:tcBorders>
          </w:tcPr>
          <w:p>
            <w:pPr>
              <w:spacing w:after="0"/>
              <w:rPr>
                <w:sz w:val="24"/>
                <w:szCs w:val="24"/>
                <w:color w:val="auto"/>
              </w:rPr>
            </w:pPr>
          </w:p>
        </w:tc>
        <w:tc>
          <w:tcPr>
            <w:tcW w:w="148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STI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28, 2014, the Board of Directors approved the Fiscal Year 2015 Short-Term Incentive Plan (the “2015 STI Plan”) covering Stephen P. Herbert, Chairman and Chief Executive Officer, and David M. DeMedio, Chief Financial Officer.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2015 STI Plan provides that each executive officer would earn a cash bonus in the event that the Company achieved during the 2015 fiscal year certain annual financial goals and certain annual specific performance goals relating to the executive officer which are to be established by the Compensation Committee.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none of the minimum threshold target goals are achieved, the executive officers would not earn a cash bonus. If all of the target goals are achieved, the executive officers would earn a cash bonus as follows: Mr. Herbert – $136,500 (40% of base salary); and Mr. DeMedio – $59,469 (25% of base salary). If all of the maximum distinguished target goals are achieved, the executive officers would earn a cash bonus as follows: Mr. Herbert – $273,000 (80% of base salary); and Mr. DeMedio – $118,938 (50%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March 31, 2015, the Company recorded expense of $41,040 and $87,238 and a corresponding liability, respectively, for the 2015 STI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may become involved in various legal proceedings arising during the normal course of its business. As of March 31, 2015, there were no legal proceedings involving the Company which, in the opinion of the management of the Company, would have a material adverse effect on the Company’s financial position and results of operations or cash flows.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30, 2014, the Company settled a legal action brought in connection with a customer billing dispute. Under the settlement, the Company agreed to pay approximately $690,000. Approximately $280,000 of this amount was recorded in fiscal 2014 and $410,000 of this amount was recorded in the three months ended September 30, 2014 and was reflected in Cost of Services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2015, the Company and the Bank entered into a Tenth Amendment to the Loan and Security Agreement to change, among other things, the definition of Required Minimum Liquidity for the month ended February 28,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based on performance of the Company’s Common Stock an additional 23,809 shares of Common Stock became vested under the CEO Incentive Plan, which was granted in September 2012. The $33,332 of expense associated with this vesting will be recorded in the quarter ending June 30,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the Company’s current or future customers purchase, lease, rent or utilize ePort devices or our other products in the future at levels currently anticipated by our Company, including appropriate diversification resulting from sources other than our JumpStart Program;</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sell sufficient ePort equipment to third party leasing companies as part of the QuickStart program in order to significantly reduce net cash used in operating activities;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and prepaid programs;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748"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the three months ended March 31, 2014</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Results for the quarter ended March 31, 2015 continued to demonstrate growth in the Company’s revenues and connections to its service as compared to the quarter ended March 31, 2014.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up 47% to $15.4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23% to $11.1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connections to its ePort Connect service base as of March 31, 2015 up 24% as compared to March 31, 2014.</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March 31, 2015 were $15,357,740, consisting of $11,059,846 of license and transaction fees and $4,297,894 of equipment sales, compared to $10,443,932 for the quarter ended March 31, 2014, consisting of $8,999,689 of license and transaction fees and $1,444,243 of equipment sales. The increase in total revenue of $4,913,808, or 47%, was primarily due to an increase in license and transaction fees of $2,060,157, or 23%, and an increase in equipment sales of $2,853,651 or 198%, from the same period in the prior fiscal year.</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derive the majority of our revenues from license and transaction fees resulting from connections to, as well as services provided by, our ePort Connect service.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 Connections to our service stem from our POS electronic payment devices or certified payment software or the servicing of similar third-party installed POS electronic payment devices. Customers can obtain POS electronic payment devices from us in the following ways:</w:t>
      </w:r>
    </w:p>
    <w:p>
      <w:pPr>
        <w:spacing w:after="0" w:line="185" w:lineRule="exact"/>
        <w:rPr>
          <w:sz w:val="20"/>
          <w:szCs w:val="20"/>
          <w:color w:val="auto"/>
        </w:rPr>
      </w:pPr>
    </w:p>
    <w:p>
      <w:pPr>
        <w:ind w:left="1060" w:hanging="485"/>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3" w:lineRule="exact"/>
        <w:rPr>
          <w:rFonts w:ascii="Arial" w:cs="Arial" w:eastAsia="Arial" w:hAnsi="Arial"/>
          <w:sz w:val="18"/>
          <w:szCs w:val="18"/>
          <w:color w:val="auto"/>
        </w:rPr>
      </w:pPr>
    </w:p>
    <w:p>
      <w:pPr>
        <w:ind w:left="1060" w:right="20" w:hanging="485"/>
        <w:spacing w:after="0" w:line="250"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Leasing devices under the Company’s QuickStart Program, which are non-cancellable sixty month sales-type leases, through an unrelated equipment leasing company or directly from the Company; and</w:t>
      </w:r>
    </w:p>
    <w:p>
      <w:pPr>
        <w:ind w:left="1060" w:hanging="485"/>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in accordance with the terms of the customer’s contract with the Company.</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from license and transaction fees, which represented 72% and 86% of total revenue for the quarters ended March 31, 2015 and 2014, respectively, is primarily attributable to monthly ePort Connect® service fees and transaction processing fees. Highlights for the quarter ended March 31, 2015 include:</w:t>
      </w:r>
    </w:p>
    <w:p>
      <w:pPr>
        <w:spacing w:after="0" w:line="151" w:lineRule="exact"/>
        <w:rPr>
          <w:sz w:val="20"/>
          <w:szCs w:val="20"/>
          <w:color w:val="auto"/>
        </w:rPr>
      </w:pPr>
    </w:p>
    <w:p>
      <w:pPr>
        <w:jc w:val="both"/>
        <w:ind w:left="1060" w:hanging="485"/>
        <w:spacing w:after="0" w:line="25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Adding 14,000 net connections to our service, consisting of 24,000 new connections to our ePort Connect service in the quarter, offset by 10,000 deactivations, compared to 20,000 net connections added in the same quarter of fiscal 2014, consisting of 22,000 new connections, offset by 2,000 deactivations;</w:t>
      </w:r>
    </w:p>
    <w:p>
      <w:pPr>
        <w:ind w:left="1060" w:right="20" w:hanging="485"/>
        <w:spacing w:after="0" w:line="265"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March 31, 2015, the Company had approximately 302,000 connections to the ePort Connect service compared to approximately 244,000 connections to the ePort Connect service as of March 31, 2014, an increase of 58,000 connections, or 24%;</w:t>
      </w:r>
    </w:p>
    <w:p>
      <w:pPr>
        <w:ind w:left="1060" w:hanging="485"/>
        <w:spacing w:after="0" w:line="250"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quarter ended March 31, 2015 of 28% and 32%, respectively, compared to the same period a year ago; and</w:t>
      </w: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Connect customer base grew 34% from March 31, 2014.</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March 31, 2015, the Company had approximately 302,000 connections to the ePort Connect service as compared to approximately 244,000 connections to the ePort Connect service as of March 31, 2014. During the quarter ended March 31, 2015, the Company added approximately 14,000 net connections to its network compared to approximately 20,000 net connections added during the quarter ended March 31, 2014.</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March 31, 2015, the Company processed approximately 54.8 million transactions totaling approximately $97.7 million compared to approximately 42.8 million transactions totaling approximately $73.9 million during the quarter ended March 31, 2014, an increase of approximately 28% in the number of transactions and approximately 32% in the value of transactions processed.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New customers added to our ePort® Connect service during the quarter ended March 31, 2015 totaled 475, bringing the total number of customers to approximately 8,925 as of March 31, 2015. The Company added approximately 575 new customers in the quarter ended March 31, 2014. By comparison, the Company had approximately 6,650 customers as of March 31, 2014, representing 2,275 customers added, or a 34% increase during the past twelve months. The Company views the total installed base of machines managed by its customers that have yet to transition to cashless payment, as a key strategic opportunity for future growth in connections. In addition, we believe our growing customer base is indicative of a broadening adoption and acceptance of cashless payments in the industries we serve. We count a customer as a new customer upon the signing of their ePort Connect service agreement. When a reseller sells our ePort, we count a customer as a new customer upon the signing of the applicable services agreement with the customer.</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$2,853,651 increase in equipment revenue was a result of an increase of approximately $2,953,000 in sales of ePort® products, offset by a decrease of approximately $97,000 in sales of Energy Misers and other net sales of $3,000. The $2,953,000 increase in ePort products was primarily attributable to selling more units during the period due to the Company’s QuickStart Program which was reintroduced during the fiscal year in September 2014.</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consisted of license and transaction fee related costs of $7,157,333 and $5,785,721 and equipment costs of $3,054,268 and $660,423 for the quarters ended March 31, 2015 and 2014, respectively. The increase in total cost of sales of $3,765,457, or 58%, was primarily due to an increase in cost of equipment of $2,393,845 that was primarily due to selling more ePort devices due to the Company’s QuickStart Program. In addition, the increase in cost of services of $1,371,612 stemmed from the greater number of connections to the Company’s ePort Connect service and increases in transaction dollars processed by those connections.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(“GP”) for the quarter ended March 31, 2015 was $5,146,139 compared to GP of $3,997,788 from the same quarter in the prior fiscal year, an increase of $1,148,351, or 29%, of which $688,545 is attributable to license and transaction fees GP and $459,806 is attributable to an increase in equipment sales GP. Overall gross profit margins decreased from 38% to 34% due to a decrease in license and transaction fee margins to 35% from 36% in the prior corresponding fiscal quarter, and by a decrease in equipment sales margins to 29% from 54% in the prior corresponding fiscal quarter.</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and transaction fees margins decreased due to approximately $445,000 of quarterly net rent expense related to the Sale Leaseback transactions, which is approximately $155,000 higher than the quarterly depreciation the Company would have recorded on the ePorts, had the Sale Leaseback transactions not occurred.</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approximate $460,000 increase in equipment sales GP includes one-time recoveries of approximately $747,000 and $152,000 in the quarters ended March 31, 2015 and 2014, respectively. The $747,000 relates to recoveries arising from a customer agreement in a prior quarter; and, the $152,000 was a reversal of a prior charge for equipment rebates. Excluding these one-time items, equipment sales GP decreased $135,000 from the prior corresponding quarter, which was mostly attributable to having $75,000 less GP from ePort equipment revenue. This decrease was predominately a result of fewer activation fees, which are a higher margin revenue source and which to date are not part of the QuickStart Program and $60,000 less GP related to fewer energy miser and other sales during the three month period ended March 31, 2015 when compared to the similar period a year ago.</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expenses of $4,279,888 for the quarter ended March 31, 2015, increased by $800,588, or 23%, from the same quarter in the prior fiscal year; approximately $466,000, or 58% of the increase, were non-cash expenses. The overall increase in SG&amp;A is attributable to increases of approximately $314,000 in bad debt estimates, $301,000 in employee compensation and benefits expenses, and $234,000 in consulting and professional services, offset by a net decrease of $48,000 for various other expenses.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and expense for the quarter ended March 31, 2015, primarily consisted of $1,101,241 of non-cash loss for the change in the fair value of the Company’s warrant liabilities. The primary factor affecting the change in fair value is the increase in the Black-Scholes value of the warrants from December 31, 2014 to March 31, 2015, which factored in the increase in the Company’s stock price during that period.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quarter ended March 31, 2015 resulted in a net loss of $566,610 compared to net income of $26,866,526 for the quarter ended March 31, 2014.</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March 31, 2015, net loss per common share (basic and diluted) was $0.03, compared to net earnings per common share (basic and diluted) of $0.75 for the prior corresponding fiscal quarter.</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net income for the quarter ended March 31, 2015 was $534,631 compared to non-GAAP net income of $321,526 for the quarter ended March 31, 2014. Non-GAAP net earnings (loss) per common share, basic and diluted, was $0.01 and $0.00 for the quarters ended March 31, 2015 and 2014, respectively.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income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financial performance.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 reconciliation of GAAP net income (loss) to Non-GAAP net income (loss) for the quarters ended March 31, 2015 and 2014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(566,610)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26,866,526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Non-GAAP adjustments: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13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1,101,241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168,897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Benefit from reduction of valuation allowances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(26,713,897)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w:t>
            </w:r>
          </w:p>
        </w:tc>
        <w:tc>
          <w:tcPr>
            <w:tcW w:w="1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534,631</w:t>
            </w:r>
          </w:p>
        </w:tc>
        <w:tc>
          <w:tcPr>
            <w:tcW w:w="140" w:type="dxa"/>
            <w:vAlign w:val="bottom"/>
            <w:shd w:val="clear" w:color="auto" w:fill="F0FFFF"/>
          </w:tcPr>
          <w:p>
            <w:pPr>
              <w:spacing w:after="0"/>
              <w:rPr>
                <w:sz w:val="22"/>
                <w:szCs w:val="22"/>
                <w:color w:val="auto"/>
              </w:rPr>
            </w:pP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321,526</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(566,610)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26,866,526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Non-GAAP net income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534,631</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(332,226)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(898,836)</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26,534,300</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Borders>
              <w:top w:val="single" w:sz="8" w:color="F0FFFF"/>
            </w:tcBorders>
            <w:shd w:val="clear" w:color="auto" w:fill="F0FFFF"/>
          </w:tcPr>
          <w:p>
            <w:pPr>
              <w:spacing w:after="0" w:line="20" w:lineRule="exact"/>
              <w:rPr>
                <w:sz w:val="1"/>
                <w:szCs w:val="1"/>
                <w:color w:val="auto"/>
              </w:rPr>
            </w:pPr>
          </w:p>
        </w:tc>
        <w:tc>
          <w:tcPr>
            <w:tcW w:w="13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Non-GAAP net income (loss) applicable to common shares</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202,405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earnings (loss) per common share - basic and diluted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basic and diluted</w:t>
            </w:r>
          </w:p>
        </w:tc>
        <w:tc>
          <w:tcPr>
            <w:tcW w:w="1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F0FFFF"/>
          </w:tcPr>
          <w:p>
            <w:pPr>
              <w:spacing w:after="0"/>
              <w:rPr>
                <w:sz w:val="21"/>
                <w:szCs w:val="21"/>
                <w:color w:val="auto"/>
              </w:rPr>
            </w:pP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F0FFFF"/>
            </w:tcBorders>
          </w:tcPr>
          <w:p>
            <w:pPr>
              <w:spacing w:after="0"/>
              <w:rPr>
                <w:sz w:val="18"/>
                <w:szCs w:val="18"/>
                <w:color w:val="auto"/>
              </w:rPr>
            </w:pPr>
          </w:p>
        </w:tc>
        <w:tc>
          <w:tcPr>
            <w:tcW w:w="13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number of common shares outstanding - basic</w:t>
            </w:r>
          </w:p>
        </w:tc>
        <w:tc>
          <w:tcPr>
            <w:tcW w:w="13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35,687,650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35,504,911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used herein, non-GAAP net income represents GAAP net income (loss) excluding costs or benefits relating to any adjustment for fair value of warrant liabilities and changes in the Company’s valuation allowances for taxes. As used herein, non-GAAP net income (loss) per common share is calculated by dividing non-GAAP net income (loss) applicable to common shares by the weighted average number of shares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March 31, 2015, the Company had Adjusted EBITDA of $2,381,126, compared to $1,839,080 for the quarter ended March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GAAP net income (loss) to Adjusted EBITDA for the quarters ended March 31, 2015 and 2014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46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(566,610)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26,866,526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(26,394)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85,349</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 (benefit)</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137,820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(26,727,720)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1,433,251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1,413,521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Plus change in fair value of warrant liabilities</w:t>
            </w:r>
          </w:p>
        </w:tc>
        <w:tc>
          <w:tcPr>
            <w:tcW w:w="43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1,101,241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43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216,469</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F0FFFF"/>
            </w:tcBorders>
          </w:tcPr>
          <w:p>
            <w:pPr>
              <w:spacing w:after="0"/>
              <w:rPr>
                <w:sz w:val="18"/>
                <w:szCs w:val="18"/>
                <w:color w:val="auto"/>
              </w:rPr>
            </w:pPr>
          </w:p>
        </w:tc>
        <w:tc>
          <w:tcPr>
            <w:tcW w:w="43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46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2,381,126</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1,839,080</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440" w:type="dxa"/>
            <w:vAlign w:val="bottom"/>
            <w:tcBorders>
              <w:top w:val="single" w:sz="8" w:color="F0FFFF"/>
              <w:bottom w:val="single" w:sz="8" w:color="DCDCDC"/>
            </w:tcBorders>
          </w:tcPr>
          <w:p>
            <w:pPr>
              <w:spacing w:after="0"/>
              <w:rPr>
                <w:sz w:val="24"/>
                <w:szCs w:val="24"/>
                <w:color w:val="auto"/>
              </w:rPr>
            </w:pPr>
          </w:p>
        </w:tc>
        <w:tc>
          <w:tcPr>
            <w:tcW w:w="4360" w:type="dxa"/>
            <w:vAlign w:val="bottom"/>
            <w:tcBorders>
              <w:top w:val="single" w:sz="8" w:color="F0FFFF"/>
              <w:bottom w:val="single" w:sz="8" w:color="DCDCDC"/>
            </w:tcBorders>
          </w:tcPr>
          <w:p>
            <w:pPr>
              <w:jc w:val="right"/>
              <w:ind w:right="293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non-cash charges for changes in fair value of warrant liabilities and stock-based compensation expense.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Nine months ended March 31, 2015 compared to the nine months ended March 31, 2014</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nine months ended March 31, 2015 continued to demonstrate growth in the Company’s revenues and connections to its service as compared to the nine months ended March 31, 2014.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up 30% to $40.4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21% to $31.7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connections to its ePort Connect service base as of March 31, 2015 up 24% as compared to March 31, 2014.</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nine months ended March 31, 2015 were $40,431,279, consisting of $31,695,564 of license and transaction fees and $8,735,715 of equipment sales, compared to $31,137,504 for the nine months ended March 31, 2014, consisting of $26,177,818 of license and transaction fees and $4,959,686 of equipment sales. The increase in total revenue of $9,293,775, or 30%, was primarily due to an increase in license and transaction fees of $5,517,746, or 21%, and an increase in equipment sales of $3,776,029 or 76%, from the same period in the prior fiscal year.</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derive the majority of our revenues from license and transaction fees resulting from connections to, as well as services provided by, our ePort Connect service.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 Connections to our service stem from our POS electronic payment devices or certified payment software or the servicing of similar third-party installed POS electronic payment devices. Customers can obtain POS electronic payment devices from us in the following ways:</w:t>
      </w:r>
    </w:p>
    <w:p>
      <w:pPr>
        <w:spacing w:after="0" w:line="185" w:lineRule="exact"/>
        <w:rPr>
          <w:sz w:val="20"/>
          <w:szCs w:val="20"/>
          <w:color w:val="auto"/>
        </w:rPr>
      </w:pPr>
    </w:p>
    <w:p>
      <w:pPr>
        <w:ind w:left="1060" w:hanging="4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3" w:lineRule="exact"/>
        <w:rPr>
          <w:rFonts w:ascii="Arial" w:cs="Arial" w:eastAsia="Arial" w:hAnsi="Arial"/>
          <w:sz w:val="18"/>
          <w:szCs w:val="18"/>
          <w:color w:val="auto"/>
        </w:rPr>
      </w:pPr>
    </w:p>
    <w:p>
      <w:pPr>
        <w:ind w:left="1060" w:right="20" w:hanging="485"/>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Leasing devices under the Company’s QuickStart Program, which are non-cancellable sixty month sales-type leases, through an unrelated equipment leasing company or directly from the Company; and</w:t>
      </w:r>
    </w:p>
    <w:p>
      <w:pPr>
        <w:ind w:left="1060" w:hanging="4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in accordance with the terms of the customer’s contract with the Company.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license and transaction fees, which represented 78% and 84% of total revenue for the nine months ended March 31, 2015 and 2014, respectively, is primarily attributable to monthly ePort Connect® service fees and transaction processing fees. Highlights for the nine months ended March 31, 2015 include:</w:t>
      </w:r>
    </w:p>
    <w:p>
      <w:pPr>
        <w:spacing w:after="0" w:line="208" w:lineRule="exact"/>
        <w:rPr>
          <w:sz w:val="20"/>
          <w:szCs w:val="20"/>
          <w:color w:val="auto"/>
        </w:rPr>
      </w:pPr>
    </w:p>
    <w:p>
      <w:pPr>
        <w:jc w:val="both"/>
        <w:ind w:left="1060" w:hanging="485"/>
        <w:spacing w:after="0" w:line="256"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Adding 36,000 net connections to our service, consisting of 51,000 new connections to our ePort Connect service in the nine month period, offset by 15,000 deactivations, compared to 30,000 net connections added in the same nine month period of fiscal 2014, consisting of 53,000 new connections and 23,000 deactivations;</w:t>
      </w:r>
    </w:p>
    <w:p>
      <w:pPr>
        <w:ind w:left="1060" w:right="20" w:hanging="485"/>
        <w:spacing w:after="0" w:line="265"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of March 31, 2015, the Company had approximately 302,000 connections to the ePort Connect service compared to approximately 244,000 connections to the ePort Connect service as of March 31, 2014, an increase of 58,000 connections, or 24%;</w:t>
      </w:r>
    </w:p>
    <w:p>
      <w:pPr>
        <w:ind w:left="1060" w:right="20" w:hanging="485"/>
        <w:spacing w:after="0" w:line="250"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nine months ended March 31, 2015 of 27% and 31%, respectively, compared to the same period a year ago; and</w:t>
      </w: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ePort Connect customer base grew 34% from March 31, 2014.</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March 31, 2015, the Company had approximately 302,000 connections to the ePort Connect service as compared to approximately 244,000 connections to the ePort Connect service as of March 31, 2014. During the nine months ended March 31, 2015, the Company added approximately 36,000 net connections to its network compared to approximately 30,000 net connections added during the nine months ended March 31, 2014.</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its agreements with customers, in addition to ePort Connect service fees, the Company earns transaction processing fees equal to a percentage of the dollar volume processed by the Company. During the nine months ended March 31, 2015, the Company processed approximately 154.4 million transactions totaling approximately $276.1 million compared to approximately 121.5 million transactions totaling approximately $210.9 million during the nine months ended March 31, 2014, an increase of approximately 27% in the number of transactions and approximately 31% in the value of transactions processed.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New customers added to our ePort® Connect service during the nine months ended March 31, 2015 totaled 1,625, bringing the total number of customers to approximately 8,925 as of March 31, 2015. The Company added approximately 1,600 new customers in the nine months ended March 31, 2014. By comparison, the Company had approximately 6,650 customers as of March 31, 2014, representing 2,275 customers added, or a 34% increase during the past twelve months. The Company views the total installed base of machines managed by its customers that have yet to transition to cashless payment, as a key strategic opportunity for future growth in connections. In addition, we believe our growing customer base is indicative of a broadening adoption and acceptance of cashless payments in the industries we serve. We count a customer as a new customer upon the signing of their ePort Connect service agreement. When a reseller sells our ePort, we count a customer as a new customer upon the signing of the applicable services agreement with the customer.</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$3,776,029 increase in equipment revenue was a result of an increase of approximately $4,095,000 in sales of ePort® products, offset by a decrease of approximately $326,000 in sales of Energy Misers. The $4,095,000 increase in ePort products was primarily attributable to selling more units during the period due to the reintroduction of the Company’s QuickStart Program in September 2014.</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consisted of license and transaction fee related costs of $21,566,280 and $16,690,569 and equipment costs of $6,850,366 and $3,036,243 for the nine months ended March 31, 2015 and 2014, respectively. The increase in total cost of sales of $8,689,834 or 44%, was primarily due to an increase in cost of services of $4,875,711 that stemmed from the greater number of connections to the Company’s ePort Connect service, increases in transaction dollars processed by those connections and a charge to settle a customer billing dispute. In addition, the increase in cost of equipment sales of $3,814,123 was primarily due to selling more ePort devices due to the QuickStart Program.</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(“GP”) for the nine months ended March 31, 2015 was $12,014,633 compared to GP of $11,410,692 from the same nine month period in the prior fiscal year, an increase of $603,941, or 5%, of which $642,035 is attributable to license and transaction fees GP, offset by a decrease of $38,094 attributable to equipment sales GP. Overall gross profit margins decreased from 37% to 30% due to a decrease in license and transaction fee margins to 32%, from 36% in the prior corresponding nine month period, and by a decrease in equipment sales margins to 22% from 39% in the prior corresponding fiscal nine month period.</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License and transaction fees margins decreased due to the impact of certain JumpStart connections added during the third and fourth quarters of 2014 fiscal year with fee grace periods extending into fiscal year 2015 under sales incentives, as well as approximately $1,270,000 of net rent expense during the nine months ended March 31, 2015 related to the Sale Leaseback transactions, which is approximately $401,000 higher than the depreciation the Company would have recorded on the ePorts during the nine month period had the Sale Leaseback transactions not occurred. Also contributing to the decrease of license and transaction fee margins was a charge of approximately $410,000 during the nine months ended March 31, 2015 in connection with a customer billing dispute.</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decrease in equipment revenue margins is attributable to sales incentives offered with the QuickStart Program as well as having approximately $275,000 less in activation fees, which are a higher margin revenue source which to date are not part of the QuickStart Program.</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$38,000 decrease in equipment sales GP includes one-time recoveries of $747,000 and $152,000 in the nine months ended March 31, 2015 and 2014, respectively. The $747,000 relates to recoveries arising from a customer agreement in a prior quarter; and, the $152,000 was a reversal of a prior charge for equipment rebates. Excluding these one-time items, equipment sales GP decreased $633,000 from the prior corresponding nine month period, which was mostly attributable to having $466,000 less GP from ePort equipment revenue. This decrease was predominately a result of fewer activation fees, which are a higher margin revenue source and which to date are not part of the QuickStart Program and $167,000 less GP related to fewer energy miser and other sales during the nine month period ended March 31, 2015 when compared to the similar period a year ago.</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(“SG&amp;A”) expenses of $11,442,439 for the nine months ended March 31, 2015, increased by $1,474,227 or 15%, from the same nine months in the prior fiscal year; approximately $807,000, or 55% of the increase, were non-cash expenses. The overall increase in SG&amp;A is attributable to increases of approximately $670,000 in employee and director compensation and benefits expenses, $536,000 in bad debt estimates, $230,000 in consulting and professional services, and by a net increase of $38,000 for various other expenses.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and expense for the nine months ended March 31, 2015, primarily consisted of $655,787 of non-cash loss for the change in the fair value of the Company’s warrant liabilities. The primary factor affecting the change in fair value is the increase in the Black-Scholes value of the warrants from June 30, 2014 to March 31, 2015, which factored in the increase in the Company’s stock price during that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 w:name="page25"/>
    <w:bookmarkEnd w:id="24"/>
    <w:p>
      <w:pPr>
        <w:jc w:val="both"/>
        <w:spacing w:after="0" w:line="293" w:lineRule="auto"/>
        <w:rPr>
          <w:sz w:val="20"/>
          <w:szCs w:val="20"/>
          <w:color w:val="auto"/>
        </w:rPr>
      </w:pPr>
      <w:r>
        <w:rPr>
          <w:rFonts w:ascii="Arial" w:cs="Arial" w:eastAsia="Arial" w:hAnsi="Arial"/>
          <w:sz w:val="16"/>
          <w:szCs w:val="16"/>
          <w:color w:val="auto"/>
        </w:rPr>
        <w:t>The nine months ended March 31, 2015 resulted in a net loss of $888,481 compared to net income of $27,569,371 for the nine months ended March 31, 2014. Included in net income for the nine months ended March 31, 2014 is a benefit for income taxes of $26,713,897. Included in the net loss for the nine months ended March 31, 2015 is a non-cash charge of $395,605 as a component of our tax provision for the effect on our deferred tax assets for a state income tax law change. After preferred dividends of $332,226 in each nine month period, net income (loss) applicable to common shareholders was $(1,552,933) and $26,904,919 for the nine months ended March 31, 2015 and 2014, respectively. For the nine months ended March 31, 2015, net loss per common share (basic and diluted) was $0.04, compared to net earnings per common share (basic and diluted) of $0.78, for the prior corresponding nine month period.</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net income for the nine months ended March 31, 2015 was $162,911, compared to non-GAAP net income of $843,170 for the nine months ended March 31, 2014. Non-GAAP net earnings (loss) per common share was $(0.01) and $0.01 for the nine months ended March 31, 2015 and 2014, respectively.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and non-GAAP net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financial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income (loss) to Non-GAAP net income (loss) for the nine months ended March 31, 2015 and 2014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(888,481)</w:t>
            </w:r>
          </w:p>
        </w:tc>
        <w:tc>
          <w:tcPr>
            <w:tcW w:w="4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27,569,371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Non-GAAP adjustments: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655,787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Benefit from reduction of valuation allowances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(26,713,897)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Tax provision charge from state tax law changes</w:t>
            </w:r>
          </w:p>
        </w:tc>
        <w:tc>
          <w:tcPr>
            <w:tcW w:w="76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3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Non-GAAP net income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162,911</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(888,481)</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27,569,371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162,911</w:t>
            </w:r>
          </w:p>
        </w:tc>
        <w:tc>
          <w:tcPr>
            <w:tcW w:w="120" w:type="dxa"/>
            <w:vAlign w:val="bottom"/>
            <w:shd w:val="clear" w:color="auto" w:fill="F0FFFF"/>
          </w:tcPr>
          <w:p>
            <w:pPr>
              <w:spacing w:after="0"/>
              <w:rPr>
                <w:sz w:val="18"/>
                <w:szCs w:val="18"/>
                <w:color w:val="auto"/>
              </w:rPr>
            </w:pPr>
          </w:p>
        </w:tc>
        <w:tc>
          <w:tcPr>
            <w:tcW w:w="4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843,170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(664,452)</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F0FFFF"/>
          </w:tcPr>
          <w:p>
            <w:pPr>
              <w:spacing w:after="0"/>
              <w:rPr>
                <w:sz w:val="2"/>
                <w:szCs w:val="2"/>
                <w:color w:val="auto"/>
              </w:rPr>
            </w:pPr>
          </w:p>
        </w:tc>
        <w:tc>
          <w:tcPr>
            <w:tcW w:w="76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(1,552,933)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26,904,919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(501,541)</w:t>
            </w:r>
          </w:p>
        </w:tc>
        <w:tc>
          <w:tcPr>
            <w:tcW w:w="4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178,718</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Borders>
              <w:top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earnings (loss) per common share - basic and diluted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Non-GAAP net earnings (loss) per common share - basic and diluted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 basic</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35,645,712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34,313,396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herein, non-GAAP net income (loss) represents GAAP net income (loss) excluding costs or benefits relating to any adjustment for fair value of warrant liabilities, a state income tax law change and changes in the Company’s valuation allowances for taxes. As used herein, non-GAAP net income (loss) per common share is calculated by dividing non-GAAP net income (loss) applicable to common shares by the weighted average number of shares outstanding.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color w:val="auto"/>
        </w:rPr>
        <w:t>For the nine months ended March 31, 2015, the Company had Adjusted EBITDA of $5,007,746 compared to $5,185,086 for the nine months ended March 31, 2014. Reconciliation of GAAP net income (loss) to Adjusted EBITDA for the nine months ended March 31, 2015 and 2014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3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(888,481)</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27,569,371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(40,491)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209,689</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182,315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 (benefit)</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179,705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(26,713,897)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4,350,373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3,910,110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Plus change in fair value of warrant liabilities</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655,787</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2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541,164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248,880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3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5,007,746</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5,185,086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F0FFFF"/>
            </w:tcBorders>
            <w:shd w:val="clear" w:color="auto" w:fill="F0FFFF"/>
          </w:tcPr>
          <w:p>
            <w:pPr>
              <w:spacing w:after="0" w:line="20" w:lineRule="exact"/>
              <w:rPr>
                <w:sz w:val="1"/>
                <w:szCs w:val="1"/>
                <w:color w:val="auto"/>
              </w:rPr>
            </w:pPr>
          </w:p>
        </w:tc>
        <w:tc>
          <w:tcPr>
            <w:tcW w:w="27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March 31, 2015, net cash used in operating activities was $4,378,897 as a result of a net loss of $888,481 and net cash used in the change in operating assets and liabilities of $9,192,083, offset by net non-cash charges of $5,701,667. Of the $5,701,667 of net non-cash items, the most significant during the nine month period were charges related to depreciation of assets, increase in the fair value of warrant liabilities, bad debt expense, and the vesting and issuance of common stock and options for employee and director compensation, offset by the benefit related to the recognition of deferred gain from sale-leaseback transactions. The cash used in the $9,192,083 change in the Company’s operating assets and liabilities was primarily the result of increases in finance and trade receivables and inventory and decreases in accounts payable. The increase in finance receivables was directly related to the reintroduction of the QuickStart Program in September 2014. The increase in inventory was primarily attributable to the reclassification of JumpStart rental program equipment to inventory.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March 31, 2015, the cash provided by investing activities was $3,351,895, of which $4,993,879 related to the proceeds from the sale of rental equipment under the Sale Leaseback transactions, offset by $1,641,993 for the purchase of equipment for the JumpStart Program. Approximately 15% of gross new connections added during the nine months ended March 31, 2015 were from our JumpStart Program, which was lower than anticipated due to increased connections added through our QuickStart Program which constituted approximately 65% of gross connections added during the nine months ended March 31,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6" w:name="page27"/>
    <w:bookmarkEnd w:id="26"/>
    <w:p>
      <w:pPr>
        <w:jc w:val="both"/>
        <w:spacing w:after="0" w:line="302" w:lineRule="auto"/>
        <w:rPr>
          <w:sz w:val="20"/>
          <w:szCs w:val="20"/>
          <w:color w:val="auto"/>
        </w:rPr>
      </w:pPr>
      <w:r>
        <w:rPr>
          <w:rFonts w:ascii="Arial" w:cs="Arial" w:eastAsia="Arial" w:hAnsi="Arial"/>
          <w:sz w:val="16"/>
          <w:szCs w:val="16"/>
          <w:color w:val="auto"/>
        </w:rPr>
        <w:t>During the nine months ended March 31, 2015, the cash provided by financing activities was $429,388, of which $1,752,717 related to the proceeds received in exchange for assigning to a leasing company the Company’s rights to all of the future lease payments under certain existing QuickStart leases between the Company and its customers (see Note 5 to the Consolidated Financial Statements). Those proceeds were offset by $1,000,000 for the repayment of a portion of its outstanding balance on its line of credit, $261,342 for the repayment of debt, and $61,987 for the retirement of Common Stock for payroll taxes.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experienced losses from inception through June 30, 2012, with net income for the years ended June 30, 2013 and 2014. Our accumulated deficit through March 31, 2015 is composed of cumulative losses amounting to approximately $169,890,000, preferred dividends converted to common stock of approximately $2,690,000, and charges incurred for the open-market purchases of preferred stock of approximately $150,000.</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Adjusted EBITDA for the nine months ended March 31, 2015 was $5,007,746. The Company reports Adjusted EBITDA to reflect the liquidity of operations and a measure of operational cash flow. Adjusted EBITDA excludes significant non-cash charges such as income tax, depreciation, fair value warrant liability changes and stock and equity-based compensation from net income (loss). We believe that, provided there are no unusual or unanticipated material non-operational expenses, achieving positive Adjusted EBITDA is sustainable, and will increase, as our connection base increases.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anticipates using the JumpStart Programs for up to approximately 20% of its anticipated gross connections for the remainder of the fiscal year. Cash used for the JumpStart and QuickStart Programs is classified as investing and operating activities on the Company’s Consolidated Statements of Cash Flows, respectively. Accordingly, depending upon the composition of connections added under each of the JumpStart and QuickStart Programs as well as the success of the QuickStart third party leasing program begun near the end of the third fiscal quarter, the Company may generate positive cash flow from operations during the remainder of the 2015 fiscal year. In February 2015, the Company signed a Vendor Agreement with an equipment leasing company pursuant to which, and subject to the terms and conditions thereof, the Company may sell its cashless hardware to the leasing company, who in turn, then leases the equipment directly to our customers. We believe this third party leasing program, if successful, would allow us to reduce the use of the Company’s cash flows from operations for the QuickStart Program. During the quarter ended March 31, 2015, the Company sold approximately $900,000 of ePort equipment to the leasing company pursuant to the Vendor Agreement. The Company also has efforts under way in sales, marketing, development and partnering efforts to secure connections from sources other than JumpStart and QuickStart, such as QuickConnect Web service, ePort Mobile, and direct sales of its ePort hardware device.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three sources of cash available to fund and grow the business as of March 31, 2015: (1) cash on hand of approximately $8.5 million; (2) $3 million available on the line of credit with Avidbank, provided we continue to satisfy the various covenants set forth in the loan agreement; and (3) monies which may become available under the Vendor Agreement described above. Lastly, the Company believes the capital markets, debt and equity, would be available to provide additional sources of cash, if required.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Company believes its existing cash and available cash resources as of March 31, 2015, would provide sufficient funds through at least July 1, 2015 in order to meet its cash requirements, including payment of its accrued expenses and payables, any cash resources to be utilized for the JumpStart Program, QuickStart Program, other anticipated capital expenditures, and the repayment of long-term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market risk since June 30, 2014. For a discussion of our exposure to market risk, refer to Part II,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contained in our Annual Report on Form 10-K for the year ended June 30,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March 31, 2015.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March 31, 2015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February 1, 2015 an additional $332,226 of dividends were accrued on our cumulative Series A Convertible Preferred Stock. The total accrued and unpaid dividends on our Series A Convertible Preferred Stock as of March 31, 2015 are $12,925,228. The dividend accrual dates for our Preferred Stock are February 1 and August 1. The annual cumulative dividend on our Preferred Stock is $1.50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1400" w:type="dxa"/>
            <w:vAlign w:val="bottom"/>
          </w:tcPr>
          <w:p>
            <w:pPr>
              <w:spacing w:after="0"/>
              <w:rPr>
                <w:sz w:val="18"/>
                <w:szCs w:val="18"/>
                <w:color w:val="auto"/>
              </w:rPr>
            </w:pPr>
          </w:p>
        </w:tc>
        <w:tc>
          <w:tcPr>
            <w:tcW w:w="91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Tenth Amendment to Loan and Security Agreement dated as of April 17, 2015, between the Company and Avidbank Corporate Finance, a</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division of Avidbank.</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Mastercard Acceptance Agreement between the Company and MasterCard International Incorporated, dated January 8, 2015 (Portions of</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this exhibit were redacted pursuant to a confidential treatment request)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of 2002.</w:t>
            </w:r>
          </w:p>
        </w:tc>
      </w:tr>
      <w:tr>
        <w:trPr>
          <w:trHeight w:val="324"/>
        </w:trPr>
        <w:tc>
          <w:tcPr>
            <w:tcW w:w="9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9100" w:type="dxa"/>
            <w:vAlign w:val="bottom"/>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8"/>
              </w:rPr>
              <w:t>USA TECHNOLOGIES, INC.</w:t>
            </w:r>
          </w:p>
        </w:tc>
        <w:tc>
          <w:tcPr>
            <w:tcW w:w="28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15, 2015</w:t>
            </w:r>
          </w:p>
        </w:tc>
        <w:tc>
          <w:tcPr>
            <w:tcW w:w="274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15, 2015</w:t>
            </w:r>
          </w:p>
        </w:tc>
        <w:tc>
          <w:tcPr>
            <w:tcW w:w="274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8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c>
          <w:tcPr>
            <w:tcW w:w="28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675"/>
        </w:trPr>
        <w:tc>
          <w:tcPr>
            <w:tcW w:w="3540" w:type="dxa"/>
            <w:vAlign w:val="bottom"/>
            <w:tcBorders>
              <w:bottom w:val="single" w:sz="8" w:color="DCDCDC"/>
            </w:tcBorders>
          </w:tcPr>
          <w:p>
            <w:pPr>
              <w:spacing w:after="0"/>
              <w:rPr>
                <w:sz w:val="24"/>
                <w:szCs w:val="24"/>
                <w:color w:val="auto"/>
              </w:rPr>
            </w:pPr>
          </w:p>
        </w:tc>
        <w:tc>
          <w:tcPr>
            <w:tcW w:w="2740" w:type="dxa"/>
            <w:vAlign w:val="bottom"/>
            <w:tcBorders>
              <w:bottom w:val="single" w:sz="8" w:color="DCDCDC"/>
            </w:tcBorders>
          </w:tcPr>
          <w:p>
            <w:pPr>
              <w:jc w:val="right"/>
              <w:ind w:right="390"/>
              <w:spacing w:after="0"/>
              <w:rPr>
                <w:sz w:val="20"/>
                <w:szCs w:val="20"/>
                <w:color w:val="auto"/>
              </w:rPr>
            </w:pPr>
            <w:r>
              <w:rPr>
                <w:rFonts w:ascii="Arial" w:cs="Arial" w:eastAsia="Arial" w:hAnsi="Arial"/>
                <w:sz w:val="18"/>
                <w:szCs w:val="18"/>
                <w:color w:val="auto"/>
              </w:rPr>
              <w:t>29</w:t>
            </w:r>
          </w:p>
        </w:tc>
        <w:tc>
          <w:tcPr>
            <w:tcW w:w="230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Tenth Amendment to Loan and Security Agreement is entered into as of April 17, 2015 (the “Amendment”), by and between AVIDBANK CORPORATE FINANCE, a division of AVIDBANK (“Bank”), and USA TECHNOLOGIES, INC. (“Borrower”).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that certain Sixth Amendment to Loan and Security Agreement dated as of May 15, 2014, that certain Seventh Amendment to Loan and Security Agreement is entered into as of June 17, 2014, that certain Eighth Amendment to Loan and Security Agreement is entered into as of June 30, 2014 and that certain Ninth Amendment to Loan and Security Agreement is entered into as of September 30, 2014 (collectively, the “Agreement”). Borrower and Bank desire to amend the Agreement in accordance with the terms set forth herein.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jc w:val="both"/>
        <w:ind w:firstLine="656"/>
        <w:spacing w:after="0" w:line="257" w:lineRule="auto"/>
        <w:tabs>
          <w:tab w:leader="none" w:pos="12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Borrower acknowledges that there are existing and uncured Events of Default arising from Borrower’s failure to comply with Section 6.9 of the Agreement for the periods ended January 31, 2015 and February 28, 2015 (the “Covenant Defaults”). Subject to the conditions contained herein and performance by Borrower of all of the terms of the Agreement after the date hereof, Bank waives the Covenant Defaults. Bank does not waive Borrower’s obligations under such section after the date hereof, and as amended hereby, and Bank does not waive any other failure by Borrower to perform its Obligations under the Loan Documents.</w:t>
      </w:r>
    </w:p>
    <w:p>
      <w:pPr>
        <w:spacing w:after="0" w:line="215" w:lineRule="exact"/>
        <w:rPr>
          <w:rFonts w:ascii="Arial" w:cs="Arial" w:eastAsia="Arial" w:hAnsi="Arial"/>
          <w:sz w:val="18"/>
          <w:szCs w:val="18"/>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definition in Section 1.1 of the Agreement is hereby amended and restated in its entirety to read as follows:</w:t>
      </w:r>
    </w:p>
    <w:p>
      <w:pPr>
        <w:spacing w:after="0" w:line="252" w:lineRule="exact"/>
        <w:rPr>
          <w:sz w:val="20"/>
          <w:szCs w:val="20"/>
          <w:color w:val="auto"/>
        </w:rPr>
      </w:pPr>
    </w:p>
    <w:p>
      <w:pPr>
        <w:jc w:val="both"/>
        <w:ind w:left="1300" w:right="660"/>
        <w:spacing w:after="0" w:line="257" w:lineRule="auto"/>
        <w:rPr>
          <w:sz w:val="20"/>
          <w:szCs w:val="20"/>
          <w:color w:val="auto"/>
        </w:rPr>
      </w:pPr>
      <w:r>
        <w:rPr>
          <w:rFonts w:ascii="Arial" w:cs="Arial" w:eastAsia="Arial" w:hAnsi="Arial"/>
          <w:sz w:val="18"/>
          <w:szCs w:val="18"/>
          <w:color w:val="auto"/>
        </w:rPr>
        <w:t>“RML” means the average monthly amount (based on the prior three months) of Borrower’s “Net cash provided by (used in) operating activities” including Jumpstart Investments, as set forth in Borrower’s monthly cash flow statements prepared in accordance with GAAP, plus (solely with respect to month ended February 28, 2015) cash proceeds received by Borrower from TimePayment Corp. with respect to the sale of certain assets pursuant to that certain Purchase and Sale Agreement dated as of January 28, 2015.</w:t>
      </w:r>
    </w:p>
    <w:p>
      <w:pPr>
        <w:spacing w:after="0" w:line="215" w:lineRule="exact"/>
        <w:rPr>
          <w:sz w:val="20"/>
          <w:szCs w:val="20"/>
          <w:color w:val="auto"/>
        </w:rPr>
      </w:pPr>
    </w:p>
    <w:p>
      <w:pPr>
        <w:jc w:val="both"/>
        <w:ind w:firstLine="656"/>
        <w:spacing w:after="0" w:line="25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215" w:lineRule="exact"/>
        <w:rPr>
          <w:rFonts w:ascii="Arial" w:cs="Arial" w:eastAsia="Arial" w:hAnsi="Arial"/>
          <w:sz w:val="18"/>
          <w:szCs w:val="18"/>
          <w:color w:val="auto"/>
        </w:rPr>
      </w:pPr>
    </w:p>
    <w:p>
      <w:pPr>
        <w:ind w:right="20" w:firstLine="656"/>
        <w:spacing w:after="0" w:line="277" w:lineRule="auto"/>
        <w:tabs>
          <w:tab w:leader="none" w:pos="13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 other than the Covenant Defaults.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30" w:name="page31"/>
    <w:bookmarkEnd w:id="30"/>
    <w:p>
      <w:pPr>
        <w:jc w:val="both"/>
        <w:ind w:firstLine="656"/>
        <w:spacing w:after="0" w:line="235" w:lineRule="auto"/>
        <w:tabs>
          <w:tab w:leader="none" w:pos="145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222" w:lineRule="exact"/>
        <w:rPr>
          <w:rFonts w:ascii="Arial" w:cs="Arial" w:eastAsia="Arial" w:hAnsi="Arial"/>
          <w:sz w:val="22"/>
          <w:szCs w:val="22"/>
          <w:color w:val="auto"/>
        </w:rPr>
      </w:pPr>
    </w:p>
    <w:p>
      <w:pPr>
        <w:ind w:left="1280" w:hanging="624"/>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75" w:lineRule="exact"/>
        <w:rPr>
          <w:rFonts w:ascii="Arial" w:cs="Arial" w:eastAsia="Arial" w:hAnsi="Arial"/>
          <w:sz w:val="16"/>
          <w:szCs w:val="16"/>
          <w:color w:val="auto"/>
        </w:rPr>
      </w:pPr>
    </w:p>
    <w:p>
      <w:pPr>
        <w:ind w:left="2000" w:hanging="695"/>
        <w:spacing w:after="0"/>
        <w:tabs>
          <w:tab w:leader="none" w:pos="20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 and</w:t>
      </w:r>
    </w:p>
    <w:p>
      <w:pPr>
        <w:spacing w:after="0" w:line="252" w:lineRule="exact"/>
        <w:rPr>
          <w:rFonts w:ascii="Arial" w:cs="Arial" w:eastAsia="Arial" w:hAnsi="Arial"/>
          <w:sz w:val="18"/>
          <w:szCs w:val="18"/>
          <w:b w:val="1"/>
          <w:bCs w:val="1"/>
          <w:color w:val="auto"/>
        </w:rPr>
      </w:pPr>
    </w:p>
    <w:p>
      <w:pPr>
        <w:ind w:left="2020" w:hanging="715"/>
        <w:spacing w:after="0"/>
        <w:tabs>
          <w:tab w:leader="none" w:pos="202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payment of an amendment fee equal to $3,000, plus payment of all Bank Expenses incurred by Bank through the date hereof.</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2512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AVIDBANK CORPORATE FINANCE,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31" w:name="page32"/>
    <w:bookmarkEnd w:id="31"/>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MASTERCARD ACCEPTANCE AGREEMENT</w:t>
            </w:r>
          </w:p>
        </w:tc>
        <w:tc>
          <w:tcPr>
            <w:tcW w:w="3800" w:type="dxa"/>
            <w:vAlign w:val="bottom"/>
          </w:tcPr>
          <w:p>
            <w:pPr>
              <w:spacing w:after="0"/>
              <w:rPr>
                <w:sz w:val="17"/>
                <w:szCs w:val="17"/>
                <w:color w:val="auto"/>
              </w:rPr>
            </w:pPr>
          </w:p>
        </w:tc>
      </w:tr>
      <w:tr>
        <w:trPr>
          <w:trHeight w:val="461"/>
        </w:trPr>
        <w:tc>
          <w:tcPr>
            <w:tcW w:w="296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8460" w:type="dxa"/>
            <w:vAlign w:val="bottom"/>
            <w:gridSpan w:val="3"/>
          </w:tcPr>
          <w:p>
            <w:pPr>
              <w:ind w:left="480"/>
              <w:spacing w:after="0"/>
              <w:rPr>
                <w:sz w:val="20"/>
                <w:szCs w:val="20"/>
                <w:color w:val="auto"/>
              </w:rPr>
            </w:pPr>
            <w:r>
              <w:rPr>
                <w:rFonts w:ascii="Arial" w:cs="Arial" w:eastAsia="Arial" w:hAnsi="Arial"/>
                <w:sz w:val="18"/>
                <w:szCs w:val="18"/>
                <w:color w:val="auto"/>
                <w:w w:val="94"/>
              </w:rPr>
              <w:t>The date Merchant’s Acquiring Bank effectuates the interchange rate set forth in Exhibit B(1) and provides</w:t>
            </w:r>
          </w:p>
        </w:tc>
      </w:tr>
      <w:tr>
        <w:trPr>
          <w:trHeight w:val="234"/>
        </w:trPr>
        <w:tc>
          <w:tcPr>
            <w:tcW w:w="2960" w:type="dxa"/>
            <w:vAlign w:val="bottom"/>
          </w:tcPr>
          <w:p>
            <w:pPr>
              <w:spacing w:after="0"/>
              <w:rPr>
                <w:sz w:val="20"/>
                <w:szCs w:val="20"/>
                <w:color w:val="auto"/>
              </w:rPr>
            </w:pPr>
          </w:p>
        </w:tc>
        <w:tc>
          <w:tcPr>
            <w:tcW w:w="8460" w:type="dxa"/>
            <w:vAlign w:val="bottom"/>
            <w:gridSpan w:val="3"/>
          </w:tcPr>
          <w:p>
            <w:pPr>
              <w:ind w:left="480"/>
              <w:spacing w:after="0"/>
              <w:rPr>
                <w:sz w:val="20"/>
                <w:szCs w:val="20"/>
                <w:color w:val="auto"/>
              </w:rPr>
            </w:pPr>
            <w:r>
              <w:rPr>
                <w:rFonts w:ascii="Arial" w:cs="Arial" w:eastAsia="Arial" w:hAnsi="Arial"/>
                <w:sz w:val="18"/>
                <w:szCs w:val="18"/>
                <w:color w:val="auto"/>
              </w:rPr>
              <w:t xml:space="preserve">written notification to MasterCard of same </w:t>
            </w:r>
            <w:r>
              <w:rPr>
                <w:rFonts w:ascii="Arial" w:cs="Arial" w:eastAsia="Arial" w:hAnsi="Arial"/>
                <w:sz w:val="18"/>
                <w:szCs w:val="18"/>
                <w:b w:val="1"/>
                <w:bCs w:val="1"/>
                <w:color w:val="auto"/>
              </w:rPr>
              <w:t>(“Effective Date”)</w:t>
            </w:r>
          </w:p>
        </w:tc>
      </w:tr>
      <w:tr>
        <w:trPr>
          <w:trHeight w:val="459"/>
        </w:trPr>
        <w:tc>
          <w:tcPr>
            <w:tcW w:w="2960" w:type="dxa"/>
            <w:vAlign w:val="bottom"/>
          </w:tcPr>
          <w:p>
            <w:pPr>
              <w:spacing w:after="0"/>
              <w:rPr>
                <w:sz w:val="20"/>
                <w:szCs w:val="20"/>
                <w:color w:val="auto"/>
              </w:rPr>
            </w:pPr>
            <w:r>
              <w:rPr>
                <w:rFonts w:ascii="Arial" w:cs="Arial" w:eastAsia="Arial" w:hAnsi="Arial"/>
                <w:sz w:val="18"/>
                <w:szCs w:val="18"/>
                <w:b w:val="1"/>
                <w:bCs w:val="1"/>
                <w:color w:val="auto"/>
              </w:rPr>
              <w:t>Term of Agreement:</w:t>
            </w:r>
          </w:p>
        </w:tc>
        <w:tc>
          <w:tcPr>
            <w:tcW w:w="8460" w:type="dxa"/>
            <w:vAlign w:val="bottom"/>
            <w:gridSpan w:val="3"/>
          </w:tcPr>
          <w:p>
            <w:pPr>
              <w:ind w:left="480"/>
              <w:spacing w:after="0"/>
              <w:rPr>
                <w:sz w:val="20"/>
                <w:szCs w:val="20"/>
                <w:color w:val="auto"/>
              </w:rPr>
            </w:pPr>
            <w:r>
              <w:rPr>
                <w:rFonts w:ascii="Arial" w:cs="Arial" w:eastAsia="Arial" w:hAnsi="Arial"/>
                <w:sz w:val="18"/>
                <w:szCs w:val="18"/>
                <w:color w:val="auto"/>
                <w:w w:val="93"/>
              </w:rPr>
              <w:t xml:space="preserve">The period from the Effective Date through the date that is three (3) years after the Effective Date </w:t>
            </w:r>
            <w:r>
              <w:rPr>
                <w:rFonts w:ascii="Arial" w:cs="Arial" w:eastAsia="Arial" w:hAnsi="Arial"/>
                <w:sz w:val="18"/>
                <w:szCs w:val="18"/>
                <w:b w:val="1"/>
                <w:bCs w:val="1"/>
                <w:color w:val="auto"/>
                <w:w w:val="93"/>
              </w:rPr>
              <w:t>(“Term”)</w:t>
            </w:r>
          </w:p>
        </w:tc>
      </w:tr>
      <w:tr>
        <w:trPr>
          <w:trHeight w:val="441"/>
        </w:trPr>
        <w:tc>
          <w:tcPr>
            <w:tcW w:w="2960" w:type="dxa"/>
            <w:vAlign w:val="bottom"/>
          </w:tcPr>
          <w:p>
            <w:pPr>
              <w:spacing w:after="0"/>
              <w:rPr>
                <w:sz w:val="20"/>
                <w:szCs w:val="20"/>
                <w:color w:val="auto"/>
              </w:rPr>
            </w:pPr>
            <w:r>
              <w:rPr>
                <w:rFonts w:ascii="Arial" w:cs="Arial" w:eastAsia="Arial" w:hAnsi="Arial"/>
                <w:sz w:val="18"/>
                <w:szCs w:val="18"/>
                <w:b w:val="1"/>
                <w:bCs w:val="1"/>
                <w:color w:val="auto"/>
              </w:rPr>
              <w:t>Merchant Contact:</w:t>
            </w:r>
          </w:p>
        </w:tc>
        <w:tc>
          <w:tcPr>
            <w:tcW w:w="8460" w:type="dxa"/>
            <w:vAlign w:val="bottom"/>
            <w:gridSpan w:val="3"/>
          </w:tcPr>
          <w:p>
            <w:pPr>
              <w:ind w:left="480"/>
              <w:spacing w:after="0"/>
              <w:rPr>
                <w:sz w:val="20"/>
                <w:szCs w:val="20"/>
                <w:color w:val="auto"/>
              </w:rPr>
            </w:pPr>
            <w:r>
              <w:rPr>
                <w:rFonts w:ascii="Arial" w:cs="Arial" w:eastAsia="Arial" w:hAnsi="Arial"/>
                <w:sz w:val="18"/>
                <w:szCs w:val="18"/>
                <w:color w:val="auto"/>
              </w:rPr>
              <w:t>David M. DeMedio</w:t>
            </w: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Merchant Phone Number:</w:t>
            </w:r>
          </w:p>
        </w:tc>
        <w:tc>
          <w:tcPr>
            <w:tcW w:w="4660" w:type="dxa"/>
            <w:vAlign w:val="bottom"/>
            <w:gridSpan w:val="2"/>
          </w:tcPr>
          <w:p>
            <w:pPr>
              <w:ind w:left="480"/>
              <w:spacing w:after="0"/>
              <w:rPr>
                <w:sz w:val="20"/>
                <w:szCs w:val="20"/>
                <w:color w:val="auto"/>
              </w:rPr>
            </w:pPr>
            <w:r>
              <w:rPr>
                <w:rFonts w:ascii="Arial" w:cs="Arial" w:eastAsia="Arial" w:hAnsi="Arial"/>
                <w:sz w:val="18"/>
                <w:szCs w:val="18"/>
                <w:color w:val="auto"/>
              </w:rPr>
              <w:t>610-989-0340</w:t>
            </w:r>
          </w:p>
        </w:tc>
        <w:tc>
          <w:tcPr>
            <w:tcW w:w="380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Arial" w:cs="Arial" w:eastAsia="Arial" w:hAnsi="Arial"/>
                <w:sz w:val="18"/>
                <w:szCs w:val="18"/>
                <w:b w:val="1"/>
                <w:bCs w:val="1"/>
                <w:color w:val="auto"/>
              </w:rPr>
              <w:t>MasterCard Contact:</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MasterCard Phone Number:</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MasterCard Facsimile Number:</w:t>
            </w:r>
          </w:p>
        </w:tc>
        <w:tc>
          <w:tcPr>
            <w:tcW w:w="860" w:type="dxa"/>
            <w:vAlign w:val="bottom"/>
          </w:tcPr>
          <w:p>
            <w:pPr>
              <w:ind w:left="48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This Agreement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between </w:t>
      </w:r>
      <w:r>
        <w:rPr>
          <w:rFonts w:ascii="Arial" w:cs="Arial" w:eastAsia="Arial" w:hAnsi="Arial"/>
          <w:sz w:val="16"/>
          <w:szCs w:val="16"/>
          <w:b w:val="1"/>
          <w:bCs w:val="1"/>
          <w:color w:val="auto"/>
        </w:rPr>
        <w:t>MasterCard International Incorporated (“MasterCard”)</w:t>
      </w:r>
      <w:r>
        <w:rPr>
          <w:rFonts w:ascii="Arial" w:cs="Arial" w:eastAsia="Arial" w:hAnsi="Arial"/>
          <w:sz w:val="16"/>
          <w:szCs w:val="16"/>
          <w:color w:val="auto"/>
        </w:rPr>
        <w:t xml:space="preserve">, with its principal place of business at 2000 Purchase Street, Purchase, NY 10577 and </w:t>
      </w:r>
      <w:r>
        <w:rPr>
          <w:rFonts w:ascii="Arial" w:cs="Arial" w:eastAsia="Arial" w:hAnsi="Arial"/>
          <w:sz w:val="16"/>
          <w:szCs w:val="16"/>
          <w:b w:val="1"/>
          <w:bCs w:val="1"/>
          <w:color w:val="auto"/>
        </w:rPr>
        <w:t>USA Technologies, Inc.</w:t>
      </w:r>
      <w:r>
        <w:rPr>
          <w:rFonts w:ascii="Arial" w:cs="Arial" w:eastAsia="Arial" w:hAnsi="Arial"/>
          <w:sz w:val="16"/>
          <w:szCs w:val="16"/>
          <w:color w:val="auto"/>
        </w:rPr>
        <w:t xml:space="preserve">, for itself and its Affiliates </w:t>
      </w:r>
      <w:r>
        <w:rPr>
          <w:rFonts w:ascii="Arial" w:cs="Arial" w:eastAsia="Arial" w:hAnsi="Arial"/>
          <w:sz w:val="16"/>
          <w:szCs w:val="16"/>
          <w:b w:val="1"/>
          <w:bCs w:val="1"/>
          <w:color w:val="auto"/>
        </w:rPr>
        <w:t>(“Merchant”)</w:t>
      </w:r>
      <w:r>
        <w:rPr>
          <w:rFonts w:ascii="Arial" w:cs="Arial" w:eastAsia="Arial" w:hAnsi="Arial"/>
          <w:sz w:val="16"/>
          <w:szCs w:val="16"/>
          <w:color w:val="auto"/>
        </w:rPr>
        <w:t>, with its principal place of business at 100 Deerfield Lane, Malvern, PA 19355. Merchant and MasterCard shall be collectively referred to herein as “</w:t>
      </w:r>
      <w:r>
        <w:rPr>
          <w:rFonts w:ascii="Arial" w:cs="Arial" w:eastAsia="Arial" w:hAnsi="Arial"/>
          <w:sz w:val="16"/>
          <w:szCs w:val="16"/>
          <w:b w:val="1"/>
          <w:bCs w:val="1"/>
          <w:color w:val="auto"/>
        </w:rPr>
        <w:t>the Parties.</w:t>
      </w:r>
      <w:r>
        <w:rPr>
          <w:rFonts w:ascii="Arial" w:cs="Arial" w:eastAsia="Arial" w:hAnsi="Arial"/>
          <w:sz w:val="16"/>
          <w:szCs w:val="16"/>
          <w:color w:val="auto"/>
        </w:rPr>
        <w:t xml:space="preserve">” All capitalized terms contained herein and not otherwise defined herein shall have the meanings assigned to them in Exhibit C, attached hereto and incorporated herein by reference </w:t>
      </w:r>
      <w:r>
        <w:rPr>
          <w:rFonts w:ascii="Arial" w:cs="Arial" w:eastAsia="Arial" w:hAnsi="Arial"/>
          <w:sz w:val="16"/>
          <w:szCs w:val="16"/>
          <w:b w:val="1"/>
          <w:bCs w:val="1"/>
          <w:color w:val="auto"/>
        </w:rPr>
        <w:t>(“Exhibit C”)</w:t>
      </w:r>
      <w:r>
        <w:rPr>
          <w:rFonts w:ascii="Arial" w:cs="Arial" w:eastAsia="Arial" w:hAnsi="Arial"/>
          <w:sz w:val="16"/>
          <w:szCs w:val="16"/>
          <w:color w:val="auto"/>
        </w:rPr>
        <w: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of the mutual covenants and conditions set forth in this Agreement and in Exhibits A, B and C to this Agreement, all of which are incorporated in this Agreement by reference, MasterCard and Merchant agree as follows: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Subject to the terms and conditions specified in Exhibit A, attached hereto and incorporated herein by reference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each of the Parties shall perform their respective obligations as specified in Exhibit B attached hereto and incorporated herein by reference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MASTERCARD INTERNATIONAL</w:t>
            </w:r>
          </w:p>
        </w:tc>
        <w:tc>
          <w:tcPr>
            <w:tcW w:w="7160" w:type="dxa"/>
            <w:vAlign w:val="bottom"/>
          </w:tcPr>
          <w:p>
            <w:pPr>
              <w:ind w:left="1460"/>
              <w:spacing w:after="0"/>
              <w:rPr>
                <w:sz w:val="20"/>
                <w:szCs w:val="20"/>
                <w:color w:val="auto"/>
              </w:rPr>
            </w:pPr>
            <w:r>
              <w:rPr>
                <w:rFonts w:ascii="Arial" w:cs="Arial" w:eastAsia="Arial" w:hAnsi="Arial"/>
                <w:sz w:val="18"/>
                <w:szCs w:val="18"/>
                <w:b w:val="1"/>
                <w:bCs w:val="1"/>
                <w:color w:val="auto"/>
              </w:rPr>
              <w:t>USA TECHNOLOGIES, INC.</w:t>
            </w: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INCORPORATED</w:t>
            </w:r>
          </w:p>
        </w:tc>
        <w:tc>
          <w:tcPr>
            <w:tcW w:w="7160" w:type="dxa"/>
            <w:vAlign w:val="bottom"/>
          </w:tcPr>
          <w:p>
            <w:pPr>
              <w:spacing w:after="0"/>
              <w:rPr>
                <w:sz w:val="20"/>
                <w:szCs w:val="20"/>
                <w:color w:val="auto"/>
              </w:rPr>
            </w:pPr>
          </w:p>
        </w:tc>
      </w:tr>
      <w:tr>
        <w:trPr>
          <w:trHeight w:val="414"/>
        </w:trPr>
        <w:tc>
          <w:tcPr>
            <w:tcW w:w="4260" w:type="dxa"/>
            <w:vAlign w:val="bottom"/>
          </w:tcPr>
          <w:p>
            <w:pPr>
              <w:spacing w:after="0"/>
              <w:rPr>
                <w:sz w:val="20"/>
                <w:szCs w:val="20"/>
                <w:color w:val="auto"/>
              </w:rPr>
            </w:pPr>
            <w:r>
              <w:rPr>
                <w:rFonts w:ascii="Arial" w:cs="Arial" w:eastAsia="Arial" w:hAnsi="Arial"/>
                <w:sz w:val="18"/>
                <w:szCs w:val="18"/>
                <w:b w:val="1"/>
                <w:bCs w:val="1"/>
                <w:color w:val="auto"/>
              </w:rPr>
              <w:t>By: ***</w:t>
            </w:r>
          </w:p>
        </w:tc>
        <w:tc>
          <w:tcPr>
            <w:tcW w:w="7160" w:type="dxa"/>
            <w:vAlign w:val="bottom"/>
          </w:tcPr>
          <w:p>
            <w:pPr>
              <w:ind w:left="1460"/>
              <w:spacing w:after="0"/>
              <w:rPr>
                <w:sz w:val="20"/>
                <w:szCs w:val="20"/>
                <w:color w:val="auto"/>
              </w:rPr>
            </w:pPr>
            <w:r>
              <w:rPr>
                <w:rFonts w:ascii="Arial" w:cs="Arial" w:eastAsia="Arial" w:hAnsi="Arial"/>
                <w:sz w:val="18"/>
                <w:szCs w:val="18"/>
                <w:b w:val="1"/>
                <w:bCs w:val="1"/>
                <w:color w:val="auto"/>
              </w:rPr>
              <w:t>By: David M. DeMedio</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Name: ***</w:t>
            </w:r>
          </w:p>
        </w:tc>
        <w:tc>
          <w:tcPr>
            <w:tcW w:w="7160" w:type="dxa"/>
            <w:vAlign w:val="bottom"/>
          </w:tcPr>
          <w:p>
            <w:pPr>
              <w:ind w:left="1460"/>
              <w:spacing w:after="0"/>
              <w:rPr>
                <w:sz w:val="20"/>
                <w:szCs w:val="20"/>
                <w:color w:val="auto"/>
              </w:rPr>
            </w:pPr>
            <w:r>
              <w:rPr>
                <w:rFonts w:ascii="Arial" w:cs="Arial" w:eastAsia="Arial" w:hAnsi="Arial"/>
                <w:sz w:val="18"/>
                <w:szCs w:val="18"/>
                <w:b w:val="1"/>
                <w:bCs w:val="1"/>
                <w:color w:val="auto"/>
              </w:rPr>
              <w:t>Name: David M. DeMedio</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Title:  ***</w:t>
            </w:r>
          </w:p>
        </w:tc>
        <w:tc>
          <w:tcPr>
            <w:tcW w:w="7160" w:type="dxa"/>
            <w:vAlign w:val="bottom"/>
          </w:tcPr>
          <w:p>
            <w:pPr>
              <w:ind w:left="1460"/>
              <w:spacing w:after="0"/>
              <w:rPr>
                <w:sz w:val="20"/>
                <w:szCs w:val="20"/>
                <w:color w:val="auto"/>
              </w:rPr>
            </w:pPr>
            <w:r>
              <w:rPr>
                <w:rFonts w:ascii="Arial" w:cs="Arial" w:eastAsia="Arial" w:hAnsi="Arial"/>
                <w:sz w:val="18"/>
                <w:szCs w:val="18"/>
                <w:b w:val="1"/>
                <w:bCs w:val="1"/>
                <w:color w:val="auto"/>
              </w:rPr>
              <w:t>Title: Chief Financial Officer</w:t>
            </w: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Date: January 8, 2015</w:t>
            </w:r>
          </w:p>
        </w:tc>
        <w:tc>
          <w:tcPr>
            <w:tcW w:w="7160" w:type="dxa"/>
            <w:vAlign w:val="bottom"/>
          </w:tcPr>
          <w:p>
            <w:pPr>
              <w:ind w:left="1460"/>
              <w:spacing w:after="0"/>
              <w:rPr>
                <w:sz w:val="20"/>
                <w:szCs w:val="20"/>
                <w:color w:val="auto"/>
              </w:rPr>
            </w:pPr>
            <w:r>
              <w:rPr>
                <w:rFonts w:ascii="Arial" w:cs="Arial" w:eastAsia="Arial" w:hAnsi="Arial"/>
                <w:sz w:val="18"/>
                <w:szCs w:val="18"/>
                <w:b w:val="1"/>
                <w:bCs w:val="1"/>
                <w:color w:val="auto"/>
              </w:rPr>
              <w:t>Date: December 22, 2014</w:t>
            </w:r>
          </w:p>
        </w:tc>
      </w:tr>
      <w:tr>
        <w:trPr>
          <w:trHeight w:val="675"/>
        </w:trPr>
        <w:tc>
          <w:tcPr>
            <w:tcW w:w="4260" w:type="dxa"/>
            <w:vAlign w:val="bottom"/>
            <w:tcBorders>
              <w:bottom w:val="single" w:sz="8" w:color="DCDCDC"/>
            </w:tcBorders>
          </w:tcPr>
          <w:p>
            <w:pPr>
              <w:spacing w:after="0"/>
              <w:rPr>
                <w:sz w:val="24"/>
                <w:szCs w:val="24"/>
                <w:color w:val="auto"/>
              </w:rPr>
            </w:pPr>
          </w:p>
        </w:tc>
        <w:tc>
          <w:tcPr>
            <w:tcW w:w="7160" w:type="dxa"/>
            <w:vAlign w:val="bottom"/>
            <w:tcBorders>
              <w:bottom w:val="single" w:sz="8" w:color="DCDCDC"/>
            </w:tcBorders>
          </w:tcPr>
          <w:p>
            <w:pPr>
              <w:ind w:left="140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25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w:t>
      </w:r>
    </w:p>
    <w:p>
      <w:pPr>
        <w:spacing w:after="0" w:line="252" w:lineRule="exact"/>
        <w:rPr>
          <w:sz w:val="20"/>
          <w:szCs w:val="20"/>
          <w:color w:val="auto"/>
        </w:rPr>
      </w:pPr>
    </w:p>
    <w:p>
      <w:pPr>
        <w:jc w:val="both"/>
        <w:ind w:firstLine="656"/>
        <w:spacing w:after="0" w:line="281" w:lineRule="auto"/>
        <w:tabs>
          <w:tab w:leader="none" w:pos="1611"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Merchant and MasterCard each warrant and represent that: (i) it has the power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to grant the rights and perform the obligations to which it commits to pursuant to the terms and conditions set forth in this Agreement; (ii) the execution of this Agreement by the person representing it will be sufficient to render this Agreement binding upon it; and (iii) its performance under this Agreement will not violate the legal rights of any third parties, or the terms of any other agreement to which the warranting party is a party.</w:t>
      </w:r>
    </w:p>
    <w:p>
      <w:pPr>
        <w:spacing w:after="0" w:line="191" w:lineRule="exact"/>
        <w:rPr>
          <w:rFonts w:ascii="Arial" w:cs="Arial" w:eastAsia="Arial" w:hAnsi="Arial"/>
          <w:sz w:val="17"/>
          <w:szCs w:val="17"/>
          <w:b w:val="1"/>
          <w:bCs w:val="1"/>
          <w:color w:val="auto"/>
        </w:rPr>
      </w:pPr>
    </w:p>
    <w:p>
      <w:pPr>
        <w:jc w:val="both"/>
        <w:ind w:firstLine="656"/>
        <w:spacing w:after="0" w:line="261" w:lineRule="auto"/>
        <w:tabs>
          <w:tab w:leader="none" w:pos="138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INTELLECTUAL PROPERTY. </w:t>
      </w:r>
      <w:r>
        <w:rPr>
          <w:rFonts w:ascii="Arial" w:cs="Arial" w:eastAsia="Arial" w:hAnsi="Arial"/>
          <w:sz w:val="18"/>
          <w:szCs w:val="18"/>
          <w:color w:val="auto"/>
        </w:rPr>
        <w:t>From the Effective Date of this Agreement and through including expiration or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Parties agree that nothing contained in this Agreement will give either party a license or other right to use the trademarks, service marks, corporate name, logos, brands, copyrights or other intellectual property of the other Party. Any such use will require the prior written consent of the Party that owns such intellectual property.</w:t>
      </w:r>
    </w:p>
    <w:p>
      <w:pPr>
        <w:spacing w:after="0" w:line="207" w:lineRule="exact"/>
        <w:rPr>
          <w:rFonts w:ascii="Arial" w:cs="Arial" w:eastAsia="Arial" w:hAnsi="Arial"/>
          <w:sz w:val="18"/>
          <w:szCs w:val="18"/>
          <w:b w:val="1"/>
          <w:bCs w:val="1"/>
          <w:color w:val="auto"/>
        </w:rPr>
      </w:pPr>
    </w:p>
    <w:p>
      <w:pPr>
        <w:jc w:val="both"/>
        <w:ind w:firstLine="656"/>
        <w:spacing w:after="0" w:line="270" w:lineRule="auto"/>
        <w:tabs>
          <w:tab w:leader="none" w:pos="1368"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Except as otherwise required or permitted by applicable law, court order or the Standards, each party hereto agrees</w:t>
      </w:r>
      <w:r>
        <w:rPr>
          <w:rFonts w:ascii="Arial" w:cs="Arial" w:eastAsia="Arial" w:hAnsi="Arial"/>
          <w:sz w:val="17"/>
          <w:szCs w:val="17"/>
          <w:b w:val="1"/>
          <w:bCs w:val="1"/>
          <w:color w:val="auto"/>
        </w:rPr>
        <w:t xml:space="preserve"> </w:t>
      </w:r>
      <w:r>
        <w:rPr>
          <w:rFonts w:ascii="Arial" w:cs="Arial" w:eastAsia="Arial" w:hAnsi="Arial"/>
          <w:sz w:val="17"/>
          <w:szCs w:val="17"/>
          <w:color w:val="auto"/>
        </w:rPr>
        <w:t>to treat any information relating to this Agreement (other than the existence of this Agreement) and all terms and conditions of this Agreement as confidential (collectively,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shall disclose such Confidential Information only to those individuals with a reasonable need to know within its organization (provided such individuals agree to be bound by the confidentiality obligations herein), and shall not disclose any such Confidential Information to third parties, without the disclosing party’s prior written approval, except that each party hereto may disclose same to its advisors, affiliates, auditors, regulators, outside board members and outside counsel provided such persons are advised of, and observe the obligations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Notwithstanding anything to the contrary therein, it is expressly agreed by the Parties that the existence of the MasterCard Interchange Rate as defined in Exhibit B.1 (not specifically identifying Merchant as a qualifying merchant for any such particular rate, unless otherwise subject to disclosure pursuant to the Standards) shall not be considered “Confidential Information” and MasterCard’s public disclosure of same (in any medium, at times and on dates as shall be determined by MasterCard, in its sole discretion) shall not require Merchant pre-approval or review.</w:t>
      </w:r>
    </w:p>
    <w:p>
      <w:pPr>
        <w:spacing w:after="0" w:line="204" w:lineRule="exact"/>
        <w:rPr>
          <w:rFonts w:ascii="Arial" w:cs="Arial" w:eastAsia="Arial" w:hAnsi="Arial"/>
          <w:sz w:val="17"/>
          <w:szCs w:val="17"/>
          <w:b w:val="1"/>
          <w:bCs w:val="1"/>
          <w:color w:val="auto"/>
        </w:rPr>
      </w:pPr>
    </w:p>
    <w:p>
      <w:pPr>
        <w:ind w:right="160" w:firstLine="656"/>
        <w:spacing w:after="0" w:line="274" w:lineRule="auto"/>
        <w:tabs>
          <w:tab w:leader="none" w:pos="1368"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AND TERMINATION AND SURVIVAL PROVISIONS. </w:t>
      </w:r>
      <w:r>
        <w:rPr>
          <w:rFonts w:ascii="Arial" w:cs="Arial" w:eastAsia="Arial" w:hAnsi="Arial"/>
          <w:sz w:val="17"/>
          <w:szCs w:val="17"/>
          <w:color w:val="auto"/>
        </w:rPr>
        <w:t>This Agreement will be effective on the Effective Date and unless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earlier terminated in accordance with its terms, will expire on completion of the Term. In the event of expiration or termination of this Agreement, the terms of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will survive such expiration or termination of this Agreement in order to give effect to their purpose. Either Party, except as specifically indicated below, may immediately terminate this Agreement after the occurrence of a Default (as defined below) by the other party, which has been memorialized in a written notice thereof to the defaulting party. Except as otherwise specifically provided herein, termination of this Agreement shall not relieve the Parties of any obligation accruing with respect to this Agreement prior to such termination.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shall mean any of the following events:</w:t>
      </w:r>
    </w:p>
    <w:p>
      <w:pPr>
        <w:spacing w:after="0" w:line="256" w:lineRule="exact"/>
        <w:rPr>
          <w:sz w:val="20"/>
          <w:szCs w:val="20"/>
          <w:color w:val="auto"/>
        </w:rPr>
      </w:pPr>
    </w:p>
    <w:p>
      <w:pPr>
        <w:ind w:right="80" w:firstLine="8"/>
        <w:spacing w:after="0" w:line="264"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a Party to comply with or to perform any provision of this Agreement and continuance of such failure: (a) for ten (10) business days after receipt of written notice thereof by such party in respect of the obligations set forth in Sections 1 through 3 of this Exhibit A; and (b) for thirty (30) business days after receipt of written notice thereof by such party in respect of the obligations set forth in Exhibit B;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3" w:name="page34"/>
    <w:bookmarkEnd w:id="33"/>
    <w:p>
      <w:pPr>
        <w:ind w:right="180" w:firstLine="8"/>
        <w:spacing w:after="0" w:line="264"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party becomes insolvent, is unable to pay its debts as they mature, or is the subject of a petition in bankruptcy, whether voluntary or involuntary, or of any other proceeding under bankruptcy, insolvency, or similar laws; or is named in, or its property is subjected to, a suit for the appointment of a receiver; or is dissolved or liquidated; or</w:t>
      </w:r>
    </w:p>
    <w:p>
      <w:pPr>
        <w:spacing w:after="0" w:line="208" w:lineRule="exact"/>
        <w:rPr>
          <w:rFonts w:ascii="Arial" w:cs="Arial" w:eastAsia="Arial" w:hAnsi="Arial"/>
          <w:sz w:val="18"/>
          <w:szCs w:val="18"/>
          <w:color w:val="auto"/>
        </w:rPr>
      </w:pPr>
    </w:p>
    <w:p>
      <w:pPr>
        <w:jc w:val="both"/>
        <w:ind w:firstLine="8"/>
        <w:spacing w:after="0" w:line="291" w:lineRule="auto"/>
        <w:tabs>
          <w:tab w:leader="none" w:pos="79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current interchange payment system is materially changed due directly or indirectly to any regulatory or other governmental action, litigation, settlement or other “industry-wide” action that affects (directly or indirectly) MasterCard’s interchange rates (collectively referred to herein as the “</w:t>
      </w:r>
      <w:r>
        <w:rPr>
          <w:rFonts w:ascii="Arial" w:cs="Arial" w:eastAsia="Arial" w:hAnsi="Arial"/>
          <w:sz w:val="16"/>
          <w:szCs w:val="16"/>
          <w:b w:val="1"/>
          <w:bCs w:val="1"/>
          <w:color w:val="auto"/>
        </w:rPr>
        <w:t>Interchange Regulation</w:t>
      </w:r>
      <w:r>
        <w:rPr>
          <w:rFonts w:ascii="Arial" w:cs="Arial" w:eastAsia="Arial" w:hAnsi="Arial"/>
          <w:sz w:val="16"/>
          <w:szCs w:val="16"/>
          <w:color w:val="auto"/>
        </w:rPr>
        <w:t xml:space="preserve">”). Notwithstanding this </w:t>
      </w:r>
      <w:r>
        <w:rPr>
          <w:rFonts w:ascii="Arial" w:cs="Arial" w:eastAsia="Arial" w:hAnsi="Arial"/>
          <w:sz w:val="16"/>
          <w:szCs w:val="16"/>
          <w:u w:val="single" w:color="auto"/>
          <w:color w:val="auto"/>
        </w:rPr>
        <w:t>Section 4(iii)</w:t>
      </w:r>
      <w:r>
        <w:rPr>
          <w:rFonts w:ascii="Arial" w:cs="Arial" w:eastAsia="Arial" w:hAnsi="Arial"/>
          <w:sz w:val="16"/>
          <w:szCs w:val="16"/>
          <w:color w:val="auto"/>
        </w:rPr>
        <w:t>, upon the occurrence of a Interchange Regulation, it is acknowledged and agreed by the Parties that the Parties will work together in good faith for a commercially reasonable time period, to amend this Agreement in order to effect a mutually agreeable positive economic result for Merchant for the remainder of the Term, subject to and expressly conditioned upon restrictions, if any, set forth in the Interchange Regulation. In respect thereof, should the Parties fail to agree on such amended terms and conditions within a commercially reasonable timeframe (as shall be reasonably and mutually agreed to by the Parties), either Party may immediately terminate this Agreement pursuant to this subsection.</w:t>
      </w:r>
    </w:p>
    <w:p>
      <w:pPr>
        <w:spacing w:after="0" w:line="190" w:lineRule="exact"/>
        <w:rPr>
          <w:rFonts w:ascii="Arial" w:cs="Arial" w:eastAsia="Arial" w:hAnsi="Arial"/>
          <w:sz w:val="16"/>
          <w:szCs w:val="16"/>
          <w:color w:val="auto"/>
        </w:rPr>
      </w:pPr>
    </w:p>
    <w:p>
      <w:pPr>
        <w:ind w:right="20" w:firstLine="656"/>
        <w:spacing w:after="0" w:line="282" w:lineRule="auto"/>
        <w:tabs>
          <w:tab w:leader="none" w:pos="153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RELATIONSHIP OF THE PARTIES. </w:t>
      </w:r>
      <w:r>
        <w:rPr>
          <w:rFonts w:ascii="Arial" w:cs="Arial" w:eastAsia="Arial" w:hAnsi="Arial"/>
          <w:sz w:val="18"/>
          <w:szCs w:val="18"/>
          <w:color w:val="auto"/>
        </w:rPr>
        <w:t>Merchant and MasterCard are independent contractors, and this Agreement does not create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employee/employer or other agency relationship between them.</w:t>
      </w:r>
    </w:p>
    <w:p>
      <w:pPr>
        <w:spacing w:after="0" w:line="188" w:lineRule="exact"/>
        <w:rPr>
          <w:rFonts w:ascii="Arial" w:cs="Arial" w:eastAsia="Arial" w:hAnsi="Arial"/>
          <w:sz w:val="18"/>
          <w:szCs w:val="18"/>
          <w:b w:val="1"/>
          <w:bCs w:val="1"/>
          <w:color w:val="auto"/>
        </w:rPr>
      </w:pPr>
    </w:p>
    <w:p>
      <w:pPr>
        <w:jc w:val="both"/>
        <w:ind w:right="20" w:firstLine="656"/>
        <w:spacing w:after="0" w:line="266" w:lineRule="auto"/>
        <w:tabs>
          <w:tab w:leader="none" w:pos="1395"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This Agreement will be binding on and inure to the benefit of each of the Parties, their successors and permitted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Except as expressly permitted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this Agreement may not be assigned or transferred, in whole or in part, without the written consent of the other party. Any such assignment or transfer without consent will be void.</w:t>
      </w:r>
    </w:p>
    <w:p>
      <w:pPr>
        <w:spacing w:after="0" w:line="203" w:lineRule="exact"/>
        <w:rPr>
          <w:rFonts w:ascii="Arial" w:cs="Arial" w:eastAsia="Arial" w:hAnsi="Arial"/>
          <w:sz w:val="18"/>
          <w:szCs w:val="18"/>
          <w:b w:val="1"/>
          <w:bCs w:val="1"/>
          <w:color w:val="auto"/>
        </w:rPr>
      </w:pPr>
    </w:p>
    <w:p>
      <w:pPr>
        <w:jc w:val="both"/>
        <w:ind w:firstLine="656"/>
        <w:spacing w:after="0" w:line="255" w:lineRule="auto"/>
        <w:tabs>
          <w:tab w:leader="none" w:pos="1463"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and other communications required to be given under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been given (a) when personally delivered; or (b) when received by certified mail; or (c) when delivered (and receipted for) by an overnight delivery service, addressed in each case to the Parties at the addresses set forth on the first page of this Agreement (in the cases of notices to </w:t>
      </w:r>
      <w:r>
        <w:rPr>
          <w:rFonts w:ascii="Arial" w:cs="Arial" w:eastAsia="Arial" w:hAnsi="Arial"/>
          <w:sz w:val="18"/>
          <w:szCs w:val="18"/>
          <w:u w:val="single" w:color="auto"/>
          <w:color w:val="auto"/>
        </w:rPr>
        <w:t>Merchant,</w:t>
      </w:r>
      <w:r>
        <w:rPr>
          <w:rFonts w:ascii="Arial" w:cs="Arial" w:eastAsia="Arial" w:hAnsi="Arial"/>
          <w:sz w:val="18"/>
          <w:szCs w:val="18"/>
          <w:color w:val="auto"/>
        </w:rPr>
        <w:t xml:space="preserve"> a copy of any such notice shall be delivered to USA Technologies, Inc., 100 Deerfield Lane, Malvern PA 19335 – Attention David M. DeMedio, with a copy to Legal Department at the same address, unless a different address shall have been designated in writing and in the cases of notices to </w:t>
      </w:r>
      <w:r>
        <w:rPr>
          <w:rFonts w:ascii="Arial" w:cs="Arial" w:eastAsia="Arial" w:hAnsi="Arial"/>
          <w:sz w:val="18"/>
          <w:szCs w:val="18"/>
          <w:u w:val="single" w:color="auto"/>
          <w:color w:val="auto"/>
        </w:rPr>
        <w:t>MasterCard</w:t>
      </w:r>
      <w:r>
        <w:rPr>
          <w:rFonts w:ascii="Arial" w:cs="Arial" w:eastAsia="Arial" w:hAnsi="Arial"/>
          <w:sz w:val="18"/>
          <w:szCs w:val="18"/>
          <w:color w:val="auto"/>
        </w:rPr>
        <w:t>, a copy of any such notice shall be delivered to MasterCard International Incorporated, 2000 Purchase Street, Purchase, New York 10577 - Attention:***, with a copy to the Office of the General Counsel at the same address).</w:t>
      </w:r>
    </w:p>
    <w:p>
      <w:pPr>
        <w:spacing w:after="0" w:line="216" w:lineRule="exact"/>
        <w:rPr>
          <w:rFonts w:ascii="Arial" w:cs="Arial" w:eastAsia="Arial" w:hAnsi="Arial"/>
          <w:sz w:val="18"/>
          <w:szCs w:val="18"/>
          <w:b w:val="1"/>
          <w:bCs w:val="1"/>
          <w:color w:val="auto"/>
        </w:rPr>
      </w:pPr>
    </w:p>
    <w:p>
      <w:pPr>
        <w:jc w:val="both"/>
        <w:ind w:firstLine="656"/>
        <w:spacing w:after="0" w:line="314" w:lineRule="auto"/>
        <w:tabs>
          <w:tab w:leader="none" w:pos="1409"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and all claims arising out of or in connection with this Agreement will be governed by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of New York, without giving effect to its conflicts of law provisions. The New York Supreme Court for the County of Westchester in New York and the United States District Court for the Southern District of New York shall have exclusive jurisdiction over any and all disputes relating to this Agreement.</w:t>
      </w:r>
    </w:p>
    <w:p>
      <w:pPr>
        <w:spacing w:after="0" w:line="169" w:lineRule="exact"/>
        <w:rPr>
          <w:rFonts w:ascii="Arial" w:cs="Arial" w:eastAsia="Arial" w:hAnsi="Arial"/>
          <w:sz w:val="16"/>
          <w:szCs w:val="16"/>
          <w:b w:val="1"/>
          <w:bCs w:val="1"/>
          <w:color w:val="auto"/>
        </w:rPr>
      </w:pPr>
    </w:p>
    <w:p>
      <w:pPr>
        <w:jc w:val="both"/>
        <w:ind w:firstLine="656"/>
        <w:spacing w:after="0" w:line="261" w:lineRule="auto"/>
        <w:tabs>
          <w:tab w:leader="none" w:pos="149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constitutes the entire agreement and understanding between MasterCard and Merchant,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other agreements, representations, warranties or understandings between MasterCard and Merchant with respect to the subject matter of this Agreement. To the extent that any other agreement, written or verbal, appears to exist between the Parties with respect to the subject matter of this Agreement, this Agreement supersedes any such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4" w:name="page35"/>
    <w:bookmarkEnd w:id="34"/>
    <w:p>
      <w:pPr>
        <w:jc w:val="both"/>
        <w:ind w:firstLine="656"/>
        <w:spacing w:after="0" w:line="274" w:lineRule="auto"/>
        <w:tabs>
          <w:tab w:leader="none" w:pos="1395"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PUBLICITY. </w:t>
      </w:r>
      <w:r>
        <w:rPr>
          <w:rFonts w:ascii="Arial" w:cs="Arial" w:eastAsia="Arial" w:hAnsi="Arial"/>
          <w:sz w:val="17"/>
          <w:szCs w:val="17"/>
          <w:color w:val="auto"/>
        </w:rPr>
        <w:t>Subject to any disclosure required under applicable securities laws, neither party shall issue an independent press release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make any other public announcement, whether written, oral or otherwise, with respect to this Agreement without the prior written consent of the other party</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it being expressly agreed that MasterCard may issue press releases and make any other public announcements, whether written, oral or otherwise, with respect to the MasterCard Interchange Rate (as defined in Exhibit B.1) (provided, that the rate structure provided to Merchant under the terms of this Agreement and Merchant name as a qualifying merchant under such rate structure, shall remain confidential and not be disclosed unless otherwise disclosed in accordance with the terms and conditions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above).</w:t>
      </w:r>
    </w:p>
    <w:p>
      <w:pPr>
        <w:spacing w:after="0" w:line="200" w:lineRule="exact"/>
        <w:rPr>
          <w:rFonts w:ascii="Arial" w:cs="Arial" w:eastAsia="Arial" w:hAnsi="Arial"/>
          <w:sz w:val="17"/>
          <w:szCs w:val="17"/>
          <w:b w:val="1"/>
          <w:bCs w:val="1"/>
          <w:color w:val="auto"/>
        </w:rPr>
      </w:pPr>
    </w:p>
    <w:p>
      <w:pPr>
        <w:jc w:val="both"/>
        <w:ind w:firstLine="656"/>
        <w:spacing w:after="0" w:line="258" w:lineRule="auto"/>
        <w:tabs>
          <w:tab w:leader="none" w:pos="13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is determined to be invalid or unenforceable, the provision shall be deemed severed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remainder, which shall remain enforceable. If any provision of this Agreement does not comply with law, ordinance or regulation of any governmental or quasi-governmental authority, now existing or hereinafter enacted, such provision shall to the extent possible be interpreted in such a manner so as to comply with such law, ordinance or regulation, or if such interpretation is not possible, it shall be deemed amended, to satisfy the minimum requirements of this Agreement.</w:t>
      </w:r>
    </w:p>
    <w:p>
      <w:pPr>
        <w:spacing w:after="0" w:line="210" w:lineRule="exact"/>
        <w:rPr>
          <w:rFonts w:ascii="Arial" w:cs="Arial" w:eastAsia="Arial" w:hAnsi="Arial"/>
          <w:sz w:val="18"/>
          <w:szCs w:val="18"/>
          <w:b w:val="1"/>
          <w:bCs w:val="1"/>
          <w:color w:val="auto"/>
        </w:rPr>
      </w:pPr>
    </w:p>
    <w:p>
      <w:pPr>
        <w:jc w:val="both"/>
        <w:ind w:firstLine="656"/>
        <w:spacing w:after="0" w:line="303" w:lineRule="auto"/>
        <w:tabs>
          <w:tab w:leader="none" w:pos="138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 AND FAX SIGNATURES. </w:t>
      </w:r>
      <w:r>
        <w:rPr>
          <w:rFonts w:ascii="Arial" w:cs="Arial" w:eastAsia="Arial" w:hAnsi="Arial"/>
          <w:sz w:val="16"/>
          <w:szCs w:val="16"/>
          <w:color w:val="auto"/>
        </w:rPr>
        <w:t>This Agreement may be signed in counterparts, each of which shall be deemed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of which shall constitute one and the same instrument. This Agreement may also be signed and transmitted by facsimile, with such signature to be treated as an original and the document transmitted to be considered to have the same binding effect as an original signature on an original document. At the request of either party, any facsimile document will be re-executed in original form by the Parties who signed the facsimile document.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Term, MasterCard and Merchant agree as follows:</w:t>
      </w:r>
    </w:p>
    <w:p>
      <w:pPr>
        <w:spacing w:after="0" w:line="252" w:lineRule="exact"/>
        <w:rPr>
          <w:sz w:val="20"/>
          <w:szCs w:val="20"/>
          <w:color w:val="auto"/>
        </w:rPr>
      </w:pPr>
    </w:p>
    <w:p>
      <w:pPr>
        <w:jc w:val="both"/>
        <w:ind w:left="980" w:hanging="648"/>
        <w:spacing w:after="0" w:line="261" w:lineRule="auto"/>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Transaction Incentive Program. </w:t>
      </w:r>
      <w:r>
        <w:rPr>
          <w:rFonts w:ascii="Arial" w:cs="Arial" w:eastAsia="Arial" w:hAnsi="Arial"/>
          <w:sz w:val="18"/>
          <w:szCs w:val="18"/>
          <w:color w:val="auto"/>
        </w:rPr>
        <w:t>In exchange for Merchant’s agreement to comply with its obligations contained herein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Merchant’s agreement to secure and maintain, throughout the Term, a merchant agreement with an Acquiring Bank (as defined below), MasterCard agrees to offer the following interchange rate (the “</w:t>
      </w:r>
      <w:r>
        <w:rPr>
          <w:rFonts w:ascii="Arial" w:cs="Arial" w:eastAsia="Arial" w:hAnsi="Arial"/>
          <w:sz w:val="18"/>
          <w:szCs w:val="18"/>
          <w:b w:val="1"/>
          <w:bCs w:val="1"/>
          <w:color w:val="auto"/>
        </w:rPr>
        <w:t>MasterCard Interchange Rate”</w:t>
      </w:r>
      <w:r>
        <w:rPr>
          <w:rFonts w:ascii="Arial" w:cs="Arial" w:eastAsia="Arial" w:hAnsi="Arial"/>
          <w:sz w:val="18"/>
          <w:szCs w:val="18"/>
          <w:color w:val="auto"/>
        </w:rPr>
        <w:t>) for Qualified MasterCard Debit Transactions taking place within the Territory during the Term:</w:t>
      </w:r>
    </w:p>
    <w:p>
      <w:pPr>
        <w:spacing w:after="0" w:line="207" w:lineRule="exact"/>
        <w:rPr>
          <w:sz w:val="20"/>
          <w:szCs w:val="20"/>
          <w:color w:val="auto"/>
        </w:rPr>
      </w:pPr>
    </w:p>
    <w:p>
      <w:pPr>
        <w:jc w:val="both"/>
        <w:ind w:left="1800" w:hanging="333"/>
        <w:spacing w:after="0" w:line="289"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With respect to any Qualified MasterCard Debit Transactions in an ***, the MasterCard Interchange Rate shall be </w:t>
      </w:r>
      <w:r>
        <w:rPr>
          <w:rFonts w:ascii="Arial" w:cs="Arial" w:eastAsia="Arial" w:hAnsi="Arial"/>
          <w:sz w:val="17"/>
          <w:szCs w:val="17"/>
          <w:b w:val="1"/>
          <w:bCs w:val="1"/>
          <w:color w:val="auto"/>
        </w:rPr>
        <w:t>***</w:t>
      </w:r>
      <w:r>
        <w:rPr>
          <w:rFonts w:ascii="Arial" w:cs="Arial" w:eastAsia="Arial" w:hAnsi="Arial"/>
          <w:sz w:val="17"/>
          <w:szCs w:val="17"/>
          <w:color w:val="auto"/>
        </w:rPr>
        <w:t xml:space="preserve"> (which shall equal ***);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each such Qualified MasterCard Debit Transaction *** is in compliance with the established qualification criteria for those rates as detailed in the Standards or as otherwise provided to, or accessible by, Merchant.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respect of (i) above, for clarification, it is agreed by the Parties that all other classes of transactions (other than Qualified MasterCard Debit Transactions) will receive the then-current published rates in accordance with the established qualification criteria.</w:t>
      </w:r>
    </w:p>
    <w:p>
      <w:pPr>
        <w:spacing w:after="0" w:line="197"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MasterCard shall make the MasterCard Interchange Rate available directly to the Merchant’s MasterCard acquiring financial institution(s) which shall be identified, if changed, to MasterCard by Merchant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Exhibit B (collectively, the “</w:t>
      </w:r>
      <w:r>
        <w:rPr>
          <w:rFonts w:ascii="Arial" w:cs="Arial" w:eastAsia="Arial" w:hAnsi="Arial"/>
          <w:sz w:val="17"/>
          <w:szCs w:val="17"/>
          <w:b w:val="1"/>
          <w:bCs w:val="1"/>
          <w:color w:val="auto"/>
        </w:rPr>
        <w:t>Acquiring Bank(s)</w:t>
      </w:r>
      <w:r>
        <w:rPr>
          <w:rFonts w:ascii="Arial" w:cs="Arial" w:eastAsia="Arial" w:hAnsi="Arial"/>
          <w:sz w:val="17"/>
          <w:szCs w:val="17"/>
          <w:color w:val="auto"/>
        </w:rPr>
        <w:t>”) for Qualified MasterCard Debit Transactions. Merchant acknowledges that MasterCard does not set or have any influence over the merchant discount rate charged to the Merchant by Acquiring Banks for Qualified MasterCard Debit Transactions, and that such discount rate is determined entirely through a separate agreement between Merchant and the Acquiring Banks, to which MasterCard is not a party and about which MasterCard has no knowledge (the “</w:t>
      </w:r>
      <w:r>
        <w:rPr>
          <w:rFonts w:ascii="Arial" w:cs="Arial" w:eastAsia="Arial" w:hAnsi="Arial"/>
          <w:sz w:val="17"/>
          <w:szCs w:val="17"/>
          <w:b w:val="1"/>
          <w:bCs w:val="1"/>
          <w:color w:val="auto"/>
        </w:rPr>
        <w:t>Acquirer Relationship</w:t>
      </w:r>
      <w:r>
        <w:rPr>
          <w:rFonts w:ascii="Arial" w:cs="Arial" w:eastAsia="Arial" w:hAnsi="Arial"/>
          <w:sz w:val="17"/>
          <w:szCs w:val="17"/>
          <w:color w:val="auto"/>
        </w:rPr>
        <w:t>”). Merchant acknowledges and agrees that Acquiring Banks will directly realize the benefit of the MasterCard Interchange Rate and no direct payment will be made to Merchant from MasterCard. The extent to which Merchant benefits from this MasterCard Interchange Rate will be solely pursuant to the Acquirer Relationship.</w:t>
      </w:r>
    </w:p>
    <w:p>
      <w:pPr>
        <w:spacing w:after="0" w:line="20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Should Merchant fail to maintain an Acquirer Relationship throughout the Term, Merchant acknowledges and agrees that it shall be denied the benefits as set forth in Exhibit B (the “</w:t>
      </w:r>
      <w:r>
        <w:rPr>
          <w:rFonts w:ascii="Arial" w:cs="Arial" w:eastAsia="Arial" w:hAnsi="Arial"/>
          <w:sz w:val="18"/>
          <w:szCs w:val="18"/>
          <w:b w:val="1"/>
          <w:bCs w:val="1"/>
          <w:color w:val="auto"/>
        </w:rPr>
        <w:t>Denied Benefits</w:t>
      </w:r>
      <w:r>
        <w:rPr>
          <w:rFonts w:ascii="Arial" w:cs="Arial" w:eastAsia="Arial" w:hAnsi="Arial"/>
          <w:sz w:val="18"/>
          <w:szCs w:val="18"/>
          <w:color w:val="auto"/>
        </w:rPr>
        <w:t>”). Upon the occurrence of a Denied Benefits event, written notification of such Denied Benefits will be provided to Merchant as soon as commercially feasible.</w:t>
      </w:r>
    </w:p>
    <w:p>
      <w:pPr>
        <w:spacing w:after="0" w:line="204" w:lineRule="exact"/>
        <w:rPr>
          <w:sz w:val="20"/>
          <w:szCs w:val="20"/>
          <w:color w:val="auto"/>
        </w:rPr>
      </w:pPr>
    </w:p>
    <w:p>
      <w:pPr>
        <w:ind w:left="980" w:hanging="648"/>
        <w:spacing w:after="0" w:line="282" w:lineRule="auto"/>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Changing Acquiring Bank. </w:t>
      </w:r>
      <w:r>
        <w:rPr>
          <w:rFonts w:ascii="Arial" w:cs="Arial" w:eastAsia="Arial" w:hAnsi="Arial"/>
          <w:sz w:val="18"/>
          <w:szCs w:val="18"/>
          <w:color w:val="auto"/>
        </w:rPr>
        <w:t>Merchant will promptly notify MasterCard, in writing, if its Acquiring Bank changes, for any reason, or if 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Acquiring Bank is engaged by Merchant for the purposes contemplated in this Agreement.</w:t>
      </w:r>
    </w:p>
    <w:p>
      <w:pPr>
        <w:spacing w:after="0" w:line="188" w:lineRule="exact"/>
        <w:rPr>
          <w:rFonts w:ascii="Arial" w:cs="Arial" w:eastAsia="Arial" w:hAnsi="Arial"/>
          <w:sz w:val="18"/>
          <w:szCs w:val="18"/>
          <w:b w:val="1"/>
          <w:bCs w:val="1"/>
          <w:color w:val="auto"/>
        </w:rPr>
      </w:pPr>
    </w:p>
    <w:p>
      <w:pPr>
        <w:jc w:val="both"/>
        <w:ind w:left="980" w:hanging="648"/>
        <w:spacing w:after="0" w:line="266" w:lineRule="auto"/>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MasterCard Acceptance</w:t>
      </w:r>
      <w:r>
        <w:rPr>
          <w:rFonts w:ascii="Arial" w:cs="Arial" w:eastAsia="Arial" w:hAnsi="Arial"/>
          <w:sz w:val="18"/>
          <w:szCs w:val="18"/>
          <w:color w:val="auto"/>
        </w:rPr>
        <w:t>. Merchant agrees to accept MasterCard Debit Cards for the payment of goods and services by MasterCard</w:t>
      </w:r>
      <w:r>
        <w:rPr>
          <w:rFonts w:ascii="Arial" w:cs="Arial" w:eastAsia="Arial" w:hAnsi="Arial"/>
          <w:sz w:val="18"/>
          <w:szCs w:val="18"/>
          <w:b w:val="1"/>
          <w:bCs w:val="1"/>
          <w:color w:val="auto"/>
        </w:rPr>
        <w:t xml:space="preserve"> </w:t>
      </w:r>
      <w:r>
        <w:rPr>
          <w:rFonts w:ascii="Arial" w:cs="Arial" w:eastAsia="Arial" w:hAnsi="Arial"/>
          <w:sz w:val="18"/>
          <w:szCs w:val="18"/>
          <w:color w:val="auto"/>
        </w:rPr>
        <w:t>Cardholders for all Applicable Transactions in accordance with the Standards. Further, Merchant will accept other MasterCard Cards (including credit cards) for Applicable Transactions in a separate channel.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6" w:name="page37"/>
    <w:bookmarkEnd w:id="36"/>
    <w:p>
      <w:pPr>
        <w:jc w:val="both"/>
        <w:ind w:left="648" w:hanging="648"/>
        <w:spacing w:after="0" w:line="289" w:lineRule="auto"/>
        <w:tabs>
          <w:tab w:leader="none" w:pos="64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MasterCard Acceptance Expansion. </w:t>
      </w:r>
      <w:r>
        <w:rPr>
          <w:rFonts w:ascii="Arial" w:cs="Arial" w:eastAsia="Arial" w:hAnsi="Arial"/>
          <w:sz w:val="17"/>
          <w:szCs w:val="17"/>
          <w:color w:val="auto"/>
        </w:rPr>
        <w:t>During the Term, Merchant agrees to discuss opportunities with MasterCard to expand acceptance of</w:t>
      </w:r>
      <w:r>
        <w:rPr>
          <w:rFonts w:ascii="Arial" w:cs="Arial" w:eastAsia="Arial" w:hAnsi="Arial"/>
          <w:sz w:val="17"/>
          <w:szCs w:val="17"/>
          <w:b w:val="1"/>
          <w:bCs w:val="1"/>
          <w:color w:val="auto"/>
        </w:rPr>
        <w:t xml:space="preserve"> </w:t>
      </w:r>
      <w:r>
        <w:rPr>
          <w:rFonts w:ascii="Arial" w:cs="Arial" w:eastAsia="Arial" w:hAnsi="Arial"/>
          <w:sz w:val="17"/>
          <w:szCs w:val="17"/>
          <w:color w:val="auto"/>
        </w:rPr>
        <w:t>MasterCard Cards and identify cashless opportunities throughout its business not heretofore identified. Further, Merchant agrees that it shall use its reasonable efforts to market the acceptance benefits of MasterCard Debit Cards to its customers.</w:t>
      </w:r>
    </w:p>
    <w:p>
      <w:pPr>
        <w:spacing w:after="0" w:line="185" w:lineRule="exact"/>
        <w:rPr>
          <w:rFonts w:ascii="Arial" w:cs="Arial" w:eastAsia="Arial" w:hAnsi="Arial"/>
          <w:sz w:val="17"/>
          <w:szCs w:val="17"/>
          <w:b w:val="1"/>
          <w:bCs w:val="1"/>
          <w:color w:val="auto"/>
        </w:rPr>
      </w:pPr>
    </w:p>
    <w:p>
      <w:pPr>
        <w:jc w:val="both"/>
        <w:ind w:left="648" w:hanging="648"/>
        <w:spacing w:after="0" w:line="266"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Merchant agrees that it shall provide written reports to MasterCard on a quarterly basis throughout the Term which such reports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true and accurate and shall include the following information (in each case, both for the just-completed quarter and for the corresponding quarter during the immediately preceding calendar year): (i) *** during the applicable quarters; and (ii) ***.</w:t>
      </w:r>
    </w:p>
    <w:p>
      <w:pPr>
        <w:spacing w:after="0" w:line="200" w:lineRule="exact"/>
        <w:rPr>
          <w:sz w:val="20"/>
          <w:szCs w:val="20"/>
          <w:color w:val="auto"/>
        </w:rPr>
      </w:pPr>
    </w:p>
    <w:p>
      <w:pPr>
        <w:spacing w:after="0" w:line="2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1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w:t>
      </w:r>
    </w:p>
    <w:p>
      <w:pPr>
        <w:spacing w:after="0" w:line="248" w:lineRule="exact"/>
        <w:rPr>
          <w:sz w:val="20"/>
          <w:szCs w:val="20"/>
          <w:color w:val="auto"/>
        </w:rPr>
      </w:pPr>
    </w:p>
    <w:p>
      <w:pPr>
        <w:ind w:firstLine="8"/>
        <w:spacing w:after="0" w:line="282" w:lineRule="auto"/>
        <w:tabs>
          <w:tab w:leader="none" w:pos="81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or entity, any other person or entity that, directly or indirectly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person or entity.</w:t>
      </w:r>
    </w:p>
    <w:p>
      <w:pPr>
        <w:spacing w:after="0" w:line="188" w:lineRule="exact"/>
        <w:rPr>
          <w:rFonts w:ascii="Arial" w:cs="Arial" w:eastAsia="Arial" w:hAnsi="Arial"/>
          <w:sz w:val="18"/>
          <w:szCs w:val="18"/>
          <w:color w:val="auto"/>
        </w:rPr>
      </w:pPr>
    </w:p>
    <w:p>
      <w:pPr>
        <w:ind w:left="780" w:hanging="772"/>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“Applicable Transactions” </w:t>
      </w:r>
      <w:r>
        <w:rPr>
          <w:rFonts w:ascii="Arial" w:cs="Arial" w:eastAsia="Arial" w:hAnsi="Arial"/>
          <w:sz w:val="16"/>
          <w:szCs w:val="16"/>
          <w:color w:val="auto"/>
        </w:rPr>
        <w:t>means payments processed using the Company Products and authorized, cleared and settled by MasterCard under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 ***.</w:t>
      </w:r>
    </w:p>
    <w:p>
      <w:pPr>
        <w:spacing w:after="0" w:line="233" w:lineRule="exact"/>
        <w:rPr>
          <w:rFonts w:ascii="Arial" w:cs="Arial" w:eastAsia="Arial" w:hAnsi="Arial"/>
          <w:sz w:val="16"/>
          <w:szCs w:val="16"/>
          <w:color w:val="auto"/>
        </w:rPr>
      </w:pPr>
    </w:p>
    <w:p>
      <w:pPr>
        <w:jc w:val="both"/>
        <w:ind w:firstLine="8"/>
        <w:spacing w:after="0" w:line="266"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“Card(s)” </w:t>
      </w:r>
      <w:r>
        <w:rPr>
          <w:rFonts w:ascii="Arial" w:cs="Arial" w:eastAsia="Arial" w:hAnsi="Arial"/>
          <w:sz w:val="18"/>
          <w:szCs w:val="18"/>
          <w:color w:val="auto"/>
        </w:rPr>
        <w:t>shall include, without limitation, any (1) bank card, credit card, charge card, travel and entertainment card, commercial card, debit card,</w:t>
      </w:r>
      <w:r>
        <w:rPr>
          <w:rFonts w:ascii="Arial" w:cs="Arial" w:eastAsia="Arial" w:hAnsi="Arial"/>
          <w:sz w:val="18"/>
          <w:szCs w:val="18"/>
          <w:b w:val="1"/>
          <w:bCs w:val="1"/>
          <w:color w:val="auto"/>
        </w:rPr>
        <w:t xml:space="preserve"> </w:t>
      </w:r>
      <w:r>
        <w:rPr>
          <w:rFonts w:ascii="Arial" w:cs="Arial" w:eastAsia="Arial" w:hAnsi="Arial"/>
          <w:sz w:val="18"/>
          <w:szCs w:val="18"/>
          <w:color w:val="auto"/>
        </w:rPr>
        <w:t>ATM card, prepaid card, smart card, stored-value card, any co-branded card, virtual card, or any other payment card or device and (2) the account associated with same.</w:t>
      </w:r>
    </w:p>
    <w:p>
      <w:pPr>
        <w:spacing w:after="0" w:line="203" w:lineRule="exact"/>
        <w:rPr>
          <w:rFonts w:ascii="Arial" w:cs="Arial" w:eastAsia="Arial" w:hAnsi="Arial"/>
          <w:sz w:val="18"/>
          <w:szCs w:val="18"/>
          <w:color w:val="auto"/>
        </w:rPr>
      </w:pPr>
    </w:p>
    <w:p>
      <w:pPr>
        <w:ind w:right="20" w:firstLine="8"/>
        <w:spacing w:after="0" w:line="282" w:lineRule="auto"/>
        <w:tabs>
          <w:tab w:leader="none" w:pos="93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“Company Products” </w:t>
      </w:r>
      <w:r>
        <w:rPr>
          <w:rFonts w:ascii="Arial" w:cs="Arial" w:eastAsia="Arial" w:hAnsi="Arial"/>
          <w:sz w:val="18"/>
          <w:szCs w:val="18"/>
          <w:color w:val="auto"/>
        </w:rPr>
        <w:t>means coffee machines, vending machines, kiosks, laundry equipment and other self-service hardware, machines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owned, licensed, developed or operated by Merchant or its customers in the Territory.</w:t>
      </w:r>
    </w:p>
    <w:p>
      <w:pPr>
        <w:spacing w:after="0" w:line="188" w:lineRule="exact"/>
        <w:rPr>
          <w:rFonts w:ascii="Arial" w:cs="Arial" w:eastAsia="Arial" w:hAnsi="Arial"/>
          <w:sz w:val="18"/>
          <w:szCs w:val="18"/>
          <w:color w:val="auto"/>
        </w:rPr>
      </w:pPr>
    </w:p>
    <w:p>
      <w:pPr>
        <w:ind w:firstLine="8"/>
        <w:spacing w:after="0" w:line="282"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“Competitor” </w:t>
      </w:r>
      <w:r>
        <w:rPr>
          <w:rFonts w:ascii="Arial" w:cs="Arial" w:eastAsia="Arial" w:hAnsi="Arial"/>
          <w:sz w:val="18"/>
          <w:szCs w:val="18"/>
          <w:color w:val="auto"/>
        </w:rPr>
        <w:t>means Visa, American Express, Discover, JCB, Union Pay, Carte Blanche, PayPal, NYCE, Pulse, Interlink, STAR or any other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MasterCard determines in writing is in competition with MasterCard, Maestro, or Cirrus.</w:t>
      </w:r>
    </w:p>
    <w:p>
      <w:pPr>
        <w:spacing w:after="0" w:line="188" w:lineRule="exact"/>
        <w:rPr>
          <w:rFonts w:ascii="Arial" w:cs="Arial" w:eastAsia="Arial" w:hAnsi="Arial"/>
          <w:sz w:val="18"/>
          <w:szCs w:val="18"/>
          <w:color w:val="auto"/>
        </w:rPr>
      </w:pPr>
    </w:p>
    <w:p>
      <w:pPr>
        <w:ind w:left="720" w:hanging="71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Consumer Card</w:t>
      </w:r>
      <w:r>
        <w:rPr>
          <w:rFonts w:ascii="Arial" w:cs="Arial" w:eastAsia="Arial" w:hAnsi="Arial"/>
          <w:sz w:val="18"/>
          <w:szCs w:val="18"/>
          <w:color w:val="auto"/>
        </w:rPr>
        <w:t>” means a Card that is primarily offered to individual cardholders that intend to use such Card for personal purposes.</w:t>
      </w:r>
    </w:p>
    <w:p>
      <w:pPr>
        <w:spacing w:after="0" w:line="252" w:lineRule="exact"/>
        <w:rPr>
          <w:rFonts w:ascii="Arial" w:cs="Arial" w:eastAsia="Arial" w:hAnsi="Arial"/>
          <w:sz w:val="18"/>
          <w:szCs w:val="18"/>
          <w:color w:val="auto"/>
        </w:rPr>
      </w:pPr>
    </w:p>
    <w:p>
      <w:pPr>
        <w:jc w:val="both"/>
        <w:ind w:firstLine="8"/>
        <w:spacing w:after="0" w:line="258" w:lineRule="auto"/>
        <w:tabs>
          <w:tab w:leader="none" w:pos="907"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(including, with its correlative meanings, “controlled by” or “common control with”) means the occurrence of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a purchase, lease or other acquisition of all or substantially all of the assets of a party; (ii) a purchase or other acquisition (including by way of merger, consolidation, share exchange or otherwise) of securities representing fifty (50%) percent or more of the voting power of a party; or (iii) possession, directly or indirectly, of power to direct or cause the direction of management or policies (whether through ownership of securities or partnership or other ownership interests, by contract, or otherwise).</w:t>
      </w:r>
    </w:p>
    <w:p>
      <w:pPr>
        <w:spacing w:after="0" w:line="210" w:lineRule="exact"/>
        <w:rPr>
          <w:rFonts w:ascii="Arial" w:cs="Arial" w:eastAsia="Arial" w:hAnsi="Arial"/>
          <w:sz w:val="18"/>
          <w:szCs w:val="18"/>
          <w:color w:val="auto"/>
        </w:rPr>
      </w:pPr>
    </w:p>
    <w:p>
      <w:pPr>
        <w:jc w:val="both"/>
        <w:ind w:firstLine="8"/>
        <w:spacing w:after="0" w:line="266" w:lineRule="auto"/>
        <w:tabs>
          <w:tab w:leader="none" w:pos="74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“Debit Card” </w:t>
      </w:r>
      <w:r>
        <w:rPr>
          <w:rFonts w:ascii="Arial" w:cs="Arial" w:eastAsia="Arial" w:hAnsi="Arial"/>
          <w:sz w:val="18"/>
          <w:szCs w:val="18"/>
          <w:color w:val="auto"/>
        </w:rPr>
        <w:t>means any Consumer Card issued in the Territory that (i) solely accesses or is otherwise primarily associated with a deposit, a retail</w:t>
      </w:r>
      <w:r>
        <w:rPr>
          <w:rFonts w:ascii="Arial" w:cs="Arial" w:eastAsia="Arial" w:hAnsi="Arial"/>
          <w:sz w:val="18"/>
          <w:szCs w:val="18"/>
          <w:b w:val="1"/>
          <w:bCs w:val="1"/>
          <w:color w:val="auto"/>
        </w:rPr>
        <w:t xml:space="preserve"> </w:t>
      </w:r>
      <w:r>
        <w:rPr>
          <w:rFonts w:ascii="Arial" w:cs="Arial" w:eastAsia="Arial" w:hAnsi="Arial"/>
          <w:sz w:val="18"/>
          <w:szCs w:val="18"/>
          <w:color w:val="auto"/>
        </w:rPr>
        <w:t>mutual fund, brokerage, prepaid, or other asset account and/or (ii) provides dual-message, signature-based functionality and/or on-line, PIN-based single-message functionality.</w:t>
      </w:r>
    </w:p>
    <w:p>
      <w:pPr>
        <w:spacing w:after="0" w:line="203" w:lineRule="exact"/>
        <w:rPr>
          <w:rFonts w:ascii="Arial" w:cs="Arial" w:eastAsia="Arial" w:hAnsi="Arial"/>
          <w:sz w:val="18"/>
          <w:szCs w:val="18"/>
          <w:color w:val="auto"/>
        </w:rPr>
      </w:pPr>
    </w:p>
    <w:p>
      <w:pPr>
        <w:jc w:val="both"/>
        <w:ind w:firstLine="8"/>
        <w:spacing w:after="0" w:line="266" w:lineRule="auto"/>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“Dual Message</w:t>
      </w:r>
      <w:r>
        <w:rPr>
          <w:rFonts w:ascii="Arial" w:cs="Arial" w:eastAsia="Arial" w:hAnsi="Arial"/>
          <w:sz w:val="18"/>
          <w:szCs w:val="18"/>
          <w:color w:val="auto"/>
        </w:rPr>
        <w:t>” means the method of processing a payment transaction using a Card pursuant to which two (2) separate messages are sent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payment transaction, the first of which such messages authorizes the applicable transaction for up to an initial amount and the second of which such messages clears the applicable transaction for a final amount.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8" w:name="page39"/>
    <w:bookmarkEnd w:id="38"/>
    <w:p>
      <w:pPr>
        <w:ind w:left="720" w:hanging="712"/>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“GCMS” </w:t>
      </w:r>
      <w:r>
        <w:rPr>
          <w:rFonts w:ascii="Arial" w:cs="Arial" w:eastAsia="Arial" w:hAnsi="Arial"/>
          <w:sz w:val="16"/>
          <w:szCs w:val="16"/>
          <w:color w:val="auto"/>
        </w:rPr>
        <w:t>means MasterCard’s Global Clearing Management System or any other successor to such system, solely determined by MasterCard.</w:t>
      </w:r>
    </w:p>
    <w:p>
      <w:pPr>
        <w:spacing w:after="0" w:line="275" w:lineRule="exact"/>
        <w:rPr>
          <w:rFonts w:ascii="Arial" w:cs="Arial" w:eastAsia="Arial" w:hAnsi="Arial"/>
          <w:sz w:val="16"/>
          <w:szCs w:val="16"/>
          <w:color w:val="auto"/>
        </w:rPr>
      </w:pPr>
    </w:p>
    <w:p>
      <w:pPr>
        <w:ind w:left="720" w:hanging="712"/>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“Issuing Bank” </w:t>
      </w:r>
      <w:r>
        <w:rPr>
          <w:rFonts w:ascii="Arial" w:cs="Arial" w:eastAsia="Arial" w:hAnsi="Arial"/>
          <w:sz w:val="17"/>
          <w:szCs w:val="17"/>
          <w:color w:val="auto"/>
        </w:rPr>
        <w:t>shall mean any MasterCard, United States based and/or incorporated bank that is licensed to issue MasterCard Cards.</w:t>
      </w:r>
    </w:p>
    <w:p>
      <w:pPr>
        <w:spacing w:after="0" w:line="263" w:lineRule="exact"/>
        <w:rPr>
          <w:rFonts w:ascii="Arial" w:cs="Arial" w:eastAsia="Arial" w:hAnsi="Arial"/>
          <w:sz w:val="17"/>
          <w:szCs w:val="17"/>
          <w:color w:val="auto"/>
        </w:rPr>
      </w:pPr>
    </w:p>
    <w:p>
      <w:pPr>
        <w:ind w:left="760" w:hanging="75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“MasterCard” </w:t>
      </w:r>
      <w:r>
        <w:rPr>
          <w:rFonts w:ascii="Arial" w:cs="Arial" w:eastAsia="Arial" w:hAnsi="Arial"/>
          <w:sz w:val="16"/>
          <w:szCs w:val="16"/>
          <w:color w:val="auto"/>
        </w:rPr>
        <w:t>when used as a noun, shall have the meaning ascribed to it in the preamble and, when used adjectivally, refers to the MasterCard®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brand.</w:t>
      </w:r>
    </w:p>
    <w:p>
      <w:pPr>
        <w:spacing w:after="0" w:line="233" w:lineRule="exact"/>
        <w:rPr>
          <w:rFonts w:ascii="Arial" w:cs="Arial" w:eastAsia="Arial" w:hAnsi="Arial"/>
          <w:sz w:val="16"/>
          <w:szCs w:val="16"/>
          <w:color w:val="auto"/>
        </w:rPr>
      </w:pPr>
    </w:p>
    <w:p>
      <w:pPr>
        <w:ind w:right="20" w:firstLine="8"/>
        <w:spacing w:after="0" w:line="282" w:lineRule="auto"/>
        <w:tabs>
          <w:tab w:leader="none" w:pos="78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“MasterCard Card” </w:t>
      </w:r>
      <w:r>
        <w:rPr>
          <w:rFonts w:ascii="Arial" w:cs="Arial" w:eastAsia="Arial" w:hAnsi="Arial"/>
          <w:sz w:val="18"/>
          <w:szCs w:val="18"/>
          <w:color w:val="auto"/>
        </w:rPr>
        <w:t>shall mean a Card bearing the name, logotype, hologram, or other service marks or devices of MasterCard and providing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functionality associated with same.</w:t>
      </w:r>
    </w:p>
    <w:p>
      <w:pPr>
        <w:spacing w:after="0" w:line="188" w:lineRule="exact"/>
        <w:rPr>
          <w:rFonts w:ascii="Arial" w:cs="Arial" w:eastAsia="Arial" w:hAnsi="Arial"/>
          <w:sz w:val="18"/>
          <w:szCs w:val="18"/>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“MasterCard Cardholder” </w:t>
      </w:r>
      <w:r>
        <w:rPr>
          <w:rFonts w:ascii="Arial" w:cs="Arial" w:eastAsia="Arial" w:hAnsi="Arial"/>
          <w:sz w:val="18"/>
          <w:szCs w:val="18"/>
          <w:color w:val="auto"/>
        </w:rPr>
        <w:t>means any Person who uses, or attempts to use, a MasterCard Card.</w:t>
      </w:r>
    </w:p>
    <w:p>
      <w:pPr>
        <w:spacing w:after="0" w:line="252" w:lineRule="exact"/>
        <w:rPr>
          <w:rFonts w:ascii="Arial" w:cs="Arial" w:eastAsia="Arial" w:hAnsi="Arial"/>
          <w:sz w:val="18"/>
          <w:szCs w:val="18"/>
          <w:color w:val="auto"/>
        </w:rPr>
      </w:pPr>
    </w:p>
    <w:p>
      <w:pPr>
        <w:ind w:firstLine="8"/>
        <w:spacing w:after="0" w:line="282"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“MasterCard Debit Card” </w:t>
      </w:r>
      <w:r>
        <w:rPr>
          <w:rFonts w:ascii="Arial" w:cs="Arial" w:eastAsia="Arial" w:hAnsi="Arial"/>
          <w:sz w:val="18"/>
          <w:szCs w:val="18"/>
          <w:color w:val="auto"/>
        </w:rPr>
        <w:t>means any MasterCard Card that in any way accesses or is otherwise primarily associated with a deposit, a retail</w:t>
      </w:r>
      <w:r>
        <w:rPr>
          <w:rFonts w:ascii="Arial" w:cs="Arial" w:eastAsia="Arial" w:hAnsi="Arial"/>
          <w:sz w:val="18"/>
          <w:szCs w:val="18"/>
          <w:b w:val="1"/>
          <w:bCs w:val="1"/>
          <w:color w:val="auto"/>
        </w:rPr>
        <w:t xml:space="preserve"> </w:t>
      </w:r>
      <w:r>
        <w:rPr>
          <w:rFonts w:ascii="Arial" w:cs="Arial" w:eastAsia="Arial" w:hAnsi="Arial"/>
          <w:sz w:val="18"/>
          <w:szCs w:val="18"/>
          <w:color w:val="auto"/>
        </w:rPr>
        <w:t>mutual fund, brokerage, prepaid or other asset account.</w:t>
      </w:r>
    </w:p>
    <w:p>
      <w:pPr>
        <w:spacing w:after="0" w:line="188" w:lineRule="exact"/>
        <w:rPr>
          <w:rFonts w:ascii="Arial" w:cs="Arial" w:eastAsia="Arial" w:hAnsi="Arial"/>
          <w:sz w:val="18"/>
          <w:szCs w:val="18"/>
          <w:color w:val="auto"/>
        </w:rPr>
      </w:pPr>
    </w:p>
    <w:p>
      <w:pPr>
        <w:jc w:val="both"/>
        <w:ind w:firstLine="8"/>
        <w:spacing w:after="0" w:line="266" w:lineRule="auto"/>
        <w:tabs>
          <w:tab w:leader="none" w:pos="79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“Qualified MasterCard Debit Transaction” </w:t>
      </w:r>
      <w:r>
        <w:rPr>
          <w:rFonts w:ascii="Arial" w:cs="Arial" w:eastAsia="Arial" w:hAnsi="Arial"/>
          <w:sz w:val="18"/>
          <w:szCs w:val="18"/>
          <w:color w:val="auto"/>
        </w:rPr>
        <w:t>means a recurring or one-time Applicable Transaction that (i) is a Dual Message-based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(e.g., excluding PIN and ATM and other Single Message-based transactions); (ii) is made using a MasterCard Debit Card; and (iii) is authorized, cleared and settled through the GCMS.</w:t>
      </w:r>
    </w:p>
    <w:p>
      <w:pPr>
        <w:spacing w:after="0" w:line="207" w:lineRule="exact"/>
        <w:rPr>
          <w:rFonts w:ascii="Arial" w:cs="Arial" w:eastAsia="Arial" w:hAnsi="Arial"/>
          <w:sz w:val="18"/>
          <w:szCs w:val="18"/>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firstLine="8"/>
        <w:spacing w:after="0" w:line="282" w:lineRule="auto"/>
        <w:tabs>
          <w:tab w:leader="none" w:pos="68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“Standards” </w:t>
      </w:r>
      <w:r>
        <w:rPr>
          <w:rFonts w:ascii="Arial" w:cs="Arial" w:eastAsia="Arial" w:hAnsi="Arial"/>
          <w:sz w:val="18"/>
          <w:szCs w:val="18"/>
          <w:color w:val="auto"/>
        </w:rPr>
        <w:t>means the Amended and Restated Certificate of Incorporation and the bylaws, operating rules, regulations, policies, and procedures of</w:t>
      </w:r>
      <w:r>
        <w:rPr>
          <w:rFonts w:ascii="Arial" w:cs="Arial" w:eastAsia="Arial" w:hAnsi="Arial"/>
          <w:sz w:val="18"/>
          <w:szCs w:val="18"/>
          <w:b w:val="1"/>
          <w:bCs w:val="1"/>
          <w:color w:val="auto"/>
        </w:rPr>
        <w:t xml:space="preserve"> </w:t>
      </w:r>
      <w:r>
        <w:rPr>
          <w:rFonts w:ascii="Arial" w:cs="Arial" w:eastAsia="Arial" w:hAnsi="Arial"/>
          <w:sz w:val="18"/>
          <w:szCs w:val="18"/>
          <w:color w:val="auto"/>
        </w:rPr>
        <w:t>MasterCard, including but not limited to any manuals, guides or bulletins, as may be amended from time to time.</w:t>
      </w:r>
    </w:p>
    <w:p>
      <w:pPr>
        <w:spacing w:after="0" w:line="188" w:lineRule="exact"/>
        <w:rPr>
          <w:rFonts w:ascii="Arial" w:cs="Arial" w:eastAsia="Arial" w:hAnsi="Arial"/>
          <w:sz w:val="18"/>
          <w:szCs w:val="18"/>
          <w:color w:val="auto"/>
        </w:rPr>
      </w:pPr>
    </w:p>
    <w:p>
      <w:pPr>
        <w:ind w:firstLine="8"/>
        <w:spacing w:after="0" w:line="347" w:lineRule="auto"/>
        <w:tabs>
          <w:tab w:leader="none" w:pos="739"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“Single Message</w:t>
      </w:r>
      <w:r>
        <w:rPr>
          <w:rFonts w:ascii="Arial" w:cs="Arial" w:eastAsia="Arial" w:hAnsi="Arial"/>
          <w:sz w:val="16"/>
          <w:szCs w:val="16"/>
          <w:color w:val="auto"/>
        </w:rPr>
        <w:t>” means the method of processing a payment or cash disbursement transaction using a Card pursuant to which one (1) message is</w:t>
      </w:r>
      <w:r>
        <w:rPr>
          <w:rFonts w:ascii="Arial" w:cs="Arial" w:eastAsia="Arial" w:hAnsi="Arial"/>
          <w:sz w:val="16"/>
          <w:szCs w:val="16"/>
          <w:b w:val="1"/>
          <w:bCs w:val="1"/>
          <w:color w:val="auto"/>
        </w:rPr>
        <w:t xml:space="preserve"> </w:t>
      </w:r>
      <w:r>
        <w:rPr>
          <w:rFonts w:ascii="Arial" w:cs="Arial" w:eastAsia="Arial" w:hAnsi="Arial"/>
          <w:sz w:val="16"/>
          <w:szCs w:val="16"/>
          <w:color w:val="auto"/>
        </w:rPr>
        <w:t>sent with respect to the payment or cash disbursement transaction, which such message authorizes and clears the applicable transaction for a final amount.</w:t>
      </w:r>
    </w:p>
    <w:p>
      <w:pPr>
        <w:spacing w:after="0" w:line="143" w:lineRule="exact"/>
        <w:rPr>
          <w:rFonts w:ascii="Arial" w:cs="Arial" w:eastAsia="Arial" w:hAnsi="Arial"/>
          <w:sz w:val="16"/>
          <w:szCs w:val="16"/>
          <w:color w:val="auto"/>
        </w:rPr>
      </w:pPr>
    </w:p>
    <w:p>
      <w:pPr>
        <w:ind w:right="20" w:firstLine="8"/>
        <w:spacing w:after="0" w:line="282" w:lineRule="auto"/>
        <w:tabs>
          <w:tab w:leader="none" w:pos="92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shall mean the fifty (50) states of the United States of America and the District of Columbia, but does not include territories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possessions of the United States of America.</w:t>
      </w:r>
    </w:p>
    <w:p>
      <w:pPr>
        <w:spacing w:after="0" w:line="188" w:lineRule="exact"/>
        <w:rPr>
          <w:rFonts w:ascii="Arial" w:cs="Arial" w:eastAsia="Arial" w:hAnsi="Arial"/>
          <w:sz w:val="18"/>
          <w:szCs w:val="18"/>
          <w:color w:val="auto"/>
        </w:rPr>
      </w:pPr>
    </w:p>
    <w:p>
      <w:pPr>
        <w:ind w:right="20" w:firstLine="8"/>
        <w:spacing w:after="0" w:line="282" w:lineRule="auto"/>
        <w:tabs>
          <w:tab w:leader="none" w:pos="77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“Volume” </w:t>
      </w:r>
      <w:r>
        <w:rPr>
          <w:rFonts w:ascii="Arial" w:cs="Arial" w:eastAsia="Arial" w:hAnsi="Arial"/>
          <w:sz w:val="18"/>
          <w:szCs w:val="18"/>
          <w:color w:val="auto"/>
        </w:rPr>
        <w:t>means the United States dollar volume for Applicable Transactions that are (i) dual-message, signature-based transactions (e.g., a non-PIN transactions); and (ii) made using a Debit Card.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15, 2015</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675"/>
        </w:trPr>
        <w:tc>
          <w:tcPr>
            <w:tcW w:w="6280" w:type="dxa"/>
            <w:vAlign w:val="bottom"/>
            <w:tcBorders>
              <w:bottom w:val="single" w:sz="8" w:color="DCDCDC"/>
            </w:tcBorders>
          </w:tcPr>
          <w:p>
            <w:pPr>
              <w:spacing w:after="0"/>
              <w:rPr>
                <w:sz w:val="24"/>
                <w:szCs w:val="24"/>
                <w:color w:val="auto"/>
              </w:rPr>
            </w:pPr>
          </w:p>
        </w:tc>
        <w:tc>
          <w:tcPr>
            <w:tcW w:w="230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15, 2015</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8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c>
          <w:tcPr>
            <w:tcW w:w="28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675"/>
        </w:trPr>
        <w:tc>
          <w:tcPr>
            <w:tcW w:w="6280" w:type="dxa"/>
            <w:vAlign w:val="bottom"/>
            <w:tcBorders>
              <w:bottom w:val="single" w:sz="8" w:color="DCDCDC"/>
            </w:tcBorders>
          </w:tcPr>
          <w:p>
            <w:pPr>
              <w:spacing w:after="0"/>
              <w:rPr>
                <w:sz w:val="24"/>
                <w:szCs w:val="24"/>
                <w:color w:val="auto"/>
              </w:rPr>
            </w:pPr>
          </w:p>
        </w:tc>
        <w:tc>
          <w:tcPr>
            <w:tcW w:w="230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2015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15, 2015</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675"/>
        </w:trPr>
        <w:tc>
          <w:tcPr>
            <w:tcW w:w="6280" w:type="dxa"/>
            <w:vAlign w:val="bottom"/>
            <w:tcBorders>
              <w:bottom w:val="single" w:sz="8" w:color="DCDCDC"/>
            </w:tcBorders>
          </w:tcPr>
          <w:p>
            <w:pPr>
              <w:spacing w:after="0"/>
              <w:rPr>
                <w:sz w:val="24"/>
                <w:szCs w:val="24"/>
                <w:color w:val="auto"/>
              </w:rPr>
            </w:pPr>
          </w:p>
        </w:tc>
        <w:tc>
          <w:tcPr>
            <w:tcW w:w="230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2015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May 15, 2015</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8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c>
          <w:tcPr>
            <w:tcW w:w="28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675"/>
        </w:trPr>
        <w:tc>
          <w:tcPr>
            <w:tcW w:w="6280" w:type="dxa"/>
            <w:vAlign w:val="bottom"/>
            <w:tcBorders>
              <w:bottom w:val="single" w:sz="8" w:color="DCDCDC"/>
            </w:tcBorders>
          </w:tcPr>
          <w:p>
            <w:pPr>
              <w:spacing w:after="0"/>
              <w:rPr>
                <w:sz w:val="24"/>
                <w:szCs w:val="24"/>
                <w:color w:val="auto"/>
              </w:rPr>
            </w:pPr>
          </w:p>
        </w:tc>
        <w:tc>
          <w:tcPr>
            <w:tcW w:w="230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5"/>
    </w:lvl>
    <w:lvl w:ilvl="1">
      <w:lvlJc w:val="left"/>
      <w:lvlText w:val="(%2)"/>
      <w:numFmt w:val="lowerLetter"/>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lowerRoman"/>
      <w:start w:val="2"/>
    </w:lvl>
    <w:lvl w:ilvl="1">
      <w:lvlJc w:val="left"/>
      <w:lvlText w:val="%2."/>
      <w:numFmt w:val="decimal"/>
      <w:start w:val="5"/>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lowerRoman"/>
      <w:start w:val="1"/>
    </w:lvl>
  </w:abstractNum>
  <w:abstractNum w:abstractNumId="18">
    <w:nsid w:val="6763845E"/>
    <w:multiLevelType w:val="hybridMultilevel"/>
    <w:lvl w:ilvl="0">
      <w:lvlJc w:val="left"/>
      <w:lvlText w:val="%1."/>
      <w:numFmt w:val="decimal"/>
      <w:start w:val="2"/>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0"/>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2019-12-29T17:58:07Z</dcterms:created>
  <dcterms:modified xsi:type="dcterms:W3CDTF">2019-12-29T17:58:07Z</dcterms:modified>
</cp:coreProperties>
</file>