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9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 the fiscal year ended June 30, 2021</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0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 (d) OF THE EXCHANGE ACT OF 1934</w:t>
      </w:r>
    </w:p>
    <w:p>
      <w:pPr>
        <w:spacing w:after="0" w:line="154" w:lineRule="exact"/>
        <w:rPr>
          <w:sz w:val="24"/>
          <w:szCs w:val="24"/>
          <w:color w:val="auto"/>
        </w:rPr>
      </w:pPr>
    </w:p>
    <w:p>
      <w:pPr>
        <w:ind w:left="2880"/>
        <w:spacing w:after="0"/>
        <w:rPr>
          <w:sz w:val="20"/>
          <w:szCs w:val="20"/>
          <w:color w:val="auto"/>
        </w:rPr>
      </w:pPr>
      <w:r>
        <w:rPr>
          <w:rFonts w:ascii="Arial" w:cs="Arial" w:eastAsia="Arial" w:hAnsi="Arial"/>
          <w:sz w:val="16"/>
          <w:szCs w:val="16"/>
          <w:color w:val="auto"/>
        </w:rPr>
        <w:t>For the transition period from ____________________ to _____________________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001-33365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34925</wp:posOffset>
            </wp:positionV>
            <wp:extent cx="1714500"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Cantaloupe, Inc.</w:t>
      </w:r>
    </w:p>
    <w:p>
      <w:pPr>
        <w:spacing w:after="0" w:line="16" w:lineRule="exact"/>
        <w:rPr>
          <w:sz w:val="24"/>
          <w:szCs w:val="24"/>
          <w:color w:val="auto"/>
        </w:rPr>
      </w:pPr>
    </w:p>
    <w:p>
      <w:pPr>
        <w:ind w:left="31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Pennsylvania</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80" w:type="dxa"/>
            <w:vAlign w:val="bottom"/>
            <w:gridSpan w:val="4"/>
          </w:tcPr>
          <w:p>
            <w:pPr>
              <w:jc w:val="center"/>
              <w:ind w:right="2500"/>
              <w:spacing w:after="0"/>
              <w:rPr>
                <w:sz w:val="20"/>
                <w:szCs w:val="20"/>
                <w:color w:val="auto"/>
              </w:rPr>
            </w:pPr>
            <w:r>
              <w:rPr>
                <w:rFonts w:ascii="Arial" w:cs="Arial" w:eastAsia="Arial" w:hAnsi="Arial"/>
                <w:sz w:val="16"/>
                <w:szCs w:val="16"/>
                <w:b w:val="1"/>
                <w:bCs w:val="1"/>
                <w:color w:val="auto"/>
                <w:w w:val="91"/>
              </w:rPr>
              <w:t>23-2679963</w:t>
            </w:r>
          </w:p>
        </w:tc>
      </w:tr>
      <w:tr>
        <w:trPr>
          <w:trHeight w:val="20"/>
        </w:trPr>
        <w:tc>
          <w:tcPr>
            <w:tcW w:w="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31"/>
        </w:trPr>
        <w:tc>
          <w:tcPr>
            <w:tcW w:w="280" w:type="dxa"/>
            <w:vAlign w:val="bottom"/>
          </w:tcPr>
          <w:p>
            <w:pPr>
              <w:spacing w:after="0"/>
              <w:rPr>
                <w:sz w:val="20"/>
                <w:szCs w:val="20"/>
                <w:color w:val="auto"/>
              </w:rPr>
            </w:pPr>
          </w:p>
        </w:tc>
        <w:tc>
          <w:tcPr>
            <w:tcW w:w="6540" w:type="dxa"/>
            <w:vAlign w:val="bottom"/>
            <w:gridSpan w:val="11"/>
          </w:tcPr>
          <w:p>
            <w:pPr>
              <w:jc w:val="center"/>
              <w:ind w:right="171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4420" w:type="dxa"/>
            <w:vAlign w:val="bottom"/>
            <w:gridSpan w:val="5"/>
          </w:tcPr>
          <w:p>
            <w:pPr>
              <w:jc w:val="center"/>
              <w:ind w:right="1340"/>
              <w:spacing w:after="0"/>
              <w:rPr>
                <w:sz w:val="20"/>
                <w:szCs w:val="20"/>
                <w:color w:val="auto"/>
              </w:rPr>
            </w:pPr>
            <w:r>
              <w:rPr>
                <w:rFonts w:ascii="Arial" w:cs="Arial" w:eastAsia="Arial" w:hAnsi="Arial"/>
                <w:sz w:val="16"/>
                <w:szCs w:val="16"/>
                <w:color w:val="auto"/>
                <w:w w:val="95"/>
              </w:rPr>
              <w:t>(I.R.S. Employer Identification No.)</w:t>
            </w:r>
          </w:p>
        </w:tc>
      </w:tr>
      <w:tr>
        <w:trPr>
          <w:trHeight w:val="289"/>
        </w:trPr>
        <w:tc>
          <w:tcPr>
            <w:tcW w:w="28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6"/>
                <w:szCs w:val="16"/>
                <w:b w:val="1"/>
                <w:bCs w:val="1"/>
                <w:color w:val="auto"/>
                <w:w w:val="91"/>
              </w:rPr>
              <w:t>100 Deerfield Lane,</w:t>
            </w:r>
          </w:p>
        </w:tc>
        <w:tc>
          <w:tcPr>
            <w:tcW w:w="46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Arial" w:cs="Arial" w:eastAsia="Arial" w:hAnsi="Arial"/>
                <w:sz w:val="16"/>
                <w:szCs w:val="16"/>
                <w:b w:val="1"/>
                <w:bCs w:val="1"/>
                <w:color w:val="auto"/>
              </w:rPr>
              <w:t>Suite 300,</w:t>
            </w:r>
          </w:p>
        </w:tc>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6"/>
                <w:szCs w:val="16"/>
                <w:b w:val="1"/>
                <w:bCs w:val="1"/>
                <w:color w:val="auto"/>
              </w:rPr>
              <w:t>Malvern,</w:t>
            </w:r>
          </w:p>
        </w:tc>
        <w:tc>
          <w:tcPr>
            <w:tcW w:w="34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6"/>
                <w:szCs w:val="16"/>
                <w:b w:val="1"/>
                <w:bCs w:val="1"/>
                <w:color w:val="auto"/>
              </w:rPr>
              <w:t>Pennsylvania</w:t>
            </w:r>
          </w:p>
        </w:tc>
        <w:tc>
          <w:tcPr>
            <w:tcW w:w="1920" w:type="dxa"/>
            <w:vAlign w:val="bottom"/>
            <w:gridSpan w:val="4"/>
          </w:tcPr>
          <w:p>
            <w:pPr>
              <w:jc w:val="center"/>
              <w:ind w:left="1081"/>
              <w:spacing w:after="0"/>
              <w:rPr>
                <w:sz w:val="20"/>
                <w:szCs w:val="20"/>
                <w:color w:val="auto"/>
              </w:rPr>
            </w:pPr>
            <w:r>
              <w:rPr>
                <w:rFonts w:ascii="Arial" w:cs="Arial" w:eastAsia="Arial" w:hAnsi="Arial"/>
                <w:sz w:val="16"/>
                <w:szCs w:val="16"/>
                <w:b w:val="1"/>
                <w:bCs w:val="1"/>
                <w:color w:val="auto"/>
                <w:w w:val="89"/>
              </w:rPr>
              <w:t>19355</w:t>
            </w:r>
          </w:p>
        </w:tc>
        <w:tc>
          <w:tcPr>
            <w:tcW w:w="250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231"/>
        </w:trPr>
        <w:tc>
          <w:tcPr>
            <w:tcW w:w="280" w:type="dxa"/>
            <w:vAlign w:val="bottom"/>
          </w:tcPr>
          <w:p>
            <w:pPr>
              <w:spacing w:after="0"/>
              <w:rPr>
                <w:sz w:val="20"/>
                <w:szCs w:val="20"/>
                <w:color w:val="auto"/>
              </w:rPr>
            </w:pPr>
          </w:p>
        </w:tc>
        <w:tc>
          <w:tcPr>
            <w:tcW w:w="6540" w:type="dxa"/>
            <w:vAlign w:val="bottom"/>
            <w:gridSpan w:val="11"/>
          </w:tcPr>
          <w:p>
            <w:pPr>
              <w:jc w:val="center"/>
              <w:ind w:right="1699"/>
              <w:spacing w:after="0"/>
              <w:rPr>
                <w:sz w:val="20"/>
                <w:szCs w:val="20"/>
                <w:color w:val="auto"/>
              </w:rPr>
            </w:pPr>
            <w:r>
              <w:rPr>
                <w:rFonts w:ascii="Arial" w:cs="Arial" w:eastAsia="Arial" w:hAnsi="Arial"/>
                <w:sz w:val="16"/>
                <w:szCs w:val="16"/>
                <w:color w:val="auto"/>
                <w:w w:val="93"/>
              </w:rPr>
              <w:t>(Address of principal executive offices)</w:t>
            </w:r>
          </w:p>
        </w:tc>
        <w:tc>
          <w:tcPr>
            <w:tcW w:w="1140" w:type="dxa"/>
            <w:vAlign w:val="bottom"/>
          </w:tcPr>
          <w:p>
            <w:pPr>
              <w:spacing w:after="0"/>
              <w:rPr>
                <w:sz w:val="20"/>
                <w:szCs w:val="20"/>
                <w:color w:val="auto"/>
              </w:rPr>
            </w:pPr>
          </w:p>
        </w:tc>
        <w:tc>
          <w:tcPr>
            <w:tcW w:w="3280" w:type="dxa"/>
            <w:vAlign w:val="bottom"/>
            <w:gridSpan w:val="4"/>
          </w:tcPr>
          <w:p>
            <w:pPr>
              <w:jc w:val="center"/>
              <w:ind w:right="2480"/>
              <w:spacing w:after="0"/>
              <w:rPr>
                <w:sz w:val="20"/>
                <w:szCs w:val="20"/>
                <w:color w:val="auto"/>
              </w:rPr>
            </w:pPr>
            <w:r>
              <w:rPr>
                <w:rFonts w:ascii="Arial" w:cs="Arial" w:eastAsia="Arial" w:hAnsi="Arial"/>
                <w:sz w:val="16"/>
                <w:szCs w:val="16"/>
                <w:color w:val="auto"/>
                <w:w w:val="95"/>
              </w:rPr>
              <w:t>(Zip Code)</w:t>
            </w:r>
          </w:p>
        </w:tc>
      </w:tr>
      <w:tr>
        <w:trPr>
          <w:trHeight w:val="343"/>
        </w:trPr>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jc w:val="center"/>
              <w:ind w:right="579"/>
              <w:spacing w:after="0" w:line="184" w:lineRule="exact"/>
              <w:rPr>
                <w:sz w:val="20"/>
                <w:szCs w:val="20"/>
                <w:color w:val="auto"/>
              </w:rPr>
            </w:pPr>
            <w:r>
              <w:rPr>
                <w:rFonts w:ascii="Arial" w:cs="Arial" w:eastAsia="Arial" w:hAnsi="Arial"/>
                <w:sz w:val="16"/>
                <w:szCs w:val="16"/>
                <w:color w:val="auto"/>
                <w:w w:val="93"/>
              </w:rPr>
              <w:t>(</w:t>
            </w:r>
            <w:r>
              <w:rPr>
                <w:rFonts w:ascii="Arial" w:cs="Arial" w:eastAsia="Arial" w:hAnsi="Arial"/>
                <w:sz w:val="16"/>
                <w:szCs w:val="16"/>
                <w:b w:val="1"/>
                <w:bCs w:val="1"/>
                <w:color w:val="auto"/>
                <w:w w:val="93"/>
              </w:rPr>
              <w:t>610) 989</w:t>
            </w:r>
            <w:r>
              <w:rPr>
                <w:rFonts w:ascii="MS PGothic" w:cs="MS PGothic" w:eastAsia="MS PGothic" w:hAnsi="MS PGothic"/>
                <w:sz w:val="16"/>
                <w:szCs w:val="16"/>
                <w:b w:val="1"/>
                <w:bCs w:val="1"/>
                <w:color w:val="auto"/>
                <w:w w:val="93"/>
              </w:rPr>
              <w:t>‑</w:t>
            </w:r>
            <w:r>
              <w:rPr>
                <w:rFonts w:ascii="Arial" w:cs="Arial" w:eastAsia="Arial" w:hAnsi="Arial"/>
                <w:sz w:val="16"/>
                <w:szCs w:val="16"/>
                <w:b w:val="1"/>
                <w:bCs w:val="1"/>
                <w:color w:val="auto"/>
                <w:w w:val="93"/>
              </w:rPr>
              <w:t>0340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40"/>
        </w:trPr>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40" w:type="dxa"/>
            <w:vAlign w:val="bottom"/>
            <w:gridSpan w:val="8"/>
          </w:tcPr>
          <w:p>
            <w:pPr>
              <w:jc w:val="right"/>
              <w:spacing w:after="0"/>
              <w:rPr>
                <w:sz w:val="20"/>
                <w:szCs w:val="20"/>
                <w:color w:val="auto"/>
              </w:rPr>
            </w:pPr>
            <w:r>
              <w:rPr>
                <w:rFonts w:ascii="Arial" w:cs="Arial" w:eastAsia="Arial" w:hAnsi="Arial"/>
                <w:sz w:val="11"/>
                <w:szCs w:val="11"/>
                <w:b w:val="1"/>
                <w:bCs w:val="1"/>
                <w:color w:val="auto"/>
                <w:w w:val="88"/>
              </w:rPr>
              <w:t>____________________________________________________________________________________________</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00" w:type="dxa"/>
            <w:vAlign w:val="bottom"/>
          </w:tcPr>
          <w:p>
            <w:pPr>
              <w:spacing w:after="0"/>
              <w:rPr>
                <w:sz w:val="12"/>
                <w:szCs w:val="12"/>
                <w:color w:val="auto"/>
              </w:rPr>
            </w:pPr>
          </w:p>
        </w:tc>
      </w:tr>
      <w:tr>
        <w:trPr>
          <w:trHeight w:val="255"/>
        </w:trPr>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0" w:type="dxa"/>
            <w:vAlign w:val="bottom"/>
            <w:gridSpan w:val="8"/>
          </w:tcPr>
          <w:p>
            <w:pPr>
              <w:jc w:val="center"/>
              <w:ind w:right="3840"/>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06"/>
        </w:trPr>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00" w:type="dxa"/>
            <w:vAlign w:val="bottom"/>
            <w:gridSpan w:val="10"/>
          </w:tcPr>
          <w:p>
            <w:pPr>
              <w:jc w:val="center"/>
              <w:ind w:right="3120"/>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313"/>
        </w:trPr>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6"/>
                <w:szCs w:val="16"/>
                <w:color w:val="auto"/>
                <w:w w:val="91"/>
              </w:rPr>
              <w:t>Title of Each Class</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ind w:right="519"/>
              <w:spacing w:after="0"/>
              <w:rPr>
                <w:sz w:val="20"/>
                <w:szCs w:val="20"/>
                <w:color w:val="auto"/>
              </w:rPr>
            </w:pPr>
            <w:r>
              <w:rPr>
                <w:rFonts w:ascii="Arial" w:cs="Arial" w:eastAsia="Arial" w:hAnsi="Arial"/>
                <w:sz w:val="16"/>
                <w:szCs w:val="16"/>
                <w:color w:val="auto"/>
                <w:w w:val="92"/>
              </w:rPr>
              <w:t>Trading Symbol</w:t>
            </w:r>
          </w:p>
        </w:tc>
        <w:tc>
          <w:tcPr>
            <w:tcW w:w="442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6"/>
                <w:szCs w:val="16"/>
                <w:color w:val="auto"/>
                <w:w w:val="91"/>
              </w:rPr>
              <w:t>Name Of Each Exchange On Which Registered</w:t>
            </w:r>
          </w:p>
        </w:tc>
      </w:tr>
      <w:tr>
        <w:trPr>
          <w:trHeight w:val="207"/>
        </w:trPr>
        <w:tc>
          <w:tcPr>
            <w:tcW w:w="280" w:type="dxa"/>
            <w:vAlign w:val="bottom"/>
          </w:tcPr>
          <w:p>
            <w:pPr>
              <w:spacing w:after="0"/>
              <w:rPr>
                <w:sz w:val="17"/>
                <w:szCs w:val="17"/>
                <w:color w:val="auto"/>
              </w:rPr>
            </w:pPr>
          </w:p>
        </w:tc>
        <w:tc>
          <w:tcPr>
            <w:tcW w:w="3560" w:type="dxa"/>
            <w:vAlign w:val="bottom"/>
            <w:gridSpan w:val="8"/>
          </w:tcPr>
          <w:p>
            <w:pPr>
              <w:jc w:val="center"/>
              <w:ind w:left="379"/>
              <w:spacing w:after="0"/>
              <w:rPr>
                <w:sz w:val="20"/>
                <w:szCs w:val="20"/>
                <w:color w:val="auto"/>
              </w:rPr>
            </w:pPr>
            <w:r>
              <w:rPr>
                <w:rFonts w:ascii="Arial" w:cs="Arial" w:eastAsia="Arial" w:hAnsi="Arial"/>
                <w:sz w:val="16"/>
                <w:szCs w:val="16"/>
                <w:color w:val="auto"/>
                <w:w w:val="92"/>
              </w:rPr>
              <w:t>Common Stock, no par value</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jc w:val="center"/>
              <w:ind w:right="519"/>
              <w:spacing w:after="0"/>
              <w:rPr>
                <w:sz w:val="20"/>
                <w:szCs w:val="20"/>
                <w:color w:val="auto"/>
              </w:rPr>
            </w:pPr>
            <w:r>
              <w:rPr>
                <w:rFonts w:ascii="Arial" w:cs="Arial" w:eastAsia="Arial" w:hAnsi="Arial"/>
                <w:sz w:val="16"/>
                <w:szCs w:val="16"/>
                <w:color w:val="auto"/>
                <w:w w:val="97"/>
              </w:rPr>
              <w:t>CTLP</w:t>
            </w:r>
          </w:p>
        </w:tc>
        <w:tc>
          <w:tcPr>
            <w:tcW w:w="4420" w:type="dxa"/>
            <w:vAlign w:val="bottom"/>
            <w:gridSpan w:val="5"/>
          </w:tcPr>
          <w:p>
            <w:pPr>
              <w:jc w:val="center"/>
              <w:ind w:right="80"/>
              <w:spacing w:after="0"/>
              <w:rPr>
                <w:sz w:val="20"/>
                <w:szCs w:val="20"/>
                <w:color w:val="auto"/>
              </w:rPr>
            </w:pPr>
            <w:r>
              <w:rPr>
                <w:rFonts w:ascii="Arial" w:cs="Arial" w:eastAsia="Arial" w:hAnsi="Arial"/>
                <w:sz w:val="16"/>
                <w:szCs w:val="16"/>
                <w:color w:val="auto"/>
                <w:w w:val="96"/>
              </w:rPr>
              <w:t>The NASDAQ Stock Market LLC</w:t>
            </w:r>
          </w:p>
        </w:tc>
      </w:tr>
      <w:tr>
        <w:trPr>
          <w:trHeight w:val="365"/>
        </w:trPr>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10"/>
          </w:tcPr>
          <w:p>
            <w:pPr>
              <w:ind w:left="400"/>
              <w:spacing w:after="0"/>
              <w:rPr>
                <w:sz w:val="20"/>
                <w:szCs w:val="20"/>
                <w:color w:val="auto"/>
              </w:rPr>
            </w:pPr>
            <w:r>
              <w:rPr>
                <w:rFonts w:ascii="Arial" w:cs="Arial" w:eastAsia="Arial" w:hAnsi="Arial"/>
                <w:sz w:val="16"/>
                <w:szCs w:val="16"/>
                <w:color w:val="auto"/>
              </w:rPr>
              <w:t>Securities registered pursuant to Section 12(g) of the Act: None</w:t>
            </w:r>
          </w:p>
        </w:tc>
      </w:tr>
      <w:tr>
        <w:trPr>
          <w:trHeight w:val="240"/>
        </w:trPr>
        <w:tc>
          <w:tcPr>
            <w:tcW w:w="6820" w:type="dxa"/>
            <w:vAlign w:val="bottom"/>
            <w:gridSpan w:val="12"/>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4420" w:type="dxa"/>
            <w:vAlign w:val="bottom"/>
            <w:gridSpan w:val="5"/>
          </w:tcPr>
          <w:p>
            <w:pPr>
              <w:ind w:left="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right="20"/>
        <w:spacing w:after="0" w:line="187"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jc w:val="both"/>
        <w:spacing w:after="0" w:line="172"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4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9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220"/>
              <w:spacing w:after="0"/>
              <w:rPr>
                <w:sz w:val="20"/>
                <w:szCs w:val="20"/>
                <w:color w:val="auto"/>
              </w:rPr>
            </w:pPr>
            <w:r>
              <w:rPr>
                <w:rFonts w:ascii="Arial" w:cs="Arial" w:eastAsia="Arial" w:hAnsi="Arial"/>
                <w:sz w:val="14"/>
                <w:szCs w:val="14"/>
                <w:color w:val="auto"/>
              </w:rPr>
              <w:t>Accelerated filer</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4580" w:type="dxa"/>
            <w:vAlign w:val="bottom"/>
          </w:tcPr>
          <w:p>
            <w:pPr>
              <w:spacing w:after="0"/>
              <w:rPr>
                <w:sz w:val="20"/>
                <w:szCs w:val="20"/>
                <w:color w:val="auto"/>
              </w:rPr>
            </w:pPr>
            <w:r>
              <w:rPr>
                <w:rFonts w:ascii="Arial" w:cs="Arial" w:eastAsia="Arial" w:hAnsi="Arial"/>
                <w:sz w:val="14"/>
                <w:szCs w:val="14"/>
                <w:color w:val="auto"/>
              </w:rPr>
              <w:t>Non-accelerated filer (Do not check if a smaller reporting company)</w:t>
            </w:r>
          </w:p>
        </w:tc>
        <w:tc>
          <w:tcPr>
            <w:tcW w:w="9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220"/>
              <w:spacing w:after="0"/>
              <w:rPr>
                <w:sz w:val="20"/>
                <w:szCs w:val="20"/>
                <w:color w:val="auto"/>
              </w:rPr>
            </w:pPr>
            <w:r>
              <w:rPr>
                <w:rFonts w:ascii="Arial" w:cs="Arial" w:eastAsia="Arial" w:hAnsi="Arial"/>
                <w:sz w:val="14"/>
                <w:szCs w:val="14"/>
                <w:color w:val="auto"/>
              </w:rPr>
              <w:t>Smaller reporting company</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45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9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pacing w:after="0" w:line="9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0" w:lineRule="exact"/>
        <w:rPr>
          <w:sz w:val="24"/>
          <w:szCs w:val="24"/>
          <w:color w:val="auto"/>
        </w:rPr>
      </w:pPr>
    </w:p>
    <w:p>
      <w:pPr>
        <w:spacing w:after="0" w:line="255"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computed by reference to the price at which the common equity was last sold as of the last business day of the registrant’s most recently completed second fiscal quarter, December 31, 2020, was $567,017,906.</w:t>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As of August 27, 2021, there were 71,258,047 outstanding shares of Common Stock, no par value.</w:t>
      </w:r>
    </w:p>
    <w:p>
      <w:pPr>
        <w:spacing w:after="0" w:line="298" w:lineRule="exact"/>
        <w:rPr>
          <w:sz w:val="24"/>
          <w:szCs w:val="24"/>
          <w:color w:val="auto"/>
        </w:rPr>
      </w:pPr>
    </w:p>
    <w:p>
      <w:pPr>
        <w:ind w:right="20"/>
        <w:spacing w:after="0" w:line="253" w:lineRule="auto"/>
        <w:rPr>
          <w:sz w:val="20"/>
          <w:szCs w:val="20"/>
          <w:color w:val="auto"/>
        </w:rPr>
      </w:pPr>
      <w:r>
        <w:rPr>
          <w:rFonts w:ascii="Arial" w:cs="Arial" w:eastAsia="Arial" w:hAnsi="Arial"/>
          <w:sz w:val="14"/>
          <w:szCs w:val="14"/>
          <w:color w:val="auto"/>
        </w:rPr>
        <w:t>Selected portions of the registrant’s definitive proxy statement on Schedule 14A for the registrant’s 2022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20" w:type="dxa"/>
            <w:vAlign w:val="bottom"/>
            <w:gridSpan w:val="8"/>
          </w:tcPr>
          <w:p>
            <w:pPr>
              <w:jc w:val="center"/>
              <w:ind w:right="3060"/>
              <w:spacing w:after="0"/>
              <w:rPr>
                <w:sz w:val="20"/>
                <w:szCs w:val="20"/>
                <w:color w:val="auto"/>
              </w:rPr>
            </w:pPr>
            <w:r>
              <w:rPr>
                <w:rFonts w:ascii="Arial" w:cs="Arial" w:eastAsia="Arial" w:hAnsi="Arial"/>
                <w:sz w:val="18"/>
                <w:szCs w:val="18"/>
                <w:b w:val="1"/>
                <w:bCs w:val="1"/>
                <w:color w:val="auto"/>
                <w:w w:val="99"/>
              </w:rPr>
              <w:t>CANTALOUPE, INC.</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20" w:type="dxa"/>
            <w:vAlign w:val="bottom"/>
            <w:gridSpan w:val="8"/>
          </w:tcPr>
          <w:p>
            <w:pPr>
              <w:jc w:val="center"/>
              <w:ind w:right="3060"/>
              <w:spacing w:after="0"/>
              <w:rPr>
                <w:sz w:val="20"/>
                <w:szCs w:val="20"/>
                <w:color w:val="auto"/>
              </w:rPr>
            </w:pPr>
            <w:r>
              <w:rPr>
                <w:rFonts w:ascii="Arial" w:cs="Arial" w:eastAsia="Arial" w:hAnsi="Arial"/>
                <w:sz w:val="18"/>
                <w:szCs w:val="18"/>
                <w:b w:val="1"/>
                <w:bCs w:val="1"/>
                <w:color w:val="auto"/>
                <w:w w:val="99"/>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0" w:type="dxa"/>
            <w:vAlign w:val="bottom"/>
            <w:gridSpan w:val="2"/>
            <w:vMerge w:val="restart"/>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460" w:type="dxa"/>
            <w:vAlign w:val="bottom"/>
            <w:gridSpan w:val="4"/>
            <w:vMerge w:val="restart"/>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640" w:type="dxa"/>
            <w:vAlign w:val="bottom"/>
            <w:tcBorders>
              <w:bottom w:val="single" w:sz="8" w:color="0000FF"/>
            </w:tcBorders>
            <w:gridSpan w:val="2"/>
            <w:vMerge w:val="continue"/>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Item</w:t>
              </w:r>
            </w:hyperlink>
          </w:p>
        </w:tc>
        <w:tc>
          <w:tcPr>
            <w:tcW w:w="760" w:type="dxa"/>
            <w:vAlign w:val="bottom"/>
            <w:gridSpan w:val="5"/>
          </w:tcPr>
          <w:p>
            <w:pPr>
              <w:spacing w:after="0"/>
              <w:rPr>
                <w:sz w:val="18"/>
                <w:szCs w:val="18"/>
                <w:color w:val="auto"/>
              </w:rPr>
            </w:pPr>
          </w:p>
        </w:tc>
        <w:tc>
          <w:tcPr>
            <w:tcW w:w="140" w:type="dxa"/>
            <w:vAlign w:val="bottom"/>
          </w:tcPr>
          <w:p>
            <w:pPr>
              <w:spacing w:after="0"/>
              <w:rPr>
                <w:rFonts w:ascii="Arial" w:cs="Arial" w:eastAsia="Arial" w:hAnsi="Arial"/>
                <w:sz w:val="17"/>
                <w:szCs w:val="17"/>
                <w:color w:val="0000FF"/>
                <w:w w:val="70"/>
              </w:rPr>
            </w:pPr>
            <w:hyperlink w:anchor="page5">
              <w:r>
                <w:rPr>
                  <w:rFonts w:ascii="Arial" w:cs="Arial" w:eastAsia="Arial" w:hAnsi="Arial"/>
                  <w:sz w:val="17"/>
                  <w:szCs w:val="17"/>
                  <w:color w:val="0000FF"/>
                  <w:w w:val="70"/>
                </w:rPr>
                <w:t>1.</w:t>
              </w:r>
            </w:hyperlink>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7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1A.</w:t>
              </w:r>
            </w:hyperlink>
          </w:p>
        </w:tc>
        <w:tc>
          <w:tcPr>
            <w:tcW w:w="9000" w:type="dxa"/>
            <w:vAlign w:val="bottom"/>
            <w:gridSpan w:val="21"/>
          </w:tcPr>
          <w:p>
            <w:pPr>
              <w:ind w:left="100"/>
              <w:spacing w:after="0"/>
              <w:rPr>
                <w:rFonts w:ascii="Arial" w:cs="Arial" w:eastAsia="Arial" w:hAnsi="Arial"/>
                <w:sz w:val="18"/>
                <w:szCs w:val="18"/>
                <w:color w:val="0000FF"/>
              </w:rPr>
            </w:pPr>
            <w:hyperlink w:anchor="page14">
              <w:r>
                <w:rPr>
                  <w:rFonts w:ascii="Arial" w:cs="Arial" w:eastAsia="Arial" w:hAnsi="Arial"/>
                  <w:sz w:val="18"/>
                  <w:szCs w:val="18"/>
                  <w:color w:val="0000FF"/>
                </w:rPr>
                <w:t>Risk Factors.</w:t>
              </w:r>
            </w:hyperlink>
          </w:p>
        </w:tc>
        <w:tc>
          <w:tcPr>
            <w:tcW w:w="740" w:type="dxa"/>
            <w:vAlign w:val="bottom"/>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rFonts w:ascii="Arial" w:cs="Arial" w:eastAsia="Arial" w:hAnsi="Arial"/>
                <w:sz w:val="17"/>
                <w:szCs w:val="17"/>
                <w:color w:val="0000FF"/>
                <w:w w:val="70"/>
              </w:rPr>
            </w:pPr>
            <w:hyperlink w:anchor="page24">
              <w:r>
                <w:rPr>
                  <w:rFonts w:ascii="Arial" w:cs="Arial" w:eastAsia="Arial" w:hAnsi="Arial"/>
                  <w:sz w:val="17"/>
                  <w:szCs w:val="17"/>
                  <w:color w:val="0000FF"/>
                  <w:w w:val="70"/>
                </w:rPr>
                <w:t>1B.</w:t>
              </w:r>
            </w:hyperlink>
          </w:p>
        </w:tc>
        <w:tc>
          <w:tcPr>
            <w:tcW w:w="140" w:type="dxa"/>
            <w:vAlign w:val="bottom"/>
          </w:tcPr>
          <w:p>
            <w:pPr>
              <w:spacing w:after="0"/>
              <w:rPr>
                <w:sz w:val="18"/>
                <w:szCs w:val="18"/>
                <w:color w:val="auto"/>
              </w:rPr>
            </w:pPr>
          </w:p>
        </w:tc>
        <w:tc>
          <w:tcPr>
            <w:tcW w:w="9000" w:type="dxa"/>
            <w:vAlign w:val="bottom"/>
            <w:gridSpan w:val="21"/>
          </w:tcPr>
          <w:p>
            <w:pPr>
              <w:ind w:left="100"/>
              <w:spacing w:after="0"/>
              <w:rPr>
                <w:rFonts w:ascii="Arial" w:cs="Arial" w:eastAsia="Arial" w:hAnsi="Arial"/>
                <w:sz w:val="18"/>
                <w:szCs w:val="18"/>
                <w:color w:val="0000FF"/>
              </w:rPr>
            </w:pPr>
            <w:hyperlink w:anchor="page24">
              <w:r>
                <w:rPr>
                  <w:rFonts w:ascii="Arial" w:cs="Arial" w:eastAsia="Arial" w:hAnsi="Arial"/>
                  <w:sz w:val="18"/>
                  <w:szCs w:val="18"/>
                  <w:color w:val="0000FF"/>
                </w:rPr>
                <w:t>Unresolved Staff Comments.</w:t>
              </w:r>
            </w:hyperlink>
          </w:p>
        </w:tc>
        <w:tc>
          <w:tcPr>
            <w:tcW w:w="74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rFonts w:ascii="Arial" w:cs="Arial" w:eastAsia="Arial" w:hAnsi="Arial"/>
                <w:sz w:val="17"/>
                <w:szCs w:val="17"/>
                <w:color w:val="0000FF"/>
                <w:w w:val="70"/>
              </w:rPr>
            </w:pPr>
            <w:hyperlink w:anchor="page24">
              <w:r>
                <w:rPr>
                  <w:rFonts w:ascii="Arial" w:cs="Arial" w:eastAsia="Arial" w:hAnsi="Arial"/>
                  <w:sz w:val="17"/>
                  <w:szCs w:val="17"/>
                  <w:color w:val="0000FF"/>
                  <w:w w:val="70"/>
                </w:rPr>
                <w:t>2.</w:t>
              </w:r>
            </w:hyperlink>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rFonts w:ascii="Arial" w:cs="Arial" w:eastAsia="Arial" w:hAnsi="Arial"/>
                <w:sz w:val="18"/>
                <w:szCs w:val="18"/>
                <w:color w:val="0000FF"/>
              </w:rPr>
            </w:pPr>
            <w:hyperlink w:anchor="page24">
              <w:r>
                <w:rPr>
                  <w:rFonts w:ascii="Arial" w:cs="Arial" w:eastAsia="Arial" w:hAnsi="Arial"/>
                  <w:sz w:val="18"/>
                  <w:szCs w:val="18"/>
                  <w:color w:val="0000FF"/>
                </w:rPr>
                <w:t>Properties.</w:t>
              </w:r>
            </w:hyperlink>
          </w:p>
        </w:tc>
        <w:tc>
          <w:tcPr>
            <w:tcW w:w="74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rFonts w:ascii="Arial" w:cs="Arial" w:eastAsia="Arial" w:hAnsi="Arial"/>
                <w:sz w:val="17"/>
                <w:szCs w:val="17"/>
                <w:color w:val="0000FF"/>
                <w:w w:val="70"/>
              </w:rPr>
            </w:pPr>
            <w:hyperlink w:anchor="page24">
              <w:r>
                <w:rPr>
                  <w:rFonts w:ascii="Arial" w:cs="Arial" w:eastAsia="Arial" w:hAnsi="Arial"/>
                  <w:sz w:val="17"/>
                  <w:szCs w:val="17"/>
                  <w:color w:val="0000FF"/>
                  <w:w w:val="70"/>
                </w:rPr>
                <w:t>3.</w:t>
              </w:r>
            </w:hyperlink>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rFonts w:ascii="Arial" w:cs="Arial" w:eastAsia="Arial" w:hAnsi="Arial"/>
                <w:sz w:val="18"/>
                <w:szCs w:val="18"/>
                <w:color w:val="0000FF"/>
              </w:rPr>
            </w:pPr>
            <w:hyperlink w:anchor="page24">
              <w:r>
                <w:rPr>
                  <w:rFonts w:ascii="Arial" w:cs="Arial" w:eastAsia="Arial" w:hAnsi="Arial"/>
                  <w:sz w:val="18"/>
                  <w:szCs w:val="18"/>
                  <w:color w:val="0000FF"/>
                </w:rPr>
                <w:t>Legal Proceedings.</w:t>
              </w:r>
            </w:hyperlink>
          </w:p>
        </w:tc>
        <w:tc>
          <w:tcPr>
            <w:tcW w:w="74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gridSpan w:val="3"/>
            <w:vMerge w:val="restart"/>
          </w:tcPr>
          <w:p>
            <w:pPr>
              <w:spacing w:after="0"/>
              <w:rPr>
                <w:rFonts w:ascii="Arial" w:cs="Arial" w:eastAsia="Arial" w:hAnsi="Arial"/>
                <w:sz w:val="18"/>
                <w:szCs w:val="18"/>
                <w:b w:val="1"/>
                <w:bCs w:val="1"/>
                <w:color w:val="0000FF"/>
              </w:rPr>
            </w:pPr>
            <w:hyperlink w:anchor="page24">
              <w:r>
                <w:rPr>
                  <w:rFonts w:ascii="Arial" w:cs="Arial" w:eastAsia="Arial" w:hAnsi="Arial"/>
                  <w:sz w:val="18"/>
                  <w:szCs w:val="18"/>
                  <w:b w:val="1"/>
                  <w:bCs w:val="1"/>
                  <w:color w:val="0000FF"/>
                </w:rPr>
                <w:t>PART II</w:t>
              </w:r>
            </w:hyperlink>
          </w:p>
        </w:tc>
        <w:tc>
          <w:tcPr>
            <w:tcW w:w="400" w:type="dxa"/>
            <w:vAlign w:val="bottom"/>
            <w:gridSpan w:val="3"/>
            <w:vMerge w:val="restart"/>
          </w:tcPr>
          <w:p>
            <w:pPr>
              <w:spacing w:after="0"/>
              <w:rPr>
                <w:sz w:val="18"/>
                <w:szCs w:val="18"/>
                <w:color w:val="auto"/>
              </w:rPr>
            </w:pPr>
          </w:p>
        </w:tc>
        <w:tc>
          <w:tcPr>
            <w:tcW w:w="140" w:type="dxa"/>
            <w:vAlign w:val="bottom"/>
          </w:tcPr>
          <w:p>
            <w:pPr>
              <w:spacing w:after="0"/>
              <w:rPr>
                <w:rFonts w:ascii="Arial" w:cs="Arial" w:eastAsia="Arial" w:hAnsi="Arial"/>
                <w:sz w:val="17"/>
                <w:szCs w:val="17"/>
                <w:color w:val="0000FF"/>
                <w:w w:val="70"/>
              </w:rPr>
            </w:pPr>
            <w:hyperlink w:anchor="page24">
              <w:r>
                <w:rPr>
                  <w:rFonts w:ascii="Arial" w:cs="Arial" w:eastAsia="Arial" w:hAnsi="Arial"/>
                  <w:sz w:val="17"/>
                  <w:szCs w:val="17"/>
                  <w:color w:val="0000FF"/>
                  <w:w w:val="70"/>
                </w:rPr>
                <w:t>4.</w:t>
              </w:r>
            </w:hyperlink>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rFonts w:ascii="Arial" w:cs="Arial" w:eastAsia="Arial" w:hAnsi="Arial"/>
                <w:sz w:val="18"/>
                <w:szCs w:val="18"/>
                <w:color w:val="0000FF"/>
              </w:rPr>
            </w:pPr>
            <w:hyperlink w:anchor="page24">
              <w:r>
                <w:rPr>
                  <w:rFonts w:ascii="Arial" w:cs="Arial" w:eastAsia="Arial" w:hAnsi="Arial"/>
                  <w:sz w:val="18"/>
                  <w:szCs w:val="18"/>
                  <w:color w:val="0000FF"/>
                </w:rPr>
                <w:t>Mine Safety Disclosures.</w:t>
              </w:r>
            </w:hyperlink>
          </w:p>
        </w:tc>
        <w:tc>
          <w:tcPr>
            <w:tcW w:w="74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215"/>
        </w:trPr>
        <w:tc>
          <w:tcPr>
            <w:tcW w:w="700" w:type="dxa"/>
            <w:vAlign w:val="bottom"/>
            <w:tcBorders>
              <w:bottom w:val="single" w:sz="8" w:color="0000FF"/>
            </w:tcBorders>
            <w:gridSpan w:val="3"/>
            <w:vMerge w:val="continue"/>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rFonts w:ascii="Arial" w:cs="Arial" w:eastAsia="Arial" w:hAnsi="Arial"/>
                <w:sz w:val="18"/>
                <w:szCs w:val="18"/>
                <w:color w:val="0000FF"/>
                <w:w w:val="91"/>
              </w:rPr>
            </w:pPr>
            <w:hyperlink w:anchor="page25">
              <w:r>
                <w:rPr>
                  <w:rFonts w:ascii="Arial" w:cs="Arial" w:eastAsia="Arial" w:hAnsi="Arial"/>
                  <w:sz w:val="18"/>
                  <w:szCs w:val="18"/>
                  <w:color w:val="0000FF"/>
                  <w:w w:val="91"/>
                </w:rPr>
                <w:t>Item</w:t>
              </w:r>
            </w:hyperlink>
          </w:p>
        </w:tc>
        <w:tc>
          <w:tcPr>
            <w:tcW w:w="760" w:type="dxa"/>
            <w:vAlign w:val="bottom"/>
            <w:gridSpan w:val="5"/>
          </w:tcPr>
          <w:p>
            <w:pPr>
              <w:spacing w:after="0"/>
              <w:rPr>
                <w:sz w:val="18"/>
                <w:szCs w:val="18"/>
                <w:color w:val="auto"/>
              </w:rPr>
            </w:pPr>
          </w:p>
        </w:tc>
        <w:tc>
          <w:tcPr>
            <w:tcW w:w="140" w:type="dxa"/>
            <w:vAlign w:val="bottom"/>
          </w:tcPr>
          <w:p>
            <w:pPr>
              <w:spacing w:after="0"/>
              <w:rPr>
                <w:rFonts w:ascii="Arial" w:cs="Arial" w:eastAsia="Arial" w:hAnsi="Arial"/>
                <w:sz w:val="17"/>
                <w:szCs w:val="17"/>
                <w:color w:val="0000FF"/>
                <w:w w:val="70"/>
              </w:rPr>
            </w:pPr>
            <w:hyperlink w:anchor="page25">
              <w:r>
                <w:rPr>
                  <w:rFonts w:ascii="Arial" w:cs="Arial" w:eastAsia="Arial" w:hAnsi="Arial"/>
                  <w:sz w:val="17"/>
                  <w:szCs w:val="17"/>
                  <w:color w:val="0000FF"/>
                  <w:w w:val="70"/>
                </w:rPr>
                <w:t>5.</w:t>
              </w:r>
            </w:hyperlink>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rFonts w:ascii="Arial" w:cs="Arial" w:eastAsia="Arial" w:hAnsi="Arial"/>
                <w:sz w:val="18"/>
                <w:szCs w:val="18"/>
                <w:color w:val="0000FF"/>
                <w:w w:val="99"/>
              </w:rPr>
            </w:pPr>
            <w:hyperlink w:anchor="page25">
              <w:r>
                <w:rPr>
                  <w:rFonts w:ascii="Arial" w:cs="Arial" w:eastAsia="Arial" w:hAnsi="Arial"/>
                  <w:sz w:val="18"/>
                  <w:szCs w:val="18"/>
                  <w:color w:val="0000FF"/>
                  <w:w w:val="99"/>
                </w:rPr>
                <w:t>Market for Registrant’s Common Equity, Related Stockholder Matters and Issuer Purchases of Equity Securities.</w:t>
              </w:r>
            </w:hyperlink>
          </w:p>
        </w:tc>
        <w:tc>
          <w:tcPr>
            <w:tcW w:w="74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rFonts w:ascii="Arial" w:cs="Arial" w:eastAsia="Arial" w:hAnsi="Arial"/>
                <w:sz w:val="17"/>
                <w:szCs w:val="17"/>
                <w:color w:val="0000FF"/>
                <w:w w:val="70"/>
              </w:rPr>
            </w:pPr>
            <w:hyperlink w:anchor="page26">
              <w:r>
                <w:rPr>
                  <w:rFonts w:ascii="Arial" w:cs="Arial" w:eastAsia="Arial" w:hAnsi="Arial"/>
                  <w:sz w:val="17"/>
                  <w:szCs w:val="17"/>
                  <w:color w:val="0000FF"/>
                  <w:w w:val="70"/>
                </w:rPr>
                <w:t>6.</w:t>
              </w:r>
            </w:hyperlink>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rFonts w:ascii="Arial" w:cs="Arial" w:eastAsia="Arial" w:hAnsi="Arial"/>
                <w:sz w:val="18"/>
                <w:szCs w:val="18"/>
                <w:color w:val="0000FF"/>
              </w:rPr>
            </w:pPr>
            <w:hyperlink w:anchor="page26">
              <w:r>
                <w:rPr>
                  <w:rFonts w:ascii="Arial" w:cs="Arial" w:eastAsia="Arial" w:hAnsi="Arial"/>
                  <w:sz w:val="18"/>
                  <w:szCs w:val="18"/>
                  <w:color w:val="0000FF"/>
                </w:rPr>
                <w:t>Selected Financial Data.</w:t>
              </w:r>
            </w:hyperlink>
          </w:p>
        </w:tc>
        <w:tc>
          <w:tcPr>
            <w:tcW w:w="74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rFonts w:ascii="Arial" w:cs="Arial" w:eastAsia="Arial" w:hAnsi="Arial"/>
                <w:sz w:val="17"/>
                <w:szCs w:val="17"/>
                <w:color w:val="0000FF"/>
                <w:w w:val="70"/>
              </w:rPr>
            </w:pPr>
            <w:hyperlink w:anchor="page27">
              <w:r>
                <w:rPr>
                  <w:rFonts w:ascii="Arial" w:cs="Arial" w:eastAsia="Arial" w:hAnsi="Arial"/>
                  <w:sz w:val="17"/>
                  <w:szCs w:val="17"/>
                  <w:color w:val="0000FF"/>
                  <w:w w:val="70"/>
                </w:rPr>
                <w:t>7.</w:t>
              </w:r>
            </w:hyperlink>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74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7A.</w:t>
              </w:r>
            </w:hyperlink>
          </w:p>
        </w:tc>
        <w:tc>
          <w:tcPr>
            <w:tcW w:w="9000" w:type="dxa"/>
            <w:vAlign w:val="bottom"/>
            <w:gridSpan w:val="21"/>
          </w:tcPr>
          <w:p>
            <w:pPr>
              <w:ind w:left="100"/>
              <w:spacing w:after="0"/>
              <w:rPr>
                <w:rFonts w:ascii="Arial" w:cs="Arial" w:eastAsia="Arial" w:hAnsi="Arial"/>
                <w:sz w:val="18"/>
                <w:szCs w:val="18"/>
                <w:color w:val="0000FF"/>
              </w:rPr>
            </w:pPr>
            <w:hyperlink w:anchor="page41">
              <w:r>
                <w:rPr>
                  <w:rFonts w:ascii="Arial" w:cs="Arial" w:eastAsia="Arial" w:hAnsi="Arial"/>
                  <w:sz w:val="18"/>
                  <w:szCs w:val="18"/>
                  <w:color w:val="0000FF"/>
                </w:rPr>
                <w:t>Quantitative and Qualitative Disclosures About Market Risk.</w:t>
              </w:r>
            </w:hyperlink>
          </w:p>
        </w:tc>
        <w:tc>
          <w:tcPr>
            <w:tcW w:w="74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rFonts w:ascii="Arial" w:cs="Arial" w:eastAsia="Arial" w:hAnsi="Arial"/>
                <w:sz w:val="17"/>
                <w:szCs w:val="17"/>
                <w:color w:val="0000FF"/>
                <w:w w:val="70"/>
              </w:rPr>
            </w:pPr>
            <w:hyperlink w:anchor="page41">
              <w:r>
                <w:rPr>
                  <w:rFonts w:ascii="Arial" w:cs="Arial" w:eastAsia="Arial" w:hAnsi="Arial"/>
                  <w:sz w:val="17"/>
                  <w:szCs w:val="17"/>
                  <w:color w:val="0000FF"/>
                  <w:w w:val="70"/>
                </w:rPr>
                <w:t>8.</w:t>
              </w:r>
            </w:hyperlink>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rFonts w:ascii="Arial" w:cs="Arial" w:eastAsia="Arial" w:hAnsi="Arial"/>
                <w:sz w:val="18"/>
                <w:szCs w:val="18"/>
                <w:color w:val="0000FF"/>
              </w:rPr>
            </w:pPr>
            <w:hyperlink w:anchor="page41">
              <w:r>
                <w:rPr>
                  <w:rFonts w:ascii="Arial" w:cs="Arial" w:eastAsia="Arial" w:hAnsi="Arial"/>
                  <w:sz w:val="18"/>
                  <w:szCs w:val="18"/>
                  <w:color w:val="0000FF"/>
                </w:rPr>
                <w:t>Financial Statements and Supplementary Data.</w:t>
              </w:r>
            </w:hyperlink>
          </w:p>
        </w:tc>
        <w:tc>
          <w:tcPr>
            <w:tcW w:w="74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rFonts w:ascii="Arial" w:cs="Arial" w:eastAsia="Arial" w:hAnsi="Arial"/>
                <w:sz w:val="17"/>
                <w:szCs w:val="17"/>
                <w:color w:val="0000FF"/>
                <w:w w:val="70"/>
              </w:rPr>
            </w:pPr>
            <w:hyperlink w:anchor="page81">
              <w:r>
                <w:rPr>
                  <w:rFonts w:ascii="Arial" w:cs="Arial" w:eastAsia="Arial" w:hAnsi="Arial"/>
                  <w:sz w:val="17"/>
                  <w:szCs w:val="17"/>
                  <w:color w:val="0000FF"/>
                  <w:w w:val="70"/>
                </w:rPr>
                <w:t>9.</w:t>
              </w:r>
            </w:hyperlink>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rFonts w:ascii="Arial" w:cs="Arial" w:eastAsia="Arial" w:hAnsi="Arial"/>
                <w:sz w:val="18"/>
                <w:szCs w:val="18"/>
                <w:color w:val="0000FF"/>
              </w:rPr>
            </w:pPr>
            <w:hyperlink w:anchor="page81">
              <w:r>
                <w:rPr>
                  <w:rFonts w:ascii="Arial" w:cs="Arial" w:eastAsia="Arial" w:hAnsi="Arial"/>
                  <w:sz w:val="18"/>
                  <w:szCs w:val="18"/>
                  <w:color w:val="0000FF"/>
                </w:rPr>
                <w:t>Changes in and Disagreements With Accountants on Accounting and Financial Disclosure.</w:t>
              </w:r>
            </w:hyperlink>
          </w:p>
        </w:tc>
        <w:tc>
          <w:tcPr>
            <w:tcW w:w="74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82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3"/>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9A.</w:t>
              </w:r>
            </w:hyperlink>
          </w:p>
        </w:tc>
        <w:tc>
          <w:tcPr>
            <w:tcW w:w="9000" w:type="dxa"/>
            <w:vAlign w:val="bottom"/>
            <w:gridSpan w:val="21"/>
          </w:tcPr>
          <w:p>
            <w:pPr>
              <w:ind w:left="100"/>
              <w:spacing w:after="0"/>
              <w:rPr>
                <w:rFonts w:ascii="Arial" w:cs="Arial" w:eastAsia="Arial" w:hAnsi="Arial"/>
                <w:sz w:val="18"/>
                <w:szCs w:val="18"/>
                <w:color w:val="0000FF"/>
              </w:rPr>
            </w:pPr>
            <w:hyperlink w:anchor="page82">
              <w:r>
                <w:rPr>
                  <w:rFonts w:ascii="Arial" w:cs="Arial" w:eastAsia="Arial" w:hAnsi="Arial"/>
                  <w:sz w:val="18"/>
                  <w:szCs w:val="18"/>
                  <w:color w:val="0000FF"/>
                </w:rPr>
                <w:t>Controls and Procedures.</w:t>
              </w:r>
            </w:hyperlink>
          </w:p>
        </w:tc>
        <w:tc>
          <w:tcPr>
            <w:tcW w:w="74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82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5"/>
            <w:vMerge w:val="restart"/>
          </w:tcPr>
          <w:p>
            <w:pPr>
              <w:spacing w:after="0"/>
              <w:rPr>
                <w:rFonts w:ascii="Arial" w:cs="Arial" w:eastAsia="Arial" w:hAnsi="Arial"/>
                <w:sz w:val="18"/>
                <w:szCs w:val="18"/>
                <w:b w:val="1"/>
                <w:bCs w:val="1"/>
                <w:color w:val="0000FF"/>
              </w:rPr>
            </w:pPr>
            <w:hyperlink w:anchor="page83">
              <w:r>
                <w:rPr>
                  <w:rFonts w:ascii="Arial" w:cs="Arial" w:eastAsia="Arial" w:hAnsi="Arial"/>
                  <w:sz w:val="18"/>
                  <w:szCs w:val="18"/>
                  <w:b w:val="1"/>
                  <w:bCs w:val="1"/>
                  <w:color w:val="0000FF"/>
                </w:rPr>
                <w:t>PART III</w:t>
              </w:r>
            </w:hyperlink>
          </w:p>
        </w:tc>
        <w:tc>
          <w:tcPr>
            <w:tcW w:w="320" w:type="dxa"/>
            <w:vAlign w:val="bottom"/>
            <w:vMerge w:val="restart"/>
          </w:tcPr>
          <w:p>
            <w:pPr>
              <w:spacing w:after="0"/>
              <w:rPr>
                <w:sz w:val="18"/>
                <w:szCs w:val="18"/>
                <w:color w:val="auto"/>
              </w:rPr>
            </w:pPr>
          </w:p>
        </w:tc>
        <w:tc>
          <w:tcPr>
            <w:tcW w:w="220" w:type="dxa"/>
            <w:vAlign w:val="bottom"/>
            <w:gridSpan w:val="2"/>
          </w:tcPr>
          <w:p>
            <w:pPr>
              <w:spacing w:after="0"/>
              <w:rPr>
                <w:rFonts w:ascii="Arial" w:cs="Arial" w:eastAsia="Arial" w:hAnsi="Arial"/>
                <w:sz w:val="17"/>
                <w:szCs w:val="17"/>
                <w:color w:val="0000FF"/>
                <w:w w:val="70"/>
              </w:rPr>
            </w:pPr>
            <w:hyperlink w:anchor="page82">
              <w:r>
                <w:rPr>
                  <w:rFonts w:ascii="Arial" w:cs="Arial" w:eastAsia="Arial" w:hAnsi="Arial"/>
                  <w:sz w:val="17"/>
                  <w:szCs w:val="17"/>
                  <w:color w:val="0000FF"/>
                  <w:w w:val="70"/>
                </w:rPr>
                <w:t>9B</w:t>
              </w:r>
            </w:hyperlink>
            <w:r>
              <w:rPr>
                <w:rFonts w:ascii="Arial" w:cs="Arial" w:eastAsia="Arial" w:hAnsi="Arial"/>
                <w:sz w:val="17"/>
                <w:szCs w:val="17"/>
                <w:color w:val="000000"/>
                <w:w w:val="70"/>
              </w:rPr>
              <w:t>.</w:t>
            </w:r>
          </w:p>
        </w:tc>
        <w:tc>
          <w:tcPr>
            <w:tcW w:w="140" w:type="dxa"/>
            <w:vAlign w:val="bottom"/>
          </w:tcPr>
          <w:p>
            <w:pPr>
              <w:spacing w:after="0"/>
              <w:rPr>
                <w:sz w:val="18"/>
                <w:szCs w:val="18"/>
                <w:color w:val="auto"/>
              </w:rPr>
            </w:pPr>
          </w:p>
        </w:tc>
        <w:tc>
          <w:tcPr>
            <w:tcW w:w="9000" w:type="dxa"/>
            <w:vAlign w:val="bottom"/>
            <w:gridSpan w:val="21"/>
          </w:tcPr>
          <w:p>
            <w:pPr>
              <w:ind w:left="100"/>
              <w:spacing w:after="0"/>
              <w:rPr>
                <w:rFonts w:ascii="Arial" w:cs="Arial" w:eastAsia="Arial" w:hAnsi="Arial"/>
                <w:sz w:val="18"/>
                <w:szCs w:val="18"/>
                <w:color w:val="0000FF"/>
              </w:rPr>
            </w:pPr>
            <w:hyperlink w:anchor="page82">
              <w:r>
                <w:rPr>
                  <w:rFonts w:ascii="Arial" w:cs="Arial" w:eastAsia="Arial" w:hAnsi="Arial"/>
                  <w:sz w:val="18"/>
                  <w:szCs w:val="18"/>
                  <w:color w:val="0000FF"/>
                </w:rPr>
                <w:t>Other Information.</w:t>
              </w:r>
            </w:hyperlink>
          </w:p>
        </w:tc>
        <w:tc>
          <w:tcPr>
            <w:tcW w:w="74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83</w:t>
              </w:r>
            </w:hyperlink>
          </w:p>
        </w:tc>
        <w:tc>
          <w:tcPr>
            <w:tcW w:w="0" w:type="dxa"/>
            <w:vAlign w:val="bottom"/>
          </w:tcPr>
          <w:p>
            <w:pPr>
              <w:spacing w:after="0"/>
              <w:rPr>
                <w:sz w:val="1"/>
                <w:szCs w:val="1"/>
                <w:color w:val="auto"/>
              </w:rPr>
            </w:pPr>
          </w:p>
        </w:tc>
      </w:tr>
      <w:tr>
        <w:trPr>
          <w:trHeight w:val="214"/>
        </w:trPr>
        <w:tc>
          <w:tcPr>
            <w:tcW w:w="780" w:type="dxa"/>
            <w:vAlign w:val="bottom"/>
            <w:tcBorders>
              <w:bottom w:val="single" w:sz="8" w:color="0000FF"/>
            </w:tcBorders>
            <w:gridSpan w:val="5"/>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rFonts w:ascii="Arial" w:cs="Arial" w:eastAsia="Arial" w:hAnsi="Arial"/>
                <w:sz w:val="18"/>
                <w:szCs w:val="18"/>
                <w:color w:val="0000FF"/>
                <w:w w:val="91"/>
              </w:rPr>
            </w:pPr>
            <w:hyperlink w:anchor="page84">
              <w:r>
                <w:rPr>
                  <w:rFonts w:ascii="Arial" w:cs="Arial" w:eastAsia="Arial" w:hAnsi="Arial"/>
                  <w:sz w:val="18"/>
                  <w:szCs w:val="18"/>
                  <w:color w:val="0000FF"/>
                  <w:w w:val="91"/>
                </w:rPr>
                <w:t>Item</w:t>
              </w:r>
            </w:hyperlink>
          </w:p>
        </w:tc>
        <w:tc>
          <w:tcPr>
            <w:tcW w:w="760" w:type="dxa"/>
            <w:vAlign w:val="bottom"/>
            <w:gridSpan w:val="5"/>
          </w:tcPr>
          <w:p>
            <w:pPr>
              <w:spacing w:after="0"/>
              <w:rPr>
                <w:sz w:val="18"/>
                <w:szCs w:val="18"/>
                <w:color w:val="auto"/>
              </w:rPr>
            </w:pPr>
          </w:p>
        </w:tc>
        <w:tc>
          <w:tcPr>
            <w:tcW w:w="220" w:type="dxa"/>
            <w:vAlign w:val="bottom"/>
            <w:gridSpan w:val="2"/>
          </w:tcPr>
          <w:p>
            <w:pPr>
              <w:spacing w:after="0"/>
              <w:rPr>
                <w:rFonts w:ascii="Arial" w:cs="Arial" w:eastAsia="Arial" w:hAnsi="Arial"/>
                <w:sz w:val="18"/>
                <w:szCs w:val="18"/>
                <w:color w:val="0000FF"/>
                <w:w w:val="71"/>
              </w:rPr>
            </w:pPr>
            <w:hyperlink w:anchor="page84">
              <w:r>
                <w:rPr>
                  <w:rFonts w:ascii="Arial" w:cs="Arial" w:eastAsia="Arial" w:hAnsi="Arial"/>
                  <w:sz w:val="18"/>
                  <w:szCs w:val="18"/>
                  <w:color w:val="0000FF"/>
                  <w:w w:val="71"/>
                </w:rPr>
                <w:t>10.</w:t>
              </w:r>
            </w:hyperlink>
          </w:p>
        </w:tc>
        <w:tc>
          <w:tcPr>
            <w:tcW w:w="140" w:type="dxa"/>
            <w:vAlign w:val="bottom"/>
          </w:tcPr>
          <w:p>
            <w:pPr>
              <w:spacing w:after="0"/>
              <w:rPr>
                <w:sz w:val="18"/>
                <w:szCs w:val="18"/>
                <w:color w:val="auto"/>
              </w:rPr>
            </w:pPr>
          </w:p>
        </w:tc>
        <w:tc>
          <w:tcPr>
            <w:tcW w:w="9000" w:type="dxa"/>
            <w:vAlign w:val="bottom"/>
            <w:gridSpan w:val="21"/>
          </w:tcPr>
          <w:p>
            <w:pPr>
              <w:ind w:left="100"/>
              <w:spacing w:after="0"/>
              <w:rPr>
                <w:rFonts w:ascii="Arial" w:cs="Arial" w:eastAsia="Arial" w:hAnsi="Arial"/>
                <w:sz w:val="18"/>
                <w:szCs w:val="18"/>
                <w:color w:val="0000FF"/>
              </w:rPr>
            </w:pPr>
            <w:hyperlink w:anchor="page84">
              <w:r>
                <w:rPr>
                  <w:rFonts w:ascii="Arial" w:cs="Arial" w:eastAsia="Arial" w:hAnsi="Arial"/>
                  <w:sz w:val="18"/>
                  <w:szCs w:val="18"/>
                  <w:color w:val="0000FF"/>
                </w:rPr>
                <w:t>Directors, Executive Officers and Corporate Governance.</w:t>
              </w:r>
            </w:hyperlink>
          </w:p>
        </w:tc>
        <w:tc>
          <w:tcPr>
            <w:tcW w:w="74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84</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rFonts w:ascii="Arial" w:cs="Arial" w:eastAsia="Arial" w:hAnsi="Arial"/>
                <w:sz w:val="18"/>
                <w:szCs w:val="18"/>
                <w:color w:val="0000FF"/>
                <w:w w:val="71"/>
              </w:rPr>
            </w:pPr>
            <w:hyperlink w:anchor="page84">
              <w:r>
                <w:rPr>
                  <w:rFonts w:ascii="Arial" w:cs="Arial" w:eastAsia="Arial" w:hAnsi="Arial"/>
                  <w:sz w:val="18"/>
                  <w:szCs w:val="18"/>
                  <w:color w:val="0000FF"/>
                  <w:w w:val="71"/>
                </w:rPr>
                <w:t>11.</w:t>
              </w:r>
            </w:hyperlink>
          </w:p>
        </w:tc>
        <w:tc>
          <w:tcPr>
            <w:tcW w:w="140" w:type="dxa"/>
            <w:vAlign w:val="bottom"/>
          </w:tcPr>
          <w:p>
            <w:pPr>
              <w:spacing w:after="0"/>
              <w:rPr>
                <w:sz w:val="18"/>
                <w:szCs w:val="18"/>
                <w:color w:val="auto"/>
              </w:rPr>
            </w:pPr>
          </w:p>
        </w:tc>
        <w:tc>
          <w:tcPr>
            <w:tcW w:w="9000" w:type="dxa"/>
            <w:vAlign w:val="bottom"/>
            <w:gridSpan w:val="21"/>
          </w:tcPr>
          <w:p>
            <w:pPr>
              <w:ind w:left="100"/>
              <w:spacing w:after="0"/>
              <w:rPr>
                <w:rFonts w:ascii="Arial" w:cs="Arial" w:eastAsia="Arial" w:hAnsi="Arial"/>
                <w:sz w:val="18"/>
                <w:szCs w:val="18"/>
                <w:color w:val="0000FF"/>
              </w:rPr>
            </w:pPr>
            <w:hyperlink w:anchor="page84">
              <w:r>
                <w:rPr>
                  <w:rFonts w:ascii="Arial" w:cs="Arial" w:eastAsia="Arial" w:hAnsi="Arial"/>
                  <w:sz w:val="18"/>
                  <w:szCs w:val="18"/>
                  <w:color w:val="0000FF"/>
                </w:rPr>
                <w:t>Executive Compensation.</w:t>
              </w:r>
            </w:hyperlink>
          </w:p>
        </w:tc>
        <w:tc>
          <w:tcPr>
            <w:tcW w:w="74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rFonts w:ascii="Arial" w:cs="Arial" w:eastAsia="Arial" w:hAnsi="Arial"/>
                <w:sz w:val="18"/>
                <w:szCs w:val="18"/>
                <w:color w:val="0000FF"/>
                <w:w w:val="71"/>
              </w:rPr>
            </w:pPr>
            <w:hyperlink w:anchor="page84">
              <w:r>
                <w:rPr>
                  <w:rFonts w:ascii="Arial" w:cs="Arial" w:eastAsia="Arial" w:hAnsi="Arial"/>
                  <w:sz w:val="18"/>
                  <w:szCs w:val="18"/>
                  <w:color w:val="0000FF"/>
                  <w:w w:val="71"/>
                </w:rPr>
                <w:t>12.</w:t>
              </w:r>
            </w:hyperlink>
          </w:p>
        </w:tc>
        <w:tc>
          <w:tcPr>
            <w:tcW w:w="140" w:type="dxa"/>
            <w:vAlign w:val="bottom"/>
          </w:tcPr>
          <w:p>
            <w:pPr>
              <w:spacing w:after="0"/>
              <w:rPr>
                <w:sz w:val="18"/>
                <w:szCs w:val="18"/>
                <w:color w:val="auto"/>
              </w:rPr>
            </w:pPr>
          </w:p>
        </w:tc>
        <w:tc>
          <w:tcPr>
            <w:tcW w:w="9000" w:type="dxa"/>
            <w:vAlign w:val="bottom"/>
            <w:gridSpan w:val="21"/>
          </w:tcPr>
          <w:p>
            <w:pPr>
              <w:ind w:left="100"/>
              <w:spacing w:after="0"/>
              <w:rPr>
                <w:rFonts w:ascii="Arial" w:cs="Arial" w:eastAsia="Arial" w:hAnsi="Arial"/>
                <w:sz w:val="18"/>
                <w:szCs w:val="18"/>
                <w:color w:val="0000FF"/>
              </w:rPr>
            </w:pPr>
            <w:hyperlink w:anchor="page84">
              <w:r>
                <w:rPr>
                  <w:rFonts w:ascii="Arial" w:cs="Arial" w:eastAsia="Arial" w:hAnsi="Arial"/>
                  <w:sz w:val="18"/>
                  <w:szCs w:val="18"/>
                  <w:color w:val="0000FF"/>
                </w:rPr>
                <w:t>Security Ownership of Certain Beneficial Owners and Management and Related Stockholder Matters.</w:t>
              </w:r>
            </w:hyperlink>
          </w:p>
        </w:tc>
        <w:tc>
          <w:tcPr>
            <w:tcW w:w="74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rFonts w:ascii="Arial" w:cs="Arial" w:eastAsia="Arial" w:hAnsi="Arial"/>
                <w:sz w:val="18"/>
                <w:szCs w:val="18"/>
                <w:color w:val="0000FF"/>
                <w:w w:val="71"/>
              </w:rPr>
            </w:pPr>
            <w:hyperlink w:anchor="page84">
              <w:r>
                <w:rPr>
                  <w:rFonts w:ascii="Arial" w:cs="Arial" w:eastAsia="Arial" w:hAnsi="Arial"/>
                  <w:sz w:val="18"/>
                  <w:szCs w:val="18"/>
                  <w:color w:val="0000FF"/>
                  <w:w w:val="71"/>
                </w:rPr>
                <w:t>13.</w:t>
              </w:r>
            </w:hyperlink>
          </w:p>
        </w:tc>
        <w:tc>
          <w:tcPr>
            <w:tcW w:w="140" w:type="dxa"/>
            <w:vAlign w:val="bottom"/>
          </w:tcPr>
          <w:p>
            <w:pPr>
              <w:spacing w:after="0"/>
              <w:rPr>
                <w:sz w:val="18"/>
                <w:szCs w:val="18"/>
                <w:color w:val="auto"/>
              </w:rPr>
            </w:pPr>
          </w:p>
        </w:tc>
        <w:tc>
          <w:tcPr>
            <w:tcW w:w="9000" w:type="dxa"/>
            <w:vAlign w:val="bottom"/>
            <w:gridSpan w:val="21"/>
          </w:tcPr>
          <w:p>
            <w:pPr>
              <w:ind w:left="100"/>
              <w:spacing w:after="0"/>
              <w:rPr>
                <w:rFonts w:ascii="Arial" w:cs="Arial" w:eastAsia="Arial" w:hAnsi="Arial"/>
                <w:sz w:val="18"/>
                <w:szCs w:val="18"/>
                <w:color w:val="0000FF"/>
              </w:rPr>
            </w:pPr>
            <w:hyperlink w:anchor="page84">
              <w:r>
                <w:rPr>
                  <w:rFonts w:ascii="Arial" w:cs="Arial" w:eastAsia="Arial" w:hAnsi="Arial"/>
                  <w:sz w:val="18"/>
                  <w:szCs w:val="18"/>
                  <w:color w:val="0000FF"/>
                </w:rPr>
                <w:t>Certain Relationships and Related Transactions, and Director Independence.</w:t>
              </w:r>
            </w:hyperlink>
          </w:p>
        </w:tc>
        <w:tc>
          <w:tcPr>
            <w:tcW w:w="74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gridSpan w:val="6"/>
            <w:vMerge w:val="restart"/>
          </w:tcPr>
          <w:p>
            <w:pPr>
              <w:spacing w:after="0"/>
              <w:rPr>
                <w:rFonts w:ascii="Arial" w:cs="Arial" w:eastAsia="Arial" w:hAnsi="Arial"/>
                <w:sz w:val="18"/>
                <w:szCs w:val="18"/>
                <w:b w:val="1"/>
                <w:bCs w:val="1"/>
                <w:color w:val="0000FF"/>
              </w:rPr>
            </w:pPr>
            <w:hyperlink w:anchor="page84">
              <w:r>
                <w:rPr>
                  <w:rFonts w:ascii="Arial" w:cs="Arial" w:eastAsia="Arial" w:hAnsi="Arial"/>
                  <w:sz w:val="18"/>
                  <w:szCs w:val="18"/>
                  <w:b w:val="1"/>
                  <w:bCs w:val="1"/>
                  <w:color w:val="0000FF"/>
                </w:rPr>
                <w:t>PART IV</w:t>
              </w:r>
            </w:hyperlink>
          </w:p>
        </w:tc>
        <w:tc>
          <w:tcPr>
            <w:tcW w:w="220" w:type="dxa"/>
            <w:vAlign w:val="bottom"/>
            <w:gridSpan w:val="2"/>
          </w:tcPr>
          <w:p>
            <w:pPr>
              <w:spacing w:after="0"/>
              <w:rPr>
                <w:rFonts w:ascii="Arial" w:cs="Arial" w:eastAsia="Arial" w:hAnsi="Arial"/>
                <w:sz w:val="18"/>
                <w:szCs w:val="18"/>
                <w:color w:val="0000FF"/>
                <w:w w:val="71"/>
              </w:rPr>
            </w:pPr>
            <w:hyperlink w:anchor="page84">
              <w:r>
                <w:rPr>
                  <w:rFonts w:ascii="Arial" w:cs="Arial" w:eastAsia="Arial" w:hAnsi="Arial"/>
                  <w:sz w:val="18"/>
                  <w:szCs w:val="18"/>
                  <w:color w:val="0000FF"/>
                  <w:w w:val="71"/>
                </w:rPr>
                <w:t>14.</w:t>
              </w:r>
            </w:hyperlink>
          </w:p>
        </w:tc>
        <w:tc>
          <w:tcPr>
            <w:tcW w:w="140" w:type="dxa"/>
            <w:vAlign w:val="bottom"/>
          </w:tcPr>
          <w:p>
            <w:pPr>
              <w:spacing w:after="0"/>
              <w:rPr>
                <w:sz w:val="18"/>
                <w:szCs w:val="18"/>
                <w:color w:val="auto"/>
              </w:rPr>
            </w:pPr>
          </w:p>
        </w:tc>
        <w:tc>
          <w:tcPr>
            <w:tcW w:w="9000" w:type="dxa"/>
            <w:vAlign w:val="bottom"/>
            <w:gridSpan w:val="21"/>
          </w:tcPr>
          <w:p>
            <w:pPr>
              <w:ind w:left="100"/>
              <w:spacing w:after="0"/>
              <w:rPr>
                <w:rFonts w:ascii="Arial" w:cs="Arial" w:eastAsia="Arial" w:hAnsi="Arial"/>
                <w:sz w:val="18"/>
                <w:szCs w:val="18"/>
                <w:color w:val="0000FF"/>
              </w:rPr>
            </w:pPr>
            <w:hyperlink w:anchor="page84">
              <w:r>
                <w:rPr>
                  <w:rFonts w:ascii="Arial" w:cs="Arial" w:eastAsia="Arial" w:hAnsi="Arial"/>
                  <w:sz w:val="18"/>
                  <w:szCs w:val="18"/>
                  <w:color w:val="0000FF"/>
                </w:rPr>
                <w:t>Principal Accounting Fees and Services.</w:t>
              </w:r>
            </w:hyperlink>
          </w:p>
        </w:tc>
        <w:tc>
          <w:tcPr>
            <w:tcW w:w="74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84</w:t>
              </w:r>
            </w:hyperlink>
          </w:p>
        </w:tc>
        <w:tc>
          <w:tcPr>
            <w:tcW w:w="0" w:type="dxa"/>
            <w:vAlign w:val="bottom"/>
          </w:tcPr>
          <w:p>
            <w:pPr>
              <w:spacing w:after="0"/>
              <w:rPr>
                <w:sz w:val="1"/>
                <w:szCs w:val="1"/>
                <w:color w:val="auto"/>
              </w:rPr>
            </w:pPr>
          </w:p>
        </w:tc>
      </w:tr>
      <w:tr>
        <w:trPr>
          <w:trHeight w:val="20"/>
        </w:trPr>
        <w:tc>
          <w:tcPr>
            <w:tcW w:w="1100" w:type="dxa"/>
            <w:vAlign w:val="bottom"/>
            <w:gridSpan w:val="6"/>
            <w:vMerge w:val="continue"/>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gridSpan w:val="6"/>
            <w:vMerge w:val="continue"/>
          </w:tcPr>
          <w:p>
            <w:pPr>
              <w:spacing w:after="0"/>
              <w:rPr>
                <w:sz w:val="18"/>
                <w:szCs w:val="18"/>
                <w:color w:val="auto"/>
              </w:rPr>
            </w:pPr>
          </w:p>
        </w:tc>
        <w:tc>
          <w:tcPr>
            <w:tcW w:w="220" w:type="dxa"/>
            <w:vAlign w:val="bottom"/>
            <w:gridSpan w:val="2"/>
            <w:vMerge w:val="restart"/>
          </w:tcPr>
          <w:p>
            <w:pPr>
              <w:spacing w:after="0"/>
              <w:rPr>
                <w:rFonts w:ascii="Arial" w:cs="Arial" w:eastAsia="Arial" w:hAnsi="Arial"/>
                <w:sz w:val="18"/>
                <w:szCs w:val="18"/>
                <w:color w:val="0000FF"/>
                <w:w w:val="71"/>
              </w:rPr>
            </w:pPr>
            <w:hyperlink w:anchor="page85">
              <w:r>
                <w:rPr>
                  <w:rFonts w:ascii="Arial" w:cs="Arial" w:eastAsia="Arial" w:hAnsi="Arial"/>
                  <w:sz w:val="18"/>
                  <w:szCs w:val="18"/>
                  <w:color w:val="0000FF"/>
                  <w:w w:val="71"/>
                </w:rPr>
                <w:t>15.</w:t>
              </w:r>
            </w:hyperlink>
          </w:p>
        </w:tc>
        <w:tc>
          <w:tcPr>
            <w:tcW w:w="140" w:type="dxa"/>
            <w:vAlign w:val="bottom"/>
          </w:tcPr>
          <w:p>
            <w:pPr>
              <w:spacing w:after="0"/>
              <w:rPr>
                <w:sz w:val="18"/>
                <w:szCs w:val="18"/>
                <w:color w:val="auto"/>
              </w:rPr>
            </w:pPr>
          </w:p>
        </w:tc>
        <w:tc>
          <w:tcPr>
            <w:tcW w:w="9000" w:type="dxa"/>
            <w:vAlign w:val="bottom"/>
            <w:gridSpan w:val="21"/>
            <w:vMerge w:val="restart"/>
          </w:tcPr>
          <w:p>
            <w:pPr>
              <w:ind w:left="100"/>
              <w:spacing w:after="0"/>
              <w:rPr>
                <w:rFonts w:ascii="Arial" w:cs="Arial" w:eastAsia="Arial" w:hAnsi="Arial"/>
                <w:sz w:val="18"/>
                <w:szCs w:val="18"/>
                <w:color w:val="0000FF"/>
              </w:rPr>
            </w:pPr>
            <w:hyperlink w:anchor="page85">
              <w:r>
                <w:rPr>
                  <w:rFonts w:ascii="Arial" w:cs="Arial" w:eastAsia="Arial" w:hAnsi="Arial"/>
                  <w:sz w:val="18"/>
                  <w:szCs w:val="18"/>
                  <w:color w:val="0000FF"/>
                </w:rPr>
                <w:t>Exhibits, Financial Statement Schedules.</w:t>
              </w:r>
            </w:hyperlink>
          </w:p>
        </w:tc>
        <w:tc>
          <w:tcPr>
            <w:tcW w:w="740" w:type="dxa"/>
            <w:vAlign w:val="bottom"/>
            <w:vMerge w:val="restart"/>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85</w:t>
              </w:r>
            </w:hyperlink>
          </w:p>
        </w:tc>
        <w:tc>
          <w:tcPr>
            <w:tcW w:w="0" w:type="dxa"/>
            <w:vAlign w:val="bottom"/>
          </w:tcPr>
          <w:p>
            <w:pPr>
              <w:spacing w:after="0"/>
              <w:rPr>
                <w:sz w:val="1"/>
                <w:szCs w:val="1"/>
                <w:color w:val="auto"/>
              </w:rPr>
            </w:pPr>
          </w:p>
        </w:tc>
      </w:tr>
      <w:tr>
        <w:trPr>
          <w:trHeight w:val="210"/>
        </w:trPr>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rFonts w:ascii="Arial" w:cs="Arial" w:eastAsia="Arial" w:hAnsi="Arial"/>
                <w:sz w:val="18"/>
                <w:szCs w:val="18"/>
                <w:color w:val="0000FF"/>
                <w:w w:val="71"/>
              </w:rPr>
            </w:pPr>
            <w:hyperlink w:anchor="page87">
              <w:r>
                <w:rPr>
                  <w:rFonts w:ascii="Arial" w:cs="Arial" w:eastAsia="Arial" w:hAnsi="Arial"/>
                  <w:sz w:val="18"/>
                  <w:szCs w:val="18"/>
                  <w:color w:val="0000FF"/>
                  <w:w w:val="71"/>
                </w:rPr>
                <w:t>16</w:t>
              </w:r>
            </w:hyperlink>
            <w:r>
              <w:rPr>
                <w:rFonts w:ascii="Arial" w:cs="Arial" w:eastAsia="Arial" w:hAnsi="Arial"/>
                <w:sz w:val="18"/>
                <w:szCs w:val="18"/>
                <w:u w:val="single" w:color="auto"/>
                <w:color w:val="000000"/>
                <w:w w:val="71"/>
              </w:rPr>
              <w:t>.</w:t>
            </w:r>
          </w:p>
        </w:tc>
        <w:tc>
          <w:tcPr>
            <w:tcW w:w="140" w:type="dxa"/>
            <w:vAlign w:val="bottom"/>
          </w:tcPr>
          <w:p>
            <w:pPr>
              <w:spacing w:after="0"/>
              <w:rPr>
                <w:sz w:val="18"/>
                <w:szCs w:val="18"/>
                <w:color w:val="auto"/>
              </w:rPr>
            </w:pPr>
          </w:p>
        </w:tc>
        <w:tc>
          <w:tcPr>
            <w:tcW w:w="9000" w:type="dxa"/>
            <w:vAlign w:val="bottom"/>
            <w:gridSpan w:val="21"/>
          </w:tcPr>
          <w:p>
            <w:pPr>
              <w:ind w:left="100"/>
              <w:spacing w:after="0"/>
              <w:rPr>
                <w:rFonts w:ascii="Arial" w:cs="Arial" w:eastAsia="Arial" w:hAnsi="Arial"/>
                <w:sz w:val="18"/>
                <w:szCs w:val="18"/>
                <w:color w:val="0000FF"/>
              </w:rPr>
            </w:pPr>
            <w:hyperlink w:anchor="page87">
              <w:r>
                <w:rPr>
                  <w:rFonts w:ascii="Arial" w:cs="Arial" w:eastAsia="Arial" w:hAnsi="Arial"/>
                  <w:sz w:val="18"/>
                  <w:szCs w:val="18"/>
                  <w:color w:val="0000FF"/>
                </w:rPr>
                <w:t>Form 10-K Summary</w:t>
              </w:r>
            </w:hyperlink>
          </w:p>
        </w:tc>
        <w:tc>
          <w:tcPr>
            <w:tcW w:w="74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0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this Annual Report on Form 10-K, or Annual Report, and unless otherwise indicated, the terms "Cantaloupe", the "Company", "We", "CLTP", or "Our" refer to Cantaloupe, Inc., formerly known as USA Technologies, Inc. As discussed below, the Company changed its name on April 15, 2021.</w:t>
      </w:r>
    </w:p>
    <w:p>
      <w:pPr>
        <w:spacing w:after="0" w:line="142"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This Form 10</w:t>
      </w:r>
      <w:r>
        <w:rPr>
          <w:rFonts w:ascii="MS PGothic" w:cs="MS PGothic" w:eastAsia="MS PGothic" w:hAnsi="MS PGothic"/>
          <w:sz w:val="17"/>
          <w:szCs w:val="17"/>
          <w:color w:val="auto"/>
        </w:rPr>
        <w:t>‑</w:t>
      </w:r>
      <w:r>
        <w:rPr>
          <w:rFonts w:ascii="Arial" w:cs="Arial" w:eastAsia="Arial" w:hAnsi="Arial"/>
          <w:sz w:val="17"/>
          <w:szCs w:val="17"/>
          <w:color w:val="auto"/>
        </w:rPr>
        <w:t>K contains certain forward-looking statements within the meaning of Section 21E of the Securities Exchange Act of 1934, as amended, regarding, among other things, the anticipated financial and operating results of Cantaloupe, Inc.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98" w:lineRule="exact"/>
        <w:rPr>
          <w:sz w:val="20"/>
          <w:szCs w:val="20"/>
          <w:color w:val="auto"/>
        </w:rPr>
      </w:pPr>
    </w:p>
    <w:p>
      <w:pPr>
        <w:ind w:left="660" w:hanging="328"/>
        <w:spacing w:after="0" w:line="27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market or business conditions unrelated to our operating performance, including the impact of the coronavirus disease 2019 (COVID-19) pandemic on the Company's operations, financial condition, and the demand for the Company’s products and services;</w:t>
      </w: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potential mutations of COVID-19 and the efficacy of vaccines and treatment developments and their deployment;</w:t>
      </w:r>
    </w:p>
    <w:p>
      <w:pPr>
        <w:spacing w:after="0" w:line="93" w:lineRule="exact"/>
        <w:rPr>
          <w:rFonts w:ascii="Arial" w:cs="Arial" w:eastAsia="Arial" w:hAnsi="Arial"/>
          <w:sz w:val="22"/>
          <w:szCs w:val="22"/>
          <w:color w:val="auto"/>
        </w:rPr>
      </w:pPr>
    </w:p>
    <w:p>
      <w:pPr>
        <w:ind w:left="660" w:right="4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comply with the financial covenants of our credit agreement with JPMorgan Chase Bank, N.A. entered into on August 14, 2020, as amended;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in the normal course of business or if an unexpected or unusual event would occur;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lease, rent or utilize ePort devices, Seed's software solutions or our other products in the future at levels currently anticipated by our Company;</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cancellable by the customer on thirty to sixty days’ notice;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 and expenses given the developing and unpredictable market for its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integrate acquired companies into its current products and services structure;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 are derived;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programs;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intellectual property rights of others;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products and services to avoid disruptions to our systems or unauthorized hacking or credit card fraud;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we will experience material weaknesses in our internal controls over financial reporting in the future, and are not able to accurately or timely report our financial condition or results of operations;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remain in compliance with the continued listing standards of The Nasdaq Stock Market LLC (“Nasdaq”) and continue to remain as a member of the US Small-Cap Russell 2000®;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117"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risks associated with the currently pending investigation, potential litigation or possible regulatory action arising from the internal investigation conducted by the Audit Committee in fiscal year 2019 and its findings (the “2019 Investigation”), from the failure to timely file our periodic reports with the Securities and Exchange Commission, from the restatement of the affected financial statements, from allegations related to the registration statement for the follow-on public offering, or from potential litigation or other claims arising from these events.</w:t>
      </w:r>
    </w:p>
    <w:p>
      <w:pPr>
        <w:spacing w:after="0" w:line="157"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and in Part I, Item 1A, “Risk Factors” of this Form 10</w:t>
      </w:r>
      <w:r>
        <w:rPr>
          <w:rFonts w:ascii="MS PGothic" w:cs="MS PGothic" w:eastAsia="MS PGothic" w:hAnsi="MS PGothic"/>
          <w:sz w:val="16"/>
          <w:szCs w:val="16"/>
          <w:color w:val="auto"/>
        </w:rPr>
        <w:t>‑</w:t>
      </w:r>
      <w:r>
        <w:rPr>
          <w:rFonts w:ascii="Arial" w:cs="Arial" w:eastAsia="Arial" w:hAnsi="Arial"/>
          <w:sz w:val="16"/>
          <w:szCs w:val="16"/>
          <w:color w:val="auto"/>
        </w:rPr>
        <w:t>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20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Any forward-looking statement made by us in this Form 10</w:t>
      </w:r>
      <w:r>
        <w:rPr>
          <w:rFonts w:ascii="MS PGothic" w:cs="MS PGothic" w:eastAsia="MS PGothic" w:hAnsi="MS PGothic"/>
          <w:sz w:val="18"/>
          <w:szCs w:val="18"/>
          <w:color w:val="auto"/>
        </w:rPr>
        <w:t>‑</w:t>
      </w:r>
      <w:r>
        <w:rPr>
          <w:rFonts w:ascii="Arial" w:cs="Arial" w:eastAsia="Arial" w:hAnsi="Arial"/>
          <w:sz w:val="18"/>
          <w:szCs w:val="18"/>
          <w:color w:val="auto"/>
        </w:rPr>
        <w:t>K speaks only as of the date of this Form 10</w:t>
      </w:r>
      <w:r>
        <w:rPr>
          <w:rFonts w:ascii="MS PGothic" w:cs="MS PGothic" w:eastAsia="MS PGothic" w:hAnsi="MS PGothic"/>
          <w:sz w:val="18"/>
          <w:szCs w:val="18"/>
          <w:color w:val="auto"/>
        </w:rPr>
        <w:t>‑</w:t>
      </w:r>
      <w:r>
        <w:rPr>
          <w:rFonts w:ascii="Arial" w:cs="Arial" w:eastAsia="Arial" w:hAnsi="Arial"/>
          <w:sz w:val="18"/>
          <w:szCs w:val="18"/>
          <w:color w:val="auto"/>
        </w:rPr>
        <w:t>K. Unless required by law, we undertake no obligation to publicly revise any forward-looking statement to reflect circumstances or events after the date of this Form 10</w:t>
      </w:r>
      <w:r>
        <w:rPr>
          <w:rFonts w:ascii="MS PGothic" w:cs="MS PGothic" w:eastAsia="MS PGothic" w:hAnsi="MS PGothic"/>
          <w:sz w:val="18"/>
          <w:szCs w:val="18"/>
          <w:color w:val="auto"/>
        </w:rPr>
        <w:t>‑</w:t>
      </w:r>
      <w:r>
        <w:rPr>
          <w:rFonts w:ascii="Arial" w:cs="Arial" w:eastAsia="Arial" w:hAnsi="Arial"/>
          <w:sz w:val="18"/>
          <w:szCs w:val="18"/>
          <w:color w:val="auto"/>
        </w:rPr>
        <w:t>K or to reflect the occurrence of unanticipated events.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digital payments and software services company that provides end-to-end technology solutions for the unattended retail market. We are transforming the unattended retail world by offering a solution for payments processing, as well as one that handles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electric vehicle charging stations, commercial laundry, kiosks, amusements and more, can run their businesses more proactively, predictably, and competitively.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139065</wp:posOffset>
            </wp:positionV>
            <wp:extent cx="5777865" cy="257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7786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derive the majority of our revenues from license and transaction fees resulting from transactions on, as well as services provided by, our ePort Connect™ and Seed™ software services. These services include digital payment processing, loyalty programs, inventory management, route logistics optimization, warehouse and accounting management, and responsive merchandising. Devices operating on the Company’s platform and using our services include those resulting from the sale or lease of our point of sale ("POS") electronic payment devices, telemetry devices or certified payment software or the servicing of similar third-party installed POS terminals or telemetry devices. The majority of ePort Connect customers pay a monthly fee plus a blended transaction rate on transaction volumes. Transactions on the ePort Connect service, are the most significant driver of the Company’s revenues, particularly revenues from software license and transaction fees.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customers range from global food service organizations to small businesses that operate primarily in the self-serve, small ticket retail markets including beverage and food vending, amusement and arcade machines, smartphones, commercial laundry, micro-markets, air/vacuum, car wash, electric vehicle, and various other self-serve kiosk applications as well as equipment developers or manufacturers who incorporate our ePort Connect service into their product offerings.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EVENTS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17, 2020, the Nasdaq Stock Market LLC (“Nasdaq”) approved our application for the relisting of our common stock on the Nasdaq Global Select Market. Our common stock was relisted and commenced trading on the Nasdaq Global Select Market at the opening of the market on Thursday, November 19, 2020.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4, 2021, the Company completed a private placement equity offering, raising gross proceeds of approximately $55 million with respect to the sale of an aggregate of 5,730,000 shares of the Company’s common stock. The Company intends to use the proceeds for general corporate purposes and working capital to support anticipated growth.</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5" w:name="page6"/>
    <w:bookmarkEnd w:id="5"/>
    <w:p>
      <w:pPr>
        <w:jc w:val="both"/>
        <w:spacing w:after="0" w:line="241" w:lineRule="auto"/>
        <w:rPr>
          <w:sz w:val="20"/>
          <w:szCs w:val="20"/>
          <w:color w:val="auto"/>
        </w:rPr>
      </w:pPr>
      <w:r>
        <w:rPr>
          <w:rFonts w:ascii="Arial" w:cs="Arial" w:eastAsia="Arial" w:hAnsi="Arial"/>
          <w:sz w:val="18"/>
          <w:szCs w:val="18"/>
          <w:color w:val="auto"/>
        </w:rPr>
        <w:t>On March 29, 2021, the Company filed Articles of Amendment to its Amended and Restated Articles of Incorporation with the Pennsylvania Department of State to effect a change of the Company’s name from “USA Technologies, Inc.” to “Cantaloupe, Inc.,” effective as of April 15, 2021. On April 19, 2021, the Company’s common stock, no par value per share (the “Common Stock”), began trading on the NASDAQ Global Select Market under the ticker symbol “CTLP” and the Company’s Series A Convertible Preferred Stock, no par value per share, began trading on the OTC Markets’ Pink Open Market under the trading symbol, “CTLPP”.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INDUSTRY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serve the small ticket digital payment and unattended retail markets. Our suite of products enable the acceptance of digital payments and allow our customers to simplify inventory, analytics, warehouse, logistics, and back-office management. We believe the following industry trends are driving growth in demand for digital payment systems and advanced logistics management in general and more specifically within the markets we serve:</w:t>
      </w:r>
    </w:p>
    <w:p>
      <w:pPr>
        <w:spacing w:after="0" w:line="19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demand for and more use of fast, simple and seamless digital purchase and payment experiences</w:t>
      </w:r>
    </w:p>
    <w:p>
      <w:pPr>
        <w:spacing w:after="0" w:line="252"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Many businesses addressed the need for convenience and safety during the pandemic by expanding into unattended retail via vending machines and kiosks;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COVID-19 spurred continued growth in digital payment adoption, particularly contactless;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Businesses seek additional services and solutions enabling them to leverage data and business intelligence;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Businesses are realizing operational efficiencies through modern, cloud-based logistics and inventory management solutions.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 Toward Digital Payments Is Here to Stay.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One lasting impact of COVID-19 was the creation of a ‘new normal’ for businesses and shoppers alike, accelerating the secular shift to touchless commerce. According to “The Visa Back to Business Study 2021 Outlook”; in June 2020 only 20% of small and micro businesses offered contactless payments for the first time, and in 2021, 39% of small and micro businesses report acceptance of new digital forms of payment. In addition, according to the above mentioned report, approximately 65% of consumers in the U.S. would prefer to use contactless payments. The need for convenience and safety have driven the trend, which is expected to continue.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Consumer Interest In Purchasing Non-Traditional Items through Unattended Retail.</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consumer survey of 2,000 people performed across the United States by the Company and CITE Research found that 82% of respondents have an interest in purchasing nontraditional items through vending machines, and the interest has significantly increased since the last survey in 2019. Clothing and Health and beauty products had the greatest two-year increase with 70% - 71% of respondents interested in purchasing these items from vending machines in 2021 compared to 55% for Clothing and 64% for Health and beauty in 2019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continue to transform the unattended retail industry by offering one integrated solution for payments processing, logistics,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can run their businesses more proactively, predictably, and competitively. We offer customers several different ways to connect and manage their distributed assets. These range from our QuickConnect Web service, our Seed Cloud platform and our ePort® cashless hardware that can be attached to the door of a stand-alone terminal. Our ePort Connect platform is designed to transmit from our customers’ terminals payment information for processing, sales, and diagnostic data for storage and reporting to our customers through Seed Live and/or Seed Cloud, along with third-party software solutions and enables control of the networked device's functionality. Through our platform we have the ability to upload software and update devices remotely enabling us to manage the devices easily and efficiently (e.g., change protocol functionality, provide software upgrades, and change terminal display messages).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PRODUCTS AND SERVICES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ePort is the Company’s integrated payment device, which is currently deployed in self-service, unattended market applications such as vending, amusement, arcade, commercial laundry, air/vacuum, car wash, and others. Our ePort product facilitates digital payments by capturing payment information and transmitting it to our platform for authorization with the payment system (e.g., credit card processors). Additional capabilities of our ePort consist of control/access management by authorized users, collection of audit information (e.g., date and time of sale and sales amount), diagnostic information of the host equipment, and transmission of this data back to our platform for web-based reporting, or to a compatible remote management system. ePort has earned a reputation for quality, reliability, and innovation. Our ePort products are available in several distinctive modular hardware configurations, offering our customers flexibility to install a solution that best fits their needs and consumer demands. We offer hardware lease and rental options through our QuickStart and JumpStart programs.</w:t>
      </w:r>
    </w:p>
    <w:p>
      <w:pPr>
        <w:spacing w:after="0" w:line="219" w:lineRule="exact"/>
        <w:rPr>
          <w:sz w:val="20"/>
          <w:szCs w:val="20"/>
          <w:color w:val="auto"/>
        </w:rPr>
      </w:pPr>
    </w:p>
    <w:p>
      <w:pPr>
        <w:jc w:val="both"/>
        <w:ind w:left="660" w:hanging="328"/>
        <w:spacing w:after="0" w:line="31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ePort G10-S is a 4G LTE digital payment device that enables faster processing and enhanced functionality for payment and consumer engagement applications. It supports functionality that requires higher speeds and large data loads, operates on the AT&amp;T and Verizon networks, and has built-in NFC (contactless) support for mobile payments, traditional credit and debit cards, in addition to EMV-contactless and dip options.</w:t>
      </w:r>
    </w:p>
    <w:p>
      <w:pPr>
        <w:spacing w:after="0" w:line="175" w:lineRule="exact"/>
        <w:rPr>
          <w:rFonts w:ascii="Arial" w:cs="Arial" w:eastAsia="Arial" w:hAnsi="Arial"/>
          <w:sz w:val="16"/>
          <w:szCs w:val="16"/>
          <w:color w:val="auto"/>
        </w:rPr>
      </w:pPr>
    </w:p>
    <w:p>
      <w:pPr>
        <w:ind w:left="660" w:right="12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ePort G10-Chip, is a digital reader that accepts contact EMV (chip cards) and contactless EMV (tap) payment methods. The reader functions with the existing G10 telemeter and reports into Seed Live or Seed Cloud similar to a G10-S reader (see below for a description of software services).</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Seed Telemeter is 4G LTE legacy telemetry device enabling operators to manage machine data across their network to realize the benefit of the Seed Cloud (see below for a description of software services).</w:t>
      </w:r>
    </w:p>
    <w:p>
      <w:pPr>
        <w:spacing w:after="0" w:line="197"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ePort Engage and the ePort Engage Combo, our latest iteration of the ePort series, are the next generation of digital touchscreen devices for the market and provides retailers the ability to captivate consumers in new ways and enables truly frictionless purchasing. ePort Engage will offer best-in-class networking, security and interactivity, including acceptance of contact EMV (chip cards) and contactless EMV (tap) payment methods. The devices can be fitted in a wide range of hardware configurations, including vending, kiosks, amusement, and electric vehicle charging stations. These devices can be pre-ordered by customers now and will be shipped out beginning October 2021.</w:t>
      </w:r>
    </w:p>
    <w:p>
      <w:pPr>
        <w:spacing w:after="0" w:line="20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offer integrated software services that leverage payment devices in the field for the wireless transfer of our customers’ data to connect into our platform for advanced data management, analytics, route scheduling, as well as other offerings identified below:</w:t>
      </w:r>
    </w:p>
    <w:p>
      <w:pPr>
        <w:spacing w:after="0" w:line="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QuickConnect is a web service that allows a client application to securely interface with the Company’s ePort Connect service.</w:t>
      </w:r>
    </w:p>
    <w:p>
      <w:pPr>
        <w:spacing w:after="0" w:line="237"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ePortConnect is a digital payments gateway that connects devices through network solutions, to our back-end platform for processing payments, transferring data into cloud-based management software, inclusive of Seed Cloud and Seed Live, along with enabling third-party integrations.</w:t>
      </w:r>
    </w:p>
    <w:p>
      <w:pPr>
        <w:spacing w:after="0" w:line="15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Seed Live is a software-as-a-service, that provides an intuitive portal for ePort digital device customers. The service offers an easy-to-use interface for tracking digital and cash sales, machine and device level maintenance monitoring, and sales reporting.</w:t>
      </w:r>
    </w:p>
    <w:p>
      <w:pPr>
        <w:spacing w:after="0" w:line="183" w:lineRule="exact"/>
        <w:rPr>
          <w:rFonts w:ascii="Arial" w:cs="Arial" w:eastAsia="Arial" w:hAnsi="Arial"/>
          <w:sz w:val="18"/>
          <w:szCs w:val="18"/>
          <w:color w:val="auto"/>
        </w:rPr>
      </w:pPr>
    </w:p>
    <w:p>
      <w:pPr>
        <w:jc w:val="both"/>
        <w:ind w:left="660" w:hanging="328"/>
        <w:spacing w:after="0"/>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Seed Cloud is a vending management solution which provides cloud and mobile solutions for advanced operational analytics, dynamic route scheduling, automated pre-kitting, proactive equipment malfunction management, responsive merchandising, inventory management, warehouse purchasing, and accounting management that is layered on, and takes advantage of, the data provided by both Seed and ePort devices. The Seed Cloud platform has a reputation for providing innovative software features and functionality that solve every day customer challenges. It includes Seed Pro for logistics optimization; Seed Office for back-office management; Seed Markets for integrated micro market management; and Seed Delivery for integrated online ordering and office coffee service ("OCS") optimization.</w:t>
      </w:r>
    </w:p>
    <w:p>
      <w:pPr>
        <w:spacing w:after="0" w:line="217"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ePort Online, which enables customers to use Seed Live to securely process cards typically held on file for the purpose of online billing and recurring charges. ePort Online helps our customers reduce paper invoicing and collections.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Services: we offer services to support our customers that fully leverages our industry expertise and access to data. These services include our loyalty program, two-tier pricing and special promotions. In addition, we offer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 w:name="page8"/>
    <w:bookmarkEnd w:id="7"/>
    <w:p>
      <w:pPr>
        <w:ind w:left="660"/>
        <w:spacing w:after="0" w:line="277" w:lineRule="auto"/>
        <w:rPr>
          <w:sz w:val="20"/>
          <w:szCs w:val="20"/>
          <w:color w:val="auto"/>
        </w:rPr>
      </w:pPr>
      <w:r>
        <w:rPr>
          <w:rFonts w:ascii="Arial" w:cs="Arial" w:eastAsia="Arial" w:hAnsi="Arial"/>
          <w:sz w:val="18"/>
          <w:szCs w:val="18"/>
          <w:color w:val="auto"/>
        </w:rPr>
        <w:t>planning, project management, deployment, installation support, Seed implementation, marketing and performance evaluation, as well as wireless connectivity.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support our offerings through a number of back-office functions:</w:t>
      </w:r>
    </w:p>
    <w:p>
      <w:pPr>
        <w:spacing w:after="0" w:line="252" w:lineRule="exact"/>
        <w:rPr>
          <w:sz w:val="20"/>
          <w:szCs w:val="20"/>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Network Infrastructure. Our services and platforms operate on a combination of proprietary and third-party technologies and are supported by geographically diverse teams.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Card Processing Services. Through our existing relationships with card processors and card associations, we provide merchant account and terminal ID set up, pre-negotiated discounted fees on small ticket purchases, and direct electronic funds transfers to our customers’ bank accounts for all settled card transactions as well as ensure compliance with processing protocols.</w:t>
      </w:r>
    </w:p>
    <w:p>
      <w:pPr>
        <w:spacing w:after="0" w:line="210" w:lineRule="exact"/>
        <w:rPr>
          <w:rFonts w:ascii="Arial" w:cs="Arial" w:eastAsia="Arial" w:hAnsi="Arial"/>
          <w:sz w:val="18"/>
          <w:szCs w:val="18"/>
          <w:color w:val="auto"/>
        </w:rPr>
      </w:pPr>
    </w:p>
    <w:p>
      <w:pPr>
        <w:jc w:val="both"/>
        <w:ind w:left="660" w:hanging="328"/>
        <w:spacing w:after="0" w:line="220" w:lineRule="exact"/>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Customer/Consumer Services. We support our services by providing help desk support, repairs, and replacement services. All inbound consumer billing inquiries are handled through a 24</w:t>
      </w:r>
      <w:r>
        <w:rPr>
          <w:rFonts w:ascii="MS PGothic" w:cs="MS PGothic" w:eastAsia="MS PGothic" w:hAnsi="MS PGothic"/>
          <w:sz w:val="18"/>
          <w:szCs w:val="18"/>
          <w:color w:val="auto"/>
        </w:rPr>
        <w:t>‑</w:t>
      </w:r>
      <w:r>
        <w:rPr>
          <w:rFonts w:ascii="Arial" w:cs="Arial" w:eastAsia="Arial" w:hAnsi="Arial"/>
          <w:sz w:val="18"/>
          <w:szCs w:val="18"/>
          <w:color w:val="auto"/>
        </w:rPr>
        <w:t>hour help desk, thereby reducing our customers’ exposure to consumer billing inquiries and potential chargebacks. We provide remote maintenance updates and enhancements to software, settings, and features to ePort card readers via wireless connections.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unattended retail industry is highly competitive with service providers ranging from well-established enterprises to early stage companies within the financial technology and technology industries. The markets for Cantaloupe’s products and services are characterized by evolving industry standards, aggressive pricing, continuous innovation, and changing consumer trends. Many of the company’s competitors are challenging Cantaloupe’s industry leading position, particularly when it comes to pricing, emulating products, services, and marketing, as well as addressing consumer trends. However, we believe we have competitive strengths that position us favorably.</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Consumers are expecting more from their shopping experience, with the intention of having access to buy what they want, when they want, with the ability to pay with any shape or form of digital currency. This has led to a multitude of new devices on the market that are all working towards similar objectives to enable a more engaging experience at the POS. In addition, competitors are entering the market with modernized back-end systems that are focused on the user interface along with real-life product planogram possibilities.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MARKETS WE SERVE</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below key verticals represent only a fraction of our total market potential, as described below, these are the areas where we have gained the most traction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117475</wp:posOffset>
            </wp:positionV>
            <wp:extent cx="4029075" cy="3771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29075"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Vending</w:t>
      </w:r>
      <w:r>
        <w:rPr>
          <w:rFonts w:ascii="Arial" w:cs="Arial" w:eastAsia="Arial" w:hAnsi="Arial"/>
          <w:sz w:val="17"/>
          <w:szCs w:val="17"/>
          <w:color w:val="auto"/>
        </w:rPr>
        <w:t>. According to the 2020 Census of the Convenience Services Industry, a study conducted by the NAMA Foundation and research firm Technomic,</w:t>
      </w:r>
      <w:r>
        <w:rPr>
          <w:rFonts w:ascii="Arial" w:cs="Arial" w:eastAsia="Arial" w:hAnsi="Arial"/>
          <w:sz w:val="17"/>
          <w:szCs w:val="17"/>
          <w:i w:val="1"/>
          <w:iCs w:val="1"/>
          <w:color w:val="auto"/>
        </w:rPr>
        <w:t xml:space="preserve"> </w:t>
      </w:r>
      <w:r>
        <w:rPr>
          <w:rFonts w:ascii="Arial" w:cs="Arial" w:eastAsia="Arial" w:hAnsi="Arial"/>
          <w:sz w:val="17"/>
          <w:szCs w:val="17"/>
          <w:color w:val="auto"/>
        </w:rPr>
        <w:t>the US Convenience Services Industry, which consists of vending machines, micro markets, OCS and pantry services, represented total annual revenues of approximately $16 billion in 2020 compared to total annual revenues of approximately $27 billion in 2019, reflecting a reduction of approximately $11 billion and 40%. This was due to the impact of the coronavirus pandemic. The Convenience Services Industry is expected to be 64% larger in 2022 compared to 2020, and operators expect a full recovery to 2019 industry levels (pre-pandemic levels) by 2022-2023. In 2020, 80% of the Convenience Services Industry's total annual revenues came from the Vending segment while Micro Markets, OCS and Pantry Services segments represented approximately 12%, 7% and 1% of total annual revenues respectively.</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Kiosk. According to the annually published "2021 Kiosk Market Census Report", for the first time in four years, the self-serve kiosk industry did not post a revenue gain in 2020, driven by the impacts of COVID-19.</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Fortune Business Insights, projects that post pandemic the global kiosk market will grow from $22.7 billion in 2021 to $51.1 billion in 2028 at a compound annual growth rate ("CAGR") of 12.3% over the period. Currently, our existing kiosk customers integrate with our digital payment services via our QuickConnect Web service using one of our encrypted readers or ePort POS technologies.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Laundry</w:t>
      </w:r>
      <w:r>
        <w:rPr>
          <w:rFonts w:ascii="Arial" w:cs="Arial" w:eastAsia="Arial" w:hAnsi="Arial"/>
          <w:sz w:val="18"/>
          <w:szCs w:val="18"/>
          <w:color w:val="auto"/>
        </w:rPr>
        <w:t>. Our primary opportunities in laundry consist of the coin-operated commercial laundry and multi-housing laundry markets. Currently, our joint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 with an industry leader competes with hardware manufacturers, who provide joint solutions to their customers in partnership with payment processors, and with at least one competitor who provides an integrated hardware and payment processing solution.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Amusement and Entertainment. </w:t>
      </w:r>
      <w:r>
        <w:rPr>
          <w:rFonts w:ascii="Arial" w:cs="Arial" w:eastAsia="Arial" w:hAnsi="Arial"/>
          <w:sz w:val="18"/>
          <w:szCs w:val="18"/>
          <w:color w:val="auto"/>
        </w:rPr>
        <w:t>Our current customers and primary opportunities in the amusement and entertainment markets are typically classified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“street/route business,” which are standalone businesses that are open to the general public and that</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offer card/coin-operated games such as claw machines, amusement park machines (i.e. body dryers), bowling alleys and bar entertainment (e.g. digital music machines and dart machines).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Micro Markets. </w:t>
      </w:r>
      <w:r>
        <w:rPr>
          <w:rFonts w:ascii="Arial" w:cs="Arial" w:eastAsia="Arial" w:hAnsi="Arial"/>
          <w:sz w:val="16"/>
          <w:szCs w:val="16"/>
          <w:color w:val="auto"/>
        </w:rPr>
        <w:t>According to the Automatic Merchandiser’s State of the Industry Annual Report published in July 2021, the vending and micro market</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operators surveyed indicated that the number of micro market locations served increased 42% in 2020. This demonstrates that while COVID-19 impacted growth and new location placements in 2020, micro markets still experienced a significant level of growth during the year. We believe the desire to diversify product offerings to employees, while giving them their own convenience store with a micro market, will continue to increase.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opportunity in the micro markets vertical is providing a fully integrated solution to our customers which includes a point-of-sale platform and leveraging the Seed Markets offering to optimize our customers payments and logistics services including integrated route scheduling, warehouse pre-picking, and reporting.</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Vehicle Services</w:t>
      </w:r>
      <w:r>
        <w:rPr>
          <w:rFonts w:ascii="Arial" w:cs="Arial" w:eastAsia="Arial" w:hAnsi="Arial"/>
          <w:sz w:val="16"/>
          <w:szCs w:val="16"/>
          <w:color w:val="auto"/>
        </w:rPr>
        <w:t>. Our primary opportunities in the vehicle services markets relate to businesses that provide air, vacuum, car wash, electric car charging and</w:t>
      </w:r>
      <w:r>
        <w:rPr>
          <w:rFonts w:ascii="Arial" w:cs="Arial" w:eastAsia="Arial" w:hAnsi="Arial"/>
          <w:sz w:val="16"/>
          <w:szCs w:val="16"/>
          <w:i w:val="1"/>
          <w:iCs w:val="1"/>
          <w:color w:val="auto"/>
        </w:rPr>
        <w:t xml:space="preserve"> </w:t>
      </w:r>
      <w:r>
        <w:rPr>
          <w:rFonts w:ascii="Arial" w:cs="Arial" w:eastAsia="Arial" w:hAnsi="Arial"/>
          <w:sz w:val="16"/>
          <w:szCs w:val="16"/>
          <w:color w:val="auto"/>
        </w:rPr>
        <w:t>parking services. We improve the end customer experience by providing operational efficiency with one platform for cashless acceptance and business optimization. Currently, we partner with a leader in the air vending services by equipping their machines with our cashless acceptance devices.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OPPORTUNITY</w:t>
      </w:r>
    </w:p>
    <w:p>
      <w:pPr>
        <w:spacing w:after="0" w:line="2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primary objective is to continue to enhance our position as a leading provider of technology that enables electronic payment transactions, advanced logistics management, and value-added services primarily at small-ticket, self-service retail locations such as vending, kiosks, commercial laundry, and other similar markets. We plan to execute our growth strategy organically and through strategic acquisitions. Key elements of our strategy are to:</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Leverage Existing Customers/Partners. </w:t>
      </w:r>
      <w:r>
        <w:rPr>
          <w:rFonts w:ascii="Arial" w:cs="Arial" w:eastAsia="Arial" w:hAnsi="Arial"/>
          <w:sz w:val="18"/>
          <w:szCs w:val="18"/>
          <w:color w:val="auto"/>
        </w:rPr>
        <w:t>Our current customers have seen the benefits of our products and services and we believe they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the largest opportunity to scale recurring revenue and connections, through the addition of new products and services, as well as expanding our footprint of current product offerings.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Capitalize on the Emerging Contactless, EMV, NFC, and Growing Mobile Payments Trends. </w:t>
      </w:r>
      <w:r>
        <w:rPr>
          <w:rFonts w:ascii="Arial" w:cs="Arial" w:eastAsia="Arial" w:hAnsi="Arial"/>
          <w:sz w:val="18"/>
          <w:szCs w:val="18"/>
          <w:color w:val="auto"/>
        </w:rPr>
        <w:t>With approximately 93% of our digital connected base</w:t>
      </w:r>
      <w:r>
        <w:rPr>
          <w:rFonts w:ascii="Arial" w:cs="Arial" w:eastAsia="Arial" w:hAnsi="Arial"/>
          <w:sz w:val="18"/>
          <w:szCs w:val="18"/>
          <w:i w:val="1"/>
          <w:iCs w:val="1"/>
          <w:color w:val="auto"/>
        </w:rPr>
        <w:t xml:space="preserve"> </w:t>
      </w:r>
      <w:r>
        <w:rPr>
          <w:rFonts w:ascii="Arial" w:cs="Arial" w:eastAsia="Arial" w:hAnsi="Arial"/>
          <w:sz w:val="18"/>
          <w:szCs w:val="18"/>
          <w:color w:val="auto"/>
        </w:rPr>
        <w:t>enabled to accept NFC payments (including mobile wallets), we believe that continued consumer preference towards contactless payments, including mobile wallets like Apple Pay, Google Pay and Samsung Pay, represent a significant opportunity for the Company to further drive adoption in the current markets in which we provide services and solutions.</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Expand into Micro Markets. </w:t>
      </w:r>
      <w:r>
        <w:rPr>
          <w:rFonts w:ascii="Arial" w:cs="Arial" w:eastAsia="Arial" w:hAnsi="Arial"/>
          <w:sz w:val="17"/>
          <w:szCs w:val="17"/>
          <w:color w:val="auto"/>
        </w:rPr>
        <w:t>In August 2021, we completed the acquisition of certain assets and liabilities of Delicious Nutritious LLC, doing business as</w:t>
      </w:r>
      <w:r>
        <w:rPr>
          <w:rFonts w:ascii="Arial" w:cs="Arial" w:eastAsia="Arial" w:hAnsi="Arial"/>
          <w:sz w:val="17"/>
          <w:szCs w:val="17"/>
          <w:i w:val="1"/>
          <w:iCs w:val="1"/>
          <w:color w:val="auto"/>
        </w:rPr>
        <w:t xml:space="preserve"> </w:t>
      </w:r>
      <w:r>
        <w:rPr>
          <w:rFonts w:ascii="Arial" w:cs="Arial" w:eastAsia="Arial" w:hAnsi="Arial"/>
          <w:sz w:val="17"/>
          <w:szCs w:val="17"/>
          <w:color w:val="auto"/>
        </w:rPr>
        <w:t>Yoke Payments (“Yoke”), a micro market payments company. Through the acquisition, Yoke’s POS platform will now extend its offering to provide self-checkout while seamlessly integrating with Cantaloupe’s inventory management and payment processing platforms. Yoke’s technology currently integrates seamlessly with major platforms, enabling faster onboarding through a plug and play setup that simplifies operations and reduces costs, creating a profitable and scalable micro-market solution for small to medium business; as well as enterprise customers looking to maximize existing locations. We plan to differentiate ourselves by providing a single platform to manage consumer and operational aspects of micro markets, while also integrating multiple service providers for flexibility and ultimate ease to our customers.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Continuous Innovation. </w:t>
      </w:r>
      <w:r>
        <w:rPr>
          <w:rFonts w:ascii="Arial" w:cs="Arial" w:eastAsia="Arial" w:hAnsi="Arial"/>
          <w:sz w:val="18"/>
          <w:szCs w:val="18"/>
          <w:color w:val="auto"/>
        </w:rPr>
        <w:t>We are continuously enhancing our solutions and services with additional features and functionality. We are making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new products and services, and continuously partnering with other players within the ecosystem to drive additional value of combined service offerings to our customers and opportunities. We believe our continued innovation will lead to further adoption of Cantaloupe’s solutions and services in the unattended POS payments market.</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Comprehensive Service and Support. </w:t>
      </w:r>
      <w:r>
        <w:rPr>
          <w:rFonts w:ascii="Arial" w:cs="Arial" w:eastAsia="Arial" w:hAnsi="Arial"/>
          <w:sz w:val="18"/>
          <w:szCs w:val="18"/>
          <w:color w:val="auto"/>
        </w:rPr>
        <w:t>In addition to its industry-leading ePort digital payments system and Seed logistics software, the Company seeks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its customers with a comprehensive, value-added ePort Connect and Seed service that is designed to encourage optimal return on investment through business planning and performance optimization; acceptance of crypto payments, and a loyalty and rewards program for consumer engagement; marketing strategy and executional support; sales data and machine alerts; DEX data transmission; and the ability to extend digital payments capabilities and the full suite of services across multiple aspects of an operator’s business including the micro-markets contract food industry, online payments and mobile payments.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8"/>
          <w:szCs w:val="18"/>
          <w:i w:val="1"/>
          <w:iCs w:val="1"/>
          <w:color w:val="auto"/>
        </w:rPr>
        <w:t xml:space="preserve">Further Penetrate Attractive Adjacent Markets. </w:t>
      </w:r>
      <w:r>
        <w:rPr>
          <w:rFonts w:ascii="Arial" w:cs="Arial" w:eastAsia="Arial" w:hAnsi="Arial"/>
          <w:sz w:val="18"/>
          <w:szCs w:val="18"/>
          <w:color w:val="auto"/>
        </w:rPr>
        <w:t>We plan to continue to introduce our turn-key solutions and services to various adjacent markets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the broad-based kiosk market and other similar markets by leveraging our expertise in digital payment integration combined with the capacity and uniqueness of our Seed platform. We plan to leverage the Seed platform to extend route optimization tools into other verticals where static schedules are not optimal for service visits. In addition, Seed Pro’s patented dynamic route scheduling capabilities can support optimal servicing and decreased operational costs.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Capitalize on Opportunities in International Markets. </w:t>
      </w:r>
      <w:r>
        <w:rPr>
          <w:rFonts w:ascii="Arial" w:cs="Arial" w:eastAsia="Arial" w:hAnsi="Arial"/>
          <w:sz w:val="17"/>
          <w:szCs w:val="17"/>
          <w:color w:val="auto"/>
        </w:rPr>
        <w:t>We are currently focused on the U.S. and Canadian markets for our ePort devices and related ePort</w:t>
      </w:r>
      <w:r>
        <w:rPr>
          <w:rFonts w:ascii="Arial" w:cs="Arial" w:eastAsia="Arial" w:hAnsi="Arial"/>
          <w:sz w:val="17"/>
          <w:szCs w:val="17"/>
          <w:i w:val="1"/>
          <w:iCs w:val="1"/>
          <w:color w:val="auto"/>
        </w:rPr>
        <w:t xml:space="preserve"> </w:t>
      </w:r>
      <w:r>
        <w:rPr>
          <w:rFonts w:ascii="Arial" w:cs="Arial" w:eastAsia="Arial" w:hAnsi="Arial"/>
          <w:sz w:val="17"/>
          <w:szCs w:val="17"/>
          <w:color w:val="auto"/>
        </w:rPr>
        <w:t>Connect service and Seed Cloud, but may seek to establish a presence in electronic payment markets outside of the U.S. and Canada. In order to do so, we have dedicated sales resources to spearhead international opportunities, starting with Latin America, the Caribbean and Asia.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sales strategy includes both direct sales and channel development, depending on the particular dynamics of each of our markets. Our direct sale efforts are supported by both inside and external sales team members, which are aligned to serve our enterprise and our small- and medium-business (SMB) customers and prospects. In order to expand our sales reach, we have agreements with resellers in select market segments. Our marketing strategy includes advertising and outreach initiatives designed to build brand awareness, position our company’s thought leadership within unattended retail, make clear our competitive strengths, and prove the value of our products and services to our opportunity markets. Activities include creating a vibrant company and product presence on the web, digital advertising, Search Engine Optimization ("SEO"), and social media; the use of direct mail and email campaigns; educational and instructional online training sessions; content curation through blogs, whitepapers, guides, podcasts, and joint industry studies; advertising in vertically-oriented trade publications; participating in industry tradeshows and events; and working closely with customers and key strategic partners on co-marketing opportunities that drive customer and consumer adoption of our services.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we are marketing and selling our products primarily through our full and part-time sales and marketing staff consisting of 35 people.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RELATIONSHIPS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most important relationships are with our almost 20,000 customers, which are governed by services agreements that provide for terms and conditions of purchase, rental, or lease of the devices, licensing of our solutions, and processing services. Under the terms, we typically collect our fees from settled funds, including activation fees, monthly service fees, and transaction processing fees. Our relationships with certain large customers are governed by customized terms and conditions contained within individually negotiated services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maintain broad and long-standing relationships with card industry associations, including our listing on the Visa Global Registry of Service Providers.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enter into short-term incentive and promotional agreements with the card industry counterparties.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maintain close relationships with domestic wireless telecommunications carriers and with which we have long-term bespoke pricing and support terms.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have long-term agreements with our payment processors, each of which is seamlessly integrated with our products and customers.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As part of our strategy to expand our sales reach while optimizing resources, we have agreements with select resellers within the industries we serve.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Lastly, we have a number of key vendors supporting our network environment and technology, our product development and our product offerings.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CHAIN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utilize independent third-party manufacturing partners to produce the substantial majority of our hardware products that we market and sell to our customers. Production by our manufacturing partners is performed in accordance with our product specifications, quality control and compliance standards. For the years ended June 30, 2021 and June 30, 2020 our manufacturing activities principally took place in the United States and Mexico.</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Our internal processes center around quality assurance of materials and testing of finished goods received from our contract manufacturers.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COVID-19, the technology industry is experiencing some delays within supply chain. We have not experienced significant disruptions to date; however we are continually monitoring and evaluating manufacturing partners to accommodate our expected growth and minimize potential risks of disruption within our supply chain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PROPRIETARY INFORMATION, AND PATENTS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owns US federal registrations for the following trademarks and service marks: Because Machines Can’t Cry For Help®, Blue Light Sequence®, Business Express®, Buzzbox®, Cantaloupe circle logo (design only), Cantaloupe Systems®, Cantaloupe Systems &amp; design (Cantaloupe circle logo), Creating Value Through Innovation®, Compuvend®, CM2iQ®, EnergyMiser®, ePort®, ePort Connect®, ePort Mobile &amp; design, eSuds®, Intelligent Vending®, Openvdi®, PC EXPRESS®, Routemaster®, Seed®, Seed &amp; design, SeedCashless &amp; design, Seed Office®, SnackMiser®, TransAct®, USA Technologies® Seed Live®, VendingMiser®, VendPro®, VENDSCREEN®, VM2iQ®, and Warehouse Master®.</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Much of the technology developed or to be developed by the Company is subject to trade secret protection. To reduce the risk of loss of trade secret protection through disclosure, the Company has entered into confidentiality agreements with its key employees.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the incorporation of our Company in 1992, through June 30, 2021, 132 patents have been granted to the Company or its subsidiaries, including 96 United States patents and 36 foreign patents, and 6 United States and international patent applications are pending. Of the 132 patents, 54 are still in force at June 30, 2021. Our patents expire between 2021 and 2038.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DEVICES AND ACTIVE CUSTOMERS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fiscal year 2021, management updated the business metrics we use for insight into the Company’s performance and growth trends. We discontinued tracking and reporting connections and now provide information on Active Devices and Active Customers, which we believe is a better representation of our business.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Active Devices are devices that have communicated with us or have had a transaction in the last twelve months. Included in the number of Active Devices are devices that communicate through other devices that communicate or transact with us. A self-service retail location that utilizes an ePort cashless payment device as well as Seed management services constitutes only one device.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define Active Customers as all customers with at least one active device.</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had 19,834 Active Customers and 1.09 million Active Devices connected to our service as of June 30, 2021 compared to 17,249 Active Customers and 1.08 million Active Customers as of June 30,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2021, the Company had 181 full-time employees and 4 part-time employees compared to 141 full-time employees and 6 part-time employees as of June 30, 2020. This represents a headcount increase of approximately 26% over prior year. Headcount growth has occurred primarily in our Sales, Customer Support and Technology departments to support our expanding business and execute our strategic initiatives including continued investing in our integrated product offering and providing highest levels of customer service. Headcount also increased in our Finance and Accounting department as we reduced our reliance on third party consultants for accounting and reporting related support. We believe our ability to attract and retain qualified employees in all areas of our business is critical to our future success and growth. We seek employees who share a passion for our technology and its ability to improve our customers’ businesses.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use temporary employees and contractors in the ordinary course of business. We believe that our relations with our employees are good. None of our employees are represented by a collective bargaining agreement.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offer our employees wages and benefit packages that we believe are competitive with others throughout our industry. In addition to salaries, we provide benefits that include a 401(k) retirement savings plan, healthcare and insurance benefits, health savings and flexible spending accounts, tuition reimbursement, paid time off, as well as other benefits including a paid parental leave policy.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2" w:name="page13"/>
    <w:bookmarkEnd w:id="12"/>
    <w:p>
      <w:pPr>
        <w:jc w:val="both"/>
        <w:spacing w:after="0" w:line="273" w:lineRule="auto"/>
        <w:rPr>
          <w:sz w:val="20"/>
          <w:szCs w:val="20"/>
          <w:color w:val="auto"/>
        </w:rPr>
      </w:pPr>
      <w:r>
        <w:rPr>
          <w:rFonts w:ascii="Arial" w:cs="Arial" w:eastAsia="Arial" w:hAnsi="Arial"/>
          <w:sz w:val="17"/>
          <w:szCs w:val="17"/>
          <w:color w:val="auto"/>
        </w:rPr>
        <w:t>During the COVID-19 pandemic, we prioritized the health and safety of our employees while continuing to diligently serve our customers. An internal task force was created at the start of the pandemic to develop measures to protect the business in light of the volatility and uncertainty caused by the COVID-19 pandemic. We implemented significant changes such as having most of our employees work from home until the pandemic eases while implementing additional safety measures for employees continuing critical on-site work at either the Company or customers’ locations. We have taken, and will continue to take, actions in accordance with the applicable local guidance, such as the guidance provided by the Centers for Disease Control and Prevention in the United States, to protect our employees so they can safely and effectively perform their work.</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Annually we ask our employees to complete a Company-wide employee engagement survey. The survey is facilitated internally through our Human Resources department. The survey reflects questions to gauge employee sentiments toward current trends and issues including company direction and strategy, communication by management, individual development, team culture, and overall satisfaction. With the information provided by the annual engagement survey, leadership is provided key insights and valuable feedback which we continue to implement in our Company-wide action plans with the intent to focus on key areas to prioritize, enhance, and drive continued increase in employee engagement, learning and development, and professional growth for our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public may access any materials the Company files with the Securities and Exchange Commission (“SEC”), including our annual reports on Form 10-K, quarterly reports on Form 10-Q, current reports on Form 8-K, proxy statements for our annual stockholder meetings, and amendments to those reports, through the SEC’s Interactive Data Electronic Applications system at http://www.sec.gov. These reports are also available free of charge on our website, www.cantaloupe.com, as soon as reasonably practicable after we electronically file the material with the SEC. In addition, our website includes, among other things, charters of the various committees of our Board of Directors and our code of business conduct and ethics applicable to all employees, officers and directors. Within the time period required by the SEC, we will post on our website any amendment to the code of business conduct and ethics and any waiver applicable to any executive officer, director or senior financial officer. We use our website as a means of disclosing material non-public information and for complying with our disclosure obligations under Regulation FD. Accordingly, investors should monitor our website, in addition to following our press releases, SEC filings and public conference calls and webcasts.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The risks and uncertainties describe below are not the only ones we face. There may be other unknown or unpredictable economic, business, competitive, regulatory or other factors that could have material adverse effects on our future results. The occurrence of any of these risks could materially adversely affect our business, financial condition, results of operations and cash flows. Accordingly, you should carefully consider the following risk factors, as well as other information contained in or incorporated by reference in this Annual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6"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You should read this summary together with the more detailed description of each risk factor contained below. Our business operations are subject to numerous risks and uncertainties, including those outside of our control, that could cause our actual results to be harmed, including risks regarding the following: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our industry:</w:t>
      </w:r>
    </w:p>
    <w:p>
      <w:pPr>
        <w:spacing w:after="0" w:line="21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color w:val="auto"/>
        </w:rPr>
        <w:t>We have a history of losses since inception and if we continue to incur losses, the price of our shares can be expected to fall.</w:t>
      </w:r>
    </w:p>
    <w:p>
      <w:pPr>
        <w:spacing w:after="0" w:line="238"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coronavirus pandemic has and may continue to significantly and adversely impact our business.</w:t>
      </w:r>
    </w:p>
    <w:p>
      <w:pPr>
        <w:spacing w:after="0" w:line="23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not able to implement successful enhancements and new features for our products and services, our business could be materially and adversely affected.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Substantially all of the network service contracts with our customers are terminable for any or no reason upon thirty to sixty days’ advance notice.</w:t>
      </w:r>
    </w:p>
    <w:p>
      <w:pPr>
        <w:spacing w:after="0" w:line="261"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successfully implement our go-to-market strategy which may adversely affect growth and profitability.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commercially manage the transition from the 3G network could lead to competitive disadvantage in the marketplace.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one or more of our key customers could significantly reduce our revenues, results of operations, and increase net losses.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Increases in card association and debit network interchange fees could increase our operating costs or otherwise adversely affect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and liquidity:</w:t>
      </w:r>
    </w:p>
    <w:p>
      <w:pPr>
        <w:spacing w:after="0" w:line="198" w:lineRule="exact"/>
        <w:rPr>
          <w:sz w:val="20"/>
          <w:szCs w:val="20"/>
          <w:color w:val="auto"/>
        </w:rPr>
      </w:pPr>
    </w:p>
    <w:p>
      <w:pPr>
        <w:ind w:left="660" w:right="20" w:hanging="328"/>
        <w:spacing w:after="0" w:line="24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on our key personnel and, if they leave us, or if we are unable to attract highly skilled personnel, our business could be adversely affected.</w:t>
      </w:r>
    </w:p>
    <w:p>
      <w:pPr>
        <w:spacing w:after="0" w:line="169"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to our systems, breaches in the security of transactions involving our products or services, or failure of our processing systems could adversely affect our reputation, business and results of operations.</w:t>
      </w:r>
    </w:p>
    <w:p>
      <w:pPr>
        <w:spacing w:after="0" w:line="169"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termination of our relationships with certain third-party suppliers upon whom we rely for services that are critical to our products could adversely affect our business and delay achievement of our business plan.</w:t>
      </w:r>
    </w:p>
    <w:p>
      <w:pPr>
        <w:spacing w:after="0" w:line="169" w:lineRule="exact"/>
        <w:rPr>
          <w:rFonts w:ascii="Arial" w:cs="Arial" w:eastAsia="Arial" w:hAnsi="Arial"/>
          <w:sz w:val="18"/>
          <w:szCs w:val="18"/>
          <w:color w:val="auto"/>
        </w:rPr>
      </w:pPr>
    </w:p>
    <w:p>
      <w:pPr>
        <w:ind w:left="660" w:hanging="328"/>
        <w:spacing w:after="0" w:line="274"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rely on other card payment processors, and if they fail or no longer agree to provide their services or we fail to operate in compliance with the requirements of those relationships, our customer relationships could be adversely affected, and we could lose business.</w:t>
      </w:r>
    </w:p>
    <w:p>
      <w:pPr>
        <w:spacing w:after="0" w:line="147"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at other participants in the financial system could prevent us from delivering our cashless payment services.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increase in chargebacks not paid by our customers may adversely affect our results of operations, financial condition and cash flows.</w:t>
      </w:r>
    </w:p>
    <w:p>
      <w:pPr>
        <w:spacing w:after="0" w:line="209"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dependence on proprietary technology and limited ability to protect our intellectual property may adversely affect our ability to compete.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ind w:left="660" w:right="20" w:hanging="328"/>
        <w:spacing w:after="0" w:line="24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require additional financing or find it necessary to raise capital to sustain our operations and without it we may not be able to achieve our business plan.</w:t>
      </w:r>
    </w:p>
    <w:p>
      <w:pPr>
        <w:spacing w:after="0" w:line="210"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comply with any of the financial covenants under the Company’s credit agreement could result in an event of default which may accelerate our outstanding indebtedness or other obligations and have a material adverse impact on our business, liquidity position and financial position.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regulatory, and compliance risks:</w:t>
      </w:r>
    </w:p>
    <w:p>
      <w:pPr>
        <w:spacing w:after="0" w:line="212" w:lineRule="exact"/>
        <w:rPr>
          <w:sz w:val="20"/>
          <w:szCs w:val="20"/>
          <w:color w:val="auto"/>
        </w:rPr>
      </w:pPr>
    </w:p>
    <w:p>
      <w:pPr>
        <w:ind w:left="660" w:hanging="328"/>
        <w:spacing w:after="0" w:line="261" w:lineRule="auto"/>
        <w:tabs>
          <w:tab w:leader="none" w:pos="655"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color w:val="auto"/>
        </w:rPr>
        <w:t>We are subject to laws and regulations that affect the products, services and markets in which we operate. Failure by us to comply with these laws or regulations would have an adverse effect on our business, financial condition, or results of operations.</w:t>
      </w:r>
    </w:p>
    <w:p>
      <w:pPr>
        <w:spacing w:after="0" w:line="197" w:lineRule="exact"/>
        <w:rPr>
          <w:rFonts w:ascii="Arial" w:cs="Arial" w:eastAsia="Arial" w:hAnsi="Arial"/>
          <w:sz w:val="18"/>
          <w:szCs w:val="18"/>
          <w:b w:val="1"/>
          <w:bCs w:val="1"/>
          <w:i w:val="1"/>
          <w:iCs w:val="1"/>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accounting review of our previously issued financial statements and the audits of prior fiscal years have been time-consuming and expensive, has resulted in claims and lawsuits , and may result in additional expense and/or litigation.</w:t>
      </w:r>
    </w:p>
    <w:p>
      <w:pPr>
        <w:spacing w:after="0" w:line="19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Matters relating to or arising from the restatement and the 2019 Investigation, including adverse publicity and potential concerns from our customers could continue to have an adverse effect on our business and financial condition.</w:t>
      </w:r>
    </w:p>
    <w:p>
      <w:pPr>
        <w:spacing w:after="0" w:line="184"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Matters relating to recent U.S. Department of Justice (“DOJ”) inquiries initially received in the third quarter of fiscal year 2020 may require significant time and attention, result in substantial expenses and lead to adverse publicity.</w:t>
      </w:r>
    </w:p>
    <w:p>
      <w:pPr>
        <w:spacing w:after="0" w:line="210" w:lineRule="exact"/>
        <w:rPr>
          <w:rFonts w:ascii="Arial" w:cs="Arial" w:eastAsia="Arial" w:hAnsi="Arial"/>
          <w:sz w:val="18"/>
          <w:szCs w:val="18"/>
          <w:b w:val="1"/>
          <w:bCs w:val="1"/>
          <w:color w:val="auto"/>
        </w:rPr>
      </w:pPr>
    </w:p>
    <w:p>
      <w:pPr>
        <w:ind w:left="660" w:hanging="328"/>
        <w:spacing w:after="0" w:line="291"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and certain of our former officers and directors could be subject to future claims and lawsuits, which could require significant additional management time and attention, result in significant additional legal expenses or result in government enforcement actions.</w:t>
      </w:r>
    </w:p>
    <w:p>
      <w:pPr>
        <w:spacing w:after="0" w:line="173" w:lineRule="exact"/>
        <w:rPr>
          <w:rFonts w:ascii="Arial" w:cs="Arial" w:eastAsia="Arial" w:hAnsi="Arial"/>
          <w:sz w:val="17"/>
          <w:szCs w:val="17"/>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maintain effective systems of internal control over financial reporting and disclosure controls and procedures could cause a loss of confidence in our financial reporting and adversely affect the trading price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1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color w:val="auto"/>
        </w:rPr>
        <w:t>Director and officer liability is limited and shareholders may have limited rights to recover against directors for breach of fiduciary duty.</w:t>
      </w:r>
    </w:p>
    <w:p>
      <w:pPr>
        <w:spacing w:after="0" w:line="250" w:lineRule="exact"/>
        <w:rPr>
          <w:rFonts w:ascii="Arial" w:cs="Arial" w:eastAsia="Arial" w:hAnsi="Arial"/>
          <w:sz w:val="17"/>
          <w:szCs w:val="17"/>
          <w:b w:val="1"/>
          <w:bCs w:val="1"/>
          <w:i w:val="1"/>
          <w:iCs w:val="1"/>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active trading market for our common stock may not be maintained.</w:t>
      </w:r>
    </w:p>
    <w:p>
      <w:pPr>
        <w:spacing w:after="0" w:line="23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There is a risk that we may be dropped from inclusion in the Russell 2000® Index which could result in a decline in the price of our stock.</w:t>
      </w:r>
    </w:p>
    <w:p>
      <w:pPr>
        <w:spacing w:after="0" w:line="250" w:lineRule="exact"/>
        <w:rPr>
          <w:rFonts w:ascii="Arial" w:cs="Arial" w:eastAsia="Arial" w:hAnsi="Arial"/>
          <w:sz w:val="17"/>
          <w:szCs w:val="17"/>
          <w:color w:val="auto"/>
        </w:rPr>
      </w:pPr>
    </w:p>
    <w:p>
      <w:pPr>
        <w:jc w:val="both"/>
        <w:ind w:left="660" w:hanging="328"/>
        <w:spacing w:after="0" w:line="24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certain fundamental transactions involving the Company, such as a merger or sale of substantially all of our assets, we may be required to distribute the liquidation preference then due to the holders of our Series A Preferred Stock which would reduce the amount of the distributions otherwise to be made to the holders of our common stock in connection with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Risks related to our business and our industry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since inception and if we continue to incur losses, the price of our shares can be expected to fall.</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experienced losses from inception through June 30, 2012, and from fiscal year 2015 through fiscal year 2021. For fiscal years 2021, 2020, and 2019, we incurred a net loss of $8.7 million, $40.6 million, and $29.9 million, respectively. In light of our recent history of losses as well as the length of our history of losses, profitability in the foreseeable future is not assured. Until we achieve profitability, we will be required to use our cash and cash equivalents on hand and may raise capital to meet cash flow requirements including the issuance of common stock or debt financing. Additionally, if we continue to incur losses in the future, the price of our common stock can be expected to fall.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coronavirus disease 2019 (</w:t>
      </w:r>
      <w:r>
        <w:rPr>
          <w:rFonts w:ascii="Arial" w:cs="Arial" w:eastAsia="Arial" w:hAnsi="Arial"/>
          <w:sz w:val="18"/>
          <w:szCs w:val="18"/>
          <w:color w:val="auto"/>
        </w:rPr>
        <w:t>“</w:t>
      </w:r>
      <w:r>
        <w:rPr>
          <w:rFonts w:ascii="Arial" w:cs="Arial" w:eastAsia="Arial" w:hAnsi="Arial"/>
          <w:sz w:val="18"/>
          <w:szCs w:val="18"/>
          <w:b w:val="1"/>
          <w:bCs w:val="1"/>
          <w:color w:val="auto"/>
        </w:rPr>
        <w:t>COVID-19</w:t>
      </w:r>
      <w:r>
        <w:rPr>
          <w:rFonts w:ascii="Arial" w:cs="Arial" w:eastAsia="Arial" w:hAnsi="Arial"/>
          <w:sz w:val="18"/>
          <w:szCs w:val="18"/>
          <w:color w:val="auto"/>
        </w:rPr>
        <w:t>”</w:t>
      </w:r>
      <w:r>
        <w:rPr>
          <w:rFonts w:ascii="Arial" w:cs="Arial" w:eastAsia="Arial" w:hAnsi="Arial"/>
          <w:sz w:val="18"/>
          <w:szCs w:val="18"/>
          <w:b w:val="1"/>
          <w:bCs w:val="1"/>
          <w:color w:val="auto"/>
        </w:rPr>
        <w:t>) pandemic has and may continue to significantly and adversely impact our business.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global spread of the COVID-19 pandemic has created significant volatility, uncertainty and economic disruption on our business. Electronic payment transaction volume within unattended markets decreased significantly at the onset of the pandemic, as government authorities imposed forced closure of non-essential businesses and social distancing protocols, significantly reducing foot traffic to distributed assets containing our electronic payment solutions and reducing discretionary spending by consumers.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extent to which the COVID-19 pandemic continues to impact our business, operations and financial results will depend on numerous evolving factors that we are not able to accurately predict, including: the duration and scope of the pandemic; potential mutations of COVID-19; the efficacy of vaccines and treatment developments and their deployment; governmental, business and individuals’ actions that have been and continue to be taken in response to the pandemic; and the impact of the pandemic on economic activity and actions taken in response. Furthermore, even as containment measures are lifted there can be no assurance as to whether further measures will be implemented or the time required to sustain operations and sales at pre-pandemic levels. There may also be increased marketplace consolidation as companies are challenged to respond to the continued evolving conditions of COVID-19.</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sustained or recurring downturn could result in a decrease in the fair value of our goodwill or other intangible assets, causing them to exceed their carrying value. This may require us to recognize an impairment to those assets. Further, the COVID-19 pandemic could decrease consumer spending, adversely affect demand for our technology and services, cause one or more of our customers and partners to file for bankruptcy protection or go out of business, cause one or more of our customers to fail to renew, terminate, or renegotiate their contracts, affect the ability of our sales team to travel to potential customers, impact expected spending from new customers and negatively impact collections of accounts receivable, all of which could adversely affect our business, results of operations and financial condition. In response to the outbreak, we agreed to concessions on price and/or payment terms with certain customers who have been negatively impacted by the COVID-19 pandemic, and may negotiate additional concessions on price and/or payment terms.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It is not possible for us to predict the future impact of the pandemic and its effects on our business, results of operations or financial condition at this time.</w:t>
      </w:r>
    </w:p>
    <w:p>
      <w:pPr>
        <w:spacing w:after="0" w:line="2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not able to implement successful enhancements and new features for our products and services, our business could be materially and adversely affected.</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success depends on our ability to develop new products and services to address the rapidly evolving market for cashless payments and cloud and mobile solutions for the self-service retail markets. Rapid and significant technological changes continue to confront the industries in which we operate, including developments in proximity payment devices. These new services and technologies may be superior to, impair, or render obsolete the products and services we currently offer or the technologies we currently use to provide them. Incorporating new technologies into our products and services may require substantial expenditures and take considerable time, and we may not be successful in realizing a return on these development efforts in a timely manner or at all. There can be no assurance that any new products or services we develop and offer to our customers will achieve significant commercial acceptance. Our ability to develop new products and services may be inhibited by industry-wide standards, payment card networks, existing and future laws and regulations, resistance to change from our customers, or third parties’ intellectual property rights. If we are unable to provide enhancements and new features for our products and services or to develop new products and services that achieve market acceptance or that keep pace with rapid technological developments and evolving industry standards, our business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jc w:val="both"/>
        <w:spacing w:after="0" w:line="275" w:lineRule="auto"/>
        <w:rPr>
          <w:sz w:val="20"/>
          <w:szCs w:val="20"/>
          <w:color w:val="auto"/>
        </w:rPr>
      </w:pPr>
      <w:r>
        <w:rPr>
          <w:rFonts w:ascii="Arial" w:cs="Arial" w:eastAsia="Arial" w:hAnsi="Arial"/>
          <w:sz w:val="17"/>
          <w:szCs w:val="17"/>
          <w:color w:val="auto"/>
        </w:rPr>
        <w:t>In addition, because our products and services are designed to operate with a variety of systems, infrastructures, and devices, we need to continuously modify and enhance our products and services to keep pace with changes in mobile, software, communication, and database technologies. We may not be successful in either developing these modifications and enhancements or in bringing them to market in a timely and cost-effective manner. Any failure of our products and services to continue to operate effectively with third-party infrastructures and technologies could reduce the demand for our products and services, result in dissatisfaction of our customers, and materially and adversely affect our business.</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Substantially all of the network service contracts with our customers are terminable for any or no reason upon thirty to sixty days’ advance notice.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of our customers may terminate their services with us for any or no reason upon providing us with thirty to sixty- days’ advance notice. Accordingly, consistent demand for and satisfaction with our products by our customers is critical to our financial condition and future success. Problems, outages, defects, or other issues with our products or services or competition in the marketplace could cause us to lose a substantial number of our customers with minimal notice. If a substantial number of our customers were to exercise their termination rights, it would result in a material adverse effect to our business, operating results, and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successfully implement our go-to-market strategy which may adversely affect growth and profitability.</w:t>
      </w:r>
    </w:p>
    <w:p>
      <w:pPr>
        <w:spacing w:after="0" w:line="24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current core business is highly concentrated among several large customers in the vending industry. We have made inroads into other adjacent markets including laundry, gaming, entertainment and other commercial payments applications and continued expansion into these markets is a substantial piece of our potential future growth prospects. Changing technology, customer preferences, and competitor actions may limit our ability to successfully grow and expand beyond our core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commercially manage the transition from the 3G network could lead to competitive disadvantage in the marketplace.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transition away from the 3G wireless network is underway as the cellular service providers phase these networks out in North America through the end of the 2022 calendar year. This transition will affect a large portion of our active devices and will require a new customer retention initiative to ensure that our existing customer base is properly transitioned to the new platform. This change affects our industry and will also lead to changes with our competitors and their customers. Our ability to successfully transition and provide the new platform for our existing and new customers is critical to our strategy, our network and to the competitive landscape in the marketplace.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loss of one or more of our key customers could significantly reduce our revenues, results of operations, and increase net losses.</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derived, and believe we will continue to derive, a significant portion of our revenues from one large customer or a limited number of large customers. Customer concentrations for the years ended June 30, 2021, 2020 and 2019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Borders>
              <w:bottom w:val="single" w:sz="8" w:color="auto"/>
            </w:tcBorders>
            <w:gridSpan w:val="5"/>
          </w:tcPr>
          <w:p>
            <w:pPr>
              <w:jc w:val="center"/>
              <w:ind w:left="810"/>
              <w:spacing w:after="0"/>
              <w:rPr>
                <w:sz w:val="20"/>
                <w:szCs w:val="20"/>
                <w:color w:val="auto"/>
              </w:rPr>
            </w:pPr>
            <w:r>
              <w:rPr>
                <w:rFonts w:ascii="Arial" w:cs="Arial" w:eastAsia="Arial" w:hAnsi="Arial"/>
                <w:sz w:val="18"/>
                <w:szCs w:val="18"/>
                <w:b w:val="1"/>
                <w:bCs w:val="1"/>
                <w:color w:val="auto"/>
                <w:w w:val="89"/>
              </w:rPr>
              <w:t>For the year ended June 30,</w:t>
            </w:r>
          </w:p>
        </w:tc>
        <w:tc>
          <w:tcPr>
            <w:tcW w:w="900" w:type="dxa"/>
            <w:vAlign w:val="bottom"/>
            <w:tcBorders>
              <w:bottom w:val="single" w:sz="8" w:color="auto"/>
            </w:tcBorders>
          </w:tcPr>
          <w:p>
            <w:pPr>
              <w:spacing w:after="0"/>
              <w:rPr>
                <w:sz w:val="20"/>
                <w:szCs w:val="20"/>
                <w:color w:val="auto"/>
              </w:rPr>
            </w:pPr>
          </w:p>
        </w:tc>
      </w:tr>
      <w:tr>
        <w:trPr>
          <w:trHeight w:val="223"/>
        </w:trPr>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Single customer</w:t>
            </w: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24"/>
        </w:trPr>
        <w:tc>
          <w:tcPr>
            <w:tcW w:w="6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17 %</w:t>
            </w:r>
          </w:p>
        </w:tc>
      </w:tr>
    </w:tbl>
    <w:p>
      <w:pPr>
        <w:spacing w:after="0" w:line="2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loss of such customers could materially adversely affect our revenues. Additionally, a major customer in one year may not purchase any of our products or services in another year, which may negatively affect our financial performance. We have offered, and may in the future offer, discounts to our large customers to incentivize them to continue to utilize our products and services. If we are required to sell products to any of our large customers at reduced prices or unfavorable terms, our revenue and earnings could be materially adversely affected. Further, there is no assurance that our customers will continue to utilize our transaction processing and related services as our customer agreements are generally cancellable by the customer on thirty to sixty days’ notice.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Increases in card association and debit network interchange fees could increase our operating costs or otherwise adversely affect our operations.</w:t>
      </w:r>
    </w:p>
    <w:p>
      <w:pPr>
        <w:spacing w:after="0" w:line="266"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We are obligated to pay interchange fees and other network fees set by the bankcard networks to the card issuing bank and the bankcard networks for each transaction we process through our network. From time to time, card associations and debit networks increase the organization and/or processing fees, known as interchange fees that they charge. Under our processing agreements with our customers, we are permitted to pass along these fee increases to our customers through corresponding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ind w:right="240"/>
        <w:spacing w:after="0" w:line="235" w:lineRule="auto"/>
        <w:rPr>
          <w:sz w:val="20"/>
          <w:szCs w:val="20"/>
          <w:color w:val="auto"/>
        </w:rPr>
      </w:pPr>
      <w:r>
        <w:rPr>
          <w:rFonts w:ascii="Arial" w:cs="Arial" w:eastAsia="Arial" w:hAnsi="Arial"/>
          <w:sz w:val="18"/>
          <w:szCs w:val="18"/>
          <w:color w:val="auto"/>
        </w:rPr>
        <w:t>increases in our processing fees. Passing along such increases could result in some of our customers canceling their contracts with us. Consequently, it is possible that competitive pressures will result in our Company absorbing some or all of the increases in the future, which would increase our operating costs, reduce our gross profit and adversely affect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and liquidity</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depend on our key personnel and, if they leave us, or if we are unable to attract highly skilled personnel, our business could be adversely affected.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dependent on key management personnel, including the Chief Executive Officer, Sean Feeney, the rest of the executive leadership team, and several functional areas within the Company. The loss of services from these officers and employees could dramatically affect our business prospects. Our executive officers and certain of our officers and employees are particularly valuable to us because:</w:t>
      </w:r>
    </w:p>
    <w:p>
      <w:pPr>
        <w:spacing w:after="0" w:line="18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have specialized knowledge about our company and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have specialized skills that are important to our operations;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would be particularly difficult to replace.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entered into an employment agreement with Mr. Feeney, which contains customary restrictive covenants, including perpetual confidentiality, non-disparagement, and intellectual property covenants, as well as a non-compete, non-solicit of customers and suppliers, and non-solicit of employees (including a no-hire) that each apply during employment and for two years following any termination.</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success and future growth also depends, to a significant degree, on the skills and continued services of our management team. Further, due to the complexity of the work required to make needed improvements within the Company, it may be difficult for us to retain existing senior management and new hires, sales personnel, and development and engineering personnel critical to our ability to execute our business plan, which could result in harm to key customer relationships, loss of key information, expertise or know-how and unanticipated recruitment and training costs. We may experience a loss of productivity due to the departure of key personnel and the associated loss of institutional knowledge, or while new personnel integrate into our business and transition into their respective roles. Our future success also depends on our ability to attract and motivate highly skilled technical, managerial, sales, marketing and customer service personnel, including members of our management team.</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Disruptions to our systems, breaches in the security of transactions involving our products or services, or failure of our processing systems could adversely affect our reputation, business and results of operations.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rely on information technology and other systems to transmit financial information of consumers making cashless transactions and to provide accounting and inventory management services to our customers. As such, the information we transmit and/or maintain is exposed to the ever-evolving threat of compromised security, in the form of a risk of potential breach, system failure, computer virus, cyber-attack or unauthorized or fraudulent use by consumers, customers, company employees, or employees of third party vendors. A cybersecurity breach could result in disclosure of confidential information and intellectual property, or cause operational disruptions and compromised data. We may be unable to anticipate or prevent techniques to obtain unauthorized access or to sabotage systems because they change frequently and often are not detected until after an incident has occurred.</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our processing systems may experience errors, interruptions, delays or damage from a number of causes, including, but not limited to, power outages, hardware, software and network failures, internal design, manual or usage errors, terrorism, workplace violence or wrongdoing, catastrophic events, natural disasters and severe weather conditions. The steps we take to deter and mitigate these risks, including annual validation of our compliance with the Payment Card Industry Data Security Standard, may not be successful, and any resulting compromise or loss of data or systems could adversely impact the marketplace acceptance of our products and services, and could result in significant remedial expenses to not only assess and repair any damage to our systems, but also to reimburse customers for losses that occur from service interruptions or the fraudulent use of confidential data. Additionally, we could become subject to significant fines, litigation, and loss of reputation, potentially impacting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jc w:val="both"/>
        <w:ind w:right="20"/>
        <w:spacing w:after="0" w:line="282" w:lineRule="auto"/>
        <w:rPr>
          <w:sz w:val="20"/>
          <w:szCs w:val="20"/>
          <w:color w:val="auto"/>
        </w:rPr>
      </w:pPr>
      <w:r>
        <w:rPr>
          <w:rFonts w:ascii="Arial" w:cs="Arial" w:eastAsia="Arial" w:hAnsi="Arial"/>
          <w:sz w:val="18"/>
          <w:szCs w:val="18"/>
          <w:b w:val="1"/>
          <w:bCs w:val="1"/>
          <w:color w:val="auto"/>
        </w:rPr>
        <w:t>The termination of our relationships with certain third-party suppliers upon whom we rely for services that are critical to our products could adversely affect our business and delay achievement of our business plan.</w:t>
      </w:r>
    </w:p>
    <w:p>
      <w:pPr>
        <w:spacing w:after="0" w:line="19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operation of our networked devices depends upon the capacity, reliability and security of services provided to us by our wireless telecommunication services providers, equipment manufacturers and other suppliers. In addition, if we terminate relationships with our current telecommunications service providers and other third-party suppliers, we may have to replace hardware that is part of our existing ePort or Seed products that are already installed in the marketplace. This could significantly harm our reputation and could cause us to lose customers and revenues.</w:t>
      </w:r>
    </w:p>
    <w:p>
      <w:pPr>
        <w:spacing w:after="0" w:line="180"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We rely on other card payment processors, and if they fail or no longer agree to provide their services or we fail to operate in compliance with the requirements of those relationships, our customer relationships could be adversely affected, and we could lose business.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agreements with other large payment processing organizations, primarily Chase Paymentech, Global Payments, Inc., formerly Heartland Payment Systems, Inc. and First Data, to enable us to provide card authorization, data capture and transmission, settlement and merchant accounting services for the customers we serve. The termination by our card processing providers of their arrangements with us or their failure to perform their services efficiently and effectively would adversely affect our relationships with the customers whose accounts we serve and may cause those customers to terminate their processing agreements with us.</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 substantially all of the cashless payment transactions handled by our network involve Visa U.S.A. Inc. (“Visa”) or MasterCard International Incorporated ("MasterCard"). If we fail to comply with the applicable standards or requirements of the Visa and MasterCard card associations relating to security, Visa or MasterCard could suspend or terminate our registration with them. The termination of our registration with them or any changes in the Visa or MasterCard rules that would impair our registration with them could require us to stop providing cashless payment services through our network. In such event, our business plan and/or competitive advantages in the market place would be materially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at other participants in the financial system could prevent us from delivering our cashless payment services.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operations and systems of many participants in the financial system are interconnected. Many of the transactions that involve our cashless payment services rely on multiple participants in the financial system to accurately move funds and communicate information to the next participant in the transaction chain. A disruption for any reason at one of the participants in the financial system could impact our ability to cause funds to be moved in a manner to successfully deliver our services. Although we work with other participants to avoid any disruptions, there is no assurance that such efforts will be effective. Such a disruption could lead to the inability for us to deliver services, reputational damage, lost customers and lost revenue, loss of customers’ confidence, as well as additional costs, all of which could have a material adverse effect on our revenues, profitability, financial condition, and future growth.</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increase in chargebacks not paid by our customers may adversely affect our results of operations, financial condition and cash flows.</w:t>
      </w:r>
    </w:p>
    <w:p>
      <w:pPr>
        <w:spacing w:after="0" w:line="2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a dispute between a cardholder and a customer is not resolved in favor of the customer, the transaction is normally charged back to the customer and the purchase price is credited or otherwise refunded to the cardholder. When we serve as merchant of record, if we are unable to collect such amounts from the customer's account, or if the customer refuses or is unable, due to closure, bankruptcy or other reasons, to reimburse us for a chargeback, we bear the loss for the amount of the refund paid to the cardholder. We may experience significant losses from chargebacks in the future. Any increase in chargebacks not paid by our customers could have a material adverse effect on our business, financial condition, results of operations and cash flows. We have policies to manage customer-related credit risk and attempt to mitigate such risk by monitoring transaction activity. Notwithstanding our programs and policies for managing credit risk, it is possible that a default on such obligations by one or more of our customers could have a material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dependence on proprietary technology and limited ability to protect our intellectual property may adversely affect our ability to compete.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Challenge to our ownership of our intellectual property could materially damage our business prospects. Our technology may infringe upon the proprietary rights of others. Our ability to execute our business plan is dependent, in part, on our ability to obtain patent protection for our proprietary products, maintain trade secret protection and operate without infringing the proprietary rights of others.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jc w:val="both"/>
        <w:spacing w:after="0" w:line="311" w:lineRule="auto"/>
        <w:rPr>
          <w:sz w:val="20"/>
          <w:szCs w:val="20"/>
          <w:color w:val="auto"/>
        </w:rPr>
      </w:pPr>
      <w:r>
        <w:rPr>
          <w:rFonts w:ascii="Arial" w:cs="Arial" w:eastAsia="Arial" w:hAnsi="Arial"/>
          <w:sz w:val="16"/>
          <w:szCs w:val="16"/>
          <w:color w:val="auto"/>
        </w:rPr>
        <w:t>As of June 30, 2021, the United States Government and other countries have granted us 132 patents, of which 54 are still in force. We have a number of pending patent applications, and will consider filing applications for additional patents covering aspects of our future developments, although there can be no assurance that we will do so. In addition, there can be no assurance that we will maintain or prosecute these applications. There can be no assurance that:</w:t>
      </w:r>
    </w:p>
    <w:p>
      <w:pPr>
        <w:spacing w:after="0" w:line="4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of the remaining patent applications will be granted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develop additional products that are patentable or that do not infringe the patents of others;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patents issued to us will provide us with any competitive advantages or adequate protection for our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patents issued to us will not be challenged, invalidated or circumvented by others;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of our products would not infringe the patents of others.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any of our products or services is found to have infringed any patent, there can be no assurance that we will be able to obtain licenses to continue to manufacture, use, sell, and license such product or service or that we will not have to pay damages and/or be enjoined as a result of such infringement.</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we are unable to adequately protect our proprietary technology or fail to enforce or prosecute our patents against others, third parties may be able to compete more effectively against us, which could result in the loss of customers and our business being adversely affected. Patent and proprietary rights litigation entails substantial legal and other costs and diverts Company resources as well as the attention of our management. There can be no assurance we will have the necessary financial resources to appropriately defend or prosecute our intellectual property rights in connection with any such litigation.</w:t>
      </w:r>
    </w:p>
    <w:p>
      <w:pPr>
        <w:spacing w:after="0" w:line="15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require additional financing or find it necessary to raise capital to sustain our operations and without it we may not be able to achieve our business plan.</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At June 30, 2021, we had a net working capital surplus of $65.6 million and cash and cash equivalents of $88.1 million. We had net cash provided by (used in) operating activities of $8.2 million, $(14.1) million, and $(28.2) million for fiscal years ended 2021, 2020, and 2019, respectively. Unless we maintain or grow, we may need additional funds to continue these operations. We may also need additional capital to respond to unusual or unanticipated non-operational events. Such non-operational events include but are not limited to shareholder class action lawsuits, government inquiries or enforcement actions that could potentially arise from the circumstances that gave rise to our restatements, extended filing delays in filing our periodic reports and the impact of COVID-19 on our business. Should the financing that we require to sustain our working capital needs be unavailable or prohibitively expensive when we require it, the consequences could have a material adverse effect on our business, operating results, financial condition and future prospects.</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Failure to comply with any of the financial covenants under the Company’s credit agreement could result in an event of default which may accelerate our outstanding indebtedness or other obligations and have a material adverse impact on our business, liquidity position and financial position.</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14, 2020, the Company entered into a credit agreement with JPMorgan Chase Bank, N.A. (the “2021 JPMorgan Credit Agreement”) for a $5 million secured revolving credit facility and a $15 million secured term facility, which includes an uncommitted expansion feature that allows the Company to increase the total revolving commitments and/or add new tranches of term loans in an aggregate amount not to exceed $5 million. The obligations under the 2021 JPMorgan Credit Agreement are secured by first priority security interest in substantially all of the Company's assets. The 2021 JPMorgan Credit Agreement contains financial covenants requiring the Company (i) to maintain an adjusted quick ratio of not less than 2.00 to 1.00 beginning August 14, 2020, not less than 2.50 to 1.00 beginning October 1, 2020, not less than 2.75 to 1.00 beginning January 1, 2021 and 3.00 to 1.00 beginning April 1, 2021 and (ii) to maintain, as of the end of each of its fiscal quarters commencing with the fiscal quarter ended December 31, 2021, a total leverage ratio of not greater than 3.00 to 1.00.</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was in compliance with its financial covenants as of June 30, 2021. Failure to comply with the foregoing financial covenants, if not cured or waived, will result in an event of default that could trigger acceleration of our indebtedness, which would require us to repay all amounts owed under the 2021 JPMorgan Credit Agreement and could have a material adverse impact on our business, liquidity position and financial position.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be certain that our future operating results will be sufficient to ensure compliance with the financial covenants in our 2021 JPMorgan Credit Agreement or to remedy any defaults. In addition, in the event of any event of default and related acceleration, we may not have or be able to obtain sufficient funds to make the accelerated payments required under the 2021 JPMorgan Credit Agreement.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Legal, regulatory, and compliance risks</w:t>
      </w:r>
    </w:p>
    <w:p>
      <w:pPr>
        <w:spacing w:after="0" w:line="24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laws and regulations that affect the products, services and markets in which we operate. Failure by us to comply with these laws or regulations would have an adverse effect on our business, financial condition, or results of operations.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among other things, subject to certain banking regulations and credit card association regulations. Failure to comply with these regulations may result in the suspension of our business, the limitation, suspension or termination of service, and/or the imposition of fines that could have an adverse effect on our financial condition. Additionally, changes to legal rules and regulations, or interpretation or enforcement thereof, could have a negative financial effect on us or our product offerings. To the extent this occurs, we could be subject to additional technical, contractual or other requirements as a condition of our continuing to conduct our payment processing business. These requirements could cause us to incur additional costs, which could be significant, or to lose revenues to the extent we do not comply with these requirements.</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The accounting review of our previously issued financial statements and the audits of prior fiscal years have been time-consuming and expensive, has resulted in claims and lawsuits , and may result in additional expense and/or litigation.</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fiscal year 2019, the Audit Committee, with the assistance of independent legal and forensic accounting advisors, conducted an internal investigation of then-current and prior period matters relating to certain of the Company’s contractual arrangements, including the accounting treatment, financial reporting and internal controls related to such arrangements (the “2019 Investigation”).</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incurred significant expenses, including audit, legal, consulting and other professional fees, in connection with the 2019 Investigation, the review of our accounting, the audits, the restatements of previously filed financial statements, bank consents, the remediation of deficiencies in our internal control over financial reporting, the proxy solicitation, and professional services fees to assist the Company with accounting and compliance activities in fiscal year 2020 following the filing of the 2019 Form 10-K. For the years ended June 30, 2020 and 2019, the Company incurred $19.8 million and $16.1 million of those costs. To the extent that steps we are continuing to take to reduce errors in accounting determinations are not successful, we could be forced to incur significant additional time and expense. The incurrence of significant additional expense, or the requirement that management devote significant time that could reduce the time available to execute on our business strategies, could have a material adverse effect on our business, results of operations and financial condition.</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have completed the restatement, we cannot guarantee that we will not receive inquiries from the Securities and Exchange Commission (“SEC”) or other regulatory authorities regarding our restated financial statements or matters relating thereto, or that we will not be subject to future claims, investigations or proceedings. Any future inquiries from the SEC or other regulatory authorities, or future claims or proceedings or any related regulatory investigation will, regardless of the outcome, likely consume a significant amount of our internal resources and result in additional legal and accounting costs.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additional discussion, see Note 17 to our consolidated financial statements. Our management has been, and may in the future be, required to devote significant time and attention to litigation and claims, and this and any additional matters that arise could have a material adverse impact on our results of operations and financial condition as well as on our reputation. While we cannot estimate our potential exposure in these matters at this time, we have already incurred significant expense defending this litigation and expect to continue to need to incur significant expense.</w:t>
      </w:r>
    </w:p>
    <w:p>
      <w:pPr>
        <w:spacing w:after="0" w:line="19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Matters relating to or arising from the restatement and the 2019 Investigation, including adverse publicity and potential concerns from our customers could continue to have an adverse effect on our business and financial condition.</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We have restated our consolidated financial statements as of and for the fiscal year 2017 and our unaudited consolidated financial statements for the quarterly periods ended September 30, 2016, December 31, 2016, March 31, 2017, September 30, 2017, December 31, 2017, and March 31, 2018. As a result, we have been and could continue to be the subject of negative publicity focusing on the restatement and adjustment of our financial statements, and may be adversely impacted by negative reactions from our customers or others with whom we do business. Concerns include the perception of the effort required to address our accounting and control environment and the ability for us to be a long-term provider to our customers. The continued occurrence of any of the foregoing could harm our business and have an adverse effect on our financial condition. Additionally, as a result of the restatements, we have become subject to a number of additional risks and uncertainties, including substantial unanticipated costs for accounting and legal fees in connection with or related to the restatement. If litigation did occur, we may incur additional substantial defense costs regardless of their outcome. Likewise, such events might cause a diversion of our management’s time and attention. If we do not prevail in any such litigation, we could be required to pay substantial damages or settlement costs.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1" w:name="page22"/>
    <w:bookmarkEnd w:id="21"/>
    <w:p>
      <w:pPr>
        <w:jc w:val="both"/>
        <w:ind w:right="20"/>
        <w:spacing w:after="0" w:line="282" w:lineRule="auto"/>
        <w:rPr>
          <w:sz w:val="20"/>
          <w:szCs w:val="20"/>
          <w:color w:val="auto"/>
        </w:rPr>
      </w:pPr>
      <w:r>
        <w:rPr>
          <w:rFonts w:ascii="Arial" w:cs="Arial" w:eastAsia="Arial" w:hAnsi="Arial"/>
          <w:sz w:val="18"/>
          <w:szCs w:val="18"/>
          <w:b w:val="1"/>
          <w:bCs w:val="1"/>
          <w:color w:val="auto"/>
        </w:rPr>
        <w:t>Matters relating to recent U.S. Department of Justice (“DOJ”) inquiries, initially received in the third quarter of fiscal year 2020 may require significant time and attention, result in substantial expenses and lead to adverse publicity.</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third quarter of fiscal year 2020, the Company responded to a subpoena received from the DOJ that sought records regarding Company activities related to the 2019 Investigation. We are and have been cooperating fully with the DOJ’s queries. While these inquiries to date relate to events that took place under prior management that was in place during those years, they will likely require time and attention from current management to provide access to any internal company records that may be requested.</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unable to predict what consequences, if any, that the investigation performed by the DOJ may have on us. The investigation performed by the DOJ could result in substantial legal and accounting expenses, divert management’s attention from other business concerns and harm our business. Any civil or criminal action commenced against us could result in administrative orders against us, the imposition of significant penalties and/or fines against us, and/or the imposition of civil or criminal sanctions against us or certain of our former officers, directors and/or employees. Any regulatory action could result in the filing of additional restatements of our prior financial statements or require that we take other actions. If we are subject to an adverse finding resulting from the investigation performed by the DOJ, we could be required to pay damages or penalties or have other remedies imposed upon us. The period of time necessary to resolve the investigations by the DOJ is uncertain, and these matters could require significant management and financial resources which could otherwise be devoted to the operation of our business. Additionally, as a result of these inquiries, we could be the subject of negative publicity including negative reactions from our customers or others with whom we do business.</w:t>
      </w:r>
    </w:p>
    <w:p>
      <w:pPr>
        <w:spacing w:after="0" w:line="204"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We and certain of our former officers and directors could be subject to future claims and lawsuits, which could require significant additional management time and attention, result in significant additional legal expenses or result in government enforcement actions.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and certain of our former officers and directors may become subject to further litigation, government investigations or proceedings arising from the 2019 Investigation. Future litigation, investigation or other actions that may be filed or initiated against us or our former officers or directors may be time consuming and expensive. We cannot predict what losses we may incur in these litigation matters, and contingencies related to our obligations under the federal and state securities laws, or in other legal proceedings or governmental investigations or proceedings related to these matters.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date, we have incurred significant costs in connection with litigation, investigations and with the special litigation committee proceedings. Any legal proceedings, if decided adversely to us, could result in significant monetary damages, penalties and reputational harm, and will likely involve significant defense and other costs. We have entered into indemnification agreements with each of our directors and certain of our officers, and our bylaws require us to indemnify each of our directors and officers. Further, our insurance may not cover all claims that have been or may be brought against us, and insurance coverage may not continue to be available to us at a reasonable cost. As a result, we have been and may continue to be exposed to substantial uninsured liabilities, including pursuant to our indemnification obligations, which could materially adversely affect our business, prospects, results of operations and financial condition.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discussion of these matters, refer to Note 17 to our consolidated financial statements.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maintain effective systems of internal control over financial reporting and disclosure controls and procedures could cause a loss of confidence in our financial reporting and adversely affect the trading price of our common stock.</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internal control over financial reporting is necessary for us to provide accurate financial information. Section 404 of the Sarbanes-Oxley Act requires us to evaluate the effectiveness of our internal control over financial reporting as of the end of each fiscal year and to include a management report assessing the effectiveness of our internal control over financial reporting in our Annual Report on Form 10-K. As discussed in Item 9A, our internal controls over financial reporting were not effective as of June 30, 2020 due to the existence of a material weakness in such controls. While no material weaknesses were identified as of June 30, 2021, there can be no assurance that we will not experience additional material weaknesses in the future. If we are unable to adequately maintain our internal control over financial reporting in the future, we may not be able to accurately report our financial results, which could cause investors to lose confidence in our reported financial information, negatively affecting the trading price of our common stock, or our ability to access the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and officer liability is limited and shareholders may have limited rights to recover against directors for breach of fiduciary duty.</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permitted by Pennsylvania law, our by-laws limit the liability of our directors for monetary damages for breach of a director’s fiduciary duty except for liability in certain instances. As a result of our by-law provisions and Pennsylvania law, shareholders may have limited rights to recover against directors for breach of fiduciary duty. In addition, our by-laws and indemnification agreements entered into by the Company with each of the officers and directors provide that we shall indemnify our directors and officers to the fullest extent permitted by law.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trading market for our common stock may not be maintained.</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 provide no assurance that we will be able to maintain an active trading market for our common stock on the Nasdaq Global Select Market, or any other exchange in the future. If an active market for our common stock is not maintained, or if we fail to satisfy the continued listing standards of Nasdaq for any reason and our securities are delisted, it may be difficult for our security holders to sell their securities without depressing the market price for the securities or at all. An inactive trading market may also impair our ability to both raise capital by selling shares of common stock and complete other acquisitions by using our shares of common stock as consideration.</w:t>
      </w:r>
    </w:p>
    <w:p>
      <w:pPr>
        <w:spacing w:after="0" w:line="17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b w:val="1"/>
          <w:b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for any reason,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There is a risk that we may be dropped from inclusion in the Russell 2000® Index which could result in a decline in the price of our stock.</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are currently included in the Russell 2000® Index, there is a risk that we could be dropped from inclusion when the list of public companies included in the Russell 2000® Index is reconstituted in May 2022 which could result in a decline in demand for our common stock and, accordingly, the trading price of our common stock following such event. For example, the market capitalization cutoff for the Russell 2000® Index could be increased due to recent strong small-cap performance, special purpose acquisition company, or SPAC, activity, strong IPO activity and the depressed mergers and acquisitions environment.</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Upon certain fundamental transactions involving the Company, such as a merger or sale of substantially all of our assets, we may be required to distribute the liquidation preference then due to the holders of our Series A Preferred Stock which would reduce the amount of the distributions otherwise to be made to the holders of our common stock in connection with such transactions.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articles of incorporation provide that upon a merger or sale of substantially all of our assets or upon the disposition of more than 50% of our voting power, the holders of at least 60% of the preferred stock may elect to have such transaction treated as a liquidation and be entitled to receive their liquidation preference. Upon our liquidation, the holders of our preferred stock are entitled to receive a liquidation preference prior to any distribution to the holders of common stock which, as of June 30, 2021 was approximately $21.4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headquarters are located at 100 Deerfield Lane, Suite 300, Malvern, Pennsylvania. All of our current locations are leased and expire in varying years outlined below. All of our leased facilities are used for corporate functions, product development, sales, and other purposes. We believe our existing facilities are sufficient for our current and future needs.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gridSpan w:val="2"/>
          </w:tcPr>
          <w:p>
            <w:pPr>
              <w:ind w:left="20"/>
              <w:spacing w:after="0"/>
              <w:rPr>
                <w:sz w:val="20"/>
                <w:szCs w:val="20"/>
                <w:color w:val="auto"/>
              </w:rPr>
            </w:pPr>
            <w:r>
              <w:rPr>
                <w:rFonts w:ascii="Arial" w:cs="Arial" w:eastAsia="Arial" w:hAnsi="Arial"/>
                <w:sz w:val="18"/>
                <w:szCs w:val="18"/>
                <w:b w:val="1"/>
                <w:bCs w:val="1"/>
                <w:color w:val="auto"/>
              </w:rPr>
              <w:t>Location</w:t>
            </w:r>
          </w:p>
        </w:tc>
        <w:tc>
          <w:tcPr>
            <w:tcW w:w="3280" w:type="dxa"/>
            <w:vAlign w:val="bottom"/>
            <w:gridSpan w:val="2"/>
          </w:tcPr>
          <w:p>
            <w:pPr>
              <w:ind w:left="640"/>
              <w:spacing w:after="0"/>
              <w:rPr>
                <w:sz w:val="20"/>
                <w:szCs w:val="20"/>
                <w:color w:val="auto"/>
              </w:rPr>
            </w:pPr>
            <w:r>
              <w:rPr>
                <w:rFonts w:ascii="Arial" w:cs="Arial" w:eastAsia="Arial" w:hAnsi="Arial"/>
                <w:sz w:val="18"/>
                <w:szCs w:val="18"/>
                <w:b w:val="1"/>
                <w:bCs w:val="1"/>
                <w:color w:val="auto"/>
                <w:w w:val="94"/>
              </w:rPr>
              <w:t>Approximate Monthly Base Rent</w:t>
            </w:r>
          </w:p>
        </w:tc>
        <w:tc>
          <w:tcPr>
            <w:tcW w:w="2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Lease Expiration</w:t>
            </w: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Approximate Size</w:t>
            </w:r>
          </w:p>
        </w:tc>
      </w:tr>
      <w:tr>
        <w:trPr>
          <w:trHeight w:val="223"/>
        </w:trPr>
        <w:tc>
          <w:tcPr>
            <w:tcW w:w="2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Atlanta, Georgia</w:t>
            </w:r>
          </w:p>
        </w:tc>
        <w:tc>
          <w:tcPr>
            <w:tcW w:w="140" w:type="dxa"/>
            <w:vAlign w:val="bottom"/>
            <w:tcBorders>
              <w:top w:val="single" w:sz="8" w:color="CCEEFF"/>
            </w:tcBorders>
            <w:shd w:val="clear" w:color="auto" w:fill="CCEEFF"/>
          </w:tcPr>
          <w:p>
            <w:pPr>
              <w:spacing w:after="0"/>
              <w:rPr>
                <w:sz w:val="19"/>
                <w:szCs w:val="19"/>
                <w:color w:val="auto"/>
              </w:rPr>
            </w:pPr>
          </w:p>
        </w:tc>
        <w:tc>
          <w:tcPr>
            <w:tcW w:w="3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October 2021</w:t>
            </w:r>
          </w:p>
        </w:tc>
        <w:tc>
          <w:tcPr>
            <w:tcW w:w="8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 sq. ft.</w:t>
            </w:r>
          </w:p>
        </w:tc>
      </w:tr>
      <w:tr>
        <w:trPr>
          <w:trHeight w:val="230"/>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Atlanta, Georgia*</w:t>
            </w:r>
          </w:p>
        </w:tc>
        <w:tc>
          <w:tcPr>
            <w:tcW w:w="3180" w:type="dxa"/>
            <w:vAlign w:val="bottom"/>
          </w:tcPr>
          <w:p>
            <w:pPr>
              <w:jc w:val="right"/>
              <w:spacing w:after="0"/>
              <w:rPr>
                <w:sz w:val="20"/>
                <w:szCs w:val="20"/>
                <w:color w:val="auto"/>
              </w:rPr>
            </w:pPr>
            <w:r>
              <w:rPr>
                <w:rFonts w:ascii="Arial" w:cs="Arial" w:eastAsia="Arial" w:hAnsi="Arial"/>
                <w:sz w:val="18"/>
                <w:szCs w:val="18"/>
                <w:color w:val="auto"/>
              </w:rPr>
              <w:t>$21,000 - $22,000</w:t>
            </w:r>
          </w:p>
        </w:tc>
        <w:tc>
          <w:tcPr>
            <w:tcW w:w="100" w:type="dxa"/>
            <w:vAlign w:val="bottom"/>
          </w:tcPr>
          <w:p>
            <w:pPr>
              <w:spacing w:after="0"/>
              <w:rPr>
                <w:sz w:val="19"/>
                <w:szCs w:val="19"/>
                <w:color w:val="auto"/>
              </w:rPr>
            </w:pPr>
          </w:p>
        </w:tc>
        <w:tc>
          <w:tcPr>
            <w:tcW w:w="2440" w:type="dxa"/>
            <w:vAlign w:val="bottom"/>
            <w:gridSpan w:val="2"/>
          </w:tcPr>
          <w:p>
            <w:pPr>
              <w:jc w:val="right"/>
              <w:ind w:right="100"/>
              <w:spacing w:after="0"/>
              <w:rPr>
                <w:sz w:val="20"/>
                <w:szCs w:val="20"/>
                <w:color w:val="auto"/>
              </w:rPr>
            </w:pPr>
            <w:r>
              <w:rPr>
                <w:rFonts w:ascii="Arial" w:cs="Arial" w:eastAsia="Arial" w:hAnsi="Arial"/>
                <w:sz w:val="18"/>
                <w:szCs w:val="18"/>
                <w:color w:val="auto"/>
              </w:rPr>
              <w:t>June 2023</w:t>
            </w:r>
          </w:p>
        </w:tc>
        <w:tc>
          <w:tcPr>
            <w:tcW w:w="2240" w:type="dxa"/>
            <w:vAlign w:val="bottom"/>
          </w:tcPr>
          <w:p>
            <w:pPr>
              <w:jc w:val="right"/>
              <w:spacing w:after="0"/>
              <w:rPr>
                <w:sz w:val="20"/>
                <w:szCs w:val="20"/>
                <w:color w:val="auto"/>
              </w:rPr>
            </w:pPr>
            <w:r>
              <w:rPr>
                <w:rFonts w:ascii="Arial" w:cs="Arial" w:eastAsia="Arial" w:hAnsi="Arial"/>
                <w:sz w:val="18"/>
                <w:szCs w:val="18"/>
                <w:color w:val="auto"/>
              </w:rPr>
              <w:t>11,900 sq. ft.</w:t>
            </w:r>
          </w:p>
        </w:tc>
      </w:tr>
      <w:tr>
        <w:trPr>
          <w:trHeight w:val="229"/>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Malvern, Pennsylvania</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$57,000 - $61,000</w:t>
            </w:r>
          </w:p>
        </w:tc>
        <w:tc>
          <w:tcPr>
            <w:tcW w:w="10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November 2023</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 sq. ft.</w:t>
            </w:r>
          </w:p>
        </w:tc>
      </w:tr>
      <w:tr>
        <w:trPr>
          <w:trHeight w:val="229"/>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Metairie, Louisiana</w:t>
            </w:r>
          </w:p>
        </w:tc>
        <w:tc>
          <w:tcPr>
            <w:tcW w:w="3180" w:type="dxa"/>
            <w:vAlign w:val="bottom"/>
          </w:tcPr>
          <w:p>
            <w:pPr>
              <w:jc w:val="right"/>
              <w:spacing w:after="0"/>
              <w:rPr>
                <w:sz w:val="20"/>
                <w:szCs w:val="20"/>
                <w:color w:val="auto"/>
              </w:rPr>
            </w:pPr>
            <w:r>
              <w:rPr>
                <w:rFonts w:ascii="Arial" w:cs="Arial" w:eastAsia="Arial" w:hAnsi="Arial"/>
                <w:sz w:val="18"/>
                <w:szCs w:val="18"/>
                <w:color w:val="auto"/>
              </w:rPr>
              <w:t>$15,000 - $16,000</w:t>
            </w:r>
          </w:p>
        </w:tc>
        <w:tc>
          <w:tcPr>
            <w:tcW w:w="100" w:type="dxa"/>
            <w:vAlign w:val="bottom"/>
          </w:tcPr>
          <w:p>
            <w:pPr>
              <w:spacing w:after="0"/>
              <w:rPr>
                <w:sz w:val="19"/>
                <w:szCs w:val="19"/>
                <w:color w:val="auto"/>
              </w:rPr>
            </w:pPr>
          </w:p>
        </w:tc>
        <w:tc>
          <w:tcPr>
            <w:tcW w:w="2440" w:type="dxa"/>
            <w:vAlign w:val="bottom"/>
            <w:gridSpan w:val="2"/>
          </w:tcPr>
          <w:p>
            <w:pPr>
              <w:jc w:val="right"/>
              <w:ind w:right="100"/>
              <w:spacing w:after="0"/>
              <w:rPr>
                <w:sz w:val="20"/>
                <w:szCs w:val="20"/>
                <w:color w:val="auto"/>
              </w:rPr>
            </w:pPr>
            <w:r>
              <w:rPr>
                <w:rFonts w:ascii="Arial" w:cs="Arial" w:eastAsia="Arial" w:hAnsi="Arial"/>
                <w:sz w:val="18"/>
                <w:szCs w:val="18"/>
                <w:color w:val="auto"/>
              </w:rPr>
              <w:t>July 2024</w:t>
            </w:r>
          </w:p>
        </w:tc>
        <w:tc>
          <w:tcPr>
            <w:tcW w:w="2240" w:type="dxa"/>
            <w:vAlign w:val="bottom"/>
          </w:tcPr>
          <w:p>
            <w:pPr>
              <w:jc w:val="right"/>
              <w:spacing w:after="0"/>
              <w:rPr>
                <w:sz w:val="20"/>
                <w:szCs w:val="20"/>
                <w:color w:val="auto"/>
              </w:rPr>
            </w:pPr>
            <w:r>
              <w:rPr>
                <w:rFonts w:ascii="Arial" w:cs="Arial" w:eastAsia="Arial" w:hAnsi="Arial"/>
                <w:sz w:val="18"/>
                <w:szCs w:val="18"/>
                <w:color w:val="auto"/>
              </w:rPr>
              <w:t>7,800 sq. ft.</w:t>
            </w:r>
          </w:p>
        </w:tc>
      </w:tr>
      <w:tr>
        <w:trPr>
          <w:trHeight w:val="230"/>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Denver, Colorado</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$45,000 - $53,000</w:t>
            </w:r>
          </w:p>
        </w:tc>
        <w:tc>
          <w:tcPr>
            <w:tcW w:w="10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December 2026</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 sq. ft.</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 Lease commenced in August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 party to litigation and other proceedings that arise in the ordinary course of our business. We establish accruals for those matters in circumstances when a loss contingency is considered probable and the related amount is reasonably estimable. Any such accruals may be adjusted as circumstances change. Assessments of losses are inherently subjective and involve unpredictable factors. It is possible that future results of operations for any particular quarterly or annual period could be materially and adversely affected by any developments relating to the legal proceedings, claims and investigations. See Note 17 to the consolidated financial statements in Part II, Item 8 of this Annual Report for a summary of our litigations and other claims.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common stock is traded on The NASDAQ Global Market under the symbol “CTLP”. As of August 27, 2021, there were 535 holders of record of our common stock and 242 record holders of the preferred stock. This number does not include stockholders for whom shares were held in a “nominee” or “street” name.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holders of the common stock are entitled to receive such dividends as the Board of Directors of the Company may from time to time declare out of funds legally available for payment of dividends. Through the date hereof, no cash dividends have been declared on the Company’s common stock or preferred stock. No dividend may be paid on the common stock until all accumulated and unpaid dividends on the preferred stock have been paid. As of August 27, 2021, such accumulated unpaid dividends amounted to approximately $17.3 million. The preferred stock is also entitled to a liquidation preference over the common stock which, as of June 30, 2021 equaled approximately $21.4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On February 24, 2021, the Company entered into separate subscription agreements with institutional accredited investors (the “Purchasers”) relating to a private placement (the “Private Placement”) with respect to the sale of an aggregate of 5,730,000 shares of the Company’s common stock. The Private Placement closed on March 4, 2021 and the Company received aggregate gross proceeds of approximately $55 million based on the offering price of $9.60</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 share. The Company intends to use the proceeds of the Private Placement for general corporate purposes and working capital to support anticipated growth.</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shares were not registered under the Securities Act of 1933, as amended (the “Securities Act”). The issuances of the securities were undertaken in reliance upon exemptions from the registration requirements of the Securities Act pursuant to Section 4(a)(2) thereof to sophisticated and accredited recipients.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Subscription Agreements, the Company agreed to file a registration statement with the U.S. Securities and Exchange Commission covering the resale of the Shares within 45 days following the date of the Subscription Agreements and to cause the registration statement to become effective within 60 days following the filing deadline. On April 5, 2021, the Company filed the registration statement with the U.S. Securities and Exchange Commission and, on April 14, 2021, the registration statement was declared effective.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The following graph shows a comparison of the 5</w:t>
      </w:r>
      <w:r>
        <w:rPr>
          <w:rFonts w:ascii="MS PGothic" w:cs="MS PGothic" w:eastAsia="MS PGothic" w:hAnsi="MS PGothic"/>
          <w:sz w:val="17"/>
          <w:szCs w:val="17"/>
          <w:color w:val="auto"/>
        </w:rPr>
        <w:t>‑</w:t>
      </w:r>
      <w:r>
        <w:rPr>
          <w:rFonts w:ascii="Arial" w:cs="Arial" w:eastAsia="Arial" w:hAnsi="Arial"/>
          <w:sz w:val="17"/>
          <w:szCs w:val="17"/>
          <w:color w:val="auto"/>
        </w:rPr>
        <w:t>year cumulative total shareholder return for our common stock with The US Small-Cap Russell 2000® Index and the S&amp;P 500 Information Technology Index in the United States. The graph assumes a $100 investment on June 30, 2016 in our common stock and in the Small-Cap Russell 2000® Index and the S&amp;P 500 Information Technology Index, including reinvestment of dividends.</w:t>
      </w:r>
    </w:p>
    <w:p>
      <w:pPr>
        <w:spacing w:after="0" w:line="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was added as a member of the US Small-Cap Russell 2000</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Index in June 2021. We have included the Small-Cap Russell 2000® Index replacing the Nasdaq Composite Index in our cumulative total return comparisons below, which reflects a change from the presentation in prior fiscal years.</w:t>
      </w:r>
    </w:p>
    <w:p>
      <w:pPr>
        <w:spacing w:after="0" w:line="9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COMPARISON OF 5</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YEAR CUMULATIVE TOTAL RETURN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Cantaloupe, Inc., The US Small-Cap Russell 2000® Index, and The S&amp;P 500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48895</wp:posOffset>
            </wp:positionV>
            <wp:extent cx="4834890" cy="37547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34890" cy="375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Return For:</w:t>
            </w:r>
          </w:p>
        </w:tc>
        <w:tc>
          <w:tcPr>
            <w:tcW w:w="22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Jun-16</w:t>
            </w:r>
          </w:p>
        </w:tc>
        <w:tc>
          <w:tcPr>
            <w:tcW w:w="22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Jun-17</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Jun-18</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Jun-19</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Jun-20</w:t>
            </w:r>
          </w:p>
        </w:tc>
        <w:tc>
          <w:tcPr>
            <w:tcW w:w="220" w:type="dxa"/>
            <w:vAlign w:val="bottom"/>
          </w:tcPr>
          <w:p>
            <w:pPr>
              <w:spacing w:after="0"/>
              <w:rPr>
                <w:sz w:val="16"/>
                <w:szCs w:val="16"/>
                <w:color w:val="auto"/>
              </w:rPr>
            </w:pPr>
          </w:p>
        </w:tc>
        <w:tc>
          <w:tcPr>
            <w:tcW w:w="880" w:type="dxa"/>
            <w:vAlign w:val="bottom"/>
          </w:tcPr>
          <w:p>
            <w:pPr>
              <w:jc w:val="right"/>
              <w:ind w:right="255"/>
              <w:spacing w:after="0"/>
              <w:rPr>
                <w:sz w:val="20"/>
                <w:szCs w:val="20"/>
                <w:color w:val="auto"/>
              </w:rPr>
            </w:pPr>
            <w:r>
              <w:rPr>
                <w:rFonts w:ascii="Arial" w:cs="Arial" w:eastAsia="Arial" w:hAnsi="Arial"/>
                <w:sz w:val="14"/>
                <w:szCs w:val="14"/>
                <w:b w:val="1"/>
                <w:bCs w:val="1"/>
                <w:color w:val="auto"/>
              </w:rPr>
              <w:t>Jun-21</w:t>
            </w:r>
          </w:p>
        </w:tc>
      </w:tr>
      <w:tr>
        <w:trPr>
          <w:trHeight w:val="202"/>
        </w:trPr>
        <w:tc>
          <w:tcPr>
            <w:tcW w:w="4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Cantaloupe, Inc.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US Small-Cap Russell 2000® Index</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S&amp;P 500 Information Technology Index</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bl>
    <w:p>
      <w:pPr>
        <w:spacing w:after="0" w:line="29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information in the performance graph is not deemed to be “soliciting material” or to be “filed” with the Securities and Exchange Commission or subject to Regulation 14A or 14C under the Securities Exchange Act of 1934, as amended, or to the liabilities of Section 18 of the Securities Exchange Act of 1934, as amended, and will not be deemed to be incorporated by reference into any filing under the Securities Act of 1933, as amended, or the Securities Exchange Act of 1934, as amended, except to the extent that we specifically incorporate it by reference into such a filing. The stock price performance included in this graph is not necessarily indicative of future stock price performance.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Item 301 and Item 302 of Regulation S-K has been omitted as we have elected to early adopt the changes to Item 301 and 302 of Regulation S-K contained in SEC Release No 33-10890.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and analysis of the financial condition and results of operations should be read in conjunction with our consolidated financial statements and related notes included in this Form 10-K, as well as the discussion under “Item 1A. Risk Factors.” For further discussion of the business, industry, our products and services, competitive strengths, and growth strategy, see “Item 1. Business.” Unless stated otherwise, the comparisons presented in this discussion and analysis refer to the year-over-year comparison of changes in our financial condition and results of operations as of and for the fiscal years ended June 30, 2021 and June 30, 2020. Discussion of fiscal year 2019 items and the year-over year comparison of changes in our financial condition and results of operations as of and for the fiscal years ended June 30, 2020 and June 30, 2019 can be found in Part II, “Item 7. Management’s Discussion and Analysis of Financial Condition and Results of Operations” of our Annual Report on Form 10-K for the fiscal year ended June 30, 2020, which was previously filed with the SEC on September 11, 2020.</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prior period amounts have been reclassified to conform with current year presentation. Additionally, in connection with the preparation of the condensed consolidated financial statements for the three months ended September 30, 2020, December 31, 2020 and March 31, 2021, the Company identified adjustments that related to prior period activity. The Company analyzed the potential impact of the errors in accordance with the appropriate guidance, from both a qualitative and quantitative perspective, and concluded that the errors were not material to the previously issued quarterly or annual financial statements and the correcting adjustments are included within the fiscal year ended June 30, 2021 financial statements.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contains forward-looking statements that involve risks and uncertainties. Our actual results could differ materially from those anticipated in these forward-looking statements. Furthermore, the period to period comparison of our historical results is not necessarily indicative of the results that may be expected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2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March 29, 2021, USA Technologies, Inc. filed Articles of Amendment to its Amended and Restated Articles of Incorporation with the Pennsylvania Department of State to effect a change of the Company’s name from “USA Technologies, Inc.” to “Cantaloupe, Inc.,” effective as of April 15, 2021. On April 19, 2021, the Company’s common stock, no par value per share (the “Common Stock”), began trading on the NASDAQ Global Select Market under the ticker symbol “CTLP” and the Company’s Series A Convertible Preferred Stock, no par value per share, began trading on the OTC Markets’ Pink Open Market under the trading symbol, “CTLPP”.</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Cantaloupe, Inc. (“Cantaloupe” or the “Company”) is a digital payments and software services company that provides end-to-end technology solutions for the unattended retail market. We are transforming the unattended retail world by offering a solution for payments processing, as well as one that handles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and electric vehicle charging stations, commercial laundry, kiosks, amusements and more, can run their businesses more proactively, predictably, and competitively.</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fiscal year ends June 30. The Company generates revenue in multiple ways. During the fiscal years ended June 30, 2021 and June 30, 2020, we derived approximately 83% and 82% respectively, of our revenue from recurring license and transaction fees related to our ePort Connect service and approximately 17% and 18%, respectively, of our revenue from equipment sales. Active Devices on our service include point of sale ("POS") electronic payment devices, certified payment software, or the servicing of similar third-party installed POS terminals. Devices utilizing the ePort Connect service are the most significant drivers of the Company’s revenue, particularly the recurring revenue from license and transaction fees. Customers can obtain POS electronic payment devices from us in the following ways:</w:t>
      </w:r>
    </w:p>
    <w:p>
      <w:pPr>
        <w:sectPr>
          <w:pgSz w:w="11900" w:h="16838" w:orient="portrait"/>
          <w:cols w:equalWidth="0" w:num="1">
            <w:col w:w="11240"/>
          </w:cols>
          <w:pgMar w:left="320" w:top="1107" w:right="339" w:bottom="1440" w:gutter="0" w:footer="0" w:header="0"/>
        </w:sectPr>
      </w:pPr>
    </w:p>
    <w:p>
      <w:pPr>
        <w:spacing w:after="0" w:line="7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Purchasing devices directly from the Company or one of its authorized resellers;</w:t>
      </w:r>
    </w:p>
    <w:p>
      <w:pPr>
        <w:spacing w:after="0" w:line="198" w:lineRule="exact"/>
        <w:rPr>
          <w:sz w:val="20"/>
          <w:szCs w:val="20"/>
          <w:color w:val="auto"/>
        </w:rPr>
      </w:pPr>
    </w:p>
    <w:p>
      <w:pPr>
        <w:ind w:left="20" w:hanging="5"/>
        <w:spacing w:after="0" w:line="293" w:lineRule="auto"/>
        <w:rPr>
          <w:sz w:val="20"/>
          <w:szCs w:val="20"/>
          <w:color w:val="auto"/>
        </w:rPr>
      </w:pPr>
      <w:r>
        <w:rPr>
          <w:rFonts w:ascii="Arial" w:cs="Arial" w:eastAsia="Arial" w:hAnsi="Arial"/>
          <w:sz w:val="18"/>
          <w:szCs w:val="18"/>
          <w:color w:val="auto"/>
        </w:rPr>
        <w:t>Financing devices under the Company’s QuickStart Program, which are non-cancellable sixty-month sales-type leases, through an unrelated equipment financing company, if available, or directly from the Company; and</w:t>
      </w:r>
    </w:p>
    <w:p>
      <w:pPr>
        <w:spacing w:after="0" w:line="93" w:lineRule="exact"/>
        <w:rPr>
          <w:sz w:val="20"/>
          <w:szCs w:val="20"/>
          <w:color w:val="auto"/>
        </w:rPr>
      </w:pPr>
    </w:p>
    <w:p>
      <w:pPr>
        <w:sectPr>
          <w:pgSz w:w="11900" w:h="16838" w:orient="portrait"/>
          <w:cols w:equalWidth="0" w:num="2">
            <w:col w:w="420" w:space="220"/>
            <w:col w:w="10600"/>
          </w:cols>
          <w:pgMar w:left="320" w:top="1107" w:right="339" w:bottom="1440" w:gutter="0" w:footer="0" w:header="0"/>
          <w:type w:val="continuous"/>
        </w:sectPr>
      </w:pPr>
    </w:p>
    <w:p>
      <w:pPr>
        <w:ind w:left="640" w:hanging="308"/>
        <w:spacing w:after="0"/>
        <w:tabs>
          <w:tab w:leader="none" w:pos="640" w:val="left"/>
        </w:tabs>
        <w:numPr>
          <w:ilvl w:val="0"/>
          <w:numId w:val="16"/>
        </w:numPr>
        <w:rPr>
          <w:rFonts w:ascii="Arial" w:cs="Arial" w:eastAsia="Arial" w:hAnsi="Arial"/>
          <w:sz w:val="22"/>
          <w:szCs w:val="22"/>
          <w:color w:val="auto"/>
        </w:rPr>
      </w:pPr>
      <w:r>
        <w:rPr>
          <w:rFonts w:ascii="Arial" w:cs="Arial" w:eastAsia="Arial" w:hAnsi="Arial"/>
          <w:sz w:val="16"/>
          <w:szCs w:val="16"/>
          <w:color w:val="auto"/>
        </w:rPr>
        <w:t>Renting devices under the Company’s JumpStart Program, which are cancellable month-to-month operating leases.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70" w:lineRule="exact"/>
        <w:rPr>
          <w:rFonts w:ascii="Arial" w:cs="Arial" w:eastAsia="Arial" w:hAnsi="Arial"/>
          <w:sz w:val="22"/>
          <w:szCs w:val="22"/>
          <w:color w:val="auto"/>
        </w:rPr>
      </w:pPr>
    </w:p>
    <w:p>
      <w:pPr>
        <w:ind w:left="5540"/>
        <w:spacing w:after="0"/>
        <w:rPr>
          <w:rFonts w:ascii="Arial" w:cs="Arial" w:eastAsia="Arial" w:hAnsi="Arial"/>
          <w:sz w:val="22"/>
          <w:szCs w:val="22"/>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Highlights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Company for the fiscal year ended June 30, 2021 are below:</w:t>
      </w:r>
    </w:p>
    <w:p>
      <w:pPr>
        <w:spacing w:after="0" w:line="185" w:lineRule="exact"/>
        <w:rPr>
          <w:sz w:val="20"/>
          <w:szCs w:val="20"/>
          <w:color w:val="auto"/>
        </w:rPr>
      </w:pPr>
    </w:p>
    <w:p>
      <w:pPr>
        <w:ind w:left="660" w:hanging="328"/>
        <w:spacing w:after="0" w:line="223" w:lineRule="auto"/>
        <w:tabs>
          <w:tab w:leader="none" w:pos="654" w:val="left"/>
        </w:tabs>
        <w:numPr>
          <w:ilvl w:val="0"/>
          <w:numId w:val="17"/>
        </w:numPr>
        <w:rPr>
          <w:rFonts w:ascii="Arial" w:cs="Arial" w:eastAsia="Arial" w:hAnsi="Arial"/>
          <w:sz w:val="25"/>
          <w:szCs w:val="25"/>
          <w:color w:val="auto"/>
        </w:rPr>
      </w:pPr>
      <w:r>
        <w:rPr>
          <w:rFonts w:ascii="Arial" w:cs="Arial" w:eastAsia="Arial" w:hAnsi="Arial"/>
          <w:sz w:val="18"/>
          <w:szCs w:val="18"/>
          <w:color w:val="auto"/>
        </w:rPr>
        <w:t>As of June 30, 2021, we had approximately 19,800 Active Customers and 1.1 million Active Devices (as defined in Item 1. Business) connected to our service;</w:t>
      </w:r>
    </w:p>
    <w:p>
      <w:pPr>
        <w:spacing w:after="0" w:line="161" w:lineRule="exact"/>
        <w:rPr>
          <w:rFonts w:ascii="Arial" w:cs="Arial" w:eastAsia="Arial" w:hAnsi="Arial"/>
          <w:sz w:val="25"/>
          <w:szCs w:val="25"/>
          <w:color w:val="auto"/>
        </w:rPr>
      </w:pPr>
    </w:p>
    <w:p>
      <w:pPr>
        <w:ind w:left="660" w:right="20" w:hanging="328"/>
        <w:spacing w:after="0" w:line="223" w:lineRule="auto"/>
        <w:tabs>
          <w:tab w:leader="none" w:pos="654" w:val="left"/>
        </w:tabs>
        <w:numPr>
          <w:ilvl w:val="0"/>
          <w:numId w:val="17"/>
        </w:numPr>
        <w:rPr>
          <w:rFonts w:ascii="Arial" w:cs="Arial" w:eastAsia="Arial" w:hAnsi="Arial"/>
          <w:sz w:val="25"/>
          <w:szCs w:val="25"/>
          <w:color w:val="auto"/>
        </w:rPr>
      </w:pPr>
      <w:r>
        <w:rPr>
          <w:rFonts w:ascii="Arial" w:cs="Arial" w:eastAsia="Arial" w:hAnsi="Arial"/>
          <w:sz w:val="18"/>
          <w:szCs w:val="18"/>
          <w:color w:val="auto"/>
        </w:rPr>
        <w:t>Three direct sales teams at the national, regional, and local customer-level and a growing number of original equipment manufacturers and national distribution partners;</w:t>
      </w:r>
    </w:p>
    <w:p>
      <w:pPr>
        <w:spacing w:after="0" w:line="161" w:lineRule="exact"/>
        <w:rPr>
          <w:rFonts w:ascii="Arial" w:cs="Arial" w:eastAsia="Arial" w:hAnsi="Arial"/>
          <w:sz w:val="25"/>
          <w:szCs w:val="25"/>
          <w:color w:val="auto"/>
        </w:rPr>
      </w:pPr>
    </w:p>
    <w:p>
      <w:pPr>
        <w:jc w:val="both"/>
        <w:ind w:left="660" w:hanging="328"/>
        <w:spacing w:after="0" w:line="231" w:lineRule="auto"/>
        <w:tabs>
          <w:tab w:leader="none" w:pos="654" w:val="left"/>
        </w:tabs>
        <w:numPr>
          <w:ilvl w:val="0"/>
          <w:numId w:val="17"/>
        </w:numPr>
        <w:rPr>
          <w:rFonts w:ascii="Arial" w:cs="Arial" w:eastAsia="Arial" w:hAnsi="Arial"/>
          <w:sz w:val="25"/>
          <w:szCs w:val="25"/>
          <w:color w:val="auto"/>
        </w:rPr>
      </w:pPr>
      <w:r>
        <w:rPr>
          <w:rFonts w:ascii="Arial" w:cs="Arial" w:eastAsia="Arial" w:hAnsi="Arial"/>
          <w:sz w:val="18"/>
          <w:szCs w:val="18"/>
          <w:color w:val="auto"/>
        </w:rPr>
        <w:t>Entered into a new Credit Agreement with JP Morgan Chase Bank, N.A in August 2020 that provides for a $5 million secured revolving credit facility and a $15 million secured term facility. The new facility replaces the Company's previous debt facility, which it entered into on October 9, 2019;</w:t>
      </w:r>
    </w:p>
    <w:p>
      <w:pPr>
        <w:sectPr>
          <w:pgSz w:w="11900" w:h="16838" w:orient="portrait"/>
          <w:cols w:equalWidth="0" w:num="1">
            <w:col w:w="11240"/>
          </w:cols>
          <w:pgMar w:left="320" w:top="1107" w:right="339" w:bottom="1440" w:gutter="0" w:footer="0" w:header="0"/>
        </w:sectPr>
      </w:pPr>
    </w:p>
    <w:p>
      <w:pPr>
        <w:spacing w:after="0" w:line="9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Relisting of the Company on Nasdaq in November 2020;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Added as a member of the US Small-Cap Russell 2000</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Index in June 2021;</w:t>
      </w:r>
    </w:p>
    <w:p>
      <w:pPr>
        <w:spacing w:after="0" w:line="180" w:lineRule="exact"/>
        <w:rPr>
          <w:sz w:val="20"/>
          <w:szCs w:val="20"/>
          <w:color w:val="auto"/>
        </w:rPr>
      </w:pPr>
    </w:p>
    <w:p>
      <w:pPr>
        <w:sectPr>
          <w:pgSz w:w="11900" w:h="16838" w:orient="portrait"/>
          <w:cols w:equalWidth="0" w:num="2">
            <w:col w:w="420" w:space="220"/>
            <w:col w:w="10600"/>
          </w:cols>
          <w:pgMar w:left="320" w:top="1107" w:right="339" w:bottom="1440" w:gutter="0" w:footer="0" w:header="0"/>
          <w:type w:val="continuous"/>
        </w:sectPr>
      </w:pPr>
    </w:p>
    <w:p>
      <w:pPr>
        <w:ind w:left="660" w:hanging="328"/>
        <w:spacing w:after="0" w:line="223" w:lineRule="auto"/>
        <w:tabs>
          <w:tab w:leader="none" w:pos="654" w:val="left"/>
        </w:tabs>
        <w:numPr>
          <w:ilvl w:val="0"/>
          <w:numId w:val="18"/>
        </w:numPr>
        <w:rPr>
          <w:rFonts w:ascii="Arial" w:cs="Arial" w:eastAsia="Arial" w:hAnsi="Arial"/>
          <w:sz w:val="25"/>
          <w:szCs w:val="25"/>
          <w:color w:val="auto"/>
        </w:rPr>
      </w:pPr>
      <w:r>
        <w:rPr>
          <w:rFonts w:ascii="Arial" w:cs="Arial" w:eastAsia="Arial" w:hAnsi="Arial"/>
          <w:sz w:val="18"/>
          <w:szCs w:val="18"/>
          <w:color w:val="auto"/>
        </w:rPr>
        <w:t>Raised $55 million of aggregate gross proceeds from institutional accredited investors through the sale of our stock in a private placement transaction in March 2021;</w:t>
      </w:r>
    </w:p>
    <w:p>
      <w:pPr>
        <w:sectPr>
          <w:pgSz w:w="11900" w:h="16838" w:orient="portrait"/>
          <w:cols w:equalWidth="0" w:num="1">
            <w:col w:w="11240"/>
          </w:cols>
          <w:pgMar w:left="320" w:top="1107" w:right="339" w:bottom="1440" w:gutter="0" w:footer="0" w:header="0"/>
          <w:type w:val="continuous"/>
        </w:sectPr>
      </w:pPr>
    </w:p>
    <w:p>
      <w:pPr>
        <w:spacing w:after="0" w:line="9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Completion of the rebrand of our Company from USA Technologies, Inc. to Cantaloupe,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Announced a strategic partnership with Castles Technology to introduce a next-generation cashless device solution;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Formed partnership with Bakkt Holdings, LLC to accept cryptocurrency and accepting participating loyalty points in Cantaloupe’s network;</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Awarded a patent by the United States Patent and Trademark Office (USPTO), titled “Method and System of Personal Vending”;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Upgraded and expanded the ePort product family to accept EMV contact and contactless payments; 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Launched next generation of Seed Cashless+.</w:t>
      </w:r>
    </w:p>
    <w:p>
      <w:pPr>
        <w:spacing w:after="0" w:line="200" w:lineRule="exact"/>
        <w:rPr>
          <w:sz w:val="20"/>
          <w:szCs w:val="20"/>
          <w:color w:val="auto"/>
        </w:rPr>
      </w:pPr>
    </w:p>
    <w:p>
      <w:pPr>
        <w:sectPr>
          <w:pgSz w:w="11900" w:h="16838" w:orient="portrait"/>
          <w:cols w:equalWidth="0" w:num="2">
            <w:col w:w="420" w:space="220"/>
            <w:col w:w="10600"/>
          </w:cols>
          <w:pgMar w:left="320" w:top="1107" w:right="3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coronavirus (COVID-19) was first identified in China in December 2019, and subsequently declared a global pandemic in March 2020 by the World Health Organization. COVID-19 containment measures began in parts of the United States in March 2020 resulting in forced closure of non-essential businesses and social distancing protocols. As a result, COVID-19 has impacted our business, significantly reducing foot traffic to distributed assets containing our electronic payment solutions and reducing discretionary spending by consumers. The Company did not observe meaningful reductions in processing volume until middle of March 2020, when average daily processing volume decreased approximately 40%. By middle of April 2020, processing volumes began to recover and have improved through June 2021. We are now operating at pre-pandemic levels of volumes as businesses, schools and other organizations across the country continue to re-open.</w:t>
      </w:r>
    </w:p>
    <w:p>
      <w:pPr>
        <w:spacing w:after="0" w:line="22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response to the outbreak and business disruption, first and foremost, we prioritized the health and safety of our employees while continuing to diligently serve our customers. An internal task force was created at the start of the pandemic to develop measures to protect the business in light of the volatility and uncertainty caused by the COVID-19 pandemic. This included such aspects as ensuring the safety of our employees and our community by implementing work from home policies, conserving liquidity, evaluating cost saving actions, partnering with customers to position Cantaloupe for renewed growth post crisis, and temporarily pausing plans for international expansion. The liquidity conservation and cost savings initiatives included: a 20% salary reduction for the senior leadership team through December 2020; deferral of all cash-based director fees until calendar year 2021; a temporary furlough of approximately 10% of our employee base; negotiations with and concessions from vendors in regard to cost reductions and/or payment deferrals; an increased collection effort to reduce outstanding accounts receivables; and various supply chain/inventory improvements. During the summer of 2020 as restrictions lifted, our offices were opened with strict guidelines for social distancing and with adherence to state and local mandates. All of our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furloughed employees returned to work by June 26, 2020. Many of our employees continue to work remotely full-time or part-time throughout fiscal year 2021. To date, our supply chain network has not been significantly disrupted and we are continuously monitoring for the impact from COVID-19. In addition, the Company received loan proceeds from the Paycheck Protection Program in the fourth quarter of fiscal year 2020 and our repayment obligations were forgiven in the fourth quarter of fiscal year 2021. See below for additional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While we are encouraged by the recent gradual lifting of pandemic-related closures and other containment measures across the country, we continue to</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monitor the evolving situation and follow guidance from federal, state and local public health authorities. Given the potential uncertainty of the situation, the Company cannot, at this time, reasonably estimate the longer-term repercussions of COVID-19 on our financial condition, results of operations or cash flows in the future. COVID-19 may have a material adverse impact on our future revenue growth as well as our overall profitability in fiscal year 2022, and may lead to higher sales-related, inventory-related, and operating reserves.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2021, we have evaluated the potential impact of the COVID-19 outbreak on our financial statements, including, but not limited to, the impairment of goodwill and intangible assets, impairment of long-lived assets including operating lease right-of-use assets, property and equipment and allowance for doubtful accounts for accounts and finance receivables. We have concluded that there are no material impairments as a result of our evaluation. Where applicable, we have incorporated judgments and estimates of the expected impact of COVID-19 in the preparation of the financial statements based on information currently available. These judgments and estimates may change, as new events develop and additional information is obtained, and are recognized in the consolidated financial statements as soon as they become known.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fourth quarter of fiscal year 2020, we received loan proceeds of approximately $3.1 million (the “PPP Loan”) pursuant to the Paycheck Protection Program under the Coronavirus Aid, Relief, and Economic Security Act (the “CARES Act”) administered by the U.S. Small Business Administration (the “SBA”). We used the PPP Loan in accordance with the provisions of the CARES Act. The loan bore a fixed interest rate of 1% over a two-year term from the approval date of April 28, 2020. The application for these funds required the Company to, in good faith, certify that the economic uncertainty caused by COVID-19 made the loan request necessary to support the ongoing operations of the Company. This certification further required the Company to take into account our current business activity and our ability to access other sources of liquidity sufficient to support ongoing operations in a manner that is not significantly detrimental to the business. The receipt of these funds and the forgiveness of the loan is dependent on the Company having initially qualified for the loan and qualifying for the forgiveness of such loan based on our future adherence to the forgiveness criteria.</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On June 8, 2021, the Company received notification from the Small Business Administration that they approved the forgiveness of the full $3.1 million</w:t>
      </w:r>
    </w:p>
    <w:p>
      <w:pPr>
        <w:spacing w:after="0" w:line="35" w:lineRule="exact"/>
        <w:rPr>
          <w:sz w:val="20"/>
          <w:szCs w:val="20"/>
          <w:color w:val="auto"/>
        </w:rPr>
      </w:pPr>
    </w:p>
    <w:p>
      <w:pPr>
        <w:jc w:val="both"/>
        <w:ind w:firstLine="8"/>
        <w:spacing w:after="0" w:line="253" w:lineRule="auto"/>
        <w:tabs>
          <w:tab w:leader="none" w:pos="3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loan and related accrued interest. The Company recorded the forgiveness as a gain on debt extinguishment in Other income in our consolidated financial statements. The SBA reserves the right to audit any PPP loan, regardless of size. These audits may occur after forgiveness has been granted. Under the CARES Act, all borrowers are required to maintain their loan documentation for six years after the PPP loan was forgiven or repaid in full and to provide that documentation to the SBA upon request.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consolidated financial statements are prepared applying certain critical accounting policies. The Securities and Exchange Commission (“SEC”) defines “critical accounting policies” as those that require application of management’s most difficult, subjective, or complex judgments. Critical accounting policies require numerous estimates and strategic or economic assumptions that may prove inaccurate or subject to variations and may significantly affect our reported results and financial position for the period or in future periods. Changes in underlying factors, assumptions, or estimates in any of these areas could have a material impact on our future financial condition and results of operations. Our financial statements are prepared in accordance with U.S. generally accepted accounting principles (“GAAP”), and they conform to general practices in our industry. We apply critical accounting policies consistently from period to period and intend that any change in methodology occur in an appropriate manner. Accounting policies currently deemed critical are listed below:</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The Company derives revenue primarily from the sale or lease of equipment and services to the small ticket, unattended POS market.</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application of the accounting principles in U.S. GAAP related to the measurement and recognition of revenue requires us to make judgments and estimates. Complex arrangements may require significant judgment in contract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interpretation to determine the appropriate accounting. Specifically, the determination of whether we are a principal to a transaction (gross revenue) or an agent (net revenue) can require considerable judgment.</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enters into arrangements with multiple performance obligations, which may include various combinations of equipment and services. Our equipment and service deliverables qualify as separate performance obligations and can be sold on a standalone basis. A deliverable constitutes a separate unit of accounting when it has standalone value and, where return rights exist, delivery or performance of the undelivered items is considered probable and substantially within the Company’s control. For these multiple deliverable arrangements, the Company allocates revenue to the deliverables based on their relative selling prices. To the extent that a deliverable is subject to specific guidance on whether and/or how to allocate the consideration in a multiple element arrangement, that deliverable is accounted for in accordance with such specific guidance. The Company limits the amount of revenue recognition for delivered items to the amount that is not contingent on the future delivery of products or services or meeting other future performance obligations.</w:t>
      </w:r>
    </w:p>
    <w:p>
      <w:pPr>
        <w:spacing w:after="0" w:line="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Deferred Income Tax Assets and Liabilities. </w:t>
      </w:r>
      <w:r>
        <w:rPr>
          <w:rFonts w:ascii="Arial" w:cs="Arial" w:eastAsia="Arial" w:hAnsi="Arial"/>
          <w:sz w:val="17"/>
          <w:szCs w:val="17"/>
          <w:color w:val="auto"/>
        </w:rPr>
        <w:t>The carrying values of deferred income tax assets and liabilities reflect the application of our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policies in accordance with applicable accounting standards and are based on management’s assumptions and estimates regarding future operating results and levels of taxable income, as well as management’s judgment regarding the interpretation of the provisions of applicable accounting standards. The carrying values of liabilities for income taxes currently payable are based on management’s interpretations of applicable tax laws and incorporate management’s assumptions and judgments regarding the use of tax planning strategies in various taxing jurisdictions.</w:t>
      </w:r>
    </w:p>
    <w:p>
      <w:pPr>
        <w:spacing w:after="0" w:line="10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evaluate the recoverability of these deferred tax assets by assessing the adequacy of future expected taxable income from all sources, including reversal of taxable temporary differences, forecasted operating earnings and available tax planning strategies. These sources of income inherently rely heavily on estimates. We use our historical experience and our short and long-term business forecasts to provide insight. To the extent we do not consider it more likely than not that a deferred tax asset will be recovered, a valuation allowance is established. As of June 30, 2021 and June 30, 2020, we had federal and state net operating loss carryforwards of $408 million and $403 million, respectively, to offset future taxable income, the majority of which expire through approximately 2039. Federal and some state net operating loss carryforwards generated in tax years ending after December 31, 2017 can be carried forward indefinitely. These federal and state net operating loss carryforwards are reserved with a full valuation allowance because, based on the available evidence, we believe it is more likely than not that we would not be able to utilize those deferred tax assets in the future. If the actual amounts of taxable income differ from our estimates, the amount of our valuation allowance could be materially impacted. Federal operating loss carryforwards start to expire in 2022 and certain state operating loss carryforwards are currently expiring.</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We test goodwill for impairment at least annually, or more frequently if events or changes in circumstances indicate that impairment may have</w:t>
      </w:r>
      <w:r>
        <w:rPr>
          <w:rFonts w:ascii="Arial" w:cs="Arial" w:eastAsia="Arial" w:hAnsi="Arial"/>
          <w:sz w:val="17"/>
          <w:szCs w:val="17"/>
          <w:i w:val="1"/>
          <w:iCs w:val="1"/>
          <w:color w:val="auto"/>
        </w:rPr>
        <w:t xml:space="preserve"> </w:t>
      </w:r>
      <w:r>
        <w:rPr>
          <w:rFonts w:ascii="Arial" w:cs="Arial" w:eastAsia="Arial" w:hAnsi="Arial"/>
          <w:sz w:val="17"/>
          <w:szCs w:val="17"/>
          <w:color w:val="auto"/>
        </w:rPr>
        <w:t>occurred. Goodwill is reviewed for impairment utilizing either a qualitative or a quantitative goodwill impairment test. If we choose to perform a qualitative assessment and determine the fair value more likely than not exceeds the carrying value, no further evaluation is necessary. When we perform the quantitative goodwill impairment test, we compare the fair value of our reporting unit to its carrying value. If the fair value of the reporting unit exceeds its carrying value, then goodwill is not considered impaired. An impairment charge is recognized for the amount by which, if any, the carrying value exceeds the reporting unit’s fair value. However, the loss recognized cannot exceed the reporting unit’s goodwill balance.</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quantitative impairment test process requires valuation of the reporting unit, which we determine using the income approach, the market approach or a combination of the two approaches. Under the income approach, we calculate the fair value of the reporting unit based on the present value of estimated future cash flows derived from assumptions that include expected growth rates and revenues, projected expenses, discount rates, capital expenditures and income tax rates. Under the market approach, we estimate the fair value based on the quoted stock price, recent equity transactions of our business, market transactions involving similar businesses and market comparables.</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Company has selected April 1 as its annual test date. The Company has concluded there has been no impairment of goodwill during the years ended June 30, 2021, 2020, or 2019. </w:t>
      </w:r>
      <w:r>
        <w:rPr>
          <w:rFonts w:ascii="Arial" w:cs="Arial" w:eastAsia="Arial" w:hAnsi="Arial"/>
          <w:sz w:val="17"/>
          <w:szCs w:val="17"/>
          <w:color w:val="212529"/>
        </w:rPr>
        <w:t>As of the date of our annual impairment test for fiscal year 2021, the fair value of our reporting unit exceeded its carrying</w:t>
      </w:r>
      <w:r>
        <w:rPr>
          <w:rFonts w:ascii="Arial" w:cs="Arial" w:eastAsia="Arial" w:hAnsi="Arial"/>
          <w:sz w:val="17"/>
          <w:szCs w:val="17"/>
          <w:color w:val="auto"/>
        </w:rPr>
        <w:t xml:space="preserve"> </w:t>
      </w:r>
      <w:r>
        <w:rPr>
          <w:rFonts w:ascii="Arial" w:cs="Arial" w:eastAsia="Arial" w:hAnsi="Arial"/>
          <w:sz w:val="17"/>
          <w:szCs w:val="17"/>
          <w:color w:val="212529"/>
        </w:rPr>
        <w:t xml:space="preserve">value by a significant margin. </w:t>
      </w:r>
      <w:r>
        <w:rPr>
          <w:rFonts w:ascii="Arial" w:cs="Arial" w:eastAsia="Arial" w:hAnsi="Arial"/>
          <w:sz w:val="17"/>
          <w:szCs w:val="17"/>
          <w:color w:val="000000"/>
        </w:rPr>
        <w:t>Subsequent to our annual impairment test, no indicators of impairment were identified.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if our estimate of the fair value of our reporting unit was 10% lower, no goodwill impairment would have existed.</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Long-lived assets are reviewed for impairment at the asset group level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the carrying value may not be recoverable. If the sum of the expected future undiscounted cash flow is less than the carrying amount of the asset, an impairment is indicated. A loss is then recognized for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color w:val="auto"/>
        </w:rPr>
        <w:t>the difference, if any, between the fair value of the asset (as estimated by management using its best judgment) and the carrying value of the asset. If actual market value is less favorable than that estimated by management, additional write-downs may be required. For the year ended June 30, 2021, the Company recorded an impairment charge relating to our operating lease right-of-use assets of $1.6 million.</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 xml:space="preserve">Allowances for Accounts and Finance Receivables. </w:t>
      </w:r>
      <w:r>
        <w:rPr>
          <w:rFonts w:ascii="Arial" w:cs="Arial" w:eastAsia="Arial" w:hAnsi="Arial"/>
          <w:sz w:val="16"/>
          <w:szCs w:val="16"/>
          <w:color w:val="auto"/>
        </w:rPr>
        <w:t>We maintain lifetime expected loss allowances for accounts and finance receivables based on historical</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of payment performance, current conditions of the customer, and reasonable and supportable economic forecasts of collectability for the asset’s entire expected life, which is generally less than one year for accounts receivable and five years for finance receivables. Historical loss experience is utilized as there have been no significant changes in the mix or risk characteristics of the receivable revenue streams used to calculate historical loss rates. Current conditions are analyzed at each measurement date to reassess whether our receivables continue to exhibit similar risk characteristics as the prior measurement date, and determine if the reserve calculation needs to be adjusted for new developments, such as a customer’s inability to meet its financial obligations. Reasonable and supportable macroeconomic trends also are incorporated into the analysis. Estimating the allowances therefore requires us to apply judgment in relying on historical customer payment experience, regularly analyzing the financial condition of our customers, and developing macroeconomic forecasts to adequately cover expected credit losses on our receivables. By nature, such estimates are highly subjective, and it is possible that the amount of receivables that we are unable to collect may be different than the amounts initially estimated in the allowances. Our allowance for doubtful accounts for accounts and finance receivables on June 30, 2021 and 2020 was $7.7 million and $7.8 million, respectively.</w:t>
      </w:r>
    </w:p>
    <w:p>
      <w:pPr>
        <w:spacing w:after="0" w:line="1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We determine the value of inventories using the lower of cost or net realizable value. We write down inventories for the difference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of the inventories and their net realizable value. If actual market conditions are less favorable than those projected by management, additional write-downs may be required.</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estimate our reserves for inventory obsolescence by continuously examining our inventories to determine if there are indicators that carrying values exceed net realizable values. Experience has shown that significant indicators that could require the need for additional inventory write-downs are the age of the inventory, the length of its product life cycles, anticipated demand for our products, changes to technical standards required by payment companies or by law, and current economic conditions. While we believe that adequate write-downs for inventory obsolescence have been made in the consolidated financial statements, actual demand could be less than forecasted demand for our products and we could experience additional inventory write-downs in the future. Our inventory reserve on June 30, 2021 and 2020 was $3.5 million and $2.8 million, respectively.</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Loss Contingencies. </w:t>
      </w:r>
      <w:r>
        <w:rPr>
          <w:rFonts w:ascii="Arial" w:cs="Arial" w:eastAsia="Arial" w:hAnsi="Arial"/>
          <w:sz w:val="18"/>
          <w:szCs w:val="18"/>
          <w:color w:val="auto"/>
        </w:rPr>
        <w:t>Loss contingencies are uncertain and unresolved matters that arise in the ordinary course of business and result from events or actions</w:t>
      </w:r>
      <w:r>
        <w:rPr>
          <w:rFonts w:ascii="Arial" w:cs="Arial" w:eastAsia="Arial" w:hAnsi="Arial"/>
          <w:sz w:val="18"/>
          <w:szCs w:val="18"/>
          <w:i w:val="1"/>
          <w:iCs w:val="1"/>
          <w:color w:val="auto"/>
        </w:rPr>
        <w:t xml:space="preserve"> </w:t>
      </w:r>
      <w:r>
        <w:rPr>
          <w:rFonts w:ascii="Arial" w:cs="Arial" w:eastAsia="Arial" w:hAnsi="Arial"/>
          <w:sz w:val="18"/>
          <w:szCs w:val="18"/>
          <w:color w:val="auto"/>
        </w:rPr>
        <w:t>by others that have the potential to result in a future loss. Such contingencies include, but are not limited to, litigation.</w:t>
      </w:r>
    </w:p>
    <w:p>
      <w:pPr>
        <w:spacing w:after="0" w:line="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When a loss is considered probable and reasonably estimable, we record a liability in the amount of our best estimate for the ultimate loss. When there appears to be a range of possible costs with equal likelihood, liabilities are based on the low-end of such range. However, the likelihood of a loss with respect to a particular contingency is often difficult to predict and determining a meaningful estimate of the loss or a range of loss may not be practicable based on the information available and the potential effect of future events and decisions by third parties that will determine the ultimate resolution of the contingency. Moreover, it is not uncommon for such matters to be resolved over many years, during which time relevant developments and new information must be continuously evaluated to determine both the likelihood of potential loss and whether it is possible to reasonably estimate a range of possible loss.</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Disclosure is provided for material loss contingencies when a loss is probable but a reasonable estimate cannot be made, and when it is reasonably possible that a loss will be incurred or when it is reasonably possible that the amount of a loss will exceed the recorded provision. We regularly review all contingencies to determine whether the likelihood of loss has changed and to assess whether a reasonable estimate of the loss or range of loss can be made. As discussed above, development of a meaningful estimate of loss or a range of potential loss is complex when the outcome is directly dependent on negotiations with or decisions by third parties, such as regulatory agencies, the court system and other interested parties. Such factors bear directly on whether it is possible to reasonably estimate a range of potential loss and boundaries of high and low estimates.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Sales tax reserve. </w:t>
      </w:r>
      <w:r>
        <w:rPr>
          <w:rFonts w:ascii="Arial" w:cs="Arial" w:eastAsia="Arial" w:hAnsi="Arial"/>
          <w:sz w:val="18"/>
          <w:szCs w:val="18"/>
          <w:color w:val="auto"/>
        </w:rPr>
        <w:t>The Company has recorded a contingent liability for sales tax, included in accrued expenses in the consolidated balance sheet. On a</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basis, the Company accrues interest on the unpaid balance. The estimated liability is adjusted upon the payment of sales tax related to the accrual, the changes in state tax laws that may impact the accrual and the expiration of the statute of limitations for open years under review. The liability includes significant judgments and estimates that may change in the future, and the actual liability may be different from our current estimate. Future changes to the sales tax reserve amount will be recorded within selling, general, and administrative expenses in the consolidated statements of operations and accrued expenses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shows certain financial and non-financial data that management believes give readers insight into certain trends and relationships about the Company’s financial performance. We believe the metrics (Active Devices, Active Customers, Total Number of Transactions and Total Dollar Volume of Transactions) are useful in allowing management and readers to evaluate our strategy of driving growth in devices and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Devices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Active Devices are devices that have communicated with us or have had a transaction in the last twelve months. Included in the number of Active Devices are devices that communicate through other devices that communicate or transact with us. A self-service retail location that utilizes an ePort cashless payment device as well as Seed management services constitutes only one device.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Customers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Company defines Active Customers as all customers with at least one active device.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Number Of Transactions and Total Dollar Volume of Transactions</w:t>
      </w:r>
    </w:p>
    <w:p>
      <w:pPr>
        <w:spacing w:after="0" w:line="23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Transactions are defined as electronic payment transactions that are processed by our technology-enabled solutions. Management uses Total Number and Dollar Volume of transactions to evaluate the effectiveness of our new customer strategy and ability to leverage existing customers and partners.</w:t>
      </w:r>
    </w:p>
    <w:p>
      <w:pPr>
        <w:spacing w:after="0" w:line="200" w:lineRule="exact"/>
        <w:rPr>
          <w:sz w:val="20"/>
          <w:szCs w:val="20"/>
          <w:color w:val="auto"/>
        </w:rPr>
      </w:pPr>
    </w:p>
    <w:p>
      <w:pPr>
        <w:spacing w:after="0" w:line="226" w:lineRule="exact"/>
        <w:rPr>
          <w:sz w:val="20"/>
          <w:szCs w:val="20"/>
          <w:color w:val="auto"/>
        </w:rPr>
      </w:pPr>
    </w:p>
    <w:p>
      <w:pPr>
        <w:ind w:left="6960"/>
        <w:spacing w:after="0"/>
        <w:rPr>
          <w:sz w:val="20"/>
          <w:szCs w:val="20"/>
          <w:color w:val="auto"/>
        </w:rPr>
      </w:pPr>
      <w:r>
        <w:rPr>
          <w:rFonts w:ascii="Arial" w:cs="Arial" w:eastAsia="Arial" w:hAnsi="Arial"/>
          <w:sz w:val="14"/>
          <w:szCs w:val="14"/>
          <w:b w:val="1"/>
          <w:bCs w:val="1"/>
          <w:color w:val="auto"/>
        </w:rPr>
        <w:t>As of and for the years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80" w:type="dxa"/>
            <w:vAlign w:val="bottom"/>
            <w:tcBorders>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4"/>
                <w:szCs w:val="14"/>
                <w:b w:val="1"/>
                <w:bCs w:val="1"/>
                <w:color w:val="auto"/>
                <w:w w:val="92"/>
              </w:rPr>
              <w:t>June 30, 2021</w:t>
            </w:r>
          </w:p>
        </w:tc>
        <w:tc>
          <w:tcPr>
            <w:tcW w:w="1000" w:type="dxa"/>
            <w:vAlign w:val="bottom"/>
            <w:tcBorders>
              <w:top w:val="single" w:sz="8" w:color="auto"/>
              <w:bottom w:val="single" w:sz="8" w:color="auto"/>
            </w:tcBorders>
          </w:tcPr>
          <w:p>
            <w:pPr>
              <w:spacing w:after="0"/>
              <w:rPr>
                <w:sz w:val="16"/>
                <w:szCs w:val="16"/>
                <w:color w:val="auto"/>
              </w:rPr>
            </w:pPr>
          </w:p>
        </w:tc>
        <w:tc>
          <w:tcPr>
            <w:tcW w:w="2280" w:type="dxa"/>
            <w:vAlign w:val="bottom"/>
            <w:tcBorders>
              <w:top w:val="single" w:sz="8" w:color="auto"/>
              <w:bottom w:val="single" w:sz="8" w:color="auto"/>
            </w:tcBorders>
          </w:tcPr>
          <w:p>
            <w:pPr>
              <w:jc w:val="right"/>
              <w:ind w:right="934"/>
              <w:spacing w:after="0"/>
              <w:rPr>
                <w:sz w:val="20"/>
                <w:szCs w:val="20"/>
                <w:color w:val="auto"/>
              </w:rPr>
            </w:pPr>
            <w:r>
              <w:rPr>
                <w:rFonts w:ascii="Arial" w:cs="Arial" w:eastAsia="Arial" w:hAnsi="Arial"/>
                <w:sz w:val="14"/>
                <w:szCs w:val="14"/>
                <w:b w:val="1"/>
                <w:bCs w:val="1"/>
                <w:color w:val="auto"/>
              </w:rPr>
              <w:t>June 30, 2020</w:t>
            </w:r>
          </w:p>
        </w:tc>
        <w:tc>
          <w:tcPr>
            <w:tcW w:w="19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June 30, 2019</w:t>
            </w:r>
          </w:p>
        </w:tc>
      </w:tr>
      <w:tr>
        <w:trPr>
          <w:trHeight w:val="211"/>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Devices:</w:t>
            </w:r>
          </w:p>
        </w:tc>
        <w:tc>
          <w:tcPr>
            <w:tcW w:w="1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7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Active Devices (thousands)</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1,094</w:t>
            </w:r>
          </w:p>
        </w:tc>
        <w:tc>
          <w:tcPr>
            <w:tcW w:w="2280" w:type="dxa"/>
            <w:vAlign w:val="bottom"/>
          </w:tcPr>
          <w:p>
            <w:pPr>
              <w:jc w:val="right"/>
              <w:ind w:right="334"/>
              <w:spacing w:after="0"/>
              <w:rPr>
                <w:sz w:val="20"/>
                <w:szCs w:val="20"/>
                <w:color w:val="auto"/>
              </w:rPr>
            </w:pPr>
            <w:r>
              <w:rPr>
                <w:rFonts w:ascii="Arial" w:cs="Arial" w:eastAsia="Arial" w:hAnsi="Arial"/>
                <w:sz w:val="18"/>
                <w:szCs w:val="18"/>
                <w:color w:val="auto"/>
              </w:rPr>
              <w:t>1,079</w:t>
            </w:r>
          </w:p>
        </w:tc>
        <w:tc>
          <w:tcPr>
            <w:tcW w:w="194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70"/>
        </w:trPr>
        <w:tc>
          <w:tcPr>
            <w:tcW w:w="44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b w:val="1"/>
                <w:bCs w:val="1"/>
                <w:color w:val="auto"/>
              </w:rPr>
              <w:t>Customers:</w:t>
            </w:r>
          </w:p>
        </w:tc>
        <w:tc>
          <w:tcPr>
            <w:tcW w:w="10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7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Active Customers</w:t>
            </w: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19,834</w:t>
            </w:r>
          </w:p>
        </w:tc>
        <w:tc>
          <w:tcPr>
            <w:tcW w:w="22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17,249</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15,408</w:t>
            </w:r>
          </w:p>
        </w:tc>
      </w:tr>
      <w:tr>
        <w:trPr>
          <w:trHeight w:val="270"/>
        </w:trPr>
        <w:tc>
          <w:tcPr>
            <w:tcW w:w="44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Volumes:</w:t>
            </w:r>
          </w:p>
        </w:tc>
        <w:tc>
          <w:tcPr>
            <w:tcW w:w="10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7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Total Number of Transactions (millions)</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868.7</w:t>
            </w:r>
          </w:p>
        </w:tc>
        <w:tc>
          <w:tcPr>
            <w:tcW w:w="2280" w:type="dxa"/>
            <w:vAlign w:val="bottom"/>
          </w:tcPr>
          <w:p>
            <w:pPr>
              <w:jc w:val="right"/>
              <w:ind w:right="334"/>
              <w:spacing w:after="0"/>
              <w:rPr>
                <w:sz w:val="20"/>
                <w:szCs w:val="20"/>
                <w:color w:val="auto"/>
              </w:rPr>
            </w:pPr>
            <w:r>
              <w:rPr>
                <w:rFonts w:ascii="Arial" w:cs="Arial" w:eastAsia="Arial" w:hAnsi="Arial"/>
                <w:sz w:val="18"/>
                <w:szCs w:val="18"/>
                <w:color w:val="auto"/>
              </w:rPr>
              <w:t>881.1</w:t>
            </w:r>
          </w:p>
        </w:tc>
        <w:tc>
          <w:tcPr>
            <w:tcW w:w="1940" w:type="dxa"/>
            <w:vAlign w:val="bottom"/>
          </w:tcPr>
          <w:p>
            <w:pPr>
              <w:jc w:val="right"/>
              <w:spacing w:after="0"/>
              <w:rPr>
                <w:sz w:val="20"/>
                <w:szCs w:val="20"/>
                <w:color w:val="auto"/>
              </w:rPr>
            </w:pPr>
            <w:r>
              <w:rPr>
                <w:rFonts w:ascii="Arial" w:cs="Arial" w:eastAsia="Arial" w:hAnsi="Arial"/>
                <w:sz w:val="18"/>
                <w:szCs w:val="18"/>
                <w:color w:val="auto"/>
              </w:rPr>
              <w:t>847.2</w:t>
            </w:r>
          </w:p>
        </w:tc>
      </w:tr>
      <w:tr>
        <w:trPr>
          <w:trHeight w:val="27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Dollar Volume of Transactions (millions)</w:t>
            </w: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1,756.6</w:t>
            </w:r>
          </w:p>
        </w:tc>
        <w:tc>
          <w:tcPr>
            <w:tcW w:w="22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1,729.4</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1,647.0</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fiscal year ended June 30, 2021 include:</w:t>
      </w:r>
    </w:p>
    <w:p>
      <w:pPr>
        <w:spacing w:after="0" w:line="23" w:lineRule="exact"/>
        <w:rPr>
          <w:sz w:val="20"/>
          <w:szCs w:val="20"/>
          <w:color w:val="auto"/>
        </w:rPr>
      </w:pPr>
    </w:p>
    <w:p>
      <w:pPr>
        <w:ind w:left="660" w:right="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1.09 million Active Devices as of June 30, 2021 compared to 1.08 million as of June 30, 2020, an increase of approximately 15 thousand Active Devices, or 1.4%;</w:t>
      </w: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19,834 Active Customers to our service as of June 30, 2021 compared to the same period last year of 17,249, an increase of 2,585 Active Customers, or 15%.</w:t>
      </w:r>
    </w:p>
    <w:p>
      <w:pPr>
        <w:ind w:left="660" w:hanging="328"/>
        <w:spacing w:after="0" w:line="290" w:lineRule="auto"/>
        <w:tabs>
          <w:tab w:leader="none" w:pos="655" w:val="left"/>
        </w:tabs>
        <w:numPr>
          <w:ilvl w:val="0"/>
          <w:numId w:val="20"/>
        </w:numPr>
        <w:rPr>
          <w:rFonts w:ascii="Arial" w:cs="Arial" w:eastAsia="Arial" w:hAnsi="Arial"/>
          <w:sz w:val="17"/>
          <w:szCs w:val="17"/>
          <w:b w:val="1"/>
          <w:bCs w:val="1"/>
          <w:i w:val="1"/>
          <w:iCs w:val="1"/>
          <w:color w:val="auto"/>
        </w:rPr>
      </w:pPr>
      <w:r>
        <w:rPr>
          <w:rFonts w:ascii="Arial" w:cs="Arial" w:eastAsia="Arial" w:hAnsi="Arial"/>
          <w:sz w:val="17"/>
          <w:szCs w:val="17"/>
          <w:color w:val="auto"/>
        </w:rPr>
        <w:t>Volumes for the year ended June 30, 2021 are largely consistent with volumes for the year ended June 30, 2020 as we are now at pre-pandemic (COVID-19) levels of processing volumes as businesses, schools and other organizations across the country continue to re-open.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and charts summarize our results of operations and significant changes in our financial performance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5572125" cy="5357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72125" cy="535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107" w:right="959" w:bottom="1440" w:gutter="0" w:footer="0" w:header="0"/>
        </w:sectPr>
      </w:pPr>
    </w:p>
    <w:bookmarkStart w:id="34" w:name="page35"/>
    <w:bookmarkEnd w:id="34"/>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Gross Profit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June 30,</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4"/>
                <w:szCs w:val="14"/>
                <w:b w:val="1"/>
                <w:bCs w:val="1"/>
                <w:color w:val="auto"/>
              </w:rPr>
              <w:t>Percent Change</w:t>
            </w:r>
          </w:p>
        </w:tc>
      </w:tr>
      <w:tr>
        <w:trPr>
          <w:trHeight w:val="188"/>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6"/>
                <w:szCs w:val="16"/>
                <w:color w:val="auto"/>
              </w:rPr>
            </w:pPr>
          </w:p>
        </w:tc>
        <w:tc>
          <w:tcPr>
            <w:tcW w:w="1080" w:type="dxa"/>
            <w:vAlign w:val="bottom"/>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460" w:type="dxa"/>
            <w:vAlign w:val="bottom"/>
            <w:gridSpan w:val="2"/>
          </w:tcPr>
          <w:p>
            <w:pPr>
              <w:ind w:left="300"/>
              <w:spacing w:after="0"/>
              <w:rPr>
                <w:sz w:val="20"/>
                <w:szCs w:val="20"/>
                <w:color w:val="auto"/>
              </w:rPr>
            </w:pPr>
            <w:r>
              <w:rPr>
                <w:rFonts w:ascii="Arial" w:cs="Arial" w:eastAsia="Arial" w:hAnsi="Arial"/>
                <w:sz w:val="14"/>
                <w:szCs w:val="14"/>
                <w:b w:val="1"/>
                <w:bCs w:val="1"/>
                <w:color w:val="auto"/>
              </w:rPr>
              <w:t>2021 v. 2020</w:t>
            </w:r>
          </w:p>
        </w:tc>
        <w:tc>
          <w:tcPr>
            <w:tcW w:w="1360" w:type="dxa"/>
            <w:vAlign w:val="bottom"/>
          </w:tcPr>
          <w:p>
            <w:pPr>
              <w:jc w:val="right"/>
              <w:ind w:right="220"/>
              <w:spacing w:after="0"/>
              <w:rPr>
                <w:sz w:val="20"/>
                <w:szCs w:val="20"/>
                <w:color w:val="auto"/>
              </w:rPr>
            </w:pPr>
            <w:r>
              <w:rPr>
                <w:rFonts w:ascii="Arial" w:cs="Arial" w:eastAsia="Arial" w:hAnsi="Arial"/>
                <w:sz w:val="14"/>
                <w:szCs w:val="14"/>
                <w:b w:val="1"/>
                <w:bCs w:val="1"/>
                <w:color w:val="auto"/>
              </w:rPr>
              <w:t>2020 v. 2019</w:t>
            </w:r>
          </w:p>
        </w:tc>
      </w:tr>
      <w:tr>
        <w:trPr>
          <w:trHeight w:val="197"/>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3840" w:type="dxa"/>
            <w:vAlign w:val="bottom"/>
          </w:tcPr>
          <w:p>
            <w:pPr>
              <w:ind w:left="140"/>
              <w:spacing w:after="0"/>
              <w:rPr>
                <w:sz w:val="20"/>
                <w:szCs w:val="20"/>
                <w:color w:val="auto"/>
              </w:rPr>
            </w:pPr>
            <w:r>
              <w:rPr>
                <w:rFonts w:ascii="Arial" w:cs="Arial" w:eastAsia="Arial" w:hAnsi="Arial"/>
                <w:sz w:val="16"/>
                <w:szCs w:val="16"/>
                <w:color w:val="auto"/>
              </w:rPr>
              <w:t>License and transaction fees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139,242</w:t>
            </w:r>
          </w:p>
        </w:tc>
        <w:tc>
          <w:tcPr>
            <w:tcW w:w="10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133,167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122,908</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8.3 %</w:t>
            </w:r>
          </w:p>
        </w:tc>
      </w:tr>
      <w:tr>
        <w:trPr>
          <w:trHeight w:val="219"/>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sales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27,697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29,986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21,558</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39.1 %</w:t>
            </w:r>
          </w:p>
        </w:tc>
      </w:tr>
      <w:tr>
        <w:trPr>
          <w:trHeight w:val="206"/>
        </w:trPr>
        <w:tc>
          <w:tcPr>
            <w:tcW w:w="384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320" w:type="dxa"/>
            <w:vAlign w:val="bottom"/>
          </w:tcPr>
          <w:p>
            <w:pPr>
              <w:spacing w:after="0"/>
              <w:rPr>
                <w:sz w:val="17"/>
                <w:szCs w:val="17"/>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166,939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163,153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144,466</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12.9 %</w:t>
            </w:r>
          </w:p>
        </w:tc>
      </w:tr>
      <w:tr>
        <w:trPr>
          <w:trHeight w:val="219"/>
        </w:trPr>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384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license and transaction fees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83,617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82,980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79,980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r>
      <w:tr>
        <w:trPr>
          <w:trHeight w:val="213"/>
        </w:trPr>
        <w:tc>
          <w:tcPr>
            <w:tcW w:w="3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Cost of equipment sales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29,296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33,900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24,301</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39.5 %</w:t>
            </w:r>
          </w:p>
        </w:tc>
      </w:tr>
      <w:tr>
        <w:trPr>
          <w:trHeight w:val="212"/>
        </w:trPr>
        <w:tc>
          <w:tcPr>
            <w:tcW w:w="3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cost of sales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112,913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116,880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104,281</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12.1 %</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3840" w:type="dxa"/>
            <w:vAlign w:val="bottom"/>
          </w:tcPr>
          <w:p>
            <w:pPr>
              <w:ind w:left="140"/>
              <w:spacing w:after="0"/>
              <w:rPr>
                <w:sz w:val="20"/>
                <w:szCs w:val="20"/>
                <w:color w:val="auto"/>
              </w:rPr>
            </w:pPr>
            <w:r>
              <w:rPr>
                <w:rFonts w:ascii="Arial" w:cs="Arial" w:eastAsia="Arial" w:hAnsi="Arial"/>
                <w:sz w:val="16"/>
                <w:szCs w:val="16"/>
                <w:color w:val="auto"/>
              </w:rPr>
              <w:t>License and transaction fees</w:t>
            </w:r>
          </w:p>
        </w:tc>
        <w:tc>
          <w:tcPr>
            <w:tcW w:w="320" w:type="dxa"/>
            <w:vAlign w:val="bottom"/>
          </w:tcPr>
          <w:p>
            <w:pPr>
              <w:spacing w:after="0"/>
              <w:rPr>
                <w:sz w:val="18"/>
                <w:szCs w:val="18"/>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55,625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50,187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42,928</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16.9 %</w:t>
            </w:r>
          </w:p>
        </w:tc>
      </w:tr>
      <w:tr>
        <w:trPr>
          <w:trHeight w:val="216"/>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sales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(1,599)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(3,914)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(2,743)</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59.1 %</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r>
      <w:tr>
        <w:trPr>
          <w:trHeight w:val="213"/>
        </w:trPr>
        <w:tc>
          <w:tcPr>
            <w:tcW w:w="3840" w:type="dxa"/>
            <w:vAlign w:val="bottom"/>
          </w:tcPr>
          <w:p>
            <w:pPr>
              <w:ind w:left="220"/>
              <w:spacing w:after="0"/>
              <w:rPr>
                <w:sz w:val="20"/>
                <w:szCs w:val="20"/>
                <w:color w:val="auto"/>
              </w:rPr>
            </w:pPr>
            <w:r>
              <w:rPr>
                <w:rFonts w:ascii="Arial" w:cs="Arial" w:eastAsia="Arial" w:hAnsi="Arial"/>
                <w:sz w:val="16"/>
                <w:szCs w:val="16"/>
                <w:color w:val="auto"/>
              </w:rPr>
              <w:t>Total gross profit</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54,026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46,273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40,185</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16.8 %</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15.1 %</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3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4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2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32"/>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License and transaction fees</w:t>
            </w:r>
          </w:p>
        </w:tc>
        <w:tc>
          <w:tcPr>
            <w:tcW w:w="2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39.9 %</w:t>
            </w:r>
          </w:p>
        </w:tc>
        <w:tc>
          <w:tcPr>
            <w:tcW w:w="15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37.7 %</w:t>
            </w:r>
          </w:p>
        </w:tc>
        <w:tc>
          <w:tcPr>
            <w:tcW w:w="4000" w:type="dxa"/>
            <w:vAlign w:val="bottom"/>
            <w:shd w:val="clear" w:color="auto" w:fill="CCEEFF"/>
          </w:tcPr>
          <w:p>
            <w:pPr>
              <w:jc w:val="right"/>
              <w:ind w:right="2870"/>
              <w:spacing w:after="0"/>
              <w:rPr>
                <w:sz w:val="20"/>
                <w:szCs w:val="20"/>
                <w:color w:val="auto"/>
              </w:rPr>
            </w:pPr>
            <w:r>
              <w:rPr>
                <w:rFonts w:ascii="Arial" w:cs="Arial" w:eastAsia="Arial" w:hAnsi="Arial"/>
                <w:sz w:val="18"/>
                <w:szCs w:val="18"/>
                <w:color w:val="auto"/>
              </w:rPr>
              <w:t>34.9 %</w:t>
            </w:r>
          </w:p>
        </w:tc>
      </w:tr>
      <w:tr>
        <w:trPr>
          <w:trHeight w:val="230"/>
        </w:trPr>
        <w:tc>
          <w:tcPr>
            <w:tcW w:w="3340" w:type="dxa"/>
            <w:vAlign w:val="bottom"/>
          </w:tcPr>
          <w:p>
            <w:pPr>
              <w:ind w:left="140"/>
              <w:spacing w:after="0"/>
              <w:rPr>
                <w:sz w:val="20"/>
                <w:szCs w:val="20"/>
                <w:color w:val="auto"/>
              </w:rPr>
            </w:pPr>
            <w:r>
              <w:rPr>
                <w:rFonts w:ascii="Arial" w:cs="Arial" w:eastAsia="Arial" w:hAnsi="Arial"/>
                <w:sz w:val="16"/>
                <w:szCs w:val="16"/>
                <w:color w:val="auto"/>
              </w:rPr>
              <w:t>Equipment sales</w:t>
            </w:r>
          </w:p>
        </w:tc>
        <w:tc>
          <w:tcPr>
            <w:tcW w:w="2320" w:type="dxa"/>
            <w:vAlign w:val="bottom"/>
          </w:tcPr>
          <w:p>
            <w:pPr>
              <w:jc w:val="right"/>
              <w:ind w:right="350"/>
              <w:spacing w:after="0"/>
              <w:rPr>
                <w:sz w:val="20"/>
                <w:szCs w:val="20"/>
                <w:color w:val="auto"/>
              </w:rPr>
            </w:pPr>
            <w:r>
              <w:rPr>
                <w:rFonts w:ascii="Arial" w:cs="Arial" w:eastAsia="Arial" w:hAnsi="Arial"/>
                <w:sz w:val="18"/>
                <w:szCs w:val="18"/>
                <w:color w:val="auto"/>
              </w:rPr>
              <w:t>(5.8)%</w:t>
            </w: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(13.1)%</w:t>
            </w:r>
          </w:p>
        </w:tc>
        <w:tc>
          <w:tcPr>
            <w:tcW w:w="4000" w:type="dxa"/>
            <w:vAlign w:val="bottom"/>
          </w:tcPr>
          <w:p>
            <w:pPr>
              <w:jc w:val="right"/>
              <w:ind w:right="2870"/>
              <w:spacing w:after="0"/>
              <w:rPr>
                <w:sz w:val="20"/>
                <w:szCs w:val="20"/>
                <w:color w:val="auto"/>
              </w:rPr>
            </w:pPr>
            <w:r>
              <w:rPr>
                <w:rFonts w:ascii="Arial" w:cs="Arial" w:eastAsia="Arial" w:hAnsi="Arial"/>
                <w:sz w:val="18"/>
                <w:szCs w:val="18"/>
                <w:color w:val="auto"/>
              </w:rPr>
              <w:t>(12.7)%</w:t>
            </w: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gross margin</w:t>
            </w:r>
          </w:p>
        </w:tc>
        <w:tc>
          <w:tcPr>
            <w:tcW w:w="2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32.4 %</w:t>
            </w:r>
          </w:p>
        </w:tc>
        <w:tc>
          <w:tcPr>
            <w:tcW w:w="15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28.4 %</w:t>
            </w:r>
          </w:p>
        </w:tc>
        <w:tc>
          <w:tcPr>
            <w:tcW w:w="4000" w:type="dxa"/>
            <w:vAlign w:val="bottom"/>
            <w:shd w:val="clear" w:color="auto" w:fill="CCEEFF"/>
          </w:tcPr>
          <w:p>
            <w:pPr>
              <w:jc w:val="right"/>
              <w:ind w:right="2870"/>
              <w:spacing w:after="0"/>
              <w:rPr>
                <w:sz w:val="20"/>
                <w:szCs w:val="20"/>
                <w:color w:val="auto"/>
              </w:rPr>
            </w:pPr>
            <w:r>
              <w:rPr>
                <w:rFonts w:ascii="Arial" w:cs="Arial" w:eastAsia="Arial" w:hAnsi="Arial"/>
                <w:sz w:val="18"/>
                <w:szCs w:val="18"/>
                <w:color w:val="auto"/>
              </w:rPr>
              <w:t>27.8 %</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Total revenue for the year ended June 30, 2021 was $166.9 million, consisting of $139.2 million of license and transactions fees and $27.7 million of equipment sales, compared to $163.2 million for the year ended June 30, 2020, consisting of $133.2 million of license and transaction fees and $30 million of equipment sales. The $3.7 million increase in total revenue from the prior fiscal year was attributable to a $6.0 million increase in license and transaction fees offset by a $2.3 million decrease in equipment sales. The increase in license and transaction fees revenues is driven primarily by an increase in our processing volumes in the second half of fiscal year 2021 as we now operating at pre-pandemic (COVID-19) levels of volumes as businesses, schools and other organizations across the county continue to re-open, a higher transaction fee rate on processing volumes and a slight increase in the Active Devices count compared to the same period last year. The decrease in equipment sales is driven primarily by lower shipments compared to last year due to a large equipment sale made to a strategic customer during the fiscal year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Despite an increase in revenues for the year ended June 30, 2021 compared to June 30, 2020, total cost of sales were lower in the current fiscal year. Total cost of sales for the year ended June 30, 2021 was $112.9 million, consisting of $83.6 million of cost of license and transaction fees and $29.3 million of cost of equipment sales, compared to $116.9 million for the year ended June 30, 2020, consisting of $83.0 million of cost of license and transaction fees and $33.9 million of cost of equipment sales. The $4.0 million decrease in total cost of sales from the prior fiscal year was attributable to a $4.6 million decrease in cost of equipment sales driven primarily by lower shipments, a large equipment sale made to a strategic customer at a significantly discounted price and operational improvements compared to last year offset by a $0.6 million increase in cost of services. The cost of license and transaction fees went up proportionately less than the increase in license and transaction fees revenues driven primarily by a $1.1 million reduction in network service fees for the year ended June 30, 2021 compared to June 30, 2020.</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gross margin increased from 28.4% for fiscal year 2020 to 32.4% for fiscal year 2021. The increase is attributable to an increase in the license and transaction fee margin from 37.7% for fiscal year 2020 to 39.9% for fiscal year 2021 driven primarily by $1.1 million in lower network service fees and a reduction in negative equipment margin from (13.1)% for fiscal year 2020 to (5.8)% for fiscal year 2021 driven primarily by a large equipment sale made to a strategic customer during the fiscal year 2020 and operational improvements.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Year ended June 30,</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tcBorders>
              <w:bottom w:val="single" w:sz="8" w:color="auto"/>
            </w:tcBorders>
            <w:gridSpan w:val="3"/>
          </w:tcPr>
          <w:p>
            <w:pPr>
              <w:jc w:val="right"/>
              <w:ind w:right="941"/>
              <w:spacing w:after="0"/>
              <w:rPr>
                <w:sz w:val="20"/>
                <w:szCs w:val="20"/>
                <w:color w:val="auto"/>
              </w:rPr>
            </w:pPr>
            <w:r>
              <w:rPr>
                <w:rFonts w:ascii="Arial" w:cs="Arial" w:eastAsia="Arial" w:hAnsi="Arial"/>
                <w:sz w:val="14"/>
                <w:szCs w:val="14"/>
                <w:b w:val="1"/>
                <w:bCs w:val="1"/>
                <w:color w:val="auto"/>
              </w:rPr>
              <w:t>Percent Change</w:t>
            </w:r>
          </w:p>
        </w:tc>
      </w:tr>
      <w:tr>
        <w:trPr>
          <w:trHeight w:val="199"/>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Category ($ in thousands)</w:t>
            </w:r>
          </w:p>
        </w:tc>
        <w:tc>
          <w:tcPr>
            <w:tcW w:w="280" w:type="dxa"/>
            <w:vAlign w:val="bottom"/>
          </w:tcPr>
          <w:p>
            <w:pPr>
              <w:spacing w:after="0"/>
              <w:rPr>
                <w:sz w:val="17"/>
                <w:szCs w:val="17"/>
                <w:color w:val="auto"/>
              </w:rPr>
            </w:pPr>
          </w:p>
        </w:tc>
        <w:tc>
          <w:tcPr>
            <w:tcW w:w="9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560" w:type="dxa"/>
            <w:vAlign w:val="bottom"/>
            <w:gridSpan w:val="2"/>
          </w:tcPr>
          <w:p>
            <w:pPr>
              <w:ind w:left="360"/>
              <w:spacing w:after="0"/>
              <w:rPr>
                <w:sz w:val="20"/>
                <w:szCs w:val="20"/>
                <w:color w:val="auto"/>
              </w:rPr>
            </w:pPr>
            <w:r>
              <w:rPr>
                <w:rFonts w:ascii="Arial" w:cs="Arial" w:eastAsia="Arial" w:hAnsi="Arial"/>
                <w:sz w:val="14"/>
                <w:szCs w:val="14"/>
                <w:b w:val="1"/>
                <w:bCs w:val="1"/>
                <w:color w:val="auto"/>
              </w:rPr>
              <w:t>2021 v. 2020</w:t>
            </w:r>
          </w:p>
        </w:tc>
        <w:tc>
          <w:tcPr>
            <w:tcW w:w="1460" w:type="dxa"/>
            <w:vAlign w:val="bottom"/>
          </w:tcPr>
          <w:p>
            <w:pPr>
              <w:jc w:val="right"/>
              <w:ind w:right="261"/>
              <w:spacing w:after="0"/>
              <w:rPr>
                <w:sz w:val="20"/>
                <w:szCs w:val="20"/>
                <w:color w:val="auto"/>
              </w:rPr>
            </w:pPr>
            <w:r>
              <w:rPr>
                <w:rFonts w:ascii="Arial" w:cs="Arial" w:eastAsia="Arial" w:hAnsi="Arial"/>
                <w:sz w:val="14"/>
                <w:szCs w:val="14"/>
                <w:b w:val="1"/>
                <w:bCs w:val="1"/>
                <w:color w:val="auto"/>
              </w:rPr>
              <w:t>2020 v. 2019</w:t>
            </w:r>
          </w:p>
        </w:tc>
      </w:tr>
      <w:tr>
        <w:trPr>
          <w:trHeight w:val="213"/>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58,624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61,748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46,527</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32.7 %</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w w:val="97"/>
              </w:rPr>
              <w:t>Investigation, proxy solicitation and restatement expenses</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19,810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16,073</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23.3 %</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Integration and acquisition costs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1,338</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6"/>
                <w:szCs w:val="16"/>
                <w:i w:val="1"/>
                <w:iCs w:val="1"/>
                <w:color w:val="auto"/>
              </w:rPr>
              <w:t>NM</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4,430</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r>
      <w:tr>
        <w:trPr>
          <w:trHeight w:val="23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62,731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85,865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68,368</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(26.9 %)</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25.6 %</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Selling, general and administrative expenses for the year ended June 30, 2021 were $58.6 million, compared to $61.7 million for the year ended June 30, 2020. Year over year decreases include a $3.3 million decrease in professional fees due to reduced reliance on external consultants who supported the Company’s accounting and financial reporting operations, a $1.3 million reduction in travel and entertainment expenses due to COVID-19, and a $5.8 million decrease in sales and use tax expense due to a benefit in the current year from recent state sales tax legislation as compared to an expense in the prior year. Offsetting these decreases were a $6.0 million increase in stock-based compensation expense due to the hiring of our new executive leadership team who were brought in to make needed improvements with the Company's strategy and operations and the recently appointed board of directors and a $1.6 million lease impairment charge due to the Company further rationalizing its location strategy. The Company intends to use the savings from the reduced reliance on third party consultants to invest in innovative technologies and to further strengthen our network environment and platform.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Investigation, proxy solicitation and restatement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incur Investigation, proxy solicitation and restatement expenses for the year ended June 30, 2021.</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fiscal year 2019, the Audit Committee, with the assistance of independent legal and forensic accounting advisors, conducted an internal investigation of then-current and prior period matters relating to certain of the Company’s contractual arrangements, including the accounting treatment, financial reporting and internal controls related to such arrangements (the “2019 Investigation”). Additionally, in fiscal year 2019, significant financial reporting issues were identified which were unrelated to the internal investigation and which resulted in further adjustments to the Company’s previously issued or prior fiscal years’ unissued financial statements. As a result of the findings, the Company restated its consolidated financial statements as of and for the fiscal year 2017 and our unaudited consolidated financial statements for the quarterly periods ended September 30, 2016, December 31, 2016, March 31, 2017, September 30, 2017, December 31, 2017, and March 31, 2018.</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Investigation, proxy solicitation and restatement expenses were incurred both in fiscal years 2020 and 2019 in connection with the 2019 Investigation and the restatements of previously filed financial statements, bank consents, the remediation of deficiencies in our internal control over financial reporting, the proxy solicitation, and professional services fees to assist with accounting and compliance activities in fiscal year 2020 following the filing of the 2019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Integration and acquisition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incur integration and acquisition costs for the fiscal years ended June 30, 2021 and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was consistent for the fiscal years ended June 30, 2021 and June 30,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Year ended June 30,</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tcBorders>
              <w:bottom w:val="single" w:sz="8" w:color="auto"/>
            </w:tcBorders>
            <w:gridSpan w:val="3"/>
          </w:tcPr>
          <w:p>
            <w:pPr>
              <w:jc w:val="right"/>
              <w:ind w:right="941"/>
              <w:spacing w:after="0"/>
              <w:rPr>
                <w:sz w:val="20"/>
                <w:szCs w:val="20"/>
                <w:color w:val="auto"/>
              </w:rPr>
            </w:pPr>
            <w:r>
              <w:rPr>
                <w:rFonts w:ascii="Arial" w:cs="Arial" w:eastAsia="Arial" w:hAnsi="Arial"/>
                <w:sz w:val="14"/>
                <w:szCs w:val="14"/>
                <w:b w:val="1"/>
                <w:bCs w:val="1"/>
                <w:color w:val="auto"/>
              </w:rPr>
              <w:t>Percent Change</w:t>
            </w:r>
          </w:p>
        </w:tc>
      </w:tr>
      <w:tr>
        <w:trPr>
          <w:trHeight w:val="199"/>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Category ($ in thousands)</w:t>
            </w:r>
          </w:p>
        </w:tc>
        <w:tc>
          <w:tcPr>
            <w:tcW w:w="300" w:type="dxa"/>
            <w:vAlign w:val="bottom"/>
          </w:tcPr>
          <w:p>
            <w:pPr>
              <w:spacing w:after="0"/>
              <w:rPr>
                <w:sz w:val="17"/>
                <w:szCs w:val="17"/>
                <w:color w:val="auto"/>
              </w:rPr>
            </w:pPr>
          </w:p>
        </w:tc>
        <w:tc>
          <w:tcPr>
            <w:tcW w:w="940" w:type="dxa"/>
            <w:vAlign w:val="bottom"/>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560" w:type="dxa"/>
            <w:vAlign w:val="bottom"/>
            <w:gridSpan w:val="2"/>
          </w:tcPr>
          <w:p>
            <w:pPr>
              <w:ind w:left="360"/>
              <w:spacing w:after="0"/>
              <w:rPr>
                <w:sz w:val="20"/>
                <w:szCs w:val="20"/>
                <w:color w:val="auto"/>
              </w:rPr>
            </w:pPr>
            <w:r>
              <w:rPr>
                <w:rFonts w:ascii="Arial" w:cs="Arial" w:eastAsia="Arial" w:hAnsi="Arial"/>
                <w:sz w:val="14"/>
                <w:szCs w:val="14"/>
                <w:b w:val="1"/>
                <w:bCs w:val="1"/>
                <w:color w:val="auto"/>
              </w:rPr>
              <w:t>2021 v. 2020</w:t>
            </w:r>
          </w:p>
        </w:tc>
        <w:tc>
          <w:tcPr>
            <w:tcW w:w="1460" w:type="dxa"/>
            <w:vAlign w:val="bottom"/>
          </w:tcPr>
          <w:p>
            <w:pPr>
              <w:jc w:val="right"/>
              <w:ind w:right="261"/>
              <w:spacing w:after="0"/>
              <w:rPr>
                <w:sz w:val="20"/>
                <w:szCs w:val="20"/>
                <w:color w:val="auto"/>
              </w:rPr>
            </w:pPr>
            <w:r>
              <w:rPr>
                <w:rFonts w:ascii="Arial" w:cs="Arial" w:eastAsia="Arial" w:hAnsi="Arial"/>
                <w:sz w:val="14"/>
                <w:szCs w:val="14"/>
                <w:b w:val="1"/>
                <w:bCs w:val="1"/>
                <w:color w:val="auto"/>
              </w:rPr>
              <w:t>2020 v. 2019</w:t>
            </w:r>
          </w:p>
        </w:tc>
      </w:tr>
      <w:tr>
        <w:trPr>
          <w:trHeight w:val="210"/>
        </w:trPr>
        <w:tc>
          <w:tcPr>
            <w:tcW w:w="40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income (expense):</w:t>
            </w: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9"/>
        </w:trPr>
        <w:tc>
          <w:tcPr>
            <w:tcW w:w="4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1,555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2.6 %</w:t>
            </w:r>
          </w:p>
        </w:tc>
      </w:tr>
      <w:tr>
        <w:trPr>
          <w:trHeight w:val="213"/>
        </w:trPr>
        <w:tc>
          <w:tcPr>
            <w:tcW w:w="40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(4,013)</w:t>
            </w:r>
          </w:p>
        </w:tc>
        <w:tc>
          <w:tcPr>
            <w:tcW w:w="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(2,597)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(2,992)</w:t>
            </w:r>
          </w:p>
        </w:tc>
        <w:tc>
          <w:tcPr>
            <w:tcW w:w="10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54.5 %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(13.2 %)</w:t>
            </w:r>
          </w:p>
        </w:tc>
      </w:tr>
      <w:tr>
        <w:trPr>
          <w:trHeight w:val="216"/>
        </w:trPr>
        <w:tc>
          <w:tcPr>
            <w:tcW w:w="4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NM</w:t>
            </w: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Total other income (expense), net</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(1,002)</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(1,437)</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(136.9 %)</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(30.3 %)</w:t>
            </w:r>
          </w:p>
        </w:tc>
      </w:tr>
      <w:tr>
        <w:trPr>
          <w:trHeight w:val="21"/>
        </w:trPr>
        <w:tc>
          <w:tcPr>
            <w:tcW w:w="4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other income (expense), net for the fiscal year ended June 30, 2021 was $0.4 million, compared to $(1) million for the fiscal year ended June 30, 2020. The $1.4 million increase in Other income (expense), net from the prior fiscal year was primarily attributable to a $3.2 million increase in Other income related primarily to the forgiveness of our PPP loan offset by a $1.4 million increase in Interest expense.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fourth quarter of fiscal year 2021, the Company received notification from the Small Business Administration that our $3.1 million PPP loan and related accrued interest were forgiven in full. The Company recorded the forgiveness as a gain on debt extinguishment in our consolidated financial statements resulting in the increase in Other Income for the fiscal year ended June 30, 2021. See Paycheck Protection Program Loan section above for details.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Interest expense for the fiscal year ended June 30, 2021 was primarily related to the recognition of the remaining balance of unamortized debt issuance costs and debt discount related to the senior secured term loan facility with Antara Capital Master Fund LP of $2.6 million into interest expense, related to the repayment of all amounts outstanding under the 2020 Antara Term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 Adjusted EBITDA</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Adjusted earnings before income taxes, depreciation, and amortization (“Adjusted EBITDA”) is a non-GAAP financial measure which is not required by or defined under GAAP. We use this non-GAAP financial measure for financial and operational decision-making purposes and as a means to evaluate period-to-period comparisons. We believe that this non-GAAP financial measure provides useful information about our operating results, enhances the overall understanding of past financial performance and future prospects and allows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Adjusted EBITDA as U.S. GAAP net loss before (i) interest income (ii) interest expense on debt and reserves (iii) income tax expense (iv) depreciation (v) amortization (vi) stock-based compensation expense (vii) non-recurring fees and charges that were incurred in connection with the 2019 Investigation and financial statement restatement activities as well as proxy solicitation costs and (viii) certain other significant infrequent or unusual losses and gains that are not indicative of our core operations.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Below is a reconciliation of U.S. GAAP net loss to Adjusted EBITDA for the fiscal years ended June 30, 2021, 2020, and 2019:</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8"/>
        </w:trPr>
        <w:tc>
          <w:tcPr>
            <w:tcW w:w="65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197"/>
        </w:trPr>
        <w:tc>
          <w:tcPr>
            <w:tcW w:w="6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(29,882)</w:t>
            </w: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Less: interest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(1,555)</w:t>
            </w:r>
          </w:p>
        </w:tc>
      </w:tr>
      <w:tr>
        <w:trPr>
          <w:trHeight w:val="229"/>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Plus: interest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r>
      <w:tr>
        <w:trPr>
          <w:trHeight w:val="229"/>
        </w:trPr>
        <w:tc>
          <w:tcPr>
            <w:tcW w:w="6500" w:type="dxa"/>
            <w:vAlign w:val="bottom"/>
          </w:tcPr>
          <w:p>
            <w:pPr>
              <w:ind w:left="140"/>
              <w:spacing w:after="0"/>
              <w:rPr>
                <w:sz w:val="20"/>
                <w:szCs w:val="20"/>
                <w:color w:val="auto"/>
              </w:rPr>
            </w:pPr>
            <w:r>
              <w:rPr>
                <w:rFonts w:ascii="Arial" w:cs="Arial" w:eastAsia="Arial" w:hAnsi="Arial"/>
                <w:sz w:val="18"/>
                <w:szCs w:val="18"/>
                <w:color w:val="auto"/>
              </w:rPr>
              <w:t>Plus: income tax provision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Plus: depreciation expense included in cost of sales for rentals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w:t>
            </w:r>
          </w:p>
        </w:tc>
      </w:tr>
      <w:tr>
        <w:trPr>
          <w:trHeight w:val="229"/>
        </w:trPr>
        <w:tc>
          <w:tcPr>
            <w:tcW w:w="6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Plus: depreciation and amortization expense in operating expenses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(20,679)</w:t>
            </w:r>
          </w:p>
        </w:tc>
      </w:tr>
      <w:tr>
        <w:trPr>
          <w:trHeight w:val="223"/>
        </w:trPr>
        <w:tc>
          <w:tcPr>
            <w:tcW w:w="6500" w:type="dxa"/>
            <w:vAlign w:val="bottom"/>
          </w:tcPr>
          <w:p>
            <w:pPr>
              <w:ind w:left="140"/>
              <w:spacing w:after="0" w:line="223" w:lineRule="exact"/>
              <w:rPr>
                <w:sz w:val="20"/>
                <w:szCs w:val="20"/>
                <w:color w:val="auto"/>
              </w:rPr>
            </w:pPr>
            <w:r>
              <w:rPr>
                <w:rFonts w:ascii="Arial" w:cs="Arial" w:eastAsia="Arial" w:hAnsi="Arial"/>
                <w:sz w:val="18"/>
                <w:szCs w:val="18"/>
                <w:color w:val="auto"/>
              </w:rPr>
              <w:t xml:space="preserve">Plus: stock-based compensation </w:t>
            </w:r>
            <w:r>
              <w:rPr>
                <w:rFonts w:ascii="Arial" w:cs="Arial" w:eastAsia="Arial" w:hAnsi="Arial"/>
                <w:sz w:val="23"/>
                <w:szCs w:val="23"/>
                <w:color w:val="auto"/>
                <w:vertAlign w:val="superscript"/>
              </w:rPr>
              <w:t>(a)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1,750</w:t>
            </w:r>
          </w:p>
        </w:tc>
      </w:tr>
      <w:tr>
        <w:trPr>
          <w:trHeight w:val="230"/>
        </w:trPr>
        <w:tc>
          <w:tcPr>
            <w:tcW w:w="65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Plus: investigation, proxy solicitation and restatement expenses </w:t>
            </w:r>
            <w:r>
              <w:rPr>
                <w:rFonts w:ascii="Arial" w:cs="Arial" w:eastAsia="Arial" w:hAnsi="Arial"/>
                <w:sz w:val="23"/>
                <w:szCs w:val="23"/>
                <w:color w:val="auto"/>
                <w:vertAlign w:val="superscript"/>
              </w:rPr>
              <w:t>(b)</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16,073</w:t>
            </w:r>
          </w:p>
        </w:tc>
      </w:tr>
      <w:tr>
        <w:trPr>
          <w:trHeight w:val="229"/>
        </w:trPr>
        <w:tc>
          <w:tcPr>
            <w:tcW w:w="65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Plus: asset impairment charge </w:t>
            </w:r>
            <w:r>
              <w:rPr>
                <w:rFonts w:ascii="Arial" w:cs="Arial" w:eastAsia="Arial" w:hAnsi="Arial"/>
                <w:sz w:val="23"/>
                <w:szCs w:val="23"/>
                <w:color w:val="auto"/>
                <w:vertAlign w:val="superscript"/>
              </w:rPr>
              <w:t>(c)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Less: gain on extinguishment of debt </w:t>
            </w:r>
            <w:r>
              <w:rPr>
                <w:rFonts w:ascii="Arial" w:cs="Arial" w:eastAsia="Arial" w:hAnsi="Arial"/>
                <w:sz w:val="23"/>
                <w:szCs w:val="23"/>
                <w:color w:val="auto"/>
                <w:vertAlign w:val="superscript"/>
              </w:rPr>
              <w:t>(d)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Plus: integration and acquisition costs </w:t>
            </w:r>
            <w:r>
              <w:rPr>
                <w:rFonts w:ascii="Arial" w:cs="Arial" w:eastAsia="Arial" w:hAnsi="Arial"/>
                <w:sz w:val="23"/>
                <w:szCs w:val="23"/>
                <w:color w:val="auto"/>
                <w:vertAlign w:val="superscript"/>
              </w:rPr>
              <w:t>(e)</w:t>
            </w: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1,338</w:t>
            </w:r>
          </w:p>
        </w:tc>
      </w:tr>
      <w:tr>
        <w:trPr>
          <w:trHeight w:val="223"/>
        </w:trPr>
        <w:tc>
          <w:tcPr>
            <w:tcW w:w="65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Adjustments to EBITDA</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19,161</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r>
      <w:tr>
        <w:trPr>
          <w:trHeight w:val="21"/>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620" w:hanging="288"/>
        <w:spacing w:after="0"/>
        <w:tabs>
          <w:tab w:leader="none" w:pos="6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an adjustment to EBITDA, we have excluded stock-based compensation, as it does not reflect our cash-based operations.</w:t>
      </w:r>
    </w:p>
    <w:p>
      <w:pPr>
        <w:spacing w:after="0" w:line="13" w:lineRule="exact"/>
        <w:rPr>
          <w:rFonts w:ascii="Arial" w:cs="Arial" w:eastAsia="Arial" w:hAnsi="Arial"/>
          <w:sz w:val="14"/>
          <w:szCs w:val="14"/>
          <w:color w:val="auto"/>
        </w:rPr>
      </w:pPr>
    </w:p>
    <w:p>
      <w:pPr>
        <w:ind w:left="660" w:hanging="328"/>
        <w:spacing w:after="0" w:line="241" w:lineRule="auto"/>
        <w:tabs>
          <w:tab w:leader="none" w:pos="682"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an adjustment to EBITDA, we have excluded the professional fees incurred in connection with the non-recurring costs and expenses related to the 2019 Investigation, financial statement restatement activities, and proxy solicitation costs because we believe that they represent charges that are not related to our core operations.</w:t>
      </w:r>
    </w:p>
    <w:p>
      <w:pPr>
        <w:ind w:left="660" w:hanging="328"/>
        <w:spacing w:after="0" w:line="241" w:lineRule="auto"/>
        <w:tabs>
          <w:tab w:leader="none" w:pos="706"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an adjustment to EBITDA, we have excluded the non-cash impairment charges related to long-lived operating lease right-of-use assets because we believe that these do not represent charges that are related to our core operations.</w:t>
      </w:r>
    </w:p>
    <w:p>
      <w:pPr>
        <w:ind w:left="680" w:hanging="348"/>
        <w:spacing w:after="0"/>
        <w:tabs>
          <w:tab w:leader="none" w:pos="6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an adjustment to EBITDA, we have excluded the one-time gain related to the forgiveness of our PPP loan.</w:t>
      </w:r>
    </w:p>
    <w:p>
      <w:pPr>
        <w:spacing w:after="0" w:line="1" w:lineRule="exact"/>
        <w:rPr>
          <w:rFonts w:ascii="Arial" w:cs="Arial" w:eastAsia="Arial" w:hAnsi="Arial"/>
          <w:sz w:val="14"/>
          <w:szCs w:val="14"/>
          <w:color w:val="auto"/>
        </w:rPr>
      </w:pPr>
    </w:p>
    <w:p>
      <w:pPr>
        <w:ind w:left="660" w:hanging="328"/>
        <w:spacing w:after="0" w:line="255" w:lineRule="auto"/>
        <w:tabs>
          <w:tab w:leader="none" w:pos="672"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an adjustment to EBITDA, we have excluded the non-recurring costs and expenses incurred in connection with business acquisitions in order to allow more accurate comparison of the financial results to historical operations.</w:t>
      </w:r>
    </w:p>
    <w:p>
      <w:pPr>
        <w:sectPr>
          <w:pgSz w:w="11900" w:h="16838" w:orient="portrait"/>
          <w:cols w:equalWidth="0" w:num="1">
            <w:col w:w="11240"/>
          </w:cols>
          <w:pgMar w:left="320" w:top="1111" w:right="339" w:bottom="4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48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Historically, we have financed our operations primarily through cash from operating activities, debt financings, and equity issuances. The Company has the following primary sources of capital available: (1) cash and cash equivalents on hand of $88.1 million as of June 30, 2021; (2) the cash that may be provided by operating activities; and (3) up to $5 million available to be drawn on the 2021 JPMorgan Revolving Facility (as defined below in Item 7A). In addition, management continues to implement efficiencies in working capital that are designed to increase our cash balances.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24, 2021, the Company entered into separate subscription agreements in identical form and substance (the “Subscription Agreements”) with institutional accredited investors (the “Purchasers”) relating to a private placement (the “Private Placement”) with respect to the sale of an aggregate of 5,730,000 shares of the Company’s common stock. The Private Placement closed on March 4, 2021 and the Company received aggregate gross proceeds of approximately $55 million based on the offering price of $9.60 per share (the “Purchase Price”). The Company incurred $2.6 million in direct and incremental issuance costs relating to the Private Placement that were accounted as a reduction in the proceeds of the stock.</w:t>
      </w:r>
    </w:p>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During the year ended June 30, 2021, the Company entered into the 2021 JPMorgan Credit Agreement (as defined below in Item 7A) and repaid all amounts outstanding under the 2020 Antara Term Facility. The Company also paid $1.2 million to Antara for the commitment termination fee and prepayment premium, and paid $2.6 million towards the settlement of a consolidated shareholder class action lawsuit. For additional discussion on the litigation, see Note 17 to our Consolidated Financial Statements.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fourth quarter of fiscal year 2020, we received loan proceeds of approximately $3.1 million (the “PPP Loan”) pursuant to the Paycheck Protection Program under the Coronavirus Aid, Relief, and Economic Security Act (the “CARES Act”) administered by the U.S. Small Business Administration (the “SBA”). On June 8, 2021, the SBA notified the Company of the forgiveness of the PPP Loan which covers the principal and related accrued interest. The SBA reserves the right to audit any PPP loan, regardless of size. These audits may occur after forgiveness has been granted. Under the CARES Act, all borrowers are required to maintain their loan documentation for six years after the PPP loan was forgiven or repaid in full and to provide that documentation to the SBA upon request.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has estimated and recorded for potential sales tax and related interest and penalty liabilities of $17.1 million in the aggregate as of June 30, 2021. The Company continues to evaluate these liabilities and the amount and timing of any such payments.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believes that its current financial resources will be sufficient to fund its current twelve-month operating budget from the date of issuance of these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Below are charts that reflect our cash liquidity and outstanding debt for the years ended June 30,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151765</wp:posOffset>
            </wp:positionV>
            <wp:extent cx="5572125" cy="2571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7212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Consolidated Statement of Cash Flows in Item 8 of this Annual Report for details on the changes in cash and cash equivalents classified by operating, investing and financing activities during our respective reporting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117475</wp:posOffset>
            </wp:positionV>
            <wp:extent cx="2785745" cy="2571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8574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operating activities was $8.2 million for the year ended June 30, 2021 compared to cash used in operating activities of $14.1 million for the year ended June 30, 2020. The $8.2 million cash provided by operating activities reflects our net loss of $8.7 million, $3.6 million utilized by changes in working capital accounts offset by $20.5 million in non-cash operating charges.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utilized by working capital accounts of approximately $3.6 million was principally a function of a $10.1 million increase in accounts receivable driven by increased equipment sales and processing volumes in the fourth quarter of fiscal year 2021 offset by $7 million increase in accounts payable and accrued expenses which was comprised of funds owed to customers as a result of larger processing volumes in the fourth quarter of fiscal year 2021 and a reduction in the legal reserve due to the settlement of the shareholder class action lawsuit in fiscal year 2021.</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Non-cash operating charges primarily consisted of stock-based compensation, depreciation of property and equipment, amortization of our intangible assets, amortization of debt discounts and asset impairment charges offset by a gain recognized on the extinguishment of our PPP loan.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used in investing activities was $1.8 million for the year ended June 30, 2021 compared to cash used of $2.5 million in the same period in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Cash provided by financing activities was $50.1 million for the year ended June 30, 2021 compared to cash provided of $20.9 million in the prior year. During the current fiscal year, the Company raised $52.4 million of proceeds (net of issuance costs) through a private placement transaction with respect to the sale of an aggregate of 5,730,000 shares of the Company’s common stock to accredited investors (described below). The Company paid $1.2 million as a prepayment penalty and commitment termination fee to Antara as part of the repayment of the 2020 Antara Term Facility and paid $0.5 million of debt issuance costs as a result of entering into the 2021 JPMorgan Credit Facility (described below in Item 7A).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Company had certain contractual obligations due over a period of time as summarized in the following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center"/>
              <w:ind w:left="896"/>
              <w:spacing w:after="0"/>
              <w:rPr>
                <w:sz w:val="20"/>
                <w:szCs w:val="20"/>
                <w:color w:val="auto"/>
              </w:rPr>
            </w:pPr>
            <w:r>
              <w:rPr>
                <w:rFonts w:ascii="Arial" w:cs="Arial" w:eastAsia="Arial" w:hAnsi="Arial"/>
                <w:sz w:val="14"/>
                <w:szCs w:val="14"/>
                <w:b w:val="1"/>
                <w:bCs w:val="1"/>
                <w:color w:val="auto"/>
                <w:w w:val="91"/>
              </w:rPr>
              <w:t>Payments Due by Fiscal Year</w:t>
            </w: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96"/>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320" w:type="dxa"/>
            <w:vAlign w:val="bottom"/>
          </w:tcPr>
          <w:p>
            <w:pPr>
              <w:spacing w:after="0"/>
              <w:rPr>
                <w:sz w:val="17"/>
                <w:szCs w:val="17"/>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Less than 1 year</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1-3 years</w:t>
            </w:r>
          </w:p>
        </w:tc>
        <w:tc>
          <w:tcPr>
            <w:tcW w:w="28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Arial" w:cs="Arial" w:eastAsia="Arial" w:hAnsi="Arial"/>
                <w:sz w:val="14"/>
                <w:szCs w:val="14"/>
                <w:b w:val="1"/>
                <w:bCs w:val="1"/>
                <w:color w:val="auto"/>
                <w:w w:val="94"/>
              </w:rPr>
              <w:t>More than 5 years</w:t>
            </w:r>
          </w:p>
        </w:tc>
      </w:tr>
      <w:tr>
        <w:trPr>
          <w:trHeight w:val="223"/>
        </w:trPr>
        <w:tc>
          <w:tcPr>
            <w:tcW w:w="3580" w:type="dxa"/>
            <w:vAlign w:val="bottom"/>
            <w:tcBorders>
              <w:top w:val="single" w:sz="8" w:color="auto"/>
            </w:tcBorders>
          </w:tcPr>
          <w:p>
            <w:pPr>
              <w:ind w:left="20"/>
              <w:spacing w:after="0" w:line="223" w:lineRule="exact"/>
              <w:rPr>
                <w:sz w:val="20"/>
                <w:szCs w:val="20"/>
                <w:color w:val="auto"/>
              </w:rPr>
            </w:pPr>
            <w:r>
              <w:rPr>
                <w:rFonts w:ascii="Arial" w:cs="Arial" w:eastAsia="Arial" w:hAnsi="Arial"/>
                <w:sz w:val="18"/>
                <w:szCs w:val="18"/>
                <w:color w:val="auto"/>
              </w:rPr>
              <w:t xml:space="preserve">Debt and financing obligations </w:t>
            </w:r>
            <w:r>
              <w:rPr>
                <w:rFonts w:ascii="Arial" w:cs="Arial" w:eastAsia="Arial" w:hAnsi="Arial"/>
                <w:sz w:val="23"/>
                <w:szCs w:val="23"/>
                <w:color w:val="auto"/>
                <w:vertAlign w:val="superscript"/>
              </w:rPr>
              <w:t>(a)</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15,136</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3"/>
                <w:szCs w:val="23"/>
                <w:color w:val="auto"/>
                <w:vertAlign w:val="superscript"/>
              </w:rPr>
              <w:t>(b)</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36"/>
        </w:trPr>
        <w:tc>
          <w:tcPr>
            <w:tcW w:w="3700" w:type="dxa"/>
            <w:vAlign w:val="bottom"/>
            <w:gridSpan w:val="2"/>
          </w:tcPr>
          <w:p>
            <w:pPr>
              <w:ind w:left="20"/>
              <w:spacing w:after="0" w:line="235"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(c)</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Total contractual obligations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49,336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38,469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1"/>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660" w:hanging="328"/>
        <w:spacing w:after="0" w:line="250" w:lineRule="auto"/>
        <w:tabs>
          <w:tab w:leader="none" w:pos="692"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debt and financing obligations include both principal and interest obligations. As of June 30, 2021, an interest rate of 5% was used to compute the amount of the contractual obligations for interest on the 2021 JPMorgan Credit Agreement. See Note 10 to the consolidated financial statements for further information.</w:t>
      </w:r>
    </w:p>
    <w:p>
      <w:pPr>
        <w:ind w:left="640" w:hanging="308"/>
        <w:spacing w:after="0"/>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Operating lease obligations represent our undiscounted operating lease liabilities as of June 30, 2021. See Note 3 to the consolidated financial statements for further information.</w:t>
      </w:r>
    </w:p>
    <w:p>
      <w:pPr>
        <w:spacing w:after="0" w:line="12" w:lineRule="exact"/>
        <w:rPr>
          <w:rFonts w:ascii="Arial" w:cs="Arial" w:eastAsia="Arial" w:hAnsi="Arial"/>
          <w:sz w:val="13"/>
          <w:szCs w:val="13"/>
          <w:color w:val="auto"/>
        </w:rPr>
      </w:pPr>
    </w:p>
    <w:p>
      <w:pPr>
        <w:ind w:left="640" w:hanging="308"/>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Purchase obligations primarily represent firm commitments to purchase inventory. See Note 17 to the consolidated financial statements for further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June 30, 2021 we are exposed to market risk related to changes in interest rates on our outstanding borrowings. On August 14, 2020, the Company repaid all amounts outstanding under the 2020 Antara Term Facility and entered into a credit agreement with JPMorgan Chase Bank, N.A (the “2021 JPMorgan Credit Agreement”) for a $5 million secured revolving credit facility (the “2021 JPMorgan Revolving Facility”) and a $15 million secured term facility (the “2021 JPMorgan Secured Term Facility” and together with the 2021 JPMorgan Revolving Facility, the “2021 JPMorgan Credit Facility”). The 2021 JPMorgan Credit Facility has a three-year maturity, with interest determined, at the Company’s option, on a base rate of LIBOR or Prime Rate plus an applicable spread tied to the Company’s total leverage ratio and having ranges between 2.75% and 3.75% for Prime rate loans and between 3.75% and 4.75% for LIBOR rate loans. Currently our borrowings are subject to a LIBOR based interest rate. An increase of 100 basis points in Prime Rate or LIBOR Rate would not have a material impact on our interest expense or condensed consolidated financial statements.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also exposed to market risk related to changes in interest rates on our cash investments. We invest our excess cash in money market funds that we believe are highly liquid and marketable in the short term. These investments earn a floating rate of interest and are not held for trading or other speculative purposes. Consequently, our exposure to market risks for interest rate changes related to our money market funds is not material. Market risks related to fluctuations of foreign currencies are not material and we have no freestanding derivative instruments as of June 30, 2021.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CANTALOUPE,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240" w:type="dxa"/>
            <w:vAlign w:val="bottom"/>
            <w:gridSpan w:val="8"/>
          </w:tcPr>
          <w:p>
            <w:pPr>
              <w:spacing w:after="0"/>
              <w:rPr>
                <w:sz w:val="20"/>
                <w:szCs w:val="20"/>
                <w:color w:val="auto"/>
              </w:rPr>
            </w:pPr>
            <w:r>
              <w:rPr>
                <w:rFonts w:ascii="Arial" w:cs="Arial" w:eastAsia="Arial" w:hAnsi="Arial"/>
                <w:sz w:val="18"/>
                <w:szCs w:val="18"/>
                <w:color w:val="auto"/>
              </w:rPr>
              <w:t>Financial Statements:</w:t>
            </w:r>
          </w:p>
        </w:tc>
        <w:tc>
          <w:tcPr>
            <w:tcW w:w="1940" w:type="dxa"/>
            <w:vAlign w:val="bottom"/>
          </w:tcPr>
          <w:p>
            <w:pPr>
              <w:spacing w:after="0"/>
              <w:rPr>
                <w:sz w:val="20"/>
                <w:szCs w:val="20"/>
                <w:color w:val="auto"/>
              </w:rPr>
            </w:pPr>
          </w:p>
        </w:tc>
      </w:tr>
      <w:tr>
        <w:trPr>
          <w:trHeight w:val="283"/>
        </w:trPr>
        <w:tc>
          <w:tcPr>
            <w:tcW w:w="9240" w:type="dxa"/>
            <w:vAlign w:val="bottom"/>
            <w:gridSpan w:val="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Report of Independent Registered Public Accounting Firm</w:t>
              </w:r>
            </w:hyperlink>
          </w:p>
        </w:tc>
        <w:tc>
          <w:tcPr>
            <w:tcW w:w="194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43</w:t>
              </w:r>
            </w:hyperlink>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750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Report of Independent Registered Public Accounting Firm on Internal Control over Financial Reporting</w:t>
              </w:r>
            </w:hyperlink>
          </w:p>
        </w:tc>
        <w:tc>
          <w:tcPr>
            <w:tcW w:w="1740" w:type="dxa"/>
            <w:vAlign w:val="bottom"/>
          </w:tcPr>
          <w:p>
            <w:pPr>
              <w:spacing w:after="0"/>
              <w:rPr>
                <w:sz w:val="21"/>
                <w:szCs w:val="21"/>
                <w:color w:val="auto"/>
              </w:rPr>
            </w:pPr>
          </w:p>
        </w:tc>
        <w:tc>
          <w:tcPr>
            <w:tcW w:w="194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45</w:t>
              </w:r>
            </w:hyperlink>
          </w:p>
        </w:tc>
      </w:tr>
      <w:tr>
        <w:trPr>
          <w:trHeight w:val="250"/>
        </w:trPr>
        <w:tc>
          <w:tcPr>
            <w:tcW w:w="2100" w:type="dxa"/>
            <w:vAlign w:val="bottom"/>
            <w:tcBorders>
              <w:bottom w:val="single" w:sz="8" w:color="0000FF"/>
            </w:tcBorders>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Consolidated Balance Sheets</w:t>
              </w:r>
            </w:hyperlink>
          </w:p>
        </w:tc>
        <w:tc>
          <w:tcPr>
            <w:tcW w:w="7140" w:type="dxa"/>
            <w:vAlign w:val="bottom"/>
            <w:gridSpan w:val="7"/>
          </w:tcPr>
          <w:p>
            <w:pPr>
              <w:spacing w:after="0"/>
              <w:rPr>
                <w:sz w:val="21"/>
                <w:szCs w:val="21"/>
                <w:color w:val="auto"/>
              </w:rPr>
            </w:pPr>
          </w:p>
        </w:tc>
        <w:tc>
          <w:tcPr>
            <w:tcW w:w="194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46</w:t>
              </w:r>
            </w:hyperlink>
          </w:p>
        </w:tc>
      </w:tr>
      <w:tr>
        <w:trPr>
          <w:trHeight w:val="250"/>
        </w:trPr>
        <w:tc>
          <w:tcPr>
            <w:tcW w:w="282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Consolidated Statements of Operations</w:t>
              </w:r>
            </w:hyperlink>
          </w:p>
        </w:tc>
        <w:tc>
          <w:tcPr>
            <w:tcW w:w="6420" w:type="dxa"/>
            <w:vAlign w:val="bottom"/>
            <w:gridSpan w:val="6"/>
          </w:tcPr>
          <w:p>
            <w:pPr>
              <w:spacing w:after="0"/>
              <w:rPr>
                <w:sz w:val="21"/>
                <w:szCs w:val="21"/>
                <w:color w:val="auto"/>
              </w:rPr>
            </w:pPr>
          </w:p>
        </w:tc>
        <w:tc>
          <w:tcPr>
            <w:tcW w:w="194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47</w:t>
              </w:r>
            </w:hyperlink>
          </w:p>
        </w:tc>
      </w:tr>
      <w:tr>
        <w:trPr>
          <w:trHeight w:val="250"/>
        </w:trPr>
        <w:tc>
          <w:tcPr>
            <w:tcW w:w="356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Consolidated Statements of Shareholders’ Equity</w:t>
              </w:r>
            </w:hyperlink>
          </w:p>
        </w:tc>
        <w:tc>
          <w:tcPr>
            <w:tcW w:w="5680" w:type="dxa"/>
            <w:vAlign w:val="bottom"/>
            <w:gridSpan w:val="3"/>
          </w:tcPr>
          <w:p>
            <w:pPr>
              <w:spacing w:after="0"/>
              <w:rPr>
                <w:sz w:val="21"/>
                <w:szCs w:val="21"/>
                <w:color w:val="auto"/>
              </w:rPr>
            </w:pPr>
          </w:p>
        </w:tc>
        <w:tc>
          <w:tcPr>
            <w:tcW w:w="19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48</w:t>
              </w:r>
            </w:hyperlink>
          </w:p>
        </w:tc>
      </w:tr>
      <w:tr>
        <w:trPr>
          <w:trHeight w:val="250"/>
        </w:trPr>
        <w:tc>
          <w:tcPr>
            <w:tcW w:w="288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Consolidated Statements of Cash Flows</w:t>
              </w:r>
            </w:hyperlink>
          </w:p>
        </w:tc>
        <w:tc>
          <w:tcPr>
            <w:tcW w:w="6360" w:type="dxa"/>
            <w:vAlign w:val="bottom"/>
            <w:gridSpan w:val="5"/>
          </w:tcPr>
          <w:p>
            <w:pPr>
              <w:spacing w:after="0"/>
              <w:rPr>
                <w:sz w:val="21"/>
                <w:szCs w:val="21"/>
                <w:color w:val="auto"/>
              </w:rPr>
            </w:pPr>
          </w:p>
        </w:tc>
        <w:tc>
          <w:tcPr>
            <w:tcW w:w="194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49</w:t>
              </w:r>
            </w:hyperlink>
          </w:p>
        </w:tc>
      </w:tr>
      <w:tr>
        <w:trPr>
          <w:trHeight w:val="250"/>
        </w:trPr>
        <w:tc>
          <w:tcPr>
            <w:tcW w:w="316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Notes to Consolidated Financial Statements</w:t>
              </w:r>
            </w:hyperlink>
          </w:p>
        </w:tc>
        <w:tc>
          <w:tcPr>
            <w:tcW w:w="6080" w:type="dxa"/>
            <w:vAlign w:val="bottom"/>
            <w:gridSpan w:val="4"/>
          </w:tcPr>
          <w:p>
            <w:pPr>
              <w:spacing w:after="0"/>
              <w:rPr>
                <w:sz w:val="21"/>
                <w:szCs w:val="21"/>
                <w:color w:val="auto"/>
              </w:rPr>
            </w:pPr>
          </w:p>
        </w:tc>
        <w:tc>
          <w:tcPr>
            <w:tcW w:w="194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50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Cantaloupe,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Malvern, Pennsylvania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Cantaloupe, Inc. (the “Company”) as of June 30, 2021 and 2020, the related consolidated statements of operations, shareholders’ equity, and cash flows for each of the three years in the period ended June 30, 2021, and the related notes (collectively referred to as the “consolidated financial statements”). In our opinion, the consolidated financial statements present fairly, in all material respects, the financial position of the Company at June 30, 2021 and 2020, and the results of its operations and its cash flows for each of the three years in the period ended June 30, 2021, in conformity with accounting principles generally accepted in the United States of America.</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June 30,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September 3, 2021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discussed in Note 2 to the consolidated financial statements, effective July 1, 2020, the Company changed its method of accounting for credit losses due to the adoption of Accounting Standards Codification (“ASC”) Topic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and effective July 1, 2019, the Company changed its method of accounting for leases due to the adoption of ASC Topic 842, Leases.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Notes 2 and 4 to the consolidated financial statements, the Company had consolidated revenues for the year ended June 30, 2021 of $167 million. The Company recognizes revenue as performance obligations within a contract are satisfied in an amount the Company expects to be entitled in exchange for those goods or services. Complex arrangements may require significant judgment in contract interpretation to determine the appropriate accounting.</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43" w:name="page44"/>
    <w:bookmarkEnd w:id="43"/>
    <w:p>
      <w:pPr>
        <w:jc w:val="both"/>
        <w:spacing w:after="0" w:line="254" w:lineRule="auto"/>
        <w:rPr>
          <w:sz w:val="20"/>
          <w:szCs w:val="20"/>
          <w:color w:val="auto"/>
        </w:rPr>
      </w:pPr>
      <w:r>
        <w:rPr>
          <w:rFonts w:ascii="Arial" w:cs="Arial" w:eastAsia="Arial" w:hAnsi="Arial"/>
          <w:sz w:val="18"/>
          <w:szCs w:val="18"/>
          <w:color w:val="auto"/>
        </w:rPr>
        <w:t>We identified revenue recognition as a critical audit matter. Significant judgment is exercised by the Company when determining revenue recognition for customer contracts including i) whether the Company is the principal or an agent to a transaction and ii) the transaction price allocations for contracts with multiple performance obligations. Auditing these elements involved significant auditor judgment due to the nature and extent of audit effort required to address these matters.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3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Assessing management’s determination of whether the Company acts as principal or agent for the bundle of services contracted by the customer.</w:t>
      </w:r>
    </w:p>
    <w:p>
      <w:pPr>
        <w:spacing w:after="0" w:line="46"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Testing a sample of revenue contracts to evaluate i) management’s identification of the nature and extent of performance obligations by reading the related contract and evaluating the appropriateness of management’s application of their accounting policies and ii) management’s allocation of the transaction price to the applicable performance obligations.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Cantaloupe,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Malvern, Pennsylvania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Cantaloupe, Inc.’s (the “Company’s”) internal control over financial reporting as of June 30, 2021,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 (the “COSO criteria”). In our</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the Company maintained, in all material respects, effective internal control over financial reporting as of June 30, 2021, based on the COSO criteria.</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June 30, 2021 and 2020, the related consolidated statements of operations, shareholders’ equity, and cash flows for each of the three years in the period ended June 30, 2021, and the related notes (collectively referred to as “the financial statements”) and our report dated September 3, 2021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440" w:type="dxa"/>
            <w:vAlign w:val="bottom"/>
          </w:tcPr>
          <w:p>
            <w:pPr>
              <w:spacing w:after="0"/>
              <w:rPr>
                <w:sz w:val="20"/>
                <w:szCs w:val="20"/>
                <w:color w:val="auto"/>
              </w:rPr>
            </w:pPr>
            <w:r>
              <w:rPr>
                <w:rFonts w:ascii="Arial" w:cs="Arial" w:eastAsia="Arial" w:hAnsi="Arial"/>
                <w:sz w:val="14"/>
                <w:szCs w:val="14"/>
                <w:b w:val="1"/>
                <w:bCs w:val="1"/>
                <w:color w:val="auto"/>
              </w:rPr>
              <w:t>($ in thousands, except per share data)</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5"/>
        </w:trPr>
        <w:tc>
          <w:tcPr>
            <w:tcW w:w="8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31,713</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17,273</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receivables,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30"/>
        </w:trPr>
        <w:tc>
          <w:tcPr>
            <w:tcW w:w="8440" w:type="dxa"/>
            <w:vAlign w:val="bottom"/>
          </w:tcPr>
          <w:p>
            <w:pPr>
              <w:ind w:left="120"/>
              <w:spacing w:after="0"/>
              <w:rPr>
                <w:sz w:val="20"/>
                <w:szCs w:val="20"/>
                <w:color w:val="auto"/>
              </w:rPr>
            </w:pPr>
            <w:r>
              <w:rPr>
                <w:rFonts w:ascii="Arial" w:cs="Arial" w:eastAsia="Arial" w:hAnsi="Arial"/>
                <w:sz w:val="18"/>
                <w:szCs w:val="18"/>
                <w:color w:val="auto"/>
              </w:rPr>
              <w:t>Inventory,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9,128</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131,279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67,364</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receivables due after one year,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11,213</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7,872</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30"/>
        </w:trPr>
        <w:tc>
          <w:tcPr>
            <w:tcW w:w="8440" w:type="dxa"/>
            <w:vAlign w:val="bottom"/>
          </w:tcPr>
          <w:p>
            <w:pPr>
              <w:ind w:left="120"/>
              <w:spacing w:after="0"/>
              <w:rPr>
                <w:sz w:val="20"/>
                <w:szCs w:val="20"/>
                <w:color w:val="auto"/>
              </w:rPr>
            </w:pPr>
            <w:r>
              <w:rPr>
                <w:rFonts w:ascii="Arial" w:cs="Arial" w:eastAsia="Arial" w:hAnsi="Arial"/>
                <w:sz w:val="18"/>
                <w:szCs w:val="18"/>
                <w:color w:val="auto"/>
              </w:rPr>
              <w:t>Intangibles,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23,033</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113,659</w:t>
            </w:r>
          </w:p>
        </w:tc>
        <w:tc>
          <w:tcPr>
            <w:tcW w:w="0" w:type="dxa"/>
            <w:vAlign w:val="bottom"/>
          </w:tcPr>
          <w:p>
            <w:pPr>
              <w:spacing w:after="0"/>
              <w:rPr>
                <w:sz w:val="1"/>
                <w:szCs w:val="1"/>
                <w:color w:val="auto"/>
              </w:rPr>
            </w:pPr>
          </w:p>
        </w:tc>
      </w:tr>
      <w:tr>
        <w:trPr>
          <w:trHeight w:val="216"/>
        </w:trPr>
        <w:tc>
          <w:tcPr>
            <w:tcW w:w="84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181,023</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shareholders’ equity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27,058</w:t>
            </w:r>
          </w:p>
        </w:tc>
        <w:tc>
          <w:tcPr>
            <w:tcW w:w="0" w:type="dxa"/>
            <w:vAlign w:val="bottom"/>
          </w:tcPr>
          <w:p>
            <w:pPr>
              <w:spacing w:after="0"/>
              <w:rPr>
                <w:sz w:val="1"/>
                <w:szCs w:val="1"/>
                <w:color w:val="auto"/>
              </w:rPr>
            </w:pPr>
          </w:p>
        </w:tc>
      </w:tr>
      <w:tr>
        <w:trPr>
          <w:trHeight w:val="230"/>
        </w:trPr>
        <w:tc>
          <w:tcPr>
            <w:tcW w:w="844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30,265</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obligations under 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62,349</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12,435</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lease liabilities, non-current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17,321</w:t>
            </w:r>
          </w:p>
        </w:tc>
        <w:tc>
          <w:tcPr>
            <w:tcW w:w="0" w:type="dxa"/>
            <w:vAlign w:val="bottom"/>
          </w:tcPr>
          <w:p>
            <w:pPr>
              <w:spacing w:after="0"/>
              <w:rPr>
                <w:sz w:val="1"/>
                <w:szCs w:val="1"/>
                <w:color w:val="auto"/>
              </w:rPr>
            </w:pPr>
          </w:p>
        </w:tc>
      </w:tr>
      <w:tr>
        <w:trPr>
          <w:trHeight w:val="216"/>
        </w:trPr>
        <w:tc>
          <w:tcPr>
            <w:tcW w:w="84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83,141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79,670</w:t>
            </w:r>
          </w:p>
        </w:tc>
        <w:tc>
          <w:tcPr>
            <w:tcW w:w="0" w:type="dxa"/>
            <w:vAlign w:val="bottom"/>
          </w:tcPr>
          <w:p>
            <w:pPr>
              <w:spacing w:after="0"/>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17)</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preferred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tcPr>
          <w:p>
            <w:pPr>
              <w:ind w:left="120"/>
              <w:spacing w:after="0" w:line="176" w:lineRule="exact"/>
              <w:rPr>
                <w:sz w:val="20"/>
                <w:szCs w:val="20"/>
                <w:color w:val="auto"/>
              </w:rPr>
            </w:pPr>
            <w:r>
              <w:rPr>
                <w:rFonts w:ascii="Arial" w:cs="Arial" w:eastAsia="Arial" w:hAnsi="Arial"/>
                <w:sz w:val="18"/>
                <w:szCs w:val="18"/>
                <w:color w:val="auto"/>
                <w:w w:val="92"/>
              </w:rPr>
              <w:t>Series A convertible preferred stock, 900,000 shares authorized, 445,063 issued and outstanding, with liquidation</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30"/>
        </w:trPr>
        <w:tc>
          <w:tcPr>
            <w:tcW w:w="8440" w:type="dxa"/>
            <w:vAlign w:val="bottom"/>
          </w:tcPr>
          <w:p>
            <w:pPr>
              <w:ind w:left="120"/>
              <w:spacing w:after="0"/>
              <w:rPr>
                <w:sz w:val="20"/>
                <w:szCs w:val="20"/>
                <w:color w:val="auto"/>
              </w:rPr>
            </w:pPr>
            <w:r>
              <w:rPr>
                <w:rFonts w:ascii="Arial" w:cs="Arial" w:eastAsia="Arial" w:hAnsi="Arial"/>
                <w:sz w:val="18"/>
                <w:szCs w:val="18"/>
                <w:color w:val="auto"/>
              </w:rPr>
              <w:t>preferences of $21,447 and $20,779 at June 30, 2021 and 2020, respectively</w:t>
            </w: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Arial" w:cs="Arial" w:eastAsia="Arial" w:hAnsi="Arial"/>
                <w:sz w:val="18"/>
                <w:szCs w:val="18"/>
                <w:color w:val="auto"/>
              </w:rPr>
              <w:t>Preferred stock, no par value, 1,800,000 shares authorized</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4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5"/>
              </w:rPr>
              <w:t>Common stock, no par value, 640,000,000 shares authorized, 71,258,047 and 65,196,882 shares issued and</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462,775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401,240</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 at June 30, 2021 and 2020, respectively</w:t>
            </w: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(311,382)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(303,025)</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151,393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98,215</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Total liabilities, convertible preferred stock and shareholders’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237,672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181,023</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20"/>
          </w:cols>
          <w:pgMar w:left="320" w:top="1107"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type w:val="continuous"/>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June 30,</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197"/>
        </w:trPr>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License and transaction fees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139,242</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133,167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122,908</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21,558</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166,939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163,153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144,466</w:t>
            </w:r>
          </w:p>
        </w:tc>
      </w:tr>
      <w:tr>
        <w:trPr>
          <w:trHeight w:val="216"/>
        </w:trPr>
        <w:tc>
          <w:tcPr>
            <w:tcW w:w="7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Costs of sales: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license and transaction fees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79,980</w:t>
            </w:r>
          </w:p>
        </w:tc>
      </w:tr>
      <w:tr>
        <w:trPr>
          <w:trHeight w:val="229"/>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equipment sales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24,301</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of sales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104,281</w:t>
            </w:r>
          </w:p>
        </w:tc>
      </w:tr>
      <w:tr>
        <w:trPr>
          <w:trHeight w:val="270"/>
        </w:trPr>
        <w:tc>
          <w:tcPr>
            <w:tcW w:w="70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40,185</w:t>
            </w:r>
          </w:p>
        </w:tc>
      </w:tr>
      <w:tr>
        <w:trPr>
          <w:trHeight w:val="216"/>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61,748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46,527</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Investigation, proxy solicitation and restatement expenses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16,073</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4,430</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Integration and acquisition costs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62,731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85,865</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68,368</w:t>
            </w:r>
          </w:p>
        </w:tc>
      </w:tr>
      <w:tr>
        <w:trPr>
          <w:trHeight w:val="270"/>
        </w:trPr>
        <w:tc>
          <w:tcPr>
            <w:tcW w:w="70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(28,183)</w:t>
            </w:r>
          </w:p>
        </w:tc>
      </w:tr>
      <w:tr>
        <w:trPr>
          <w:trHeight w:val="196"/>
        </w:trPr>
        <w:tc>
          <w:tcPr>
            <w:tcW w:w="7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(2,992)</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w:t>
            </w:r>
          </w:p>
        </w:tc>
      </w:tr>
      <w:tr>
        <w:trPr>
          <w:trHeight w:val="216"/>
        </w:trPr>
        <w:tc>
          <w:tcPr>
            <w:tcW w:w="7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(40,594)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(29,620)</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196"/>
        </w:trPr>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(29,882)</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Preferred dividends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55"/>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applicable to common shares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common share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176"/>
        </w:trPr>
        <w:tc>
          <w:tcPr>
            <w:tcW w:w="7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Weighted average number of common shares outstanding used to compute net loss per share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applicable to common shares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67,002,438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62,980,193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60,061,243</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shares)</w:t>
            </w:r>
          </w:p>
        </w:tc>
        <w:tc>
          <w:tcPr>
            <w:tcW w:w="144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Deficit</w:t>
            </w:r>
          </w:p>
        </w:tc>
        <w:tc>
          <w:tcPr>
            <w:tcW w:w="300" w:type="dxa"/>
            <w:vAlign w:val="bottom"/>
          </w:tcPr>
          <w:p>
            <w:pPr>
              <w:spacing w:after="0"/>
              <w:rPr>
                <w:sz w:val="17"/>
                <w:szCs w:val="17"/>
                <w:color w:val="auto"/>
              </w:rPr>
            </w:pPr>
          </w:p>
        </w:tc>
        <w:tc>
          <w:tcPr>
            <w:tcW w:w="102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2018</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59,998,811</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375,436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(232,748)</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142,688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 adjustment for ASC 606 adoption</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80" w:type="dxa"/>
            <w:vAlign w:val="bottom"/>
          </w:tcPr>
          <w:p>
            <w:pPr>
              <w:ind w:left="20"/>
              <w:spacing w:after="0"/>
              <w:rPr>
                <w:sz w:val="20"/>
                <w:szCs w:val="20"/>
                <w:color w:val="auto"/>
              </w:rPr>
            </w:pPr>
            <w:r>
              <w:rPr>
                <w:rFonts w:ascii="Arial" w:cs="Arial" w:eastAsia="Arial" w:hAnsi="Arial"/>
                <w:sz w:val="14"/>
                <w:szCs w:val="14"/>
                <w:color w:val="auto"/>
              </w:rPr>
              <w:t>Stock based compensation</w:t>
            </w:r>
          </w:p>
        </w:tc>
        <w:tc>
          <w:tcPr>
            <w:tcW w:w="1320" w:type="dxa"/>
            <w:vAlign w:val="bottom"/>
          </w:tcPr>
          <w:p>
            <w:pPr>
              <w:jc w:val="right"/>
              <w:spacing w:after="0"/>
              <w:rPr>
                <w:sz w:val="20"/>
                <w:szCs w:val="20"/>
                <w:color w:val="auto"/>
              </w:rPr>
            </w:pPr>
            <w:r>
              <w:rPr>
                <w:rFonts w:ascii="Arial" w:cs="Arial" w:eastAsia="Arial" w:hAnsi="Arial"/>
                <w:sz w:val="14"/>
                <w:szCs w:val="14"/>
                <w:color w:val="auto"/>
              </w:rPr>
              <w:t>20,627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stock option awards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80" w:type="dxa"/>
            <w:vAlign w:val="bottom"/>
          </w:tcPr>
          <w:p>
            <w:pPr>
              <w:ind w:left="20"/>
              <w:spacing w:after="0"/>
              <w:rPr>
                <w:sz w:val="20"/>
                <w:szCs w:val="20"/>
                <w:color w:val="auto"/>
              </w:rPr>
            </w:pPr>
            <w:r>
              <w:rPr>
                <w:rFonts w:ascii="Arial" w:cs="Arial" w:eastAsia="Arial" w:hAnsi="Arial"/>
                <w:sz w:val="14"/>
                <w:szCs w:val="14"/>
                <w:color w:val="auto"/>
              </w:rPr>
              <w:t>Retirement of common stock</w:t>
            </w:r>
          </w:p>
        </w:tc>
        <w:tc>
          <w:tcPr>
            <w:tcW w:w="1320" w:type="dxa"/>
            <w:vAlign w:val="bottom"/>
          </w:tcPr>
          <w:p>
            <w:pPr>
              <w:jc w:val="right"/>
              <w:spacing w:after="0"/>
              <w:rPr>
                <w:sz w:val="20"/>
                <w:szCs w:val="20"/>
                <w:color w:val="auto"/>
              </w:rPr>
            </w:pPr>
            <w:r>
              <w:rPr>
                <w:rFonts w:ascii="Arial" w:cs="Arial" w:eastAsia="Arial" w:hAnsi="Arial"/>
                <w:sz w:val="14"/>
                <w:szCs w:val="14"/>
                <w:color w:val="auto"/>
              </w:rPr>
              <w:t>(10,957)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80" w:type="dxa"/>
            <w:vAlign w:val="bottom"/>
          </w:tcPr>
          <w:p>
            <w:pPr>
              <w:ind w:left="20"/>
              <w:spacing w:after="0"/>
              <w:rPr>
                <w:sz w:val="20"/>
                <w:szCs w:val="20"/>
                <w:color w:val="auto"/>
              </w:rPr>
            </w:pPr>
            <w:r>
              <w:rPr>
                <w:rFonts w:ascii="Arial" w:cs="Arial" w:eastAsia="Arial" w:hAnsi="Arial"/>
                <w:sz w:val="14"/>
                <w:szCs w:val="14"/>
                <w:color w:val="auto"/>
              </w:rPr>
              <w:t>Balance, June 30, 2019</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60,008,481</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376,853</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(262,430)</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114,423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580" w:type="dxa"/>
            <w:vAlign w:val="bottom"/>
          </w:tcPr>
          <w:p>
            <w:pPr>
              <w:ind w:left="20"/>
              <w:spacing w:after="0"/>
              <w:rPr>
                <w:sz w:val="20"/>
                <w:szCs w:val="20"/>
                <w:color w:val="auto"/>
              </w:rPr>
            </w:pPr>
            <w:r>
              <w:rPr>
                <w:rFonts w:ascii="Arial" w:cs="Arial" w:eastAsia="Arial" w:hAnsi="Arial"/>
                <w:sz w:val="14"/>
                <w:szCs w:val="14"/>
                <w:color w:val="auto"/>
              </w:rPr>
              <w:t>Stock based compensation</w:t>
            </w:r>
          </w:p>
        </w:tc>
        <w:tc>
          <w:tcPr>
            <w:tcW w:w="1320" w:type="dxa"/>
            <w:vAlign w:val="bottom"/>
          </w:tcPr>
          <w:p>
            <w:pPr>
              <w:jc w:val="right"/>
              <w:spacing w:after="0"/>
              <w:rPr>
                <w:sz w:val="20"/>
                <w:szCs w:val="20"/>
                <w:color w:val="auto"/>
              </w:rPr>
            </w:pPr>
            <w:r>
              <w:rPr>
                <w:rFonts w:ascii="Arial" w:cs="Arial" w:eastAsia="Arial" w:hAnsi="Arial"/>
                <w:sz w:val="14"/>
                <w:szCs w:val="14"/>
                <w:color w:val="auto"/>
              </w:rPr>
              <w:t>752,808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5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Issuance of common stock in relation to private placement, net of offering costs incurred of</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3,800,000</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16,777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$1,102</w:t>
            </w:r>
          </w:p>
        </w:tc>
        <w:tc>
          <w:tcPr>
            <w:tcW w:w="13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80" w:type="dxa"/>
            <w:vAlign w:val="bottom"/>
          </w:tcPr>
          <w:p>
            <w:pPr>
              <w:ind w:left="20"/>
              <w:spacing w:after="0"/>
              <w:rPr>
                <w:sz w:val="20"/>
                <w:szCs w:val="20"/>
                <w:color w:val="auto"/>
              </w:rPr>
            </w:pPr>
            <w:r>
              <w:rPr>
                <w:rFonts w:ascii="Arial" w:cs="Arial" w:eastAsia="Arial" w:hAnsi="Arial"/>
                <w:sz w:val="14"/>
                <w:szCs w:val="14"/>
                <w:color w:val="auto"/>
              </w:rPr>
              <w:t>Issuance of common stock to Hudson Executive Capital LP</w:t>
            </w:r>
          </w:p>
        </w:tc>
        <w:tc>
          <w:tcPr>
            <w:tcW w:w="1320" w:type="dxa"/>
            <w:vAlign w:val="bottom"/>
          </w:tcPr>
          <w:p>
            <w:pPr>
              <w:jc w:val="right"/>
              <w:spacing w:after="0"/>
              <w:rPr>
                <w:sz w:val="20"/>
                <w:szCs w:val="20"/>
                <w:color w:val="auto"/>
              </w:rPr>
            </w:pPr>
            <w:r>
              <w:rPr>
                <w:rFonts w:ascii="Arial" w:cs="Arial" w:eastAsia="Arial" w:hAnsi="Arial"/>
                <w:sz w:val="14"/>
                <w:szCs w:val="14"/>
                <w:color w:val="auto"/>
              </w:rPr>
              <w:t>635,593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(40,595)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80" w:type="dxa"/>
            <w:vAlign w:val="bottom"/>
          </w:tcPr>
          <w:p>
            <w:pPr>
              <w:ind w:left="20"/>
              <w:spacing w:after="0"/>
              <w:rPr>
                <w:sz w:val="20"/>
                <w:szCs w:val="20"/>
                <w:color w:val="auto"/>
              </w:rPr>
            </w:pPr>
            <w:r>
              <w:rPr>
                <w:rFonts w:ascii="Arial" w:cs="Arial" w:eastAsia="Arial" w:hAnsi="Arial"/>
                <w:sz w:val="14"/>
                <w:szCs w:val="14"/>
                <w:color w:val="auto"/>
              </w:rPr>
              <w:t>Balance, June 30, 2020</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65,196,882</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401,240</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(303,025)</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98,215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580" w:type="dxa"/>
            <w:vAlign w:val="bottom"/>
          </w:tcPr>
          <w:p>
            <w:pPr>
              <w:ind w:left="20"/>
              <w:spacing w:after="0"/>
              <w:rPr>
                <w:sz w:val="20"/>
                <w:szCs w:val="20"/>
                <w:color w:val="auto"/>
              </w:rPr>
            </w:pPr>
            <w:r>
              <w:rPr>
                <w:rFonts w:ascii="Arial" w:cs="Arial" w:eastAsia="Arial" w:hAnsi="Arial"/>
                <w:sz w:val="14"/>
                <w:szCs w:val="14"/>
                <w:color w:val="auto"/>
              </w:rPr>
              <w:t>Impact of adoption of ASC 326</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and exercises (net)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319,011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580" w:type="dxa"/>
            <w:vAlign w:val="bottom"/>
          </w:tcPr>
          <w:p>
            <w:pPr>
              <w:ind w:left="20"/>
              <w:spacing w:after="0" w:line="135" w:lineRule="exact"/>
              <w:rPr>
                <w:sz w:val="20"/>
                <w:szCs w:val="20"/>
                <w:color w:val="auto"/>
              </w:rPr>
            </w:pPr>
            <w:r>
              <w:rPr>
                <w:rFonts w:ascii="Arial" w:cs="Arial" w:eastAsia="Arial" w:hAnsi="Arial"/>
                <w:sz w:val="14"/>
                <w:szCs w:val="14"/>
                <w:color w:val="auto"/>
                <w:w w:val="98"/>
              </w:rPr>
              <w:t>Issuance of common stock in relation to private placement, net of offering costs incurred of</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5,730,000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52,390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52,390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580" w:type="dxa"/>
            <w:vAlign w:val="bottom"/>
          </w:tcPr>
          <w:p>
            <w:pPr>
              <w:ind w:left="20"/>
              <w:spacing w:after="0"/>
              <w:rPr>
                <w:sz w:val="20"/>
                <w:szCs w:val="20"/>
                <w:color w:val="auto"/>
              </w:rPr>
            </w:pPr>
            <w:r>
              <w:rPr>
                <w:rFonts w:ascii="Arial" w:cs="Arial" w:eastAsia="Arial" w:hAnsi="Arial"/>
                <w:sz w:val="14"/>
                <w:szCs w:val="14"/>
                <w:color w:val="auto"/>
              </w:rPr>
              <w:t>$2,618</w:t>
            </w: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warrants</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(8,705)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(8,705)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2021</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71,258,047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462,775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(311,382)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151,393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5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June 30,</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35"/>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89"/>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7020" w:type="dxa"/>
            <w:vAlign w:val="bottom"/>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(8,705)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(40,595)</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(29,882)</w:t>
            </w:r>
          </w:p>
        </w:tc>
      </w:tr>
      <w:tr>
        <w:trPr>
          <w:trHeight w:val="192"/>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3,029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1,750</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debt issuance costs and discounts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Reimbursement of shareholder proxy solicitation costs</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expected losses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Provision for inventory reserve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3,172</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and amortization included in operating expenses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4,430</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Depreciation included in cost of sales for rental equipment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1,405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2,710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3,074</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Property and equipment write-off</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Gain on extinguishment of debt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right-of-use asset impairment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2,103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665</w:t>
            </w:r>
          </w:p>
        </w:tc>
      </w:tr>
      <w:tr>
        <w:trPr>
          <w:trHeight w:val="192"/>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(8,706)</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Finance receivables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Inventory</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1,463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(5,607)</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r>
      <w:tr>
        <w:trPr>
          <w:trHeight w:val="186"/>
        </w:trPr>
        <w:tc>
          <w:tcPr>
            <w:tcW w:w="7020" w:type="dxa"/>
            <w:vAlign w:val="bottom"/>
          </w:tcPr>
          <w:p>
            <w:pPr>
              <w:ind w:left="22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2,988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1,293</w:t>
            </w:r>
          </w:p>
        </w:tc>
      </w:tr>
      <w:tr>
        <w:trPr>
          <w:trHeight w:val="192"/>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liabilities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Deferred revenue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r>
      <w:tr>
        <w:trPr>
          <w:trHeight w:val="186"/>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(14,139)</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(28,172)</w:t>
            </w:r>
          </w:p>
        </w:tc>
      </w:tr>
      <w:tr>
        <w:trPr>
          <w:trHeight w:val="34"/>
        </w:trPr>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9"/>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7020" w:type="dxa"/>
            <w:vAlign w:val="bottom"/>
          </w:tcPr>
          <w:p>
            <w:pPr>
              <w:ind w:left="20"/>
              <w:spacing w:after="0"/>
              <w:rPr>
                <w:sz w:val="20"/>
                <w:szCs w:val="20"/>
                <w:color w:val="auto"/>
              </w:rPr>
            </w:pPr>
            <w:r>
              <w:rPr>
                <w:rFonts w:ascii="Arial" w:cs="Arial" w:eastAsia="Arial" w:hAnsi="Arial"/>
                <w:sz w:val="14"/>
                <w:szCs w:val="14"/>
                <w:color w:val="auto"/>
              </w:rPr>
              <w:t>Purchase of property and equipment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(2,538)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(4,875)</w:t>
            </w:r>
          </w:p>
        </w:tc>
      </w:tr>
      <w:tr>
        <w:trPr>
          <w:trHeight w:val="192"/>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property and equipment</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221"/>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(4,759)</w:t>
            </w:r>
          </w:p>
        </w:tc>
      </w:tr>
      <w:tr>
        <w:trPr>
          <w:trHeight w:val="188"/>
        </w:trPr>
        <w:tc>
          <w:tcPr>
            <w:tcW w:w="702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90"/>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used in retirement of common stock</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186"/>
        </w:trPr>
        <w:tc>
          <w:tcPr>
            <w:tcW w:w="7020" w:type="dxa"/>
            <w:vAlign w:val="bottom"/>
          </w:tcPr>
          <w:p>
            <w:pPr>
              <w:ind w:left="20"/>
              <w:spacing w:after="0"/>
              <w:rPr>
                <w:sz w:val="20"/>
                <w:szCs w:val="20"/>
                <w:color w:val="auto"/>
              </w:rPr>
            </w:pPr>
            <w:r>
              <w:rPr>
                <w:rFonts w:ascii="Arial" w:cs="Arial" w:eastAsia="Arial" w:hAnsi="Arial"/>
                <w:sz w:val="14"/>
                <w:szCs w:val="14"/>
                <w:color w:val="auto"/>
              </w:rPr>
              <w:t>Proceeds from long-term debt issuance by Antara, net of issuance costs paid to Antara</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14,248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equity issuance by Antara, net of issuance costs paid to Antara</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17,879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20" w:type="dxa"/>
            <w:vAlign w:val="bottom"/>
          </w:tcPr>
          <w:p>
            <w:pPr>
              <w:ind w:left="20"/>
              <w:spacing w:after="0"/>
              <w:rPr>
                <w:sz w:val="20"/>
                <w:szCs w:val="20"/>
                <w:color w:val="auto"/>
              </w:rPr>
            </w:pPr>
            <w:r>
              <w:rPr>
                <w:rFonts w:ascii="Arial" w:cs="Arial" w:eastAsia="Arial" w:hAnsi="Arial"/>
                <w:sz w:val="14"/>
                <w:szCs w:val="14"/>
                <w:color w:val="auto"/>
              </w:rPr>
              <w:t>Proceeds from PPP Loan</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3,065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repurchase of common stock awards</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186"/>
        </w:trPr>
        <w:tc>
          <w:tcPr>
            <w:tcW w:w="7020" w:type="dxa"/>
            <w:vAlign w:val="bottom"/>
          </w:tcPr>
          <w:p>
            <w:pPr>
              <w:ind w:left="20"/>
              <w:spacing w:after="0"/>
              <w:rPr>
                <w:sz w:val="20"/>
                <w:szCs w:val="20"/>
                <w:color w:val="auto"/>
              </w:rPr>
            </w:pPr>
            <w:r>
              <w:rPr>
                <w:rFonts w:ascii="Arial" w:cs="Arial" w:eastAsia="Arial" w:hAnsi="Arial"/>
                <w:sz w:val="14"/>
                <w:szCs w:val="14"/>
                <w:color w:val="auto"/>
              </w:rPr>
              <w:t>Payment of third-party debt issuance costs</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(1,980)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192"/>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long-term debt issuance by JPMorgan Chase Bank, N.A., net of debt issuance costs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20" w:type="dxa"/>
            <w:vAlign w:val="bottom"/>
          </w:tcPr>
          <w:p>
            <w:pPr>
              <w:ind w:left="20"/>
              <w:spacing w:after="0"/>
              <w:rPr>
                <w:sz w:val="20"/>
                <w:szCs w:val="20"/>
                <w:color w:val="auto"/>
              </w:rPr>
            </w:pPr>
            <w:r>
              <w:rPr>
                <w:rFonts w:ascii="Arial" w:cs="Arial" w:eastAsia="Arial" w:hAnsi="Arial"/>
                <w:sz w:val="14"/>
                <w:szCs w:val="14"/>
                <w:color w:val="auto"/>
              </w:rPr>
              <w:t>Repayment of long-term debt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(15,744)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(23,254)</w:t>
            </w:r>
          </w:p>
        </w:tc>
      </w:tr>
      <w:tr>
        <w:trPr>
          <w:trHeight w:val="192"/>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(repayments of) Revolving Credit Facility</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20" w:type="dxa"/>
            <w:vAlign w:val="bottom"/>
          </w:tcPr>
          <w:p>
            <w:pPr>
              <w:ind w:left="20"/>
              <w:spacing w:after="0"/>
              <w:rPr>
                <w:sz w:val="20"/>
                <w:szCs w:val="20"/>
                <w:color w:val="auto"/>
              </w:rPr>
            </w:pPr>
            <w:r>
              <w:rPr>
                <w:rFonts w:ascii="Arial" w:cs="Arial" w:eastAsia="Arial" w:hAnsi="Arial"/>
                <w:sz w:val="14"/>
                <w:szCs w:val="14"/>
                <w:color w:val="auto"/>
              </w:rPr>
              <w:t>Proceeds from private placement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55,008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equity issuance costs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20" w:type="dxa"/>
            <w:vAlign w:val="bottom"/>
          </w:tcPr>
          <w:p>
            <w:pPr>
              <w:ind w:left="20"/>
              <w:spacing w:after="0"/>
              <w:rPr>
                <w:sz w:val="20"/>
                <w:szCs w:val="20"/>
                <w:color w:val="auto"/>
              </w:rPr>
            </w:pPr>
            <w:r>
              <w:rPr>
                <w:rFonts w:ascii="Arial" w:cs="Arial" w:eastAsia="Arial" w:hAnsi="Arial"/>
                <w:sz w:val="14"/>
                <w:szCs w:val="14"/>
                <w:color w:val="auto"/>
              </w:rPr>
              <w:t>Payment of Antara prepayment penalty and commitment termination fee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common stock options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7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50,074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20,882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(23,569)</w:t>
            </w:r>
          </w:p>
        </w:tc>
      </w:tr>
      <w:tr>
        <w:trPr>
          <w:trHeight w:val="91"/>
        </w:trPr>
        <w:tc>
          <w:tcPr>
            <w:tcW w:w="70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186"/>
        </w:trPr>
        <w:tc>
          <w:tcPr>
            <w:tcW w:w="702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56,423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4,249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(56,500)</w:t>
            </w:r>
          </w:p>
        </w:tc>
      </w:tr>
      <w:tr>
        <w:trPr>
          <w:trHeight w:val="192"/>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year</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31,713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27,464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83,964</w:t>
            </w:r>
          </w:p>
        </w:tc>
      </w:tr>
      <w:tr>
        <w:trPr>
          <w:trHeight w:val="189"/>
        </w:trPr>
        <w:tc>
          <w:tcPr>
            <w:tcW w:w="7020" w:type="dxa"/>
            <w:vAlign w:val="bottom"/>
          </w:tcPr>
          <w:p>
            <w:pPr>
              <w:ind w:left="20"/>
              <w:spacing w:after="0"/>
              <w:rPr>
                <w:sz w:val="20"/>
                <w:szCs w:val="20"/>
                <w:color w:val="auto"/>
              </w:rPr>
            </w:pPr>
            <w:r>
              <w:rPr>
                <w:rFonts w:ascii="Arial" w:cs="Arial" w:eastAsia="Arial" w:hAnsi="Arial"/>
                <w:sz w:val="14"/>
                <w:szCs w:val="14"/>
                <w:color w:val="auto"/>
              </w:rPr>
              <w:t>Cash and cash equivalents at end of year</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88,136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31,713</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27,464</w:t>
            </w:r>
          </w:p>
        </w:tc>
      </w:tr>
      <w:tr>
        <w:trPr>
          <w:trHeight w:val="46"/>
        </w:trPr>
        <w:tc>
          <w:tcPr>
            <w:tcW w:w="70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7020" w:type="dxa"/>
            <w:vAlign w:val="bottom"/>
            <w:tcBorders>
              <w:top w:val="single" w:sz="8" w:color="CCEEFF"/>
            </w:tcBorders>
          </w:tcPr>
          <w:p>
            <w:pPr>
              <w:ind w:left="20"/>
              <w:spacing w:after="0"/>
              <w:rPr>
                <w:sz w:val="20"/>
                <w:szCs w:val="20"/>
                <w:color w:val="auto"/>
              </w:rPr>
            </w:pPr>
            <w:r>
              <w:rPr>
                <w:rFonts w:ascii="Arial" w:cs="Arial" w:eastAsia="Arial" w:hAnsi="Arial"/>
                <w:sz w:val="14"/>
                <w:szCs w:val="14"/>
                <w:i w:val="1"/>
                <w:iCs w:val="1"/>
                <w:color w:val="auto"/>
              </w:rPr>
              <w:t>Supplemental disclosures of cash flow information</w:t>
            </w:r>
            <w:r>
              <w:rPr>
                <w:rFonts w:ascii="Arial" w:cs="Arial" w:eastAsia="Arial" w:hAnsi="Arial"/>
                <w:sz w:val="14"/>
                <w:szCs w:val="14"/>
                <w:color w:val="auto"/>
              </w:rPr>
              <w:t>:</w:t>
            </w:r>
          </w:p>
        </w:tc>
        <w:tc>
          <w:tcPr>
            <w:tcW w:w="3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92"/>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paid in cash</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2,793</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29, 2021, USA Technologies, Inc. filed Articles of Amendment to its Amended and Restated Articles of Incorporation with the Pennsylvania Department of State to effect a change of the Company’s name from “USA Technologies, Inc.” to “Cantaloupe, Inc.,” effective as of April 15, 2021. On April 19, 2021, the Company’s common stock, no par value per share (the “Common Stock”), began trading on the NASDAQ Global Select Market under the ticker symbol “CTLP” and the Company’s Series A Convertible Preferred Stock, no par value per share, began trading on the OTC Markets’ Pink Open Market under the trading symbol, “CTLP”.</w:t>
      </w:r>
    </w:p>
    <w:p>
      <w:pPr>
        <w:spacing w:after="0" w:line="2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Cantaloupe, Inc. (“Cantaloupe” or the “Company”) is a digital payments and software services company that provides end-to-end technology solutions for the unattended retail market. We are transforming the unattended retail world by offering a solution for payments processing, as well as one that handles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and electric vehicle charging stations, commercial laundry, kiosks, amusements and more, can run their businesses more proactively, predictably, and competitively.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of America (U.S. GAAP) and include the accounts of the Company and its subsidiaries. All intercompany transactions and balances have been eliminated in consolidation. In the opinion of management, all adjustments considered necessary for a fair presentation, consisting of normal recurring adjustments, have been included.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as one operating segment because its chief operating decision maker, who is the Chief Executive Officer, reviews its financial information on a consolidated basis for purposes of making decisions regarding allocating resources and assessing performance.</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prior period amounts have been reclassified to conform with current year presentation. Additionally, in connection with the preparation of the condensed consolidated financial statements for the three months ended September 30, 2020, December 31, 2020 and March 31, 2021, the Company identified adjustments that related to prior period activity. The Company analyzed the potential impact of the errors in accordance with the appropriate guidance, from both a qualitative and quantitative perspective, and concluded that the errors were not material to the previously issued quarterly or annual financial statements and the correcting adjustments are included within the fiscal year ended June 30, 2021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coronavirus (COVID-19) was first identified in China in December 2019, and subsequently declared a global pandemic in March 2020 by the World Health Organization. COVID-19 containment measures began in parts of the United States in March 2020 resulting in forced closure of non-essential businesses and social distancing protocols. As a result, COVID-19 has impacted our business, significantly reducing foot traffic to distributed assets containing our electronic payment solutions and reducing discretionary spending by consumers. The Company did not observe meaningful reductions in processing volume until middle of March 2020, when average daily processing volume decreased approximately 40%. By middle of April 2020, processing volumes began to recover and have improved through June 2021 and we are now operating at pre-pandemic levels of volumes.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response to the outbreak and business disruption, first and foremost, we prioritized the health and safety of our employees while continuing to diligently serve our customers. An internal task force was created at the start of the pandemic to develop measures to protect the business in light of the volatility and uncertainty caused by the COVID-19 pandemic. This included such aspects as ensuring the safety of our employees and our community by implementing work from home policies, conserving liquidity, evaluating cost saving actions, partnering with customers to position Cantaloupe for renewed growth post crisis, and temporarily pausing plans for international expansion. The liquidity conservation and cost savings initiatives included: a 20% salary reduction for the senior leadership team through December 2020; deferral of all cash-based director fees until calendar year 2021; a temporary furlough of approximately 10% of our employee base; negotiations with and concessions from vendors in regard to cost reductions and/or payment deferrals; an increased collection effort to reduce outstanding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0" w:name="page51"/>
    <w:bookmarkEnd w:id="50"/>
    <w:p>
      <w:pPr>
        <w:jc w:val="both"/>
        <w:spacing w:after="0" w:line="255" w:lineRule="auto"/>
        <w:rPr>
          <w:sz w:val="20"/>
          <w:szCs w:val="20"/>
          <w:color w:val="auto"/>
        </w:rPr>
      </w:pPr>
      <w:r>
        <w:rPr>
          <w:rFonts w:ascii="Arial" w:cs="Arial" w:eastAsia="Arial" w:hAnsi="Arial"/>
          <w:sz w:val="18"/>
          <w:szCs w:val="18"/>
          <w:color w:val="auto"/>
        </w:rPr>
        <w:t>accounts receivables; and various supply chain/inventory improvements. During the summer of 2020 as restrictions lifted, our offices were opened with strict guidelines for social distancing and with adherence to state and local mandates. All of our furloughed employees returned to work by June 26, 2020. Many of our employees continue to work remotely full-time or part-time throughout fiscal year 2021. To date, our supply chain network has not been significantly disrupted and we are continuously monitoring for the impact from COVID-19. In addition, the Company received loan proceeds from the Paycheck Protection Program in the fourth quarter of fiscal year 2020 and our repayment obligations were forgiven in the fourth quarter of fiscal year 2021. See Note 10 for additional information.</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are encouraged by the recent gradual lifting of pandemic-related closures and other containment measures across the country, we continue to monitor the continuously evolving situation and follow guidance from federal, state and local public health authorities. Given the potential uncertainty of the situation, the Company cannot, at this time, reasonably estimate the longer-term repercussions of COVID-19 on our financial condition, results of operations or cash flows in the future.</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2021, we have evaluated the potential impact of the COVID-19 outbreak on our financial statements, including, but not limited to, the impairment of goodwill and intangible assets, impairment of long-lived assets including operating lease right-of-use assets, property and equipment and allowance for doubtful accounts for accounts and finance receivables. We have concluded that there are no material impairments as a result of our evaluation. Where applicable, we have incorporated judgments and estimates of the expected impact of COVID-19 in the preparation of the financial statements based on information currently available. These judgments and estimates may change, as new events develop and additional information is obtained, and are recognized in the consolidated financial statements as soon as they become known.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intercompany accounts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(“GAAP”) requires management to make estimates, assumptions and judgments that affect the amounts reported in the consolidated financial statements and accompanying notes.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equivalents represent all highly liquid investments with original maturities of three months or less from time of purchase. Cash equivalents are comprised of money market funds. The Company maintains its cash in bank deposit accounts where accounts may exceed federally insured limits at times. The Company deems this credit risk not to be significant as cash is held at well-capitalized financial institutions in the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include amounts due to the Company for sales of equipment, other amounts due from customers, merchant service receivables, and unbilled amounts due from customers, net of the allowance for uncollectible accounts. The Company maintains an allowance for doubtful accounts for losses resulting from the inability of its customers to make required payments, including from a shortfall in the customer transaction fund flow from which the Company would normally collect amounts due.</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On July 1, 2020, we adopted ASC Topic 326, </w:t>
      </w:r>
      <w:r>
        <w:rPr>
          <w:rFonts w:ascii="Arial" w:cs="Arial" w:eastAsia="Arial" w:hAnsi="Arial"/>
          <w:sz w:val="18"/>
          <w:szCs w:val="18"/>
          <w:i w:val="1"/>
          <w:iCs w:val="1"/>
          <w:color w:val="auto"/>
        </w:rPr>
        <w:t>Financial Instruments - Credit Losses ("</w:t>
      </w:r>
      <w:r>
        <w:rPr>
          <w:rFonts w:ascii="Arial" w:cs="Arial" w:eastAsia="Arial" w:hAnsi="Arial"/>
          <w:sz w:val="18"/>
          <w:szCs w:val="18"/>
          <w:color w:val="auto"/>
        </w:rPr>
        <w:t xml:space="preserve">Topic </w:t>
      </w:r>
      <w:r>
        <w:rPr>
          <w:rFonts w:ascii="Arial" w:cs="Arial" w:eastAsia="Arial" w:hAnsi="Arial"/>
          <w:sz w:val="18"/>
          <w:szCs w:val="18"/>
          <w:i w:val="1"/>
          <w:iCs w:val="1"/>
          <w:color w:val="auto"/>
        </w:rPr>
        <w:t>326")</w:t>
      </w:r>
      <w:r>
        <w:rPr>
          <w:rFonts w:ascii="Arial" w:cs="Arial" w:eastAsia="Arial" w:hAnsi="Arial"/>
          <w:sz w:val="18"/>
          <w:szCs w:val="18"/>
          <w:color w:val="auto"/>
        </w:rPr>
        <w:t>. Implementation of this standard is discussed below under "Measurement of Credit Losses on Financial Instruments".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allowance is calculated under an expected loss model rather than an incurred loss model. We estimate our allowance using an aging analysis of the receivables balances, primarily based on historical loss experience, as there have been no significant changes in the mix or risk characteristics of the receivable revenue streams used to calculate historical loss rates. We also take into consideration that receivables for monthly service fees that are collected as part of the flow of funds from our transaction processing service have a lower risk profile than receivables for equipment and service fees billed under the Company’s standard payment terms of 30 to 60 days from invoice issuance, and adjust our aging analysis to incorporate those risk assessments. Current conditions are analyzed at each measurement date as we reassess whether our receivables continue to exhibit similar risk characteristics as the prior measurement date, and determine if the reserve calculation needs to be adjusted for new developments, such as a customer’s inability to meet its financial obligations. Lastly, we also factor reasonable and</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color w:val="auto"/>
        </w:rPr>
        <w:t>supportable economic expectations into our allowance estimate for the asset’s entire expected life, which is generally less than one year.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writes off receivable balances against the allowance when management determines the balance is uncollectible and the Company ceases collection efforts. Management believes that the allowance recorded is adequate to provide for its estimated credit losses.</w:t>
      </w:r>
    </w:p>
    <w:p>
      <w:pPr>
        <w:spacing w:after="0" w:line="15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Estimating an allowance requires us to apply judgment in relying on historical customer payment experience, regularly analyzing the financial condition of our customers, and developing macroeconomic forecasts to adequately cover expected credit losses on our receivables. By nature, such estimates are highly subjective, and it is possible that the amount of accounts receivables that we are unable to collect may be different than the amounts initially estimated in the allowance.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offers extended payment terms to certain customers for equipment sales under its Quick Start Program. Agreements under the Quick Start Program are accounted for as sales-type leases. Accordingly, the future minimum lease payments are classified as finance receivables in the Company’s consolidated balance sheets. Finance receivables or Quick Start leases are generally for a sixty month term. The Company recognizes a portion of the note or lease payments as interest income in the accompanying consolidated financial statements based on the effective interest rate method.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Finance receivables are carried at their contractual amount net of allowance for doubtful accounts. On July 1, 2020, we adopted Topic 326. Implementation of this standard is discussed below under "Measurement of Credits Losses on Financial Instruments".</w:t>
      </w:r>
    </w:p>
    <w:p>
      <w:pPr>
        <w:spacing w:after="0" w:line="157"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allowance is calculated under an expected loss model rather than an incurred loss model. We estimate our allowance utilizing historical experience of payment performance, current conditions of the customer, and reasonable and supportable economic forecasts of collectability for the asset’s entire expected life, which is generally a sixty month term for finance receivables. Historical loss experience is utilized as there have been no significant changes in the mix or risk characteristics of the receivable revenue streams used to calculate historical loss rates. Current conditions are analyzed at each measurement date to reassess whether our receivables continue to exhibit similar risk characteristics as the prior measurement date, and determine if the reserve calculation needs to be adjusted for new developments, such as a customer’s inability to meet its financial obligations. Finance receivables are charged off against the allowance for credit losses when management determines that the finance receivables are uncollectible and the Company ceases collection efforts.</w:t>
      </w:r>
    </w:p>
    <w:p>
      <w:pPr>
        <w:spacing w:after="0" w:line="20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Estimating an allowance requires us to apply judgment in relying on historical customer payment experience, regularly analyzing the financial condition of our customers, and developing macroeconomic forecasts to adequately cover expected credit losses on our receivables. By nature, such estimates are highly subjective, and it is possible that the amount of finance receivables that we are unable to collect may be different than the amounts initially estimated in the allowance.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NET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Inventory consists of finished goods. The company's inventories are valued at the lower of cost or net realizable value, generally using a weighted-average cost method.</w:t>
      </w:r>
    </w:p>
    <w:p>
      <w:pPr>
        <w:spacing w:after="0" w:line="17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Company establishes allowances for slow-moving inventory based upon quality considerations and assumptions about future demand and market conditions. The inventory reserve was $3.5 million and $2.8 million for the years ended June 30, 2021 and 2020,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Property and equipment are recorded at either cost or, in the instance of an acquisition, the estimated fair value on the date of the acquisition, and are depreciated on a straight-line basis over the estimated useful lives of the related assets. Leasehold improvements are amortized on the straight-line basis over the lesser of the estimated useful life of the asset or the respective lease term. Depreciation expense on our property and equipment, excluding property and equipment used for rentals, is included in “Depreciation and amortization” in the Consolidated Statements of Operations. Depreciation expense on our property and equipment used for rentals is included in “Cost of license and transaction fees” in the Consolidated Statements of Operations. Additions and improvements that extend the estimated lives of the assets are capitalized, while expenditures for repairs and maintenance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goodwill represents the excess of cost over fair value of the net assets purchased in acquisitions. Goodwill is not amortized to earnings, but instead is subject to periodic testing for impairment. We test goodwill for impairment at least annually, or more frequently if events or changes in circumstances indicate that impairment may have occurred. Goodwill is reviewed for impairment utilizing either a qualitative or a quantitative goodwill impairment test. If we choose to perform a qualitative assessment and determine the fair value more likely than not exceeds the carrying value, no further evaluation is necessary. When we perform the quantitative goodwill impairment test, we compare the fair value of our reporting unit to its carrying value. If the fair value of the reporting unit exceeds its carrying value, then goodwill is not considered impaired. An impairment charge is recognized for the amount by which, if any, the carrying value exceeds the reporting unit’s fair value. However, the loss recognized cannot exceed the reporting unit’s goodwill balance.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quantitative impairment test process requires valuation of the reporting unit, which we determine using the income approach, the market approach or a combination of the two approaches. Under the income approach, we calculate the fair value of the reporting unit based on the present value of estimated future cash flows derived from assumptions that include expected growth rates and revenues, projected expenses, discount rates, capital expenditures and income tax rates. Under the market approach, we estimate the fair value based on the quoted stock price, recent equity transactions of our business, market transactions involving similar businesses and market comparables.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selected April 1 as its annual test date. The Company has concluded there has been no impairment of goodwill during the years ended June 30, 2021, 2020, or 2019. Subsequent to our annual impairment test, no indicators of impairment were identified.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AND LONG-LIVED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intangible assets include trademarks, non-compete agreements, brand, developed technology, customer relationships and tradenames and were acquired in a purchase business combination. The Company carries these intangibles at cost, less accumulated amortization. Amortization is recorded on a straight-line basis over the estimated useful lives of the respective assets, which span between three and eighteen years, and are included in “Depreciation and amortization" in the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indefinite-lived intangible assets at June 30, 2021 or 2020.</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reviews its finite-lived intangible and other long-lived assets whenever events or changes in circumstances indicate that the carrying amount of such assets may not be recoverable. The carrying amount of an asset is not recoverable if it exceeds the sum of the undiscounted cash flows expected to result from the use and eventual disposition of the asset. Fair value of finite-lived intangible assets and property and equipment is based on various valuation techniques. If the carrying amount of an asset or group of assets exceeds its net realizable value, the asset will be written down to its fair value.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concluded that the carrying amount of intangible assets is recoverable as of June 30, 2021 and 2020. The Company recorded an impairment charge relating to our right-of-use assets of $1.6 million for the year ended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the price that would be received in the sale of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4"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Level 1</w:t>
      </w:r>
      <w:r>
        <w:rPr>
          <w:rFonts w:ascii="MS PGothic" w:cs="MS PGothic" w:eastAsia="MS PGothic" w:hAnsi="MS PGothic"/>
          <w:sz w:val="18"/>
          <w:szCs w:val="18"/>
          <w:color w:val="auto"/>
        </w:rPr>
        <w:t>‑</w:t>
      </w:r>
      <w:r>
        <w:rPr>
          <w:rFonts w:ascii="Arial" w:cs="Arial" w:eastAsia="Arial" w:hAnsi="Arial"/>
          <w:sz w:val="18"/>
          <w:szCs w:val="18"/>
          <w:color w:val="auto"/>
        </w:rPr>
        <w:t xml:space="preserve"> Inputs are unadjusted quoted prices in active markets for identical assets or liabilities that the Company has the ability to access at the measurement date.</w:t>
      </w:r>
    </w:p>
    <w:p>
      <w:pPr>
        <w:spacing w:after="0" w:line="203"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Level 2</w:t>
      </w:r>
      <w:r>
        <w:rPr>
          <w:rFonts w:ascii="MS PGothic" w:cs="MS PGothic" w:eastAsia="MS PGothic" w:hAnsi="MS PGothic"/>
          <w:sz w:val="17"/>
          <w:szCs w:val="17"/>
          <w:color w:val="auto"/>
        </w:rPr>
        <w:t>‑</w:t>
      </w:r>
      <w:r>
        <w:rPr>
          <w:rFonts w:ascii="Arial" w:cs="Arial" w:eastAsia="Arial" w:hAnsi="Arial"/>
          <w:sz w:val="17"/>
          <w:szCs w:val="17"/>
          <w:color w:val="auto"/>
        </w:rPr>
        <w:t xml:space="preserve">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204"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Level 3</w:t>
      </w:r>
      <w:r>
        <w:rPr>
          <w:rFonts w:ascii="MS PGothic" w:cs="MS PGothic" w:eastAsia="MS PGothic" w:hAnsi="MS PGothic"/>
          <w:sz w:val="18"/>
          <w:szCs w:val="18"/>
          <w:color w:val="auto"/>
        </w:rPr>
        <w:t>‑</w:t>
      </w:r>
      <w:r>
        <w:rPr>
          <w:rFonts w:ascii="Arial" w:cs="Arial" w:eastAsia="Arial" w:hAnsi="Arial"/>
          <w:sz w:val="18"/>
          <w:szCs w:val="18"/>
          <w:color w:val="auto"/>
        </w:rPr>
        <w:t xml:space="preserve"> Inputs are unobservable and reflect the Company’s assumptions that market participants would use in pricing the asset or liability. The Company develops these inputs based on the best information available.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CONCENTRATION OF RISKS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Concentration of revenue with customers subject the Company to operating risks. Approximately 16%, 16% and 17% of the Company’s revenue for the years ended June 30, 2021, 2020 and 2019, respectively, were concentrated with one customer. The Company’s customers are principally located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revenue recognition guidance provides a single model to determine when and how revenue is recognized. The core principle of the guidance is that an entity should recognize revenue to depict the transfer of control of promised goods or services to customers in an amount that reflects the consideration to which the entity expects to be entitled in exchange for those goods or services. The Company recognizes revenue using a five-step model resulting in revenue being recognized as performance obligations within a contract have been satisfied. The steps within that model include: (i) identifying the existence of a contract with a customer; (ii) identifying the performance obligations within the contract; (iii) determining the contract’s transaction price;</w:t>
      </w:r>
    </w:p>
    <w:p>
      <w:pPr>
        <w:spacing w:after="0" w:line="2" w:lineRule="exact"/>
        <w:rPr>
          <w:sz w:val="20"/>
          <w:szCs w:val="20"/>
          <w:color w:val="auto"/>
        </w:rPr>
      </w:pPr>
    </w:p>
    <w:p>
      <w:pPr>
        <w:jc w:val="both"/>
        <w:ind w:firstLine="8"/>
        <w:spacing w:after="0" w:line="270"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allocating the transaction price to the contract’s performance obligations; and, (v) recognizing revenue as the contract’s performance obligations are satisfied. Judgment is required to apply the principles-based, five-step model for revenue recognition. Management is required to make certain estimates and assumptions about the Company’s contracts with its customers, including, among others, the nature and extent of its performance obligations, its transaction price amounts and any allocations thereof, the events which constitute satisfaction of its performance obligations, and when control of any promised goods or services is transferred to its customers. The standard also requires certain incremental costs incurred to obtain or fulfill a contract to be deferred and amortized on a systematic basis consistent with the transfer of goods or services to the customer.</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provides an end-to-end payment solution which integrates hardware, software, and payment processing in the unattended retail market. The Company has contractual agreements with customers that set forth the general terms and conditions of the relationship, including pricing of goods and services, payment terms and contract duration. Revenue is recognized when the obligation under the terms of the Company’s contract with its customer is satisfied and is measured as the amount of consideration the Company expects to receive in exchange for transferring goods or providing services.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business model is to act as the Merchant of Record for its sellers. We provide cashless vending payment services in exchange for monthly service fees, in addition to collecting usage-based consideration for completed transactions. The contracts we enter into with third-party suppliers provide us with the right to access and direct their services when processing a transaction. The Company combines the services provided by third-party suppliers to enable customers to accept cashless payment transactions, indicating that it controls all inputs in directing their use to create the combined service. Additionally, the Company sells cashless payment devices (e.g., e-Ports, Seed), which are either directly sold or leased through the Company's QuickStart or JumpStart programs.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Cashless vending services represent a single performance obligation as the combination of the services provided gives the customer the ability to accept cashless payments. The Company’s customers are contracting for integrated cashless services in connection with purchasing or leasing unattended point-of-sale devices. The activities when combined together are so integral to the customer’s ability to derive benefit from the service, that the activities are effectively inputs to a single promise to the customer. Certain services are distinct, but are not accounted for separately as the rights are coterminous, they are transferred concurrently and the outcome is the same as accounting for the services as individual performance obligations. The single performance obligation is determined to be a stand-ready obligation to process payments whenever a consumer intends to make a purchase at a point-of-sale device. As the Company is unable to predict the timing and quantity of transactions to be processed, the assessment of the nature of the performance obligation is focused on each time increment rather than the underlying activity. Therefore, cashless vending services are viewed to comprise a series of distinct days of service that are substantially the same and have the same pattern of transfer to the customer. As a result, the promise to stand ready is accounted for as a single performance obligation.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related to cashless vending services is recognized over the period in which services are provided, with usage-based revenue recognized as transactions occur. Consideration for this service includes fixed fees for standing ready to process transactions, and generally also includes usage-based fees, priced as a percentage of transaction value and/or a specified fee per transaction processed. The total transaction price of usage-based services is determined to be variable consideration as it is based on unknown quantities of services to be performed over the contract term. The underlying variability is satisfied each day the service is performed and provided to the customer. Clients are billed for cashless vending services on a monthly basis and for transaction processing as transactions occur. Payment is due based on the Company’s standard payment terms which is typically within 30 to 60 days of invoice issuance.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8"/>
          <w:szCs w:val="18"/>
          <w:color w:val="auto"/>
        </w:rPr>
        <w:t>Equipment sales represent a separate performance obligation, the majority of which is satisfied at a point in time through outright sales or sales-type leases when the equipment is delivered to the customer. Revenues related to JumpStart equipment are recognized over time as the customer obtains the right to use the equipment through an operating lease. Clients are billed for equipment sales on a monthly basis, with payment due based on the Company’s standard payment terms which is typically within 30 to 60 days of invoice issuance.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will occasionally offer volume discounts, rebates or credits on certain contracts, which is considered variable consideration. The Company uses either the most-likely or estimated value method to estimate the amount of the consideration, based on what the Company expects to better predict the amount of consideration to which it will be entitled to on a contract-by-contract basis. The Company will qualitatively assess if the variable consideration should be limited to prevent possible significant reversals of revenue in future reporting periods.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assesses the goods and/or services promised in each customer contract and separately identifies a performance obligation for each promise to transfer to the customer a distinct good or service. The Company then allocates the transaction price to each performance obligation in the contract using relative standalone selling prices. The Company determines standalone selling prices based on the price at which a good or service is sold separately. If the standalone selling price is not observable through historic data, the Company estimates the standalone selling price by considering all reasonably available information, including market data, trends, as well as other company- or customer-specific factors.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standard payment terms are payment is due within 30 to 60 days of invoice issuance. The Company uses the practical expedient and does not recognize a significant financing component for payment considerations of less than one year.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fees charged to our customers primarily on a gross basis as transaction revenue when we are the principal in respect of completing a payment transaction. As a principal to the transaction, when we are the Merchant of Record, we control the service of completing payments for our customers through the payment ecosystem. The fees paid to payment processors and other financial institutions are recognized as transaction expense. For certain transactions in which we act in the capacity as an agent, these transactions are recorded on a net basis. These are transactions in which we are not the Merchant of Record, and the customer is entering into a separate arrangement with a third party payment processor for the fulfillment of the payment service.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offers standard warranties that provide the customer with assurance that its equipment will function in accordance with contract specifications. The Company's standard warranties are not sold separately, but are included with each customer purchase. Warranties are not considered separate performance obligations and, therefore, are estimated and recorded at the time of sale.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Contract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contract with a customer creates legal rights and obligations. As the Company satisfies performance obligations under customer contracts, a right to unconditional consideration is recorded as an account receivable.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Contract liabilities represent consideration received from customers in excess of revenues recognized (i.e., deferred revenue). Contract liabilities are classified as current or noncurrent based on the nature of the underlying contractual rights and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incurs costs to obtain contracts with customers, primarily in the form of commissions to sales employees. The Company recognizes as an asset the incremental costs of obtaining a contract with a customer if it expects to recover these costs. The Company currently does not incur material costs to fulfill its obligations under a contract once it is obtained but before transferring goods or services to the customer. Contract costs are amortized on a systematic basis consistent with the transfer to the customer of the goods or services to which the asset relates. A straight-line or proportional amortization method is used depending upon which method best depicts the pattern of transfer of the goods or services to the customer. The Company’s contracts frequently contain performance obligations satisfied at a point in time and overtime. In these instances, the Company amortizes the contract costs proportionally with the timing and pattern of revenue recognition. Amortization of costs to obtain a contract are classified as selling, general and administrative expense. In addition, these contract costs are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color w:val="auto"/>
        </w:rPr>
        <w:t>evaluated for impairment by comparing, on a pooled basis, the expected future net cash flows from underlying customer relationships to the carrying amount of the capitalized contract costs.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order to determine the appropriate amortization period for contract costs, the Company considers a number of factors, including expected early terminations, estimated terms of customer relationships, the useful lives of technology Cantaloupe uses to provide goods and services to its customers, whether future contract renewals are expected and if there is any incremental commission to be paid on a contract renewal. The Company amortizes these assets over the expected period of benefit. Costs to obtain a contract with an expected period of benefit of one year or less are expensed when incurred.</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from the sale of QuickStart lease of equipment is recognized on the terms of free-on-board shipping point.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license and transaction fee refunds on a monthly basis.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Hardware is available to customers under the QuickStart program pursuant to which the customer would enter into a five-year non-cancelable lease with either the Company or a third-party leasing company for the devices. The Company utilizes its best estimate of selling price when calculating the revenue to be recorded under these leases. The QuickStart contracts qualify for sales type lease accounting. At lease inception, the Company recognizes revenue and creates a finance receivable in an amount that represents the present value of minimum lease payments. Accordingly, a portion of the lease payments are recognized as interest income. At the end of the lease period, the customer would have the option to purchase the device at its residual value. Any customer payments received in advance and prior to the Company satisfying any performance obligations are recorded as deferred revenue and amortized as revenue is recognized.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Rental</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offers its customers a rental program for its hardware devices, the JumpStart program (“JumpStart”). JumpStart terms are typically 36 months and are cancellable with 30 to 60 days' written notice. In accordance with ASC 840, “Leases”, the Company classifies the rental agreements as operating leases, with service fee revenue related to the leases included in license and transaction fees in the Consolidated Statements of Operations. Costs for the JumpStart revenue, which consist of depreciation expense on the JumpStart equipment, are included in cost of services in the Consolidated Statements of Operations. Equipment utilized by the JumpStart program is included in property and equipment, net on the Consolidated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determines if an arrangement is a lease at inception. The Company has operating and finance leases for office space, warehouses and office equipment. Cantaloupe’s leases have lease terms of one year to eight years and some include options to extend and/or terminate the lease. The exercise of lease renewal options is at the Company’s sole discretion. When deemed reasonably certain of exercise, the renewal options are included in the determination of the lease term. The Company’s lease agreements do not contain any material variable lease payments, material residual value guarantees or any material restrictive covenants.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Right-of-use assets represent the Company’s right to use an underlying asset for the lease term and lease liabilities represent the obligation to make lease payments arising from the lease. Operating lease Right-of-Use (“ROU”) assets and liabilities are recognized at commencement date of the lease based on the present value of lease payments over the lease term. As most of our leases do not provide an implicit rate, we use our incremental borrowing rate, which is the collateralized rate of interest that we would pay to borrow over a similar term an amount equal to the lease payments, based on the information available at commencement date in determining the present value of lease payments. The operating lease ROU asset also includes any lease payments made and excludes lease incentives. Cantaloupe has lease agreements with lease and non-lease components. The Company uses the practical expedient related to treating lease and non-lease components as a single lease component for all leases as well as electing a policy exclusion permitting leases with an original lease term of less than one year to be excluded from the ROU assets and lease liabilities. Lease expense for operating lease payments is recognized on a straight-line basis over the lease term.</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6" w:name="page57"/>
    <w:bookmarkEnd w:id="56"/>
    <w:p>
      <w:pPr>
        <w:jc w:val="both"/>
        <w:spacing w:after="0" w:line="263" w:lineRule="auto"/>
        <w:rPr>
          <w:sz w:val="20"/>
          <w:szCs w:val="20"/>
          <w:color w:val="auto"/>
        </w:rPr>
      </w:pPr>
      <w:r>
        <w:rPr>
          <w:rFonts w:ascii="Arial" w:cs="Arial" w:eastAsia="Arial" w:hAnsi="Arial"/>
          <w:sz w:val="18"/>
          <w:szCs w:val="18"/>
          <w:color w:val="auto"/>
        </w:rPr>
        <w:t>Variable lease payments that are not based on an index or that result from changes to an index subsequent to the initial measurement of the corresponding lease liability are not included in the measurement of lease ROU assets or liabilities and instead are recognized in earnings in the period in which the obligation for those payments is incurred.</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follows the guidance contained in ASC 360, </w:t>
      </w:r>
      <w:r>
        <w:rPr>
          <w:rFonts w:ascii="Arial" w:cs="Arial" w:eastAsia="Arial" w:hAnsi="Arial"/>
          <w:sz w:val="17"/>
          <w:szCs w:val="17"/>
          <w:i w:val="1"/>
          <w:iCs w:val="1"/>
          <w:color w:val="auto"/>
        </w:rPr>
        <w:t>Impairment or Disposal of Long-Lived Assets</w:t>
      </w:r>
      <w:r>
        <w:rPr>
          <w:rFonts w:ascii="Arial" w:cs="Arial" w:eastAsia="Arial" w:hAnsi="Arial"/>
          <w:sz w:val="17"/>
          <w:szCs w:val="17"/>
          <w:color w:val="auto"/>
        </w:rPr>
        <w:t xml:space="preserve"> and reviews its ROU assets for events or changes in circumstances that may indicate that the carrying amount of such assets may not be recoverable. The carrying amount of an asset is not recoverable if it exceeds the sum of the undiscounted cash flows expected to result from the use and eventual disposition of the asset. If the carrying amount of an ROU exceeds its net realizable value, the asset will be written down to its fair value. The Company recorded an right-of-use asset impairment charge relating to optimizing its corporate real estate footprint of $1.6 million for the year ended June 30,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Lessor accounting remained substantially unchanged with the adoption of Topic 842. The Company offers its customers financing for the lease of our POS electronic payment devices. We account for these transactions as sales-type leases. Our sales-type leases generally have a non-cancellable term of 60 months. Certain leases contain an end-of-term purchase option that is generally insignificant and is reasonably certain to be exercised by the lessee. Leases that do not meet the criteria for sales-type lease accounting are accounted for as operating leases, typically our JumpStart program leases. JumpStart terms are typically 36 months and are cancellable with 30 to 60 days' written notice.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uses the practical expedient related to treating lease and non-lease components as a single component for those leases where the timing and pattern of transfer for the non-lease component and associated lease component are the same and the stand-alone lease component would be classified as an operating lease if accounted for separately. The combined component is then accounted for under Topic 606 or Topic 842 depending on the predominant characteristic of the combined component, which was Topic 606 for the Company's operating leases. All QuickStart leases are sales-type and do not qualify for the election.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Lessor consideration is allocated between lease components and the non-lease components using the requirements under Topic 606. Revenue from sales-type leases is recognized upon shipment to the customer and the interest portion is deferred and recognized as earned. The revenues related to the sales-type leases are included in Equipment sales in the Consolidated Statements of Operations and a portion of the lease payments as interest income. Revenue from operating leases is recognized ratably over the applicable service period with service fee revenue related to the leases included in License and transaction fees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Shipping and handling fees billed to our customers in connection with sales are recorded as revenue. The costs incurred for shipping and handling of our product are recorded as cost of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are expensed as incurred and primarily consist of personnel, contractors and product development costs. Research and development expenses, which are included in selling, general and administrative expenses in the Consolidated Statements of Operations, were approximately $3.9 million, $3.8 million and $4.6 million, for the fiscal years ended June 30, 2021, 2020, and 2019, respectively. Our research and development initiatives focus on adding features and functionality to our system solutions through the development and utilization of our processing and reporting network and new technology.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capitalize qualifying internally-developed software development costs incurred during the application development stage, as long as it is probable the project will be completed, and the software will be used to perform the function intended. Capitalization of such costs ceases once the project is substantially complete and ready for its intended use. Capitalized software development costs are included in “Property and equipment, net” on our consolidated balance sheets and are amortized on a straight-line basis over their expected useful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ACCOUNTING FOR EQUITY AWARDS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cost of services received in exchange for an award of equity instruments related to employees and non-employees is based on the grant-date fair value of the award and allocated over the requisite service period of the award. When the requisite service period precedes the grant date, the Company begins recognizing compensation cost before a grant date is established.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These costs are recorded in selling,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23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From time to time, we are involved in litigation, claims, contingencies and other legal matters. The Company’s management and its legal counsel assess such contingent liabilities, and such assessment inherently involves an exercise of judgment. In assessing loss contingencies related to legal proceedings that are pending against the Company or unasserted claims that may result in such proceedings, the Company's management team evaluates the perceived merits of any legal proceedings or unasserted claims as well as the perceived merits of the amount of relief sought or expected to be sought therein.</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assessment of a contingency indicates it is probable that a loss has been incurred and the amount of the liability can be estimated, the estimated liability would be accrued in the Company’s financial statements. If the assessment indicates a loss contingency is not probable, but is reasonably possible, or is probable but cannot be estimated, then the nature of the contingent liability, together with an estimate of the range of possible loss if determinable and material, would be disclosed. Loss contingencies considered remote are generally not disclosed unless they involve guarantees, in which case the nature of the guarantee would be disclosed.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TAX RESERVE</w:t>
      </w:r>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recorded a contingent liability for sales tax, included in accrued expenses in the consolidated balance sheet. On a quarterly basis, the Company accrues interest on the unpaid balance. The estimated liability is adjusted upon the payment of sales tax related to the accrual, the changes in state tax laws that may impact the accrual and the expiration of the statute of limitations for open years under review. The liability includes significant judgments and estimates that may change in the future, and the actual liability may be different from our current estimate. Future changes to the sales tax reserve amount will be recorded within selling, general, and administrative expenses in the consolidated statements of operations and accrued expenses in the consolidated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based on available evidence, it is more likely than not such benefits will be realized.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Tax positions must meet a “more-likely-than-not” recognition threshold to be recognized. The Company recognizes interest and penalties, if any, related to uncertain tax positions in selling, general and administrative expenses. Interest and penalties related to uncertain tax positions incurred during the fiscal years ended June 30, 2021, 2020, and 2019 were immaterial.</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files income tax returns in the United States federal jurisdiction and various state jurisdictions. The tax years ended June 30, 2017 through June 30, 2020 remain open to examination by taxing jurisdictions to which the Company is subject. While the statute of limitations has expired for years prior to the year ended June 30, 2017, changes in reported losses for those years are examinable by tax authorities to the extent that operating loss carryforwards from those prior years impact upon taxable income in current years. As of June 30, 2021, the Company did not have any income tax examinations in process.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COMMON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(loss) per share are calculated by dividing net income (loss) applicable to common shares by the weighted average common shares outstanding for the period. Diluted earnings (loss) per share are calculated by dividing net income (loss) applicable to common shares by the weighted average common shares outstanding for the period plus the dilutive effects of common stock equivalents unless the effects of such common stock equivalents are anti-dilutive. For the years ended June 30, 2021, 2020 and 2019, no effect for common stock equivalents was considered in the calculation of diluted earnings (loss) per share because their effect was anti-dilutive.</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of Credit Losses on Financial Instruments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adopted Topic 326 on July 1, 2020 using the modified retrospective approach through an adjustment to retained earnings, and began calculating our allowance for accounts and finance receivables under an expected loss model rather than an incurred loss model. The comparative information has not been restated and continues to be reported under the accounting standards in effect for those periods.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Topic 326 introduces a new credit loss impairment methodology for financial assets measured at amortized cost, requiring recognition of the full lifetime expected credit losses upon initial recognition of the financial asset and each reporting period, replacing current GAAP, which generally requires that a loss be incurred before it is recognized. The expected credit loss model is based on historical experience, current conditions, and reasonable and supportable economic forecasts of collectability.</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estimate our allowances using an aging analysis of the receivables balances, primarily based on historical loss experience, as there have been no significant changes in the mix or risk characteristics of the receivable revenue streams used to calculate historical loss rates. We also take into consideration that receivables for monthly service fees that are collected as part of the flow of funds from our transaction processing service have a lower risk profile than receivables for equipment and service fees billed under the Company’s standard payment terms of 30 to 60 days from invoice issuance, and adjust our aging analysis to incorporate those risk assessments. Current conditions are analyzed at each measurement date as we reassess whether our receivables continue to exhibit similar risk characteristics as the prior measurement date, and determine if the reserve calculation needs to be adjusted for new developments, such as a customer’s inability to meet its financial obligations. Lastly, we also factor reasonable and supportable economic expectations into our allowance estimate for the asset’s entire expected life, which is generally less than one year for accounts receivable and five years for finance receivables.</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adoption of this pronouncement resulted in a net decrease of $0.3 million in retained earnings, with an offsetting adjustment to the allowance for doubtful accounts and finance receivables as of July 1, 2020.</w:t>
      </w:r>
    </w:p>
    <w:p>
      <w:pPr>
        <w:spacing w:after="0" w:line="197" w:lineRule="exact"/>
        <w:rPr>
          <w:sz w:val="20"/>
          <w:szCs w:val="20"/>
          <w:color w:val="auto"/>
        </w:rPr>
      </w:pPr>
    </w:p>
    <w:p>
      <w:pPr>
        <w:ind w:right="2000"/>
        <w:spacing w:after="0" w:line="277" w:lineRule="auto"/>
        <w:rPr>
          <w:sz w:val="20"/>
          <w:szCs w:val="20"/>
          <w:color w:val="auto"/>
        </w:rPr>
      </w:pPr>
      <w:r>
        <w:rPr>
          <w:rFonts w:ascii="Arial" w:cs="Arial" w:eastAsia="Arial" w:hAnsi="Arial"/>
          <w:sz w:val="18"/>
          <w:szCs w:val="18"/>
          <w:color w:val="auto"/>
        </w:rPr>
        <w:t>The following table represents a roll forward of the allowance for doubtful accounts for accounts and finance receivables for the year ending June 30,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422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8"/>
                <w:szCs w:val="18"/>
                <w:b w:val="1"/>
                <w:bCs w:val="1"/>
                <w:color w:val="auto"/>
              </w:rPr>
              <w:t>Year ended June 30, 2021</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 in thousands)</w:t>
            </w:r>
          </w:p>
        </w:tc>
        <w:tc>
          <w:tcPr>
            <w:tcW w:w="2200" w:type="dxa"/>
            <w:vAlign w:val="bottom"/>
            <w:gridSpan w:val="2"/>
          </w:tcPr>
          <w:p>
            <w:pPr>
              <w:ind w:left="20"/>
              <w:spacing w:after="0"/>
              <w:rPr>
                <w:sz w:val="20"/>
                <w:szCs w:val="20"/>
                <w:color w:val="auto"/>
              </w:rPr>
            </w:pPr>
            <w:r>
              <w:rPr>
                <w:rFonts w:ascii="Arial" w:cs="Arial" w:eastAsia="Arial" w:hAnsi="Arial"/>
                <w:sz w:val="18"/>
                <w:szCs w:val="18"/>
                <w:b w:val="1"/>
                <w:bCs w:val="1"/>
                <w:color w:val="auto"/>
              </w:rPr>
              <w:t>Accounts receivable</w:t>
            </w:r>
          </w:p>
        </w:tc>
        <w:tc>
          <w:tcPr>
            <w:tcW w:w="2020" w:type="dxa"/>
            <w:vAlign w:val="bottom"/>
          </w:tcPr>
          <w:p>
            <w:pPr>
              <w:jc w:val="right"/>
              <w:ind w:right="490"/>
              <w:spacing w:after="0"/>
              <w:rPr>
                <w:sz w:val="20"/>
                <w:szCs w:val="20"/>
                <w:color w:val="auto"/>
              </w:rPr>
            </w:pPr>
            <w:r>
              <w:rPr>
                <w:rFonts w:ascii="Arial" w:cs="Arial" w:eastAsia="Arial" w:hAnsi="Arial"/>
                <w:sz w:val="18"/>
                <w:szCs w:val="18"/>
                <w:b w:val="1"/>
                <w:bCs w:val="1"/>
                <w:color w:val="auto"/>
                <w:w w:val="88"/>
              </w:rPr>
              <w:t>Finance receivable</w:t>
            </w:r>
          </w:p>
        </w:tc>
      </w:tr>
      <w:tr>
        <w:trPr>
          <w:trHeight w:val="75"/>
        </w:trPr>
        <w:tc>
          <w:tcPr>
            <w:tcW w:w="6980" w:type="dxa"/>
            <w:vAlign w:val="bottom"/>
          </w:tcPr>
          <w:p>
            <w:pPr>
              <w:spacing w:after="0"/>
              <w:rPr>
                <w:sz w:val="6"/>
                <w:szCs w:val="6"/>
                <w:color w:val="auto"/>
              </w:rPr>
            </w:pPr>
          </w:p>
        </w:tc>
        <w:tc>
          <w:tcPr>
            <w:tcW w:w="20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Borders>
              <w:top w:val="single" w:sz="8" w:color="auto"/>
            </w:tcBorders>
          </w:tcPr>
          <w:p>
            <w:pPr>
              <w:spacing w:after="0"/>
              <w:rPr>
                <w:sz w:val="6"/>
                <w:szCs w:val="6"/>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of allowance at June 30, 2020, prior to adopting ASC 326</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Impact of adoption of ASC 326</w:t>
            </w:r>
          </w:p>
        </w:tc>
        <w:tc>
          <w:tcPr>
            <w:tcW w:w="208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losses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12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evaluating whether the effects of the following recent accounting pronouncements, or any other recently issued but not yet effective accounting standards, will have a material effect on the Company’s consolidated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2019-12 - Income Taxes (Topic 740): Simplifying the Accounting for Income Taxes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ASU 2019-12 is intended to simplify accounting for income taxes by removing certain exceptions to the general principles in Topic 740 and amends existing guidance to improve consistent application. ASU 2019-12 is effective for fiscal years beginning after December 15, 2020 and interim periods within those fiscal years. The Company does not expect the changes to have a material impact on its financial statements.</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ASU 2020-04, Reference Rate Reform (Topic 848): Facilitation of the Effects of Reference Rate Reform on Financial Reporting</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the FASB issued ASU No. 2020-04, “Reference Rate Reform (Topic 848): Facilitation of the Effects of Reference Rate Reform on Financial Reporting.” This standard provides practical expedients for contract modifications with the transition from reference rates, such as LIBOR, that are expected to be discontinued. This guidance is applicable for the Company's revolving credit facility and secured term facility with JPMorgan Chase Bank, N.A., which uses LIBOR as a reference rate. In addition, the facility provides for an alternative rate of interest if LIBOR is discontinued. The Company will continue to evaluate ASU 2020-04 to determine the timing and extent to which we will apply the provided accounting relief.</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2020-10, Codification Improvements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2020, the FASB issued ASU 2020-10, “Codification Improvements.” The purpose of the ASU is to update a variety of ASC Topics to make conforming amendments, clarifications to guidance, simplifications to wording or structure of guidance, and other minor improvements. The ASU is effective for fiscal years beginning after December 15, 2020 with early application permitted. The Company does not expect the changes to have a material impact on its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 2019, the Company adopted Topic 842 using the modified retrospective transition method applying the guidance to leases existing as of the effective date. Topic 842 requires, among other items, lessees to recognize a ROU asset and a related lease liability for most leases on the balance sheet. Lessees and lessors are required to disclose quantitative and qualitative information about leasing arrangements to enable a user of the financial statements to assess the amount, timing and uncertainty of cash flows arising from leases. The Company determined that there was no cumulative effect adjustment to retained earnings on the consolidated balance sheet at the date of adoption. Periods prior to the adoption on July 1, 2019 are presented under guidance outlined in Topic 840.</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adoption of Topic 842 resulted in an increase in the Company’s assets and liabilities of approximately $3.9 million at July 1, 2019, and did not have a material impact to the Company’s consolidated statements of operations or its consolidated statements of cash flows.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if an arrangement is a lease at inception. The Company has operating leases for office space, warehouses and office equipment. The exercise of lease renewal options is at the Company’s sole discretion. When deemed reasonably certain of exercise, the renewal options are included in the determination of the lease term. The Company’s lease agreements do not contain any material variable lease payments, material residual value guarantees or any material restrictive covenants.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Right-of-Use (“ROU”) assets represent the Company’s right to use an underlying asset for the lease term and lease liabilities represent the obligation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make lease payments arising from the lease. ROU assets and liabilities are recognized at commencement date of the lease based on the present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 payments over the lease term. As most of our leases do not provide an implicit rate, we use our incremental borrowing rate, which is the collateralized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rate of interest that we would pay to borrow over a similar term an amount equal to the lease payments, based on the information available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commencement date in determining the present value of lease payments. The operating lease ROU asset also includes any lease payments made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excludes lease incentives received. The Company also has lease agreements with lease and non-lease components. The Company elected the practical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expedient related to treating lease and non-lease components as a single lease component for all leases as well as electing a policy exclusion permitting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leases with an original lease term of less than one year to be excluded from the ROU assets and lease liabilities. Lease expense for operating lease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payments is recognized on a straight-line basis over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lease term.</w:t>
      </w:r>
    </w:p>
    <w:p>
      <w:pPr>
        <w:sectPr>
          <w:pgSz w:w="11900" w:h="16838" w:orient="portrait"/>
          <w:cols w:equalWidth="0" w:num="1">
            <w:col w:w="11240"/>
          </w:cols>
          <w:pgMar w:left="320" w:top="13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type w:val="continuous"/>
        </w:sectPr>
      </w:pPr>
    </w:p>
    <w:bookmarkStart w:id="60" w:name="page61"/>
    <w:bookmarkEnd w:id="60"/>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the Company has the following balances recorded in the balance sheet related to its lease arrangements: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4320" w:type="dxa"/>
            <w:vAlign w:val="bottom"/>
            <w:tcBorders>
              <w:bottom w:val="single" w:sz="8" w:color="auto"/>
            </w:tcBorders>
            <w:gridSpan w:val="2"/>
          </w:tcPr>
          <w:p>
            <w:pPr>
              <w:ind w:left="1720"/>
              <w:spacing w:after="0"/>
              <w:rPr>
                <w:sz w:val="20"/>
                <w:szCs w:val="20"/>
                <w:color w:val="auto"/>
              </w:rPr>
            </w:pPr>
            <w:r>
              <w:rPr>
                <w:rFonts w:ascii="Arial" w:cs="Arial" w:eastAsia="Arial" w:hAnsi="Arial"/>
                <w:sz w:val="14"/>
                <w:szCs w:val="14"/>
                <w:b w:val="1"/>
                <w:bCs w:val="1"/>
                <w:color w:val="auto"/>
              </w:rPr>
              <w:t>Balance Sheet Classification</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7"/>
          </w:tcPr>
          <w:p>
            <w:pPr>
              <w:jc w:val="right"/>
              <w:ind w:right="148"/>
              <w:spacing w:after="0"/>
              <w:rPr>
                <w:sz w:val="20"/>
                <w:szCs w:val="20"/>
                <w:color w:val="auto"/>
              </w:rPr>
            </w:pPr>
            <w:r>
              <w:rPr>
                <w:rFonts w:ascii="Arial" w:cs="Arial" w:eastAsia="Arial" w:hAnsi="Arial"/>
                <w:sz w:val="14"/>
                <w:szCs w:val="14"/>
                <w:b w:val="1"/>
                <w:bCs w:val="1"/>
                <w:color w:val="auto"/>
              </w:rPr>
              <w:t>As of June 30, 2021</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 June 30, 2020</w:t>
            </w:r>
          </w:p>
        </w:tc>
      </w:tr>
      <w:tr>
        <w:trPr>
          <w:trHeight w:val="40"/>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30"/>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tcBorders>
              <w:left w:val="single" w:sz="8" w:color="CCEEFF"/>
            </w:tcBorders>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Operating leases</w:t>
            </w:r>
          </w:p>
        </w:tc>
        <w:tc>
          <w:tcPr>
            <w:tcW w:w="432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23"/>
                <w:szCs w:val="23"/>
                <w:color w:val="auto"/>
              </w:rPr>
            </w:pPr>
          </w:p>
        </w:tc>
        <w:tc>
          <w:tcPr>
            <w:tcW w:w="1940" w:type="dxa"/>
            <w:vAlign w:val="bottom"/>
            <w:gridSpan w:val="2"/>
          </w:tcPr>
          <w:p>
            <w:pPr>
              <w:jc w:val="right"/>
              <w:ind w:right="101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440" w:type="dxa"/>
            <w:vAlign w:val="bottom"/>
            <w:gridSpan w:val="5"/>
          </w:tcPr>
          <w:p>
            <w:pPr>
              <w:jc w:val="center"/>
              <w:spacing w:after="0"/>
              <w:rPr>
                <w:sz w:val="20"/>
                <w:szCs w:val="20"/>
                <w:color w:val="auto"/>
              </w:rPr>
            </w:pPr>
            <w:r>
              <w:rPr>
                <w:rFonts w:ascii="Arial" w:cs="Arial" w:eastAsia="Arial" w:hAnsi="Arial"/>
                <w:sz w:val="18"/>
                <w:szCs w:val="18"/>
                <w:color w:val="auto"/>
                <w:w w:val="93"/>
              </w:rPr>
              <w:t>3,049</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5,603</w:t>
            </w:r>
          </w:p>
        </w:tc>
        <w:tc>
          <w:tcPr>
            <w:tcW w:w="40" w:type="dxa"/>
            <w:vAlign w:val="bottom"/>
          </w:tcPr>
          <w:p>
            <w:pPr>
              <w:spacing w:after="0"/>
              <w:rPr>
                <w:sz w:val="23"/>
                <w:szCs w:val="23"/>
                <w:color w:val="auto"/>
              </w:rPr>
            </w:pPr>
          </w:p>
        </w:tc>
      </w:tr>
      <w:tr>
        <w:trPr>
          <w:trHeight w:val="270"/>
        </w:trPr>
        <w:tc>
          <w:tcPr>
            <w:tcW w:w="2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4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40" w:type="dxa"/>
            <w:vAlign w:val="bottom"/>
            <w:tcBorders>
              <w:left w:val="single" w:sz="8" w:color="CCEEFF"/>
            </w:tcBorders>
            <w:shd w:val="clear" w:color="auto" w:fill="CCEEFF"/>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70"/>
        </w:trPr>
        <w:tc>
          <w:tcPr>
            <w:tcW w:w="2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4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93"/>
              </w:rPr>
              <w:t>1,166</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40" w:type="dxa"/>
            <w:vAlign w:val="bottom"/>
            <w:tcBorders>
              <w:left w:val="single" w:sz="8" w:color="CCEEFF"/>
            </w:tcBorders>
            <w:shd w:val="clear" w:color="auto" w:fill="CCEEFF"/>
          </w:tcPr>
          <w:p>
            <w:pPr>
              <w:spacing w:after="0"/>
              <w:rPr>
                <w:sz w:val="23"/>
                <w:szCs w:val="23"/>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2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4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lease liabilities, non-current</w:t>
            </w:r>
          </w:p>
        </w:tc>
        <w:tc>
          <w:tcPr>
            <w:tcW w:w="14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3"/>
              </w:rPr>
              <w:t>3,645</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40" w:type="dxa"/>
            <w:vAlign w:val="bottom"/>
            <w:tcBorders>
              <w:bottom w:val="single" w:sz="8" w:color="auto"/>
            </w:tcBorders>
          </w:tcPr>
          <w:p>
            <w:pPr>
              <w:spacing w:after="0"/>
              <w:rPr>
                <w:sz w:val="23"/>
                <w:szCs w:val="23"/>
                <w:color w:val="auto"/>
              </w:rPr>
            </w:pPr>
          </w:p>
        </w:tc>
      </w:tr>
      <w:tr>
        <w:trPr>
          <w:trHeight w:val="263"/>
        </w:trPr>
        <w:tc>
          <w:tcPr>
            <w:tcW w:w="2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4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jc w:val="right"/>
              <w:ind w:right="101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44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8"/>
              </w:rPr>
              <w:t>4,811</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40" w:type="dxa"/>
            <w:vAlign w:val="bottom"/>
            <w:tcBorders>
              <w:left w:val="single" w:sz="8" w:color="CCEEFF"/>
            </w:tcBorders>
            <w:shd w:val="clear" w:color="auto" w:fill="CCEEFF"/>
          </w:tcPr>
          <w:p>
            <w:pPr>
              <w:spacing w:after="0"/>
              <w:rPr>
                <w:sz w:val="22"/>
                <w:szCs w:val="22"/>
                <w:color w:val="auto"/>
              </w:rPr>
            </w:pPr>
          </w:p>
        </w:tc>
      </w:tr>
      <w:tr>
        <w:trPr>
          <w:trHeight w:val="507"/>
        </w:trPr>
        <w:tc>
          <w:tcPr>
            <w:tcW w:w="6780" w:type="dxa"/>
            <w:vAlign w:val="bottom"/>
            <w:gridSpan w:val="4"/>
          </w:tcPr>
          <w:p>
            <w:pPr>
              <w:spacing w:after="0"/>
              <w:rPr>
                <w:sz w:val="20"/>
                <w:szCs w:val="20"/>
                <w:color w:val="auto"/>
              </w:rPr>
            </w:pPr>
            <w:r>
              <w:rPr>
                <w:rFonts w:ascii="Arial" w:cs="Arial" w:eastAsia="Arial" w:hAnsi="Arial"/>
                <w:sz w:val="18"/>
                <w:szCs w:val="18"/>
                <w:color w:val="auto"/>
              </w:rPr>
              <w:t>Components of lease cost are as follows: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Arial" w:cs="Arial" w:eastAsia="Arial" w:hAnsi="Arial"/>
                <w:sz w:val="14"/>
                <w:szCs w:val="14"/>
                <w:b w:val="1"/>
                <w:bCs w:val="1"/>
                <w:color w:val="auto"/>
              </w:rPr>
              <w:t>Year ended June 30, 2021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June 30, 2020</w:t>
            </w:r>
          </w:p>
        </w:tc>
      </w:tr>
      <w:tr>
        <w:trPr>
          <w:trHeight w:val="40"/>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30"/>
        </w:trPr>
        <w:tc>
          <w:tcPr>
            <w:tcW w:w="20" w:type="dxa"/>
            <w:vAlign w:val="bottom"/>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4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2,079</w:t>
            </w:r>
          </w:p>
        </w:tc>
        <w:tc>
          <w:tcPr>
            <w:tcW w:w="44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40" w:type="dxa"/>
            <w:vAlign w:val="bottom"/>
            <w:tcBorders>
              <w:left w:val="single" w:sz="8" w:color="CCEEFF"/>
            </w:tcBorders>
          </w:tcPr>
          <w:p>
            <w:pPr>
              <w:spacing w:after="0"/>
              <w:rPr>
                <w:sz w:val="19"/>
                <w:szCs w:val="19"/>
                <w:color w:val="auto"/>
              </w:rPr>
            </w:pPr>
          </w:p>
        </w:tc>
      </w:tr>
      <w:tr>
        <w:trPr>
          <w:trHeight w:val="311"/>
        </w:trPr>
        <w:tc>
          <w:tcPr>
            <w:tcW w:w="6780" w:type="dxa"/>
            <w:vAlign w:val="bottom"/>
            <w:gridSpan w:val="4"/>
          </w:tcPr>
          <w:p>
            <w:pPr>
              <w:spacing w:after="0"/>
              <w:rPr>
                <w:sz w:val="20"/>
                <w:szCs w:val="20"/>
                <w:color w:val="auto"/>
              </w:rPr>
            </w:pPr>
            <w:r>
              <w:rPr>
                <w:rFonts w:ascii="Arial" w:cs="Arial" w:eastAsia="Arial" w:hAnsi="Arial"/>
                <w:sz w:val="18"/>
                <w:szCs w:val="18"/>
                <w:color w:val="auto"/>
              </w:rPr>
              <w:t>* Includes short-term lease and variable lease costs, which are not material.</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02"/>
        </w:trPr>
        <w:tc>
          <w:tcPr>
            <w:tcW w:w="6780" w:type="dxa"/>
            <w:vAlign w:val="bottom"/>
            <w:gridSpan w:val="4"/>
          </w:tcPr>
          <w:p>
            <w:pPr>
              <w:spacing w:after="0"/>
              <w:rPr>
                <w:sz w:val="20"/>
                <w:szCs w:val="20"/>
                <w:color w:val="auto"/>
              </w:rPr>
            </w:pPr>
            <w:r>
              <w:rPr>
                <w:rFonts w:ascii="Arial" w:cs="Arial" w:eastAsia="Arial" w:hAnsi="Arial"/>
                <w:sz w:val="18"/>
                <w:szCs w:val="18"/>
                <w:color w:val="auto"/>
                <w:w w:val="90"/>
              </w:rPr>
              <w:t>Supplemental cash flow information and non-cash activity related to our leases are as follows: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3"/>
          </w:tcPr>
          <w:p>
            <w:pPr>
              <w:ind w:left="160"/>
              <w:spacing w:after="0"/>
              <w:rPr>
                <w:sz w:val="20"/>
                <w:szCs w:val="20"/>
                <w:color w:val="auto"/>
              </w:rPr>
            </w:pPr>
            <w:r>
              <w:rPr>
                <w:rFonts w:ascii="Arial" w:cs="Arial" w:eastAsia="Arial" w:hAnsi="Arial"/>
                <w:sz w:val="14"/>
                <w:szCs w:val="14"/>
                <w:b w:val="1"/>
                <w:bCs w:val="1"/>
                <w:color w:val="auto"/>
              </w:rPr>
              <w:t>Year ended June 30, 2021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5"/>
          </w:tcPr>
          <w:p>
            <w:pPr>
              <w:spacing w:after="0"/>
              <w:rPr>
                <w:sz w:val="20"/>
                <w:szCs w:val="20"/>
                <w:color w:val="auto"/>
              </w:rPr>
            </w:pPr>
            <w:r>
              <w:rPr>
                <w:rFonts w:ascii="Arial" w:cs="Arial" w:eastAsia="Arial" w:hAnsi="Arial"/>
                <w:sz w:val="14"/>
                <w:szCs w:val="14"/>
                <w:b w:val="1"/>
                <w:bCs w:val="1"/>
                <w:color w:val="auto"/>
              </w:rPr>
              <w:t>Year ended June 30, 2020</w:t>
            </w:r>
          </w:p>
        </w:tc>
      </w:tr>
      <w:tr>
        <w:trPr>
          <w:trHeight w:val="269"/>
        </w:trPr>
        <w:tc>
          <w:tcPr>
            <w:tcW w:w="20" w:type="dxa"/>
            <w:vAlign w:val="bottom"/>
          </w:tcPr>
          <w:p>
            <w:pPr>
              <w:spacing w:after="0"/>
              <w:rPr>
                <w:sz w:val="23"/>
                <w:szCs w:val="23"/>
                <w:color w:val="auto"/>
              </w:rPr>
            </w:pPr>
          </w:p>
        </w:tc>
        <w:tc>
          <w:tcPr>
            <w:tcW w:w="6760" w:type="dxa"/>
            <w:vAlign w:val="bottom"/>
            <w:gridSpan w:val="3"/>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40" w:type="dxa"/>
            <w:vAlign w:val="bottom"/>
            <w:shd w:val="clear" w:color="auto" w:fill="CCEEFF"/>
          </w:tcPr>
          <w:p>
            <w:pPr>
              <w:spacing w:after="0"/>
              <w:rPr>
                <w:sz w:val="19"/>
                <w:szCs w:val="19"/>
                <w:color w:val="auto"/>
              </w:rPr>
            </w:pPr>
          </w:p>
        </w:tc>
        <w:tc>
          <w:tcPr>
            <w:tcW w:w="440" w:type="dxa"/>
            <w:vAlign w:val="bottom"/>
            <w:gridSpan w:val="5"/>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activity</w:t>
            </w:r>
          </w:p>
        </w:tc>
        <w:tc>
          <w:tcPr>
            <w:tcW w:w="4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4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5"/>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40" w:type="dxa"/>
            <w:vAlign w:val="bottom"/>
          </w:tcPr>
          <w:p>
            <w:pPr>
              <w:spacing w:after="0"/>
              <w:rPr>
                <w:sz w:val="19"/>
                <w:szCs w:val="19"/>
                <w:color w:val="auto"/>
              </w:rPr>
            </w:pPr>
          </w:p>
        </w:tc>
      </w:tr>
      <w:tr>
        <w:trPr>
          <w:trHeight w:val="540"/>
        </w:trPr>
        <w:tc>
          <w:tcPr>
            <w:tcW w:w="6780" w:type="dxa"/>
            <w:vAlign w:val="bottom"/>
            <w:gridSpan w:val="4"/>
          </w:tcPr>
          <w:p>
            <w:pPr>
              <w:spacing w:after="0"/>
              <w:rPr>
                <w:sz w:val="20"/>
                <w:szCs w:val="20"/>
                <w:color w:val="auto"/>
              </w:rPr>
            </w:pPr>
            <w:r>
              <w:rPr>
                <w:rFonts w:ascii="Arial" w:cs="Arial" w:eastAsia="Arial" w:hAnsi="Arial"/>
                <w:sz w:val="18"/>
                <w:szCs w:val="18"/>
                <w:color w:val="auto"/>
                <w:w w:val="96"/>
              </w:rPr>
              <w:t>Weighted-average remaining lease term and discount rate for our leases are as follows: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 June 30, 2021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6"/>
          </w:tcPr>
          <w:p>
            <w:pPr>
              <w:ind w:left="260"/>
              <w:spacing w:after="0"/>
              <w:rPr>
                <w:sz w:val="20"/>
                <w:szCs w:val="20"/>
                <w:color w:val="auto"/>
              </w:rPr>
            </w:pPr>
            <w:r>
              <w:rPr>
                <w:rFonts w:ascii="Arial" w:cs="Arial" w:eastAsia="Arial" w:hAnsi="Arial"/>
                <w:sz w:val="14"/>
                <w:szCs w:val="14"/>
                <w:b w:val="1"/>
                <w:bCs w:val="1"/>
                <w:color w:val="auto"/>
              </w:rPr>
              <w:t>Year ended June 30, 2020</w:t>
            </w:r>
          </w:p>
        </w:tc>
      </w:tr>
      <w:tr>
        <w:trPr>
          <w:trHeight w:val="216"/>
        </w:trPr>
        <w:tc>
          <w:tcPr>
            <w:tcW w:w="20" w:type="dxa"/>
            <w:vAlign w:val="bottom"/>
          </w:tcPr>
          <w:p>
            <w:pPr>
              <w:spacing w:after="0"/>
              <w:rPr>
                <w:sz w:val="18"/>
                <w:szCs w:val="18"/>
                <w:color w:val="auto"/>
              </w:rPr>
            </w:pPr>
          </w:p>
        </w:tc>
        <w:tc>
          <w:tcPr>
            <w:tcW w:w="6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(years)</w:t>
            </w: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4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76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4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40" w:type="dxa"/>
            <w:vAlign w:val="bottom"/>
            <w:tcBorders>
              <w:left w:val="single" w:sz="8" w:color="CCEEFF"/>
            </w:tcBorders>
          </w:tcPr>
          <w:p>
            <w:pPr>
              <w:spacing w:after="0"/>
              <w:rPr>
                <w:sz w:val="19"/>
                <w:szCs w:val="19"/>
                <w:color w:val="auto"/>
              </w:rPr>
            </w:pPr>
          </w:p>
        </w:tc>
      </w:tr>
      <w:tr>
        <w:trPr>
          <w:trHeight w:val="864"/>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140" w:type="dxa"/>
            <w:vAlign w:val="bottom"/>
          </w:tcPr>
          <w:p>
            <w:pPr>
              <w:ind w:left="308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Maturities of lease liabilities by fiscal year for our leases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4"/>
                <w:szCs w:val="14"/>
                <w:color w:val="auto"/>
              </w:rPr>
            </w:pPr>
          </w:p>
        </w:tc>
        <w:tc>
          <w:tcPr>
            <w:tcW w:w="1100" w:type="dxa"/>
            <w:vAlign w:val="bottom"/>
          </w:tcPr>
          <w:p>
            <w:pPr>
              <w:jc w:val="right"/>
              <w:ind w:right="273"/>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88"/>
        </w:trPr>
        <w:tc>
          <w:tcPr>
            <w:tcW w:w="97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24"/>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3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offers its customers financing for the lease of our point of sale ("POS") electronic payment devices. We account for these transactions as sales-type leases. Our sales-type leases generally have a non-cancellable term of 60 months. Certain leases contain an end-of-term purchase option that is generally insignificant and is reasonably certain to be exercised by the lessee. Leases that do not meet the criteria for sales-type lease accounting are accounted for as operating leases, which are typically our JumpStart program leases, which are agreements for renting POS electronic payment devices. JumpStart terms are typically 36 months and are cancellable with 30 to 60 days' written notice</w:t>
      </w:r>
      <w:r>
        <w:rPr>
          <w:rFonts w:ascii="Arial" w:cs="Arial" w:eastAsia="Arial" w:hAnsi="Arial"/>
          <w:sz w:val="17"/>
          <w:szCs w:val="17"/>
          <w:i w:val="1"/>
          <w:iCs w:val="1"/>
          <w:color w:val="auto"/>
        </w:rPr>
        <w:t>.</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treats lease and non-lease components as a single component for those leases where the timing and pattern of transfer for the non-lease component and associated lease component are the same and the stand-alone lease component would be classified as an operating lease if accounted for separately. The combined component is then accounted for under Topic 606, Revenue from Contracts with Customers or Topic 842 depending on the predominant characteristic of the combined component, which was Topic 606 for the Company's operating leases. All QuickStart leases are sales-type and do not qualify for the election.</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Lessor consideration is allocated between lease components and the non-lease components using the requirements under Topic 606. Revenue from sales-type leases is recognized upon shipment to the customer and the interest portion is deferred and recognized as earned. The revenues related to the sales-type leases are included in Equipment sales in the Consolidated Statements of Operations and a portion of the lease payments as interest income. Revenue from operating leases is recognized ratably over the applicable service period with service fee revenue related to the leases included in License and transaction fees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used for the operating lease rental program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r>
      <w:tr>
        <w:trPr>
          <w:trHeight w:val="186"/>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6"/>
                <w:szCs w:val="16"/>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25"/>
        </w:trPr>
        <w:tc>
          <w:tcPr>
            <w:tcW w:w="8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D9D9D9"/>
            </w:tcBorders>
          </w:tcPr>
          <w:p>
            <w:pPr>
              <w:spacing w:after="0"/>
              <w:rPr>
                <w:sz w:val="2"/>
                <w:szCs w:val="2"/>
                <w:color w:val="auto"/>
              </w:rPr>
            </w:pPr>
          </w:p>
        </w:tc>
      </w:tr>
      <w:tr>
        <w:trPr>
          <w:trHeight w:val="264"/>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26,753</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D9D9D9"/>
            </w:tcBorders>
            <w:shd w:val="clear" w:color="auto" w:fill="CCEEFF"/>
          </w:tcPr>
          <w:p>
            <w:pPr>
              <w:spacing w:after="0"/>
              <w:rPr>
                <w:sz w:val="22"/>
                <w:szCs w:val="22"/>
                <w:color w:val="auto"/>
              </w:rPr>
            </w:pPr>
          </w:p>
        </w:tc>
        <w:tc>
          <w:tcPr>
            <w:tcW w:w="1060" w:type="dxa"/>
            <w:vAlign w:val="bottom"/>
            <w:tcBorders>
              <w:bottom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32,445</w:t>
            </w:r>
          </w:p>
        </w:tc>
        <w:tc>
          <w:tcPr>
            <w:tcW w:w="20" w:type="dxa"/>
            <w:vAlign w:val="bottom"/>
            <w:tcBorders>
              <w:bottom w:val="single" w:sz="8" w:color="D9D9D9"/>
            </w:tcBorders>
            <w:shd w:val="clear" w:color="auto" w:fill="D9D9D9"/>
          </w:tcPr>
          <w:p>
            <w:pPr>
              <w:spacing w:after="0"/>
              <w:rPr>
                <w:sz w:val="22"/>
                <w:szCs w:val="22"/>
                <w:color w:val="auto"/>
              </w:rPr>
            </w:pPr>
          </w:p>
        </w:tc>
      </w:tr>
      <w:tr>
        <w:trPr>
          <w:trHeight w:val="237"/>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Accumulated depreciation</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(27,745)</w:t>
            </w:r>
          </w:p>
        </w:tc>
        <w:tc>
          <w:tcPr>
            <w:tcW w:w="20" w:type="dxa"/>
            <w:vAlign w:val="bottom"/>
          </w:tcPr>
          <w:p>
            <w:pPr>
              <w:spacing w:after="0"/>
              <w:rPr>
                <w:sz w:val="20"/>
                <w:szCs w:val="20"/>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20" w:type="dxa"/>
            <w:vAlign w:val="bottom"/>
          </w:tcPr>
          <w:p>
            <w:pPr>
              <w:spacing w:after="0"/>
              <w:rPr>
                <w:sz w:val="24"/>
                <w:szCs w:val="24"/>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net investment in sales-type leases (carrying value of lease receivables) and the future minimum amounts to be collected on these lease receivables as of June 30, 2021 are disclosed within Note 6, Finance Receivables.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similar operational and economic characteristics, the Company’s revenue from contracts with customers is disaggregated by License and transaction fees and Equipment sales, as reported in the Company’s Consolidated Statements of Operations. The Company believes these revenue categories depict how the nature, amount, timing, and uncertainty of its revenue and cash flows are influenced by economic factors, and also represent the level at which management makes operating decisions and assesses financial performance.</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the transaction price allocated to unsatisfied performance obligations, we did not include non-recurring charges. Further, we applied the practical expedient to not consider arrangements with an original expected duration of one year or less, which are primarily month to month rental agreements. The majority of contracts are considered to have a contractual term of between 36 and 60 months based on implied and explicit termination penalties. These amounts will be converted into revenue in future periods as work is performed, primarily based on the services provided or at delivery and acceptance of products, depending on the applicable accounting method.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estimated fees to be recognized in the future related to performance obligations that are unsatisfied at the end of the period:</w:t>
      </w:r>
    </w:p>
    <w:p>
      <w:pPr>
        <w:spacing w:after="0" w:line="375" w:lineRule="exact"/>
        <w:rPr>
          <w:sz w:val="20"/>
          <w:szCs w:val="20"/>
          <w:color w:val="auto"/>
        </w:rPr>
      </w:pPr>
    </w:p>
    <w:p>
      <w:pPr>
        <w:ind w:left="20"/>
        <w:spacing w:after="0"/>
        <w:tabs>
          <w:tab w:leader="none" w:pos="9620" w:val="left"/>
        </w:tabs>
        <w:rPr>
          <w:sz w:val="20"/>
          <w:szCs w:val="20"/>
          <w:color w:val="auto"/>
        </w:rPr>
      </w:pPr>
      <w:r>
        <w:rPr>
          <w:rFonts w:ascii="Arial" w:cs="Arial" w:eastAsia="Arial" w:hAnsi="Arial"/>
          <w:sz w:val="14"/>
          <w:szCs w:val="14"/>
          <w:b w:val="1"/>
          <w:bCs w:val="1"/>
          <w:color w:val="auto"/>
        </w:rPr>
        <w:t>($ in thousands)</w:t>
      </w:r>
      <w:r>
        <w:rPr>
          <w:sz w:val="20"/>
          <w:szCs w:val="20"/>
          <w:color w:val="auto"/>
        </w:rPr>
        <w:tab/>
      </w:r>
      <w:r>
        <w:rPr>
          <w:rFonts w:ascii="Arial" w:cs="Arial" w:eastAsia="Arial" w:hAnsi="Arial"/>
          <w:sz w:val="12"/>
          <w:szCs w:val="12"/>
          <w:b w:val="1"/>
          <w:bCs w:val="1"/>
          <w:color w:val="auto"/>
        </w:rPr>
        <w:t>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23495</wp:posOffset>
            </wp:positionV>
            <wp:extent cx="12255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06285"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contract liability (i.e., deferred revenue) balances are as follows:</w:t>
      </w:r>
    </w:p>
    <w:p>
      <w:pPr>
        <w:spacing w:after="0" w:line="200" w:lineRule="exact"/>
        <w:rPr>
          <w:sz w:val="20"/>
          <w:szCs w:val="20"/>
          <w:color w:val="auto"/>
        </w:rPr>
      </w:pPr>
    </w:p>
    <w:p>
      <w:pPr>
        <w:spacing w:after="0" w:line="36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2620" w:hanging="1353"/>
        <w:spacing w:after="0"/>
        <w:tabs>
          <w:tab w:leader="none" w:pos="2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13,275</w:t>
      </w:r>
    </w:p>
    <w:p>
      <w:pPr>
        <w:spacing w:after="0" w:line="57" w:lineRule="exact"/>
        <w:rPr>
          <w:rFonts w:ascii="Arial" w:cs="Arial" w:eastAsia="Arial" w:hAnsi="Arial"/>
          <w:sz w:val="15"/>
          <w:szCs w:val="15"/>
          <w:color w:val="auto"/>
        </w:rPr>
      </w:pPr>
    </w:p>
    <w:p>
      <w:pPr>
        <w:ind w:left="2620"/>
        <w:spacing w:after="0"/>
        <w:rPr>
          <w:rFonts w:ascii="Arial" w:cs="Arial" w:eastAsia="Arial" w:hAnsi="Arial"/>
          <w:sz w:val="15"/>
          <w:szCs w:val="15"/>
          <w:color w:val="auto"/>
        </w:rPr>
      </w:pPr>
      <w:r>
        <w:rPr>
          <w:rFonts w:ascii="Arial" w:cs="Arial" w:eastAsia="Arial" w:hAnsi="Arial"/>
          <w:sz w:val="15"/>
          <w:szCs w:val="15"/>
          <w:color w:val="auto"/>
        </w:rPr>
        <w:t>11,492</w:t>
      </w:r>
    </w:p>
    <w:p>
      <w:pPr>
        <w:spacing w:after="0" w:line="57" w:lineRule="exact"/>
        <w:rPr>
          <w:rFonts w:ascii="Arial" w:cs="Arial" w:eastAsia="Arial" w:hAnsi="Arial"/>
          <w:sz w:val="15"/>
          <w:szCs w:val="15"/>
          <w:color w:val="auto"/>
        </w:rPr>
      </w:pPr>
    </w:p>
    <w:p>
      <w:pPr>
        <w:ind w:left="2700"/>
        <w:spacing w:after="0"/>
        <w:rPr>
          <w:rFonts w:ascii="Arial" w:cs="Arial" w:eastAsia="Arial" w:hAnsi="Arial"/>
          <w:sz w:val="15"/>
          <w:szCs w:val="15"/>
          <w:color w:val="auto"/>
        </w:rPr>
      </w:pPr>
      <w:r>
        <w:rPr>
          <w:rFonts w:ascii="Arial" w:cs="Arial" w:eastAsia="Arial" w:hAnsi="Arial"/>
          <w:sz w:val="15"/>
          <w:szCs w:val="15"/>
          <w:color w:val="auto"/>
        </w:rPr>
        <w:t>7,375</w:t>
      </w:r>
    </w:p>
    <w:p>
      <w:pPr>
        <w:spacing w:after="0" w:line="57" w:lineRule="exact"/>
        <w:rPr>
          <w:rFonts w:ascii="Arial" w:cs="Arial" w:eastAsia="Arial" w:hAnsi="Arial"/>
          <w:sz w:val="15"/>
          <w:szCs w:val="15"/>
          <w:color w:val="auto"/>
        </w:rPr>
      </w:pPr>
    </w:p>
    <w:p>
      <w:pPr>
        <w:ind w:left="2700"/>
        <w:spacing w:after="0"/>
        <w:rPr>
          <w:rFonts w:ascii="Arial" w:cs="Arial" w:eastAsia="Arial" w:hAnsi="Arial"/>
          <w:sz w:val="15"/>
          <w:szCs w:val="15"/>
          <w:color w:val="auto"/>
        </w:rPr>
      </w:pPr>
      <w:r>
        <w:rPr>
          <w:rFonts w:ascii="Arial" w:cs="Arial" w:eastAsia="Arial" w:hAnsi="Arial"/>
          <w:sz w:val="15"/>
          <w:szCs w:val="15"/>
          <w:color w:val="auto"/>
        </w:rPr>
        <w:t>3,698</w:t>
      </w:r>
    </w:p>
    <w:p>
      <w:pPr>
        <w:spacing w:after="0" w:line="57" w:lineRule="exact"/>
        <w:rPr>
          <w:rFonts w:ascii="Arial" w:cs="Arial" w:eastAsia="Arial" w:hAnsi="Arial"/>
          <w:sz w:val="15"/>
          <w:szCs w:val="15"/>
          <w:color w:val="auto"/>
        </w:rPr>
      </w:pPr>
    </w:p>
    <w:p>
      <w:pPr>
        <w:ind w:left="2700"/>
        <w:spacing w:after="0"/>
        <w:rPr>
          <w:rFonts w:ascii="Arial" w:cs="Arial" w:eastAsia="Arial" w:hAnsi="Arial"/>
          <w:sz w:val="15"/>
          <w:szCs w:val="15"/>
          <w:color w:val="auto"/>
        </w:rPr>
      </w:pPr>
      <w:r>
        <w:rPr>
          <w:rFonts w:ascii="Arial" w:cs="Arial" w:eastAsia="Arial" w:hAnsi="Arial"/>
          <w:sz w:val="15"/>
          <w:szCs w:val="15"/>
          <w:color w:val="auto"/>
        </w:rPr>
        <w:t>1,809</w:t>
      </w:r>
    </w:p>
    <w:p>
      <w:pPr>
        <w:spacing w:after="0" w:line="57" w:lineRule="exact"/>
        <w:rPr>
          <w:rFonts w:ascii="Arial" w:cs="Arial" w:eastAsia="Arial" w:hAnsi="Arial"/>
          <w:sz w:val="15"/>
          <w:szCs w:val="15"/>
          <w:color w:val="auto"/>
        </w:rPr>
      </w:pPr>
    </w:p>
    <w:p>
      <w:pPr>
        <w:ind w:left="2920"/>
        <w:spacing w:after="0"/>
        <w:rPr>
          <w:rFonts w:ascii="Arial" w:cs="Arial" w:eastAsia="Arial" w:hAnsi="Arial"/>
          <w:sz w:val="15"/>
          <w:szCs w:val="15"/>
          <w:color w:val="auto"/>
        </w:rPr>
      </w:pPr>
      <w:r>
        <w:rPr>
          <w:rFonts w:ascii="Arial" w:cs="Arial" w:eastAsia="Arial" w:hAnsi="Arial"/>
          <w:sz w:val="16"/>
          <w:szCs w:val="16"/>
          <w:color w:val="auto"/>
        </w:rPr>
        <w:t>17</w:t>
      </w:r>
    </w:p>
    <w:p>
      <w:pPr>
        <w:spacing w:after="0" w:line="58" w:lineRule="exact"/>
        <w:rPr>
          <w:sz w:val="20"/>
          <w:szCs w:val="20"/>
          <w:color w:val="auto"/>
        </w:rPr>
      </w:pPr>
    </w:p>
    <w:p>
      <w:pPr>
        <w:ind w:left="2620" w:hanging="1353"/>
        <w:spacing w:after="0"/>
        <w:tabs>
          <w:tab w:leader="none" w:pos="26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37,666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793115</wp:posOffset>
            </wp:positionH>
            <wp:positionV relativeFrom="paragraph">
              <wp:posOffset>62230</wp:posOffset>
            </wp:positionV>
            <wp:extent cx="12255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26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23495</wp:posOffset>
            </wp:positionV>
            <wp:extent cx="19888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2" w:lineRule="exact"/>
        <w:rPr>
          <w:sz w:val="20"/>
          <w:szCs w:val="20"/>
          <w:color w:val="auto"/>
        </w:rPr>
      </w:pPr>
    </w:p>
    <w:p>
      <w:pPr>
        <w:spacing w:after="0"/>
        <w:tabs>
          <w:tab w:leader="none" w:pos="16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23495</wp:posOffset>
            </wp:positionV>
            <wp:extent cx="19888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91" w:lineRule="exact"/>
        <w:rPr>
          <w:sz w:val="20"/>
          <w:szCs w:val="20"/>
          <w:color w:val="auto"/>
        </w:rPr>
      </w:pPr>
    </w:p>
    <w:p>
      <w:pPr>
        <w:sectPr>
          <w:pgSz w:w="11900" w:h="16838" w:orient="portrait"/>
          <w:cols w:equalWidth="0" w:num="2">
            <w:col w:w="7300" w:space="720"/>
            <w:col w:w="3220"/>
          </w:cols>
          <w:pgMar w:left="320" w:top="1111" w:right="339" w:bottom="1440" w:gutter="0" w:footer="0" w:header="0"/>
          <w:type w:val="continuous"/>
        </w:sectPr>
      </w:pPr>
    </w:p>
    <w:tbl>
      <w:tblPr>
        <w:tblLayout w:type="fixed"/>
        <w:tblInd w:w="680" w:type="dxa"/>
        <w:tblCellMar>
          <w:top w:w="0" w:type="dxa"/>
          <w:left w:w="0" w:type="dxa"/>
          <w:bottom w:w="0" w:type="dxa"/>
          <w:right w:w="0" w:type="dxa"/>
        </w:tblCellMar>
      </w:tblP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beginning of the period</w:t>
            </w:r>
          </w:p>
        </w:tc>
        <w:tc>
          <w:tcPr>
            <w:tcW w:w="9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1,698</w:t>
            </w:r>
          </w:p>
        </w:tc>
        <w:tc>
          <w:tcPr>
            <w:tcW w:w="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Deferred revenue, end of the period</w:t>
            </w:r>
          </w:p>
        </w:tc>
        <w:tc>
          <w:tcPr>
            <w:tcW w:w="9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1,763</w:t>
            </w: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175"/>
        </w:trPr>
        <w:tc>
          <w:tcPr>
            <w:tcW w:w="6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Revenue recognized in the period from amounts included in deferred revenue at the</w:t>
            </w:r>
          </w:p>
        </w:tc>
        <w:tc>
          <w:tcPr>
            <w:tcW w:w="9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595</w:t>
            </w:r>
          </w:p>
        </w:tc>
        <w:tc>
          <w:tcPr>
            <w:tcW w:w="6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the period</w:t>
            </w:r>
          </w:p>
        </w:tc>
        <w:tc>
          <w:tcPr>
            <w:tcW w:w="9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the contract liabilities year-over-year is primarily the result of timing difference between the Company's satisfaction of a performance obligation and payment from the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2021, the Company had net capitalized costs to obtain contracts of $0.4 million included in Prepaid expenses and other current assets and $2 million included in Other noncurrent assets on the Consolidated Balance Sheet. None of these capitalized contract costs were impaired. During the year ended June 30, 2021, amortization of capitalized contract costs was $0.6 million.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2020, the Company had net capitalized costs to obtain contracts of $0.4 million included in Prepaid expenses and other current assets and $1.8 million included in Other noncurrent assets on the Consolidated Balance Sheet. None of these capitalized contract costs were impaired. During the year ended June 30, 2020, amortization of capitalized contract costs was $0.5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5. LOSS PER SHARE CALCULATION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computed by dividing net loss by the weighted average number of common shares outstanding during the period. Diluted earnings per share, applicable only to years ended with reported income, is computed by dividing net income by the weighted average number of common shares outstanding during the period plus the dilutive effect of outstanding stock options and restricted stock-based awards using the treasury stock method. The calculation of basic and diluted loss per share is presented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8"/>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35"/>
        </w:trPr>
        <w:tc>
          <w:tcPr>
            <w:tcW w:w="7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(8,705)</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(40,595)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(29,882)</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dividends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Net loss available to common shareholders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(30,550)</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7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67,002,438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62,980,193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60,061,243</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potential common shares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w w:val="96"/>
              </w:rPr>
              <w:t xml:space="preserve">Denominator for diluted loss per share </w:t>
            </w:r>
            <w:r>
              <w:rPr>
                <w:rFonts w:ascii="Arial" w:cs="Arial" w:eastAsia="Arial" w:hAnsi="Arial"/>
                <w:sz w:val="18"/>
                <w:szCs w:val="18"/>
                <w:color w:val="auto"/>
                <w:w w:val="96"/>
              </w:rPr>
              <w:t>- Adjusted weighted average shares outstanding</w:t>
            </w: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67,002,438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62,980,193</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60,061,243</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7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Basic and diluted loss per share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r>
      <w:tr>
        <w:trPr>
          <w:trHeight w:val="21"/>
        </w:trPr>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Anti-dilutive shares excluded from the calculation of diluted loss per share were 4,139,745, 2,779,222, and 1,297,073 for the years ended June 30, 2021,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FINANCE RECEIVABLES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Company’s finance receivables consist of financed devices under the QuickStart program and devices contractually associated with the Seed platform. Predominately all of the Company’s finance receivables agreements are classified as non-cancellable sixty-month sales-type leases. As of June 30, 2021 and 2020, finance receivables consist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finance receivables,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Finance receivables due after one year,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11,632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11,213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finance receivables, net of allowance of $1,109 and $150, respectively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19,599</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We collect lease payments from customers primarily as part of the flow of funds from our transaction processing service. Balances are considered past due if customers do not have sufficient transaction revenue to cover the monthly lease payment by</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end of the monthly billing period. The Company routinely monitors customer payment performance and uses prior payment performance as a measure to assess the capability of the customer to repay contractual obligations of the lease agreements as scheduled. On an as-needed basis, qualitative information may be taken into consideration if new information arises related to the customer’s ability to repay the lease.</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Credit risk for these receivables is continuously monitored by management and reflected within the allowance for finance receivables by aggregating leases with similar risk characteristics into pools that are collectively assessed. Because the Company’s lease contracts generally have similar terms, customer characteristics around transaction processing volume and sales were used to disaggregate the leases. Our key credit quality indicator is the amount of transaction revenue we process for each customer relative to their lease payment due, as we consider this customer characteristic to be the strongest predictor of the</w:t>
      </w:r>
    </w:p>
    <w:p>
      <w:pPr>
        <w:spacing w:after="0" w:line="3" w:lineRule="exact"/>
        <w:rPr>
          <w:sz w:val="20"/>
          <w:szCs w:val="20"/>
          <w:color w:val="auto"/>
        </w:rPr>
      </w:pPr>
    </w:p>
    <w:p>
      <w:pPr>
        <w:ind w:right="2060"/>
        <w:spacing w:after="0" w:line="260" w:lineRule="auto"/>
        <w:rPr>
          <w:sz w:val="20"/>
          <w:szCs w:val="20"/>
          <w:color w:val="auto"/>
        </w:rPr>
      </w:pPr>
      <w:r>
        <w:rPr>
          <w:rFonts w:ascii="Arial" w:cs="Arial" w:eastAsia="Arial" w:hAnsi="Arial"/>
          <w:sz w:val="18"/>
          <w:szCs w:val="18"/>
          <w:color w:val="auto"/>
        </w:rPr>
        <w:t>risk of customer default. Customers with low processing volume or with transaction sales that are insufficient to cover the lease payment are considered to be at a higher risk of customer default.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Customers are pooled based on their ratio of gross sales to required monthly lease obligations. We categorize outstanding receivables into two categories: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high ratio customers (customers who have adequate transaction processing volumes to cover</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64" w:name="page65"/>
    <w:bookmarkEnd w:id="64"/>
    <w:p>
      <w:pPr>
        <w:spacing w:after="0" w:line="342" w:lineRule="auto"/>
        <w:rPr>
          <w:sz w:val="20"/>
          <w:szCs w:val="20"/>
          <w:color w:val="auto"/>
        </w:rPr>
      </w:pPr>
      <w:r>
        <w:rPr>
          <w:rFonts w:ascii="Arial" w:cs="Arial" w:eastAsia="Arial" w:hAnsi="Arial"/>
          <w:sz w:val="16"/>
          <w:szCs w:val="16"/>
          <w:color w:val="auto"/>
        </w:rPr>
        <w:t>monthly fees) and low ratio customers (customers that do not consistently have adequate transaction processing volumes to cover monthly fees). Using these two categories, we performed an analysis of historical write-offs to calculate reserve percentages by aging buckets for each category of customer.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At June 30, 2021, the gross lease receivable by current payment performance on a contractual basis and year of origination consisted of the following:</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7"/>
          </w:tcPr>
          <w:p>
            <w:pPr>
              <w:ind w:left="980"/>
              <w:spacing w:after="0"/>
              <w:rPr>
                <w:sz w:val="20"/>
                <w:szCs w:val="20"/>
                <w:color w:val="auto"/>
              </w:rPr>
            </w:pPr>
            <w:r>
              <w:rPr>
                <w:rFonts w:ascii="Arial" w:cs="Arial" w:eastAsia="Arial" w:hAnsi="Arial"/>
                <w:sz w:val="14"/>
                <w:szCs w:val="14"/>
                <w:b w:val="1"/>
                <w:bCs w:val="1"/>
                <w:color w:val="auto"/>
              </w:rPr>
              <w:t>Leases by Origination</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60"/>
        </w:trPr>
        <w:tc>
          <w:tcPr>
            <w:tcW w:w="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1"/>
              </w:rPr>
              <w:t>Between 1 and 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92"/>
              </w:rPr>
              <w:t>Between 2 and 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1"/>
              </w:rPr>
              <w:t>Between 3 and 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180"/>
              <w:spacing w:after="0" w:line="160" w:lineRule="exact"/>
              <w:rPr>
                <w:sz w:val="20"/>
                <w:szCs w:val="20"/>
                <w:color w:val="auto"/>
              </w:rPr>
            </w:pPr>
            <w:r>
              <w:rPr>
                <w:rFonts w:ascii="Arial" w:cs="Arial" w:eastAsia="Arial" w:hAnsi="Arial"/>
                <w:sz w:val="14"/>
                <w:szCs w:val="14"/>
                <w:b w:val="1"/>
                <w:bCs w:val="1"/>
                <w:color w:val="auto"/>
                <w:w w:val="91"/>
              </w:rPr>
              <w:t>Between 4 and 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60"/>
              <w:spacing w:after="0" w:line="160" w:lineRule="exact"/>
              <w:rPr>
                <w:sz w:val="20"/>
                <w:szCs w:val="20"/>
                <w:color w:val="auto"/>
              </w:rPr>
            </w:pPr>
            <w:r>
              <w:rPr>
                <w:rFonts w:ascii="Arial" w:cs="Arial" w:eastAsia="Arial" w:hAnsi="Arial"/>
                <w:sz w:val="14"/>
                <w:szCs w:val="14"/>
                <w:b w:val="1"/>
                <w:bCs w:val="1"/>
                <w:color w:val="auto"/>
                <w:w w:val="96"/>
              </w:rPr>
              <w:t>More than 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6"/>
        </w:trPr>
        <w:tc>
          <w:tcPr>
            <w:tcW w:w="40" w:type="dxa"/>
            <w:vAlign w:val="bottom"/>
          </w:tcPr>
          <w:p>
            <w:pPr>
              <w:spacing w:after="0"/>
              <w:rPr>
                <w:sz w:val="16"/>
                <w:szCs w:val="16"/>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w w:val="99"/>
              </w:rPr>
              <w:t>Up to 1 Year Ago</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Years Ago</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Years Ago</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Years Ago</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Years Ago</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Years Ago</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6"/>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34"/>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80" w:type="dxa"/>
            <w:vAlign w:val="bottom"/>
            <w:tcBorders>
              <w:bottom w:val="single" w:sz="8" w:color="CCEEFF"/>
            </w:tcBorders>
            <w:gridSpan w:val="3"/>
            <w:shd w:val="clear" w:color="auto" w:fill="CCEEFF"/>
          </w:tcPr>
          <w:p>
            <w:pPr>
              <w:jc w:val="right"/>
              <w:ind w:right="20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19,117</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30 days and under</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31 - 60 days</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61 - 90 days</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Greater than 90 days</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Total finance receivables</w:t>
            </w:r>
          </w:p>
        </w:tc>
        <w:tc>
          <w:tcPr>
            <w:tcW w:w="80" w:type="dxa"/>
            <w:vAlign w:val="bottom"/>
            <w:gridSpan w:val="2"/>
          </w:tcPr>
          <w:p>
            <w:pPr>
              <w:spacing w:after="0"/>
              <w:rPr>
                <w:sz w:val="22"/>
                <w:szCs w:val="22"/>
                <w:color w:val="auto"/>
              </w:rPr>
            </w:pPr>
          </w:p>
        </w:tc>
        <w:tc>
          <w:tcPr>
            <w:tcW w:w="40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6,584</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20,708</w:t>
            </w:r>
          </w:p>
        </w:tc>
        <w:tc>
          <w:tcPr>
            <w:tcW w:w="40" w:type="dxa"/>
            <w:vAlign w:val="bottom"/>
            <w:tcBorders>
              <w:top w:val="single" w:sz="8" w:color="auto"/>
              <w:bottom w:val="single" w:sz="8" w:color="auto"/>
            </w:tcBorders>
          </w:tcPr>
          <w:p>
            <w:pPr>
              <w:spacing w:after="0"/>
              <w:rPr>
                <w:sz w:val="22"/>
                <w:szCs w:val="22"/>
                <w:color w:val="auto"/>
              </w:rPr>
            </w:pPr>
          </w:p>
        </w:tc>
      </w:tr>
      <w:tr>
        <w:trPr>
          <w:trHeight w:val="21"/>
        </w:trPr>
        <w:tc>
          <w:tcPr>
            <w:tcW w:w="2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588"/>
        </w:trPr>
        <w:tc>
          <w:tcPr>
            <w:tcW w:w="8900" w:type="dxa"/>
            <w:vAlign w:val="bottom"/>
            <w:gridSpan w:val="29"/>
          </w:tcPr>
          <w:p>
            <w:pPr>
              <w:spacing w:after="0"/>
              <w:rPr>
                <w:sz w:val="20"/>
                <w:szCs w:val="20"/>
                <w:color w:val="auto"/>
              </w:rPr>
            </w:pPr>
            <w:r>
              <w:rPr>
                <w:rFonts w:ascii="Arial" w:cs="Arial" w:eastAsia="Arial" w:hAnsi="Arial"/>
                <w:sz w:val="18"/>
                <w:szCs w:val="18"/>
                <w:color w:val="auto"/>
                <w:w w:val="90"/>
              </w:rPr>
              <w:t>At June 30, 2020, the gross lease receivable by current payment performance on a contractual basis and year of origination</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2200" w:type="dxa"/>
            <w:vAlign w:val="bottom"/>
            <w:gridSpan w:val="3"/>
          </w:tcPr>
          <w:p>
            <w:pPr>
              <w:spacing w:after="0"/>
              <w:rPr>
                <w:sz w:val="20"/>
                <w:szCs w:val="20"/>
                <w:color w:val="auto"/>
              </w:rPr>
            </w:pPr>
            <w:r>
              <w:rPr>
                <w:rFonts w:ascii="Arial" w:cs="Arial" w:eastAsia="Arial" w:hAnsi="Arial"/>
                <w:sz w:val="18"/>
                <w:szCs w:val="18"/>
                <w:color w:val="auto"/>
              </w:rPr>
              <w:t>consisted of the following:</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17"/>
        </w:trPr>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7"/>
          </w:tcPr>
          <w:p>
            <w:pPr>
              <w:ind w:left="940"/>
              <w:spacing w:after="0"/>
              <w:rPr>
                <w:sz w:val="20"/>
                <w:szCs w:val="20"/>
                <w:color w:val="auto"/>
              </w:rPr>
            </w:pPr>
            <w:r>
              <w:rPr>
                <w:rFonts w:ascii="Arial" w:cs="Arial" w:eastAsia="Arial" w:hAnsi="Arial"/>
                <w:sz w:val="14"/>
                <w:szCs w:val="14"/>
                <w:b w:val="1"/>
                <w:bCs w:val="1"/>
                <w:color w:val="auto"/>
              </w:rPr>
              <w:t>Leases by Origination</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6"/>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60"/>
        </w:trPr>
        <w:tc>
          <w:tcPr>
            <w:tcW w:w="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3"/>
          </w:tcPr>
          <w:p>
            <w:pPr>
              <w:jc w:val="center"/>
              <w:ind w:right="80"/>
              <w:spacing w:after="0" w:line="160" w:lineRule="exact"/>
              <w:rPr>
                <w:sz w:val="20"/>
                <w:szCs w:val="20"/>
                <w:color w:val="auto"/>
              </w:rPr>
            </w:pPr>
            <w:r>
              <w:rPr>
                <w:rFonts w:ascii="Arial" w:cs="Arial" w:eastAsia="Arial" w:hAnsi="Arial"/>
                <w:sz w:val="14"/>
                <w:szCs w:val="14"/>
                <w:b w:val="1"/>
                <w:bCs w:val="1"/>
                <w:color w:val="auto"/>
                <w:w w:val="91"/>
              </w:rPr>
              <w:t>Between 1 and 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3"/>
          </w:tcPr>
          <w:p>
            <w:pPr>
              <w:jc w:val="center"/>
              <w:ind w:right="80"/>
              <w:spacing w:after="0" w:line="160" w:lineRule="exact"/>
              <w:rPr>
                <w:sz w:val="20"/>
                <w:szCs w:val="20"/>
                <w:color w:val="auto"/>
              </w:rPr>
            </w:pPr>
            <w:r>
              <w:rPr>
                <w:rFonts w:ascii="Arial" w:cs="Arial" w:eastAsia="Arial" w:hAnsi="Arial"/>
                <w:sz w:val="14"/>
                <w:szCs w:val="14"/>
                <w:b w:val="1"/>
                <w:bCs w:val="1"/>
                <w:color w:val="auto"/>
                <w:w w:val="91"/>
              </w:rPr>
              <w:t>Between 2 and 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3"/>
          </w:tcPr>
          <w:p>
            <w:pPr>
              <w:jc w:val="center"/>
              <w:ind w:right="80"/>
              <w:spacing w:after="0" w:line="160" w:lineRule="exact"/>
              <w:rPr>
                <w:sz w:val="20"/>
                <w:szCs w:val="20"/>
                <w:color w:val="auto"/>
              </w:rPr>
            </w:pPr>
            <w:r>
              <w:rPr>
                <w:rFonts w:ascii="Arial" w:cs="Arial" w:eastAsia="Arial" w:hAnsi="Arial"/>
                <w:sz w:val="14"/>
                <w:szCs w:val="14"/>
                <w:b w:val="1"/>
                <w:bCs w:val="1"/>
                <w:color w:val="auto"/>
                <w:w w:val="91"/>
              </w:rPr>
              <w:t>Between 3 and 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gridSpan w:val="4"/>
          </w:tcPr>
          <w:p>
            <w:pPr>
              <w:jc w:val="center"/>
              <w:ind w:right="140"/>
              <w:spacing w:after="0" w:line="160" w:lineRule="exact"/>
              <w:rPr>
                <w:sz w:val="20"/>
                <w:szCs w:val="20"/>
                <w:color w:val="auto"/>
              </w:rPr>
            </w:pPr>
            <w:r>
              <w:rPr>
                <w:rFonts w:ascii="Arial" w:cs="Arial" w:eastAsia="Arial" w:hAnsi="Arial"/>
                <w:sz w:val="14"/>
                <w:szCs w:val="14"/>
                <w:b w:val="1"/>
                <w:bCs w:val="1"/>
                <w:color w:val="auto"/>
                <w:w w:val="91"/>
              </w:rPr>
              <w:t>Between 4 and 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auto"/>
                <w:w w:val="94"/>
              </w:rPr>
              <w:t>More than 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6"/>
        </w:trPr>
        <w:tc>
          <w:tcPr>
            <w:tcW w:w="220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Up to 1 Year Ago</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Years Ago</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Years Ago</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Years Ago</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Years Ago</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 Ago</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26"/>
        </w:trPr>
        <w:tc>
          <w:tcPr>
            <w:tcW w:w="2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34"/>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80" w:type="dxa"/>
            <w:vAlign w:val="bottom"/>
            <w:tcBorders>
              <w:bottom w:val="single" w:sz="8" w:color="CCEEFF"/>
            </w:tcBorders>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17,474</w:t>
            </w:r>
          </w:p>
        </w:tc>
        <w:tc>
          <w:tcPr>
            <w:tcW w:w="40" w:type="dxa"/>
            <w:vAlign w:val="bottom"/>
          </w:tcPr>
          <w:p>
            <w:pPr>
              <w:spacing w:after="0"/>
              <w:rPr>
                <w:sz w:val="21"/>
                <w:szCs w:val="21"/>
                <w:color w:val="auto"/>
              </w:rPr>
            </w:pPr>
          </w:p>
        </w:tc>
      </w:tr>
      <w:tr>
        <w:trPr>
          <w:trHeight w:val="243"/>
        </w:trPr>
        <w:tc>
          <w:tcPr>
            <w:tcW w:w="2200" w:type="dxa"/>
            <w:vAlign w:val="bottom"/>
            <w:gridSpan w:val="3"/>
          </w:tcPr>
          <w:p>
            <w:pPr>
              <w:ind w:left="20"/>
              <w:spacing w:after="0"/>
              <w:rPr>
                <w:sz w:val="20"/>
                <w:szCs w:val="20"/>
                <w:color w:val="auto"/>
              </w:rPr>
            </w:pPr>
            <w:r>
              <w:rPr>
                <w:rFonts w:ascii="Arial" w:cs="Arial" w:eastAsia="Arial" w:hAnsi="Arial"/>
                <w:sz w:val="18"/>
                <w:szCs w:val="18"/>
                <w:color w:val="auto"/>
              </w:rPr>
              <w:t>30 days and under</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w:t>
            </w:r>
          </w:p>
        </w:tc>
        <w:tc>
          <w:tcPr>
            <w:tcW w:w="40" w:type="dxa"/>
            <w:vAlign w:val="bottom"/>
          </w:tcPr>
          <w:p>
            <w:pPr>
              <w:spacing w:after="0"/>
              <w:rPr>
                <w:sz w:val="21"/>
                <w:szCs w:val="21"/>
                <w:color w:val="auto"/>
              </w:rPr>
            </w:pPr>
          </w:p>
        </w:tc>
      </w:tr>
      <w:tr>
        <w:trPr>
          <w:trHeight w:val="27"/>
        </w:trPr>
        <w:tc>
          <w:tcPr>
            <w:tcW w:w="2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31 - 60 days</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1"/>
                <w:szCs w:val="21"/>
                <w:color w:val="auto"/>
              </w:rPr>
            </w:pPr>
          </w:p>
        </w:tc>
      </w:tr>
      <w:tr>
        <w:trPr>
          <w:trHeight w:val="243"/>
        </w:trPr>
        <w:tc>
          <w:tcPr>
            <w:tcW w:w="2200" w:type="dxa"/>
            <w:vAlign w:val="bottom"/>
            <w:gridSpan w:val="3"/>
          </w:tcPr>
          <w:p>
            <w:pPr>
              <w:ind w:left="20"/>
              <w:spacing w:after="0"/>
              <w:rPr>
                <w:sz w:val="20"/>
                <w:szCs w:val="20"/>
                <w:color w:val="auto"/>
              </w:rPr>
            </w:pPr>
            <w:r>
              <w:rPr>
                <w:rFonts w:ascii="Arial" w:cs="Arial" w:eastAsia="Arial" w:hAnsi="Arial"/>
                <w:sz w:val="18"/>
                <w:szCs w:val="18"/>
                <w:color w:val="auto"/>
              </w:rPr>
              <w:t>61 - 90 days</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21"/>
                <w:szCs w:val="21"/>
                <w:color w:val="auto"/>
              </w:rPr>
            </w:pPr>
          </w:p>
        </w:tc>
      </w:tr>
      <w:tr>
        <w:trPr>
          <w:trHeight w:val="27"/>
        </w:trPr>
        <w:tc>
          <w:tcPr>
            <w:tcW w:w="2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2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Greater than 90 days</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40" w:type="dxa"/>
            <w:vAlign w:val="bottom"/>
          </w:tcPr>
          <w:p>
            <w:pPr>
              <w:spacing w:after="0"/>
              <w:rPr>
                <w:sz w:val="23"/>
                <w:szCs w:val="23"/>
                <w:color w:val="auto"/>
              </w:rPr>
            </w:pPr>
          </w:p>
        </w:tc>
      </w:tr>
      <w:tr>
        <w:trPr>
          <w:trHeight w:val="264"/>
        </w:trPr>
        <w:tc>
          <w:tcPr>
            <w:tcW w:w="2200" w:type="dxa"/>
            <w:vAlign w:val="bottom"/>
            <w:gridSpan w:val="3"/>
          </w:tcPr>
          <w:p>
            <w:pPr>
              <w:ind w:left="20"/>
              <w:spacing w:after="0"/>
              <w:rPr>
                <w:sz w:val="20"/>
                <w:szCs w:val="20"/>
                <w:color w:val="auto"/>
              </w:rPr>
            </w:pPr>
            <w:r>
              <w:rPr>
                <w:rFonts w:ascii="Arial" w:cs="Arial" w:eastAsia="Arial" w:hAnsi="Arial"/>
                <w:sz w:val="18"/>
                <w:szCs w:val="18"/>
                <w:color w:val="auto"/>
              </w:rPr>
              <w:t>Total finance receivables</w:t>
            </w:r>
          </w:p>
        </w:tc>
        <w:tc>
          <w:tcPr>
            <w:tcW w:w="40" w:type="dxa"/>
            <w:vAlign w:val="bottom"/>
          </w:tcPr>
          <w:p>
            <w:pPr>
              <w:spacing w:after="0"/>
              <w:rPr>
                <w:sz w:val="22"/>
                <w:szCs w:val="22"/>
                <w:color w:val="auto"/>
              </w:rPr>
            </w:pPr>
          </w:p>
        </w:tc>
        <w:tc>
          <w:tcPr>
            <w:tcW w:w="440" w:type="dxa"/>
            <w:vAlign w:val="bottom"/>
            <w:tcBorders>
              <w:top w:val="single" w:sz="8" w:color="auto"/>
              <w:bottom w:val="single" w:sz="8" w:color="auto"/>
            </w:tcBorders>
            <w:gridSpan w:val="2"/>
          </w:tcPr>
          <w:p>
            <w:pPr>
              <w:jc w:val="right"/>
              <w:ind w:right="242"/>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18,831</w:t>
            </w:r>
          </w:p>
        </w:tc>
        <w:tc>
          <w:tcPr>
            <w:tcW w:w="4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credit quality indicators by year of origination consisted of the following:</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900"/>
              <w:spacing w:after="0"/>
              <w:rPr>
                <w:sz w:val="20"/>
                <w:szCs w:val="20"/>
                <w:color w:val="auto"/>
              </w:rPr>
            </w:pPr>
            <w:r>
              <w:rPr>
                <w:rFonts w:ascii="Arial" w:cs="Arial" w:eastAsia="Arial" w:hAnsi="Arial"/>
                <w:sz w:val="14"/>
                <w:szCs w:val="14"/>
                <w:b w:val="1"/>
                <w:bCs w:val="1"/>
                <w:color w:val="auto"/>
              </w:rPr>
              <w:t>Leases by Origination</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2"/>
        </w:trPr>
        <w:tc>
          <w:tcPr>
            <w:tcW w:w="2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Between 1 and 2</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Between 2 and 3</w:t>
            </w: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Between 3 and 4</w:t>
            </w: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Between 4 and 5</w:t>
            </w: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More than 5</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Up to 1 Year Ago</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Years Ago</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Years Ago</w:t>
            </w: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Years Ago</w:t>
            </w:r>
          </w:p>
        </w:tc>
        <w:tc>
          <w:tcPr>
            <w:tcW w:w="14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 Ago</w:t>
            </w:r>
          </w:p>
        </w:tc>
        <w:tc>
          <w:tcPr>
            <w:tcW w:w="240" w:type="dxa"/>
            <w:vAlign w:val="bottom"/>
          </w:tcPr>
          <w:p>
            <w:pPr>
              <w:spacing w:after="0"/>
              <w:rPr>
                <w:sz w:val="16"/>
                <w:szCs w:val="16"/>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Total</w:t>
            </w:r>
          </w:p>
        </w:tc>
      </w:tr>
      <w:tr>
        <w:trPr>
          <w:trHeight w:val="80"/>
        </w:trPr>
        <w:tc>
          <w:tcPr>
            <w:tcW w:w="238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43"/>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High ratio customers</w:t>
            </w:r>
          </w:p>
        </w:tc>
        <w:tc>
          <w:tcPr>
            <w:tcW w:w="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18,267</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Low ratio customers</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2,441</w:t>
            </w:r>
          </w:p>
        </w:tc>
      </w:tr>
      <w:tr>
        <w:trPr>
          <w:trHeight w:val="27"/>
        </w:trPr>
        <w:tc>
          <w:tcPr>
            <w:tcW w:w="2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9"/>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receivables</w:t>
            </w: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20,708</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 June 30, 2020, credit quality indicators by year of origination consisted of the following:</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900"/>
              <w:spacing w:after="0"/>
              <w:rPr>
                <w:sz w:val="20"/>
                <w:szCs w:val="20"/>
                <w:color w:val="auto"/>
              </w:rPr>
            </w:pPr>
            <w:r>
              <w:rPr>
                <w:rFonts w:ascii="Arial" w:cs="Arial" w:eastAsia="Arial" w:hAnsi="Arial"/>
                <w:sz w:val="14"/>
                <w:szCs w:val="14"/>
                <w:b w:val="1"/>
                <w:bCs w:val="1"/>
                <w:color w:val="auto"/>
              </w:rPr>
              <w:t>Leases by Origination</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2"/>
        </w:trPr>
        <w:tc>
          <w:tcPr>
            <w:tcW w:w="2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Between 1 and 2</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Between 2 and 3</w:t>
            </w: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Between 3 and 4</w:t>
            </w: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Between 4 and 5</w:t>
            </w: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More than 5</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Up to 1 Year Ago</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Years Ago</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Years Ago</w:t>
            </w: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Years Ago</w:t>
            </w:r>
          </w:p>
        </w:tc>
        <w:tc>
          <w:tcPr>
            <w:tcW w:w="14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 Ago</w:t>
            </w:r>
          </w:p>
        </w:tc>
        <w:tc>
          <w:tcPr>
            <w:tcW w:w="240" w:type="dxa"/>
            <w:vAlign w:val="bottom"/>
          </w:tcPr>
          <w:p>
            <w:pPr>
              <w:spacing w:after="0"/>
              <w:rPr>
                <w:sz w:val="16"/>
                <w:szCs w:val="16"/>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Total</w:t>
            </w:r>
          </w:p>
        </w:tc>
      </w:tr>
      <w:tr>
        <w:trPr>
          <w:trHeight w:val="79"/>
        </w:trPr>
        <w:tc>
          <w:tcPr>
            <w:tcW w:w="238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4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High ratio customers</w:t>
            </w:r>
          </w:p>
        </w:tc>
        <w:tc>
          <w:tcPr>
            <w:tcW w:w="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16,303</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Low ratio customers</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2,528</w:t>
            </w:r>
          </w:p>
        </w:tc>
      </w:tr>
      <w:tr>
        <w:trPr>
          <w:trHeight w:val="27"/>
        </w:trPr>
        <w:tc>
          <w:tcPr>
            <w:tcW w:w="2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8"/>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receivables</w:t>
            </w: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18,831</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color w:val="auto"/>
        </w:rPr>
        <w:t>The following table represents a rollforward of the allowance for finance receivables for the year ending June 30, 2021 and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84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June 30, 2021</w:t>
            </w:r>
          </w:p>
        </w:tc>
        <w:tc>
          <w:tcPr>
            <w:tcW w:w="17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6"/>
              </w:rPr>
              <w:t>Year ended June 30, 2020</w:t>
            </w:r>
          </w:p>
        </w:tc>
      </w:tr>
      <w:tr>
        <w:trPr>
          <w:trHeight w:val="79"/>
        </w:trPr>
        <w:tc>
          <w:tcPr>
            <w:tcW w:w="7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w:t>
            </w:r>
          </w:p>
        </w:tc>
        <w:tc>
          <w:tcPr>
            <w:tcW w:w="68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Impact of ASC 326*</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expected losses</w:t>
            </w:r>
          </w:p>
        </w:tc>
        <w:tc>
          <w:tcPr>
            <w:tcW w:w="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Write-offs</w:t>
            </w:r>
          </w:p>
        </w:tc>
        <w:tc>
          <w:tcPr>
            <w:tcW w:w="6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7"/>
        </w:trPr>
        <w:tc>
          <w:tcPr>
            <w:tcW w:w="76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w:t>
            </w: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 The Company adopted ASC 326 on July 1, 2020.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Cash to be collected on our performing finance receivables due for each of the fiscal years after June 30, 2021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3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2023</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5,669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2025</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amounts to be collected</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Less: interest</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allowance for nonperforming receivables</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20"/>
              <w:spacing w:after="0"/>
              <w:rPr>
                <w:sz w:val="20"/>
                <w:szCs w:val="20"/>
                <w:color w:val="auto"/>
              </w:rPr>
            </w:pPr>
            <w:r>
              <w:rPr>
                <w:rFonts w:ascii="Arial" w:cs="Arial" w:eastAsia="Arial" w:hAnsi="Arial"/>
                <w:sz w:val="18"/>
                <w:szCs w:val="18"/>
                <w:color w:val="auto"/>
              </w:rPr>
              <w:t>Total finance receivables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19,599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7. PROPERTY AND EQUIPMENT, NET</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3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8"/>
                <w:szCs w:val="18"/>
                <w:color w:val="auto"/>
              </w:rPr>
              <w:t>Property and equipment consisted of the following:</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As of June 30, 2021</w:t>
            </w: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Useful</w:t>
            </w:r>
          </w:p>
        </w:tc>
        <w:tc>
          <w:tcPr>
            <w:tcW w:w="320" w:type="dxa"/>
            <w:vAlign w:val="bottom"/>
          </w:tcPr>
          <w:p>
            <w:pPr>
              <w:spacing w:after="0"/>
              <w:rPr>
                <w:sz w:val="11"/>
                <w:szCs w:val="11"/>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5300" w:type="dxa"/>
            <w:vAlign w:val="bottom"/>
            <w:vMerge w:val="continue"/>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Lives</w:t>
            </w: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Depreciation</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3-7 years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6,497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Internal-use software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3-5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4,523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used for rental program</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5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Furniture and equipment</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3-7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39,436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80" w:type="dxa"/>
            <w:vAlign w:val="bottom"/>
            <w:vMerge w:val="restart"/>
          </w:tcPr>
          <w:p>
            <w:pPr>
              <w:jc w:val="right"/>
              <w:ind w:right="87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5"/>
        </w:trPr>
        <w:tc>
          <w:tcPr>
            <w:tcW w:w="53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As of June 30, 2020</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Useful</w:t>
            </w:r>
          </w:p>
        </w:tc>
        <w:tc>
          <w:tcPr>
            <w:tcW w:w="320" w:type="dxa"/>
            <w:vAlign w:val="bottom"/>
          </w:tcPr>
          <w:p>
            <w:pPr>
              <w:spacing w:after="0"/>
              <w:rPr>
                <w:sz w:val="11"/>
                <w:szCs w:val="11"/>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360" w:type="dxa"/>
            <w:vAlign w:val="bottom"/>
          </w:tcPr>
          <w:p>
            <w:pPr>
              <w:spacing w:after="0"/>
              <w:rPr>
                <w:sz w:val="11"/>
                <w:szCs w:val="11"/>
                <w:color w:val="auto"/>
              </w:rPr>
            </w:pPr>
          </w:p>
        </w:tc>
        <w:tc>
          <w:tcPr>
            <w:tcW w:w="104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5300" w:type="dxa"/>
            <w:vAlign w:val="bottom"/>
            <w:vMerge w:val="continue"/>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Lives</w:t>
            </w: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Depreciation</w:t>
            </w:r>
          </w:p>
        </w:tc>
        <w:tc>
          <w:tcPr>
            <w:tcW w:w="3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3-7 years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Internal-use software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3-5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used for rental program</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5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Furniture and equipment</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3-7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7,872</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Lesser of lease term or estimated useful life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total depreciation expense is comprised of depreciation included in our cost of sales for rental equipment and depreciation included in our operating expenses. Depreciation expense included within cost of sales for rental equipment was $1.4 million, $2.7 million, and $3.1 million for the years ended June 30, 2021, 2020, and 2019, respectively. Depreciation expense included within operating expenses for the years ended June 30, 2021, 2020, and 2019 was $1 million, $1.2 million and $1.3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 balances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As of June 30, 2021</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5"/>
                <w:szCs w:val="15"/>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40" w:type="dxa"/>
            <w:vAlign w:val="bottom"/>
          </w:tcPr>
          <w:p>
            <w:pPr>
              <w:spacing w:after="0"/>
              <w:rPr>
                <w:sz w:val="15"/>
                <w:szCs w:val="15"/>
                <w:color w:val="auto"/>
              </w:rPr>
            </w:pPr>
          </w:p>
        </w:tc>
        <w:tc>
          <w:tcPr>
            <w:tcW w:w="9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8"/>
        </w:trPr>
        <w:tc>
          <w:tcPr>
            <w:tcW w:w="56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3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43"/>
        </w:trPr>
        <w:tc>
          <w:tcPr>
            <w:tcW w:w="56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140"/>
              <w:spacing w:after="0"/>
              <w:rPr>
                <w:sz w:val="20"/>
                <w:szCs w:val="20"/>
                <w:color w:val="auto"/>
              </w:rPr>
            </w:pPr>
            <w:r>
              <w:rPr>
                <w:rFonts w:ascii="Arial" w:cs="Arial" w:eastAsia="Arial" w:hAnsi="Arial"/>
                <w:sz w:val="18"/>
                <w:szCs w:val="18"/>
                <w:color w:val="auto"/>
              </w:rPr>
              <w:t>Brand and tradenames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3 - 7 years</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Developed technology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15,143</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332"/>
        </w:trPr>
        <w:tc>
          <w:tcPr>
            <w:tcW w:w="5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As of June 30, 2020</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5"/>
                <w:szCs w:val="15"/>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40" w:type="dxa"/>
            <w:vAlign w:val="bottom"/>
          </w:tcPr>
          <w:p>
            <w:pPr>
              <w:spacing w:after="0"/>
              <w:rPr>
                <w:sz w:val="15"/>
                <w:szCs w:val="15"/>
                <w:color w:val="auto"/>
              </w:rPr>
            </w:pPr>
          </w:p>
        </w:tc>
        <w:tc>
          <w:tcPr>
            <w:tcW w:w="9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8"/>
        </w:trPr>
        <w:tc>
          <w:tcPr>
            <w:tcW w:w="56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3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35"/>
        </w:trPr>
        <w:tc>
          <w:tcPr>
            <w:tcW w:w="56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140"/>
              <w:spacing w:after="0"/>
              <w:rPr>
                <w:sz w:val="20"/>
                <w:szCs w:val="20"/>
                <w:color w:val="auto"/>
              </w:rPr>
            </w:pPr>
            <w:r>
              <w:rPr>
                <w:rFonts w:ascii="Arial" w:cs="Arial" w:eastAsia="Arial" w:hAnsi="Arial"/>
                <w:sz w:val="18"/>
                <w:szCs w:val="18"/>
                <w:color w:val="auto"/>
              </w:rPr>
              <w:t>Brand and tradenames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3 - 7 years</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Developed technology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16,208</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June 30, 2021, 2020 and 2019, amortization expense related to intangible assets was $3.1 million, $3.1 million and $3.2 million, respectively. The weighted-average remaining useful life of the finite-lived intangible assets was 11.43 years as of June 30, 2021, of which the weighted-average remaining useful life for the brand and tradenames was 3.4 years, for the developed technology was 2.3 years, and for the customer relationships was 14.3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Estimated annual amortization expense for intangible assets is as follows (in thousands):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19,992</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9. ACCRUED EXPENSES</w:t>
            </w: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84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color w:val="auto"/>
              </w:rPr>
              <w:t>Accrued expenses consisted of the following as of June 30, 2021 and 2020: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June 30,</w:t>
            </w: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tax reserve</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Accrued compensation and related sales commissions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Accrued other taxes and filing fees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other, including settlement of shareholder class action lawsuit</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accrued expenses</w:t>
            </w: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DEBT AND OTHER FINANCING ARRANGEMENTS</w:t>
            </w: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84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color w:val="auto"/>
                <w:w w:val="94"/>
              </w:rPr>
              <w:t>The Company's debt and other financing arrangements as of June 30, 2021 and 2020 consisted of the following:</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June 30,</w:t>
            </w: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4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Antara Term Facility</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Arial" w:cs="Arial" w:eastAsia="Arial" w:hAnsi="Arial"/>
                <w:sz w:val="18"/>
                <w:szCs w:val="18"/>
                <w:color w:val="auto"/>
              </w:rPr>
              <w:t>2021 JPMorgan Credit Facility</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PPP and other loans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issuance costs and debt discount</w:t>
            </w: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debt and other financing arrangements, current</w:t>
            </w: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and other financing arrangements, noncurrent</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12,435</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8400" w:type="dxa"/>
            <w:vAlign w:val="bottom"/>
            <w:tcBorders>
              <w:top w:val="single" w:sz="8" w:color="CCEEFF"/>
              <w:bottom w:val="single" w:sz="8" w:color="CCEEFF"/>
            </w:tcBorders>
            <w:vMerge w:val="restart"/>
          </w:tcPr>
          <w:p>
            <w:pPr>
              <w:ind w:left="5500"/>
              <w:spacing w:after="0"/>
              <w:rPr>
                <w:sz w:val="20"/>
                <w:szCs w:val="20"/>
                <w:color w:val="auto"/>
              </w:rPr>
            </w:pPr>
            <w:r>
              <w:rPr>
                <w:rFonts w:ascii="Arial" w:cs="Arial" w:eastAsia="Arial" w:hAnsi="Arial"/>
                <w:sz w:val="18"/>
                <w:szCs w:val="18"/>
                <w:color w:val="auto"/>
              </w:rPr>
              <w:t>68</w:t>
            </w: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 w:type="dxa"/>
            <w:vAlign w:val="bottom"/>
            <w:vMerge w:val="continue"/>
          </w:tcPr>
          <w:p>
            <w:pPr>
              <w:spacing w:after="0"/>
              <w:rPr>
                <w:sz w:val="24"/>
                <w:szCs w:val="24"/>
                <w:color w:val="auto"/>
              </w:rPr>
            </w:pPr>
          </w:p>
        </w:tc>
        <w:tc>
          <w:tcPr>
            <w:tcW w:w="84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8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Details of interest expense presented on the Consolidated Statements of Operations are as follows:</w:t>
      </w:r>
    </w:p>
    <w:p>
      <w:pPr>
        <w:spacing w:after="0" w:line="35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June 30,</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69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24"/>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Antara Term Facility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2021</w:t>
            </w:r>
          </w:p>
        </w:tc>
        <w:tc>
          <w:tcPr>
            <w:tcW w:w="6560" w:type="dxa"/>
            <w:vAlign w:val="bottom"/>
          </w:tcPr>
          <w:p>
            <w:pPr>
              <w:ind w:left="20"/>
              <w:spacing w:after="0"/>
              <w:rPr>
                <w:sz w:val="20"/>
                <w:szCs w:val="20"/>
                <w:color w:val="auto"/>
              </w:rPr>
            </w:pPr>
            <w:r>
              <w:rPr>
                <w:rFonts w:ascii="Arial" w:cs="Arial" w:eastAsia="Arial" w:hAnsi="Arial"/>
                <w:sz w:val="18"/>
                <w:szCs w:val="18"/>
                <w:color w:val="auto"/>
              </w:rPr>
              <w:t>JPMorgan Credit Facility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2018</w:t>
            </w:r>
          </w:p>
        </w:tc>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JPMorgan Revolving Credit Facility</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29"/>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2018 JPMorgan Term Loan</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1,232</w:t>
            </w:r>
          </w:p>
        </w:tc>
      </w:tr>
      <w:tr>
        <w:trPr>
          <w:trHeight w:val="230"/>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r>
      <w:tr>
        <w:trPr>
          <w:trHeight w:val="223"/>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Total interest expense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w:t>
            </w:r>
          </w:p>
        </w:tc>
      </w:tr>
      <w:tr>
        <w:trPr>
          <w:trHeight w:val="21"/>
        </w:trPr>
        <w:tc>
          <w:tcPr>
            <w:tcW w:w="4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JPMorgan Chase Bank Agreement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14, 2020, the Company repaid all amounts outstanding under the $30.0 million senior secured term loan facility (“2020 Antara Term Facility”) with Antara Capital Master Fund LP (“Antara”) and entered into a credit agreement (the “2021 JPMorgan Credit Agreement”) with JPMorgan Chase Bank, N.A (“JPMorgan”).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2021 JPMorgan Credit Agreement provides for a $5 million secured revolving credit facility (the “2021 JPMorgan Revolving Facility”) and a $15 million secured term facility (the “2021 JPMorgan Secured Term Facility” and together with the 2021 JPMorgan Revolving Facility, the “2021 JPMorgan Credit Facility”), which includes an uncommitted expansion feature that allows the Company to increase the total revolving commitments and/or add new tranches of term loans in an aggregate amount not to exceed $5 million. In connection with the consummation of the 2021 JPMorgan Credit Agreement, the Company repaid all amounts outstanding under the 2020 Antara Term Facility. The Company recognized $2.8 million of interest expense related to the 2020 Antara Term Facility during the fiscal year ended June 30, 2021, including the recognition of $2.6 million of unamortized issuance costs and debt discount as interest expense, reflecting the difference between the carrying value of the 2020 Antara Term Facility and the amount due upon repayment.</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2021 JPMorgan Credit Facility has a three year maturity, with interest determined, at the Company’s option, on a base rate of LIBOR or Prime Rate plus an applicable spread tied to the Company’s total leverage ratio and having ranges between 2.75% and 3.75% for Prime rate loans and between 3.75% and 4.75% for LIBOR rate loans. In the event of default, the interest rate may be increased by 2.00%. The 2021 JPMorgan Credit Facility will also carry a commitment fee of 0.50% per annum on the unused portion. From August 14, 2020 through March 2, 2021, the applicable interest rate was Prime Rate plus 3.75%. On March 2, 2021, the Company entered into an amendment (the “First Amendment”) to the 2021 JPMorgan Credit Facility lowering the interest rate charged to the Company. In conjunction with the First Amendment, the Company elected to convert its loans to a Eurodollar borrowing which is subject to a LIBOR based interest rate. As of June 30, 2021, the applicable interest rate for the 2021 JPMorgan Secured Term Facility is a base rate of 0.75% and a spread of 4.25% for a total applicable interest rate of 5%.</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Principal payments are due in quarterly installments of $187,500 beginning December 31, 2020 through September 30, 2022 for a total annual repayment of $750,000 and total repayment over the period of $1,500,000. Beginning December 31, 2022 through June 30, 2023, principal payments are due in quarterly installments of $375,000 for a total repayment over the period of $1,125,000. The remaining unpaid principal amounts are due at the maturity date of the 2021 JPMorgan Credit Facility.</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obligations under the 2021 JPMorgan Credit Facility are secured by first priority security interests in substantially all of the assets of the Company. The 2021 JPMorgan Credit Agreement includes customary representations, warranties and covenants, and acceleration, indemnity and events of default provisions, including a financial covenant requiring the Company to maintain an adjusted quick ratio of not less than 2.75 to 1.00 beginning January 1, 2021 not less than 3.00 to 1.00 beginning April 1, 2021, and a financial covenant requiring the Company to maintain, as of the end of each of its fiscal quarters commencing with the fiscal quarter ended December 31, 2021, a total leverage ratio of not greater than 3.00 to 1.00.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its financial covenants as of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Term Facility with Antara</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9, 2019, the Company entered into a commitment letter with Antara Capital Master Fund LP (“Antara”), pursuant to which Antara committed to extend to the Company a $30.0 million senior secured term loan facility (“2020 Antara Term Facility”). On October 31, 2019, the Company entered into a Financing Agreement with Antara to draw $15.0 million on the 2020 Antara Term Facility and agreed to draw an additional $15.0 million at any time between July 31, 2020 and April 30, 2021, subject to the terms of the Financing Agreement. The outstanding amount of the draws under the 2020 Antara Term Facility bore interest at 9.75% per annum, payable monthly in arrears. The proceeds of the initial draw were used to repay the outstanding balance of the 2018 Revolving Credit Facility (as defined below) due to JPMorgan. in the amount of $10.1 million, including accrued interest, and to pay transaction expenses. The Company would also incur a prepayment premium of 5% of the principal balance if prepaid on or prior to December 31, 2020.</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October 9, 2019, the Company also sold shares of the Company’s common stock to Antara at a price below market value. Since the 2020 Antara Term Facility and equity issuance were negotiated in contemplation of each other and executed within a short period of time, the Company evaluated the debt and equity financing as a combined arrangement, and estimated the fair values of the debt and equity components to allocate the proceeds, net of the registration rights agreement liability on a relative fair value basis between the debt and equity components. The non-lender fees incurred to establish the debt and equity financing arrangement were allocated to the debt and equity components on a relative fair value basis and capitalized on the Company’s balance sheet of which $0.9 million was allocated to debt issuance costs and $0.1 million was allocated to debt commitment fees. The 2020 Antara Term Facility agreement also contained a mandatory prepayment feature that was determined to be an embedded derivative, requiring bifurcation and fair value recognition for the derivative liability. The allocation of the proceeds to the debt component and the bifurcation of the embedded derivative liability resulted in a $2.1 million debt discount, which was de-recognized during the three months ended September 30, 2020.</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14, 2020, the Company repaid all amounts outstanding under the 2020 Antara Term Facility and entered into the 2021 JPMorgan Credit Agreement. The Company recorded a liability for the commitment termination fee and prepayment premium for $1.2 million as of June 30, 2020. As of June 30, 2021, the Company has no outstanding obligations related to the 2020 Antara Term Facility.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and Term Loan with JPMorgan Chase</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9, 2017, in connection with an acquisition, the Company entered into a five year credit agreement among the Company, as the borrower, its subsidiaries, as guarantors, and JPMorgan, as the lender and administrative agent for the lender, pursuant to which JPMorgan (i) made a $25 million term loan (“2018 JPMorgan Term Loan”) to the Company and (ii) provided the Company with a line of credit (“2018 JPMorgan Revolving Credit Facility”) under which the Company may borrow revolving credit loans in an aggregate principal amount not to exceed $12.5 million at any time. All advances under the 2018 JPMorgan Revolving Credit Facility and all other obligations were required to be paid in full at maturity on November 9, 2022. The applicable interest rate on the loans for the year to date ended October 31, 2019 was LIBOR plus 4%. On September 30, 2019, the Company prepaid the remaining principal balance of the 2018 JPMorgan Term Loan, and on October 31, 2019, the Company repaid the outstanding balance on the 2018 JPMorgan Revolving Credit Facility.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Borrowings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fourth quarter of fiscal year 2020, we received loan proceeds of approximately $3.1 million (the “PPP Loan”) pursuant to the Paycheck Protection Program under the Coronavirus Aid, Relief, and Economic Security Act (the “CARES Act”) administered by the U.S. Small Business Administration (the “SBA”). We used the PPP Loan in accordance with the provisions of the CARES Act. The loan bore a fixed interest rate of 1% over a two-year term from the approval date of April 28, 2020. The application for these funds required the Company to, in good faith, certify that the economic uncertainty caused by COVID-19 made the loan request necessary to support the ongoing operations of the Company. This certification further required the Company to take into account our current business activity and our ability to access other sources of liquidity sufficient to support ongoing operations in a manner that is not significantly detrimental to the business. The receipt of these funds and the forgiveness of the loan is dependent on the Company having initially qualified for the loan and qualifying for the forgiveness of such loan based on our future adherence to the forgiveness criteria.</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On June 8, 2021, the Company received notification from the Small Business Administration that they approved the forgiveness of the full $3.1 million</w:t>
      </w:r>
    </w:p>
    <w:p>
      <w:pPr>
        <w:spacing w:after="0" w:line="35" w:lineRule="exact"/>
        <w:rPr>
          <w:sz w:val="20"/>
          <w:szCs w:val="20"/>
          <w:color w:val="auto"/>
        </w:rPr>
      </w:pPr>
    </w:p>
    <w:p>
      <w:pPr>
        <w:jc w:val="both"/>
        <w:ind w:firstLine="8"/>
        <w:spacing w:after="0" w:line="255" w:lineRule="auto"/>
        <w:tabs>
          <w:tab w:leader="none" w:pos="3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loan and related accrued interest. The Company recorded the forgiveness as a gain on debt extinguishment in Other income in our consolidated financial statements. The SBA reserves the right to audit any PPP loan, regardless of size. These audits may occur after forgiveness has been granted. Under the CARES Act, all borrowers are required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color w:val="auto"/>
        </w:rPr>
        <w:t>to maintain their loan documentation for six years after the PPP loan was forgiven or repaid in full and to provide that documentation to the SBA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expected maturities associated with the Company’s outstanding debt and other financing arrangements as of June 30, 2021, were as follows:</w:t>
      </w: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1,335</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12,394</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2025</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w:t>
            </w:r>
          </w:p>
        </w:tc>
      </w:tr>
      <w:tr>
        <w:trPr>
          <w:trHeight w:val="223"/>
        </w:trPr>
        <w:tc>
          <w:tcPr>
            <w:tcW w:w="9840" w:type="dxa"/>
            <w:vAlign w:val="bottom"/>
          </w:tcPr>
          <w:p>
            <w:pPr>
              <w:ind w:left="20"/>
              <w:spacing w:after="0"/>
              <w:rPr>
                <w:sz w:val="20"/>
                <w:szCs w:val="20"/>
                <w:color w:val="auto"/>
              </w:rPr>
            </w:pPr>
            <w:r>
              <w:rPr>
                <w:rFonts w:ascii="Arial" w:cs="Arial" w:eastAsia="Arial" w:hAnsi="Arial"/>
                <w:sz w:val="18"/>
                <w:szCs w:val="18"/>
                <w:color w:val="auto"/>
              </w:rPr>
              <w:t>Principal amounts payable</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14,550</w:t>
            </w:r>
          </w:p>
        </w:tc>
      </w:tr>
      <w:tr>
        <w:trPr>
          <w:trHeight w:val="243"/>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issuance costs</w:t>
            </w: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(231)</w:t>
            </w:r>
          </w:p>
        </w:tc>
      </w:tr>
      <w:tr>
        <w:trPr>
          <w:trHeight w:val="223"/>
        </w:trPr>
        <w:tc>
          <w:tcPr>
            <w:tcW w:w="9840" w:type="dxa"/>
            <w:vAlign w:val="bottom"/>
          </w:tcPr>
          <w:p>
            <w:pPr>
              <w:ind w:left="20"/>
              <w:spacing w:after="0"/>
              <w:rPr>
                <w:sz w:val="20"/>
                <w:szCs w:val="20"/>
                <w:color w:val="auto"/>
              </w:rPr>
            </w:pPr>
            <w:r>
              <w:rPr>
                <w:rFonts w:ascii="Arial" w:cs="Arial" w:eastAsia="Arial" w:hAnsi="Arial"/>
                <w:sz w:val="18"/>
                <w:szCs w:val="18"/>
                <w:color w:val="auto"/>
              </w:rPr>
              <w:t>Total outstanding debt</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14,319</w:t>
            </w:r>
          </w:p>
        </w:tc>
      </w:tr>
      <w:tr>
        <w:trPr>
          <w:trHeight w:val="21"/>
        </w:trPr>
        <w:tc>
          <w:tcPr>
            <w:tcW w:w="9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carrying amounts of certain of the Company’s financial instruments, including cash equivalents, accounts receivable, accounts payable and accrued expenses, are carried at cost which approximates fair value due to their liquid or short-term nature. We have not identified material impacts from COVID-19 on the fair value of our financial assets and liabilities. The Company’s obligations under its long-term debt agreements are carried at amortized cost, which approximates their fair value as of June 30, 2021 . The fair value of the Company’s obligations under its long-term debt agreements with JPMorgan were considered Level 2 liabilities of the fair value hierarchy because these instruments have interest rates that reset frequently. The fair value of the Company's obligations under its long-term debt agreements with Antara as of June 30, 2020 was approximately $15.8 million and considered a Level 3 liability of the fair value hierarchy because this instrument used significant unobservable inputs consistent with those used in determining the embedded derivative liability values, as discussed below.</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discussed in Note 10, the Company’s 2020 Antara Term Facility agreement contained a mandatory prepayment feature that was determined to be an embedded derivative, requiring bifurcation and fair value recognition. For the year ended June 30, 2020, the Company’s embedded derivative liability was measured at fair value using a probability-weighted discounted cash flow model including assumptions for (1) management's estimates of the probability and timing of future cash flows and related events; (2) the Company's risk-adjusted discount rate that includes a company-specific risk premium; and (3) the Company's cost of debt; and was classified as a Level 3 liability of the fair value hierarchy and included as a component of Accrued expenses on the consolidated balance sheets as of June 30, 2020. The Company paid the prepayment premium on the 2020 Antara Term Facility and derecognized the embedded derivative liability in August 2020.</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24, 2021, the Company entered into separate subscription agreements in identical form and substance (the “Subscription Agreements”) with institutional accredited investors (the “Purchasers”) relating to a private placement (the “Private Placement”) with respect to the sale of an aggregate of 5,730,000 shares of the Company’s common stock. The Private</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Placement closed on March 4, 2021 and the Company received aggregate gross proceeds of approximately $55 million based on the offering price of $9.60 per share (the “Purchase Price”). The Company incurred $2.6 million in direct and incremental issuance costs relating to the Private Placement that were accounted as a reduction in the proceeds of the stock. The syndicate for the Private Placement included affiliates of Hudson Executive, a greater than 10% shareholder and a related party of the Company. Affiliates of Hudson Executive purchased 975,000 of the shares sold in the Private Placement for the same purchase price and on the same terms as the other purchasers.</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the Subscription Agreements, the Company agreed to file a registration statement with the U.S. Securities and Exchange Commission covering the resale of the Shares within 45 days following the date of the Subscription Agreements and</w:t>
      </w:r>
    </w:p>
    <w:p>
      <w:pPr>
        <w:spacing w:after="0" w:line="1"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to cause the registration statement to become effective within 60 days following the filing deadline. On April 5, 2021, the Company filed the registration statement with the U.S. Securities and Exchange Commission and, on April 14, 2021, the registration statement was declared effective.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1" w:name="page72"/>
    <w:bookmarkEnd w:id="71"/>
    <w:p>
      <w:pPr>
        <w:jc w:val="both"/>
        <w:spacing w:after="0" w:line="257" w:lineRule="auto"/>
        <w:rPr>
          <w:sz w:val="20"/>
          <w:szCs w:val="20"/>
          <w:color w:val="auto"/>
        </w:rPr>
      </w:pPr>
      <w:r>
        <w:rPr>
          <w:rFonts w:ascii="Arial" w:cs="Arial" w:eastAsia="Arial" w:hAnsi="Arial"/>
          <w:sz w:val="18"/>
          <w:szCs w:val="18"/>
          <w:color w:val="auto"/>
        </w:rPr>
        <w:t>On June 29, 2020, the Board of Directors of the Company (the “Board”) unanimously approved the reimbursement of $4.5 million of the third party costs and expenses incurred by Hudson Executive in connection with its proxy solicitation (the “Reimbursement”). The Board determined to pay the Reimbursement in the form of shares of common stock, no par value, of the Company (“Common Stock”), with the value of the Common Stock calculated based on the average of the high and low trading price on the date of Board approval. On June 30, 2020, the Company issued 635,593 shares of Common Stock to funds managed by Hudson Executive in satisfaction of the Reimbursement.</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October 9, 2019, the Company sold to Antara 3,800,000 shares of the Company’s common stock at a below market value price of $5.25 per share for gross cash proceeds of $20 million. Since the 2020 Antara Term Facility and equity issuance were negotiated in contemplation of each other and executed within a short period of time, the Company evaluated the debt and equity financing as a combined arrangement, and estimated the fair values of the debt and equity components to allocate the total proceeds on a relative fair value basis between the debt and equity components, resulting in a $17.9 million allocation to equity, less $1.1 million in issuance fees allocated to the equity component on a relative fair value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had 23,978 warrants outstanding as of June 30, 2020, all of which were exercisable at $5.00 per share and with an expiration date of March 29, 2021. These warrants were exercised in March 2021 and 12,154 shares were issued pursuant to a cashless exercise option election made by the holder.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Company does not have any warrants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Stock Purchase Agreement on October 9, 2019 with Antara, the Company also entered into a registration rights agreement (the “Registration Rights Agreement”) with Antara, pursuant to which the Company agreed, at its expense, to file a registration statement under the Securities Act of 1933 with the Securities and Exchange Commission (the “SEC”) covering the resale of the shares by Antara (the “Registration Statement”).</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an Amendment to Registration Rights Agreement dated as of January 31, 2020 (the “Amendment”), Antara and the Company agreed to terminate the obligation of the Company to register the shares in exchange for a payment of approximately $1.2 million by the Company to Antara. The Amendment provided that the payment would be in full satisfaction of any and all liquidated damages which may be due by the Company to Antara under the Registration Rights Agreement for the failure to timely file the Form S-1 registration statement and/or to obtain and maintain the effectiveness thereof.</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21, 2020, Congress approved the Consolidated Appropriations Act, 2021 (the “Appropriations Act”), which was signed into law by the President on December 27, 2020. The Appropriations Act funds the federal government to the end of the fiscal year and provides further COVID-19 economic relief. Some of the business provisions included in the Appropriations Act are additional Paycheck Protection Program ("PPP") loans, clarification of the deductibility of business expenses that were paid for with PPP funds, expansion of the employee retention credit, and temporary full deduction for business expenses for food and beverages provided by a restaurant. The Appropriations Act did not have a material impact on the Company’s income taxes. The Company will continue to monitor for additional legislation related to COVID-19 and its impact on our results of operations.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significant deferred tax assets, a substantial amount of which result from operating loss carryforwards. The Company routinely evaluates its ability to realize the benefits of these assets to determine whether it is more likely than not that such benefit will be realized. In accordance with the history of losses generated, the Company believes that for the year ended June 30, 2021 and 2020, it is more likely than not that its deferred tax assets will not be realized. Accordingly, the Company re-established a full valuation allowance on its net deferred tax assets.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The benefit (provision) for income taxes for the years ended June 30, 2021, 2020 and 2019 is comprised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June 30,</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11"/>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Total current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Federal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(provision) benefit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reconciliation of the benefit (provision) for income taxes for the years ended June 30, 2021, 2020 and 2019 to the indicated benefit (provision) based on income (loss) before benefit (provision) for income taxes at the federal statutory rate of 21.0% for the fiscal years ended June 30, 2021, June 30, 2020, and June 30, 2019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June 30,</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Indicated benefit (provision) at federal statutory rate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Effects of permanent differences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Other permanent differences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Changes related to prior years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valuation allowances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48"/>
        </w:trPr>
        <w:tc>
          <w:tcPr>
            <w:tcW w:w="7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June 30, 2021 the Company had federal and state operating loss carryforwards of approximately $ 187 million and $ 221 million, respectively, to offset future taxable income. As of June 30, 2020 the Company had federal and state operating loss carryforwards of approximately $182 million and $221 million, respectively, to offset future taxable income. The timing and extent to which the Company can utilize operating loss carryforwards in any year may be limited because of provisions of the Internal Revenue Code regarding changes in ownership of corporations (i.e. IRS Code Section 382). Federal and state operating loss carryforwards start to expire in 2022 and certain state operating loss carryforwards are currently expiring.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3" w:name="page74"/>
    <w:bookmarkEnd w:id="73"/>
    <w:p>
      <w:pPr>
        <w:jc w:val="both"/>
        <w:spacing w:after="0" w:line="277" w:lineRule="auto"/>
        <w:rPr>
          <w:sz w:val="20"/>
          <w:szCs w:val="20"/>
          <w:color w:val="auto"/>
        </w:rPr>
      </w:pPr>
      <w:r>
        <w:rPr>
          <w:rFonts w:ascii="Arial" w:cs="Arial" w:eastAsia="Arial" w:hAnsi="Arial"/>
          <w:sz w:val="18"/>
          <w:szCs w:val="18"/>
          <w:color w:val="auto"/>
        </w:rPr>
        <w:t>The net deferred tax assets arose primarily from net operating loss carryforwards, as well as the use of different accounting methods for financial statement and income tax reporting purposes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w:t>
            </w:r>
          </w:p>
        </w:tc>
        <w:tc>
          <w:tcPr>
            <w:tcW w:w="880" w:type="dxa"/>
            <w:vAlign w:val="bottom"/>
            <w:tcBorders>
              <w:bottom w:val="single" w:sz="8" w:color="auto"/>
            </w:tcBorders>
          </w:tcPr>
          <w:p>
            <w:pPr>
              <w:spacing w:after="0"/>
              <w:rPr>
                <w:sz w:val="16"/>
                <w:szCs w:val="16"/>
                <w:color w:val="auto"/>
              </w:rPr>
            </w:pPr>
          </w:p>
        </w:tc>
      </w:tr>
      <w:tr>
        <w:trPr>
          <w:trHeight w:val="188"/>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46,851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45,670</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reserves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8,534</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Deferred 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r>
      <w:tr>
        <w:trPr>
          <w:trHeight w:val="223"/>
        </w:trPr>
        <w:tc>
          <w:tcPr>
            <w:tcW w:w="8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57,982</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55,301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52,416</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(55,480)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(52,553)</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the Company had total unrecognized income tax benefits of $0.4 million related to its nexus in certain state tax jurisdictions. If recognized in future years, $0.4 million of these currently unrecognized income tax benefits would impact the income tax provision and effective tax rate. The following table summarizes the activity related to unrecognized income tax benefits:</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June 30,</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24"/>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Gross increases and decreases related to current period tax positions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increases and decreases related to prior period tax positions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Accrued interest and penalties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end of the year</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records accrued interest as well as penalties related to uncertain tax positions in selling, general and administrative expenses. As of June 30, 2021 the Company had recorded $30 thousand of accrued interest and penalties related to uncertain tax positions on the Consolidated Balance Sheet.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 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four active stock based compensation plans at June 30, 2021 as shown in the table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Date Approved</w:t>
            </w:r>
          </w:p>
        </w:tc>
        <w:tc>
          <w:tcPr>
            <w:tcW w:w="400" w:type="dxa"/>
            <w:vAlign w:val="bottom"/>
          </w:tcPr>
          <w:p>
            <w:pPr>
              <w:spacing w:after="0"/>
              <w:rPr>
                <w:sz w:val="14"/>
                <w:szCs w:val="14"/>
                <w:color w:val="auto"/>
              </w:rPr>
            </w:pPr>
          </w:p>
        </w:tc>
        <w:tc>
          <w:tcPr>
            <w:tcW w:w="350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Name of Plan</w:t>
            </w:r>
          </w:p>
        </w:tc>
        <w:tc>
          <w:tcPr>
            <w:tcW w:w="3280" w:type="dxa"/>
            <w:vAlign w:val="bottom"/>
            <w:gridSpan w:val="2"/>
            <w:vMerge w:val="restart"/>
          </w:tcPr>
          <w:p>
            <w:pPr>
              <w:ind w:left="1200"/>
              <w:spacing w:after="0"/>
              <w:rPr>
                <w:sz w:val="20"/>
                <w:szCs w:val="20"/>
                <w:color w:val="auto"/>
              </w:rPr>
            </w:pPr>
            <w:r>
              <w:rPr>
                <w:rFonts w:ascii="Arial" w:cs="Arial" w:eastAsia="Arial" w:hAnsi="Arial"/>
                <w:sz w:val="14"/>
                <w:szCs w:val="14"/>
                <w:b w:val="1"/>
                <w:bCs w:val="1"/>
                <w:color w:val="auto"/>
              </w:rPr>
              <w:t>Type of Plan</w:t>
            </w:r>
          </w:p>
        </w:tc>
        <w:tc>
          <w:tcPr>
            <w:tcW w:w="1320" w:type="dxa"/>
            <w:vAlign w:val="bottom"/>
          </w:tcPr>
          <w:p>
            <w:pPr>
              <w:jc w:val="right"/>
              <w:ind w:right="235"/>
              <w:spacing w:after="0"/>
              <w:rPr>
                <w:sz w:val="20"/>
                <w:szCs w:val="20"/>
                <w:color w:val="auto"/>
              </w:rPr>
            </w:pPr>
            <w:r>
              <w:rPr>
                <w:rFonts w:ascii="Arial" w:cs="Arial" w:eastAsia="Arial" w:hAnsi="Arial"/>
                <w:sz w:val="14"/>
                <w:szCs w:val="14"/>
                <w:b w:val="1"/>
                <w:bCs w:val="1"/>
                <w:color w:val="auto"/>
              </w:rPr>
              <w:t>Authorized</w:t>
            </w:r>
          </w:p>
        </w:tc>
        <w:tc>
          <w:tcPr>
            <w:tcW w:w="0" w:type="dxa"/>
            <w:vAlign w:val="bottom"/>
          </w:tcPr>
          <w:p>
            <w:pPr>
              <w:spacing w:after="0"/>
              <w:rPr>
                <w:sz w:val="1"/>
                <w:szCs w:val="1"/>
                <w:color w:val="auto"/>
              </w:rPr>
            </w:pPr>
          </w:p>
        </w:tc>
      </w:tr>
      <w:tr>
        <w:trPr>
          <w:trHeight w:val="188"/>
        </w:trPr>
        <w:tc>
          <w:tcPr>
            <w:tcW w:w="27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3500" w:type="dxa"/>
            <w:vAlign w:val="bottom"/>
            <w:gridSpan w:val="2"/>
            <w:vMerge w:val="continue"/>
          </w:tcPr>
          <w:p>
            <w:pPr>
              <w:spacing w:after="0"/>
              <w:rPr>
                <w:sz w:val="16"/>
                <w:szCs w:val="16"/>
                <w:color w:val="auto"/>
              </w:rPr>
            </w:pPr>
          </w:p>
        </w:tc>
        <w:tc>
          <w:tcPr>
            <w:tcW w:w="3280" w:type="dxa"/>
            <w:vAlign w:val="bottom"/>
            <w:gridSpan w:val="2"/>
            <w:vMerge w:val="continue"/>
          </w:tcPr>
          <w:p>
            <w:pPr>
              <w:spacing w:after="0"/>
              <w:rPr>
                <w:sz w:val="16"/>
                <w:szCs w:val="16"/>
                <w:color w:val="auto"/>
              </w:rPr>
            </w:pPr>
          </w:p>
        </w:tc>
        <w:tc>
          <w:tcPr>
            <w:tcW w:w="1320" w:type="dxa"/>
            <w:vAlign w:val="bottom"/>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35"/>
        </w:trPr>
        <w:tc>
          <w:tcPr>
            <w:tcW w:w="26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33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1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June 2013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2013</w:t>
            </w:r>
          </w:p>
        </w:tc>
        <w:tc>
          <w:tcPr>
            <w:tcW w:w="3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 Incentive Plan</w:t>
            </w: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27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June 2014</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2014</w:t>
            </w:r>
          </w:p>
        </w:tc>
        <w:tc>
          <w:tcPr>
            <w:tcW w:w="3500" w:type="dxa"/>
            <w:vAlign w:val="bottom"/>
            <w:gridSpan w:val="2"/>
          </w:tcPr>
          <w:p>
            <w:pPr>
              <w:ind w:left="40"/>
              <w:spacing w:after="0"/>
              <w:rPr>
                <w:sz w:val="20"/>
                <w:szCs w:val="20"/>
                <w:color w:val="auto"/>
              </w:rPr>
            </w:pPr>
            <w:r>
              <w:rPr>
                <w:rFonts w:ascii="Arial" w:cs="Arial" w:eastAsia="Arial" w:hAnsi="Arial"/>
                <w:sz w:val="18"/>
                <w:szCs w:val="18"/>
                <w:color w:val="auto"/>
              </w:rPr>
              <w:t>Stock Option Incentive Plan</w:t>
            </w: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Stock options</w:t>
            </w:r>
          </w:p>
        </w:tc>
        <w:tc>
          <w:tcPr>
            <w:tcW w:w="1320" w:type="dxa"/>
            <w:vAlign w:val="bottom"/>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June 2015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2015</w:t>
            </w:r>
          </w:p>
        </w:tc>
        <w:tc>
          <w:tcPr>
            <w:tcW w:w="3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Incentive Plan</w:t>
            </w: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&amp; stock options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96"/>
              </w:rPr>
              <w:t>April 2018</w:t>
            </w: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9"/>
              </w:rPr>
              <w:t>2018</w:t>
            </w:r>
          </w:p>
        </w:tc>
        <w:tc>
          <w:tcPr>
            <w:tcW w:w="35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Equity Incentive Plan</w:t>
            </w:r>
          </w:p>
        </w:tc>
        <w:tc>
          <w:tcPr>
            <w:tcW w:w="3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Stock &amp; stock options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48"/>
        </w:trPr>
        <w:tc>
          <w:tcPr>
            <w:tcW w:w="2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6,500,000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As of June 30, 2021, the Company had reserved shares of Common Stock for future issuance for the following:</w:t>
      </w:r>
    </w:p>
    <w:p>
      <w:pPr>
        <w:sectPr>
          <w:pgSz w:w="11900" w:h="16838" w:orient="portrait"/>
          <w:cols w:equalWidth="0" w:num="1">
            <w:col w:w="11240"/>
          </w:cols>
          <w:pgMar w:left="320" w:top="1111" w:right="339" w:bottom="1440" w:gutter="0" w:footer="0" w:header="0"/>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30" w:lineRule="exact"/>
        <w:rPr>
          <w:sz w:val="20"/>
          <w:szCs w:val="20"/>
          <w:color w:val="auto"/>
        </w:rPr>
      </w:pPr>
    </w:p>
    <w:p>
      <w:pPr>
        <w:ind w:left="20" w:right="3940"/>
        <w:spacing w:after="0" w:line="299" w:lineRule="auto"/>
        <w:rPr>
          <w:sz w:val="20"/>
          <w:szCs w:val="20"/>
          <w:color w:val="auto"/>
        </w:rPr>
      </w:pPr>
      <w:r>
        <w:rPr>
          <w:rFonts w:ascii="Arial" w:cs="Arial" w:eastAsia="Arial" w:hAnsi="Arial"/>
          <w:sz w:val="16"/>
          <w:szCs w:val="16"/>
          <w:color w:val="auto"/>
        </w:rPr>
        <w:t>Conversions of Preferred Stock and cumulative Preferred Stock dividends Issuance upon exercise of stock options granted to current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06285"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 xml:space="preserve">Issuance of shares to former CEO George Jensen upon the occurrence of a Cantaloupe transaction </w:t>
      </w:r>
      <w:r>
        <w:rPr>
          <w:rFonts w:ascii="Arial" w:cs="Arial" w:eastAsia="Arial" w:hAnsi="Arial"/>
          <w:sz w:val="19"/>
          <w:szCs w:val="19"/>
          <w:color w:val="auto"/>
          <w:vertAlign w:val="superscript"/>
        </w:rPr>
        <w:t>(1)</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 under 2014 Stock Option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06285"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Issuance under 2015 Equity Incentive Plan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 under 2018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shares reserved for future issuance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Reserved Shares</w:t>
      </w:r>
    </w:p>
    <w:p>
      <w:pPr>
        <w:spacing w:after="0" w:line="61"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105,474</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1,000,000</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140,000</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115,687</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329,981</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941,010</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2,632,152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55245</wp:posOffset>
            </wp:positionV>
            <wp:extent cx="8401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432" w:lineRule="exact"/>
        <w:rPr>
          <w:sz w:val="20"/>
          <w:szCs w:val="20"/>
          <w:color w:val="auto"/>
        </w:rPr>
      </w:pPr>
    </w:p>
    <w:p>
      <w:pPr>
        <w:sectPr>
          <w:pgSz w:w="11900" w:h="16838" w:orient="portrait"/>
          <w:cols w:equalWidth="0" w:num="2">
            <w:col w:w="9300" w:space="720"/>
            <w:col w:w="1220"/>
          </w:cols>
          <w:pgMar w:left="320" w:top="1111" w:right="339" w:bottom="1440" w:gutter="0" w:footer="0" w:header="0"/>
          <w:type w:val="continuous"/>
        </w:sectPr>
      </w:pPr>
    </w:p>
    <w:p>
      <w:pPr>
        <w:ind w:left="340" w:hanging="332"/>
        <w:spacing w:after="0" w:line="273" w:lineRule="auto"/>
        <w:tabs>
          <w:tab w:leader="none" w:pos="327" w:val="left"/>
        </w:tabs>
        <w:numPr>
          <w:ilvl w:val="0"/>
          <w:numId w:val="28"/>
        </w:numPr>
        <w:rPr>
          <w:rFonts w:ascii="Arial" w:cs="Arial" w:eastAsia="Arial" w:hAnsi="Arial"/>
          <w:sz w:val="9"/>
          <w:szCs w:val="9"/>
          <w:color w:val="auto"/>
        </w:rPr>
      </w:pPr>
      <w:r>
        <w:rPr>
          <w:rFonts w:ascii="Arial" w:cs="Arial" w:eastAsia="Arial" w:hAnsi="Arial"/>
          <w:sz w:val="14"/>
          <w:szCs w:val="14"/>
          <w:color w:val="auto"/>
        </w:rPr>
        <w:t>Represents 140,000 shares issuable to our former CEO George Jensen upon the occurrence of a "USA Transaction" as such term is defined in the Jensen Stock Agreement dated September 27, 2011 by and between the Company and George R. Jensen.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 options are granted at exercise prices equal to the fair market value of the Company's common stock at the date of grant. The options typically vest over a three year period and each option, if not exercised or terminated, expires on the seventh anniversary of the grant date.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estimates the grant date fair value of the stock options with service conditions (i.e., a condition that requires an employee to render services to the Company for a stated period of time to vest) it grants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options granted during the years ended June 30, 2021, 2020, and 2019 was determined using the following assumptions: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gridSpan w:val="8"/>
          </w:tcPr>
          <w:p>
            <w:pPr>
              <w:ind w:left="60"/>
              <w:spacing w:after="0"/>
              <w:rPr>
                <w:sz w:val="20"/>
                <w:szCs w:val="20"/>
                <w:color w:val="auto"/>
              </w:rPr>
            </w:pPr>
            <w:r>
              <w:rPr>
                <w:rFonts w:ascii="Arial" w:cs="Arial" w:eastAsia="Arial" w:hAnsi="Arial"/>
                <w:sz w:val="14"/>
                <w:szCs w:val="14"/>
                <w:b w:val="1"/>
                <w:bCs w:val="1"/>
                <w:color w:val="auto"/>
              </w:rPr>
              <w:t>For the year ended June 30,</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Borders>
              <w:top w:val="single" w:sz="8" w:color="auto"/>
            </w:tcBorders>
          </w:tcPr>
          <w:p>
            <w:pPr>
              <w:jc w:val="center"/>
              <w:ind w:left="36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left="54"/>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4"/>
            <w:shd w:val="clear" w:color="auto" w:fill="CCEEFF"/>
          </w:tcPr>
          <w:p>
            <w:pPr>
              <w:jc w:val="center"/>
              <w:ind w:left="493"/>
              <w:spacing w:after="0"/>
              <w:rPr>
                <w:sz w:val="20"/>
                <w:szCs w:val="20"/>
                <w:color w:val="auto"/>
              </w:rPr>
            </w:pPr>
            <w:r>
              <w:rPr>
                <w:rFonts w:ascii="Arial" w:cs="Arial" w:eastAsia="Arial" w:hAnsi="Arial"/>
                <w:sz w:val="18"/>
                <w:szCs w:val="18"/>
                <w:color w:val="auto"/>
                <w:w w:val="90"/>
              </w:rPr>
              <w:t>74.3 - 77.3%</w:t>
            </w:r>
          </w:p>
        </w:tc>
        <w:tc>
          <w:tcPr>
            <w:tcW w:w="1500" w:type="dxa"/>
            <w:vAlign w:val="bottom"/>
            <w:gridSpan w:val="4"/>
            <w:shd w:val="clear" w:color="auto" w:fill="CCEEFF"/>
          </w:tcPr>
          <w:p>
            <w:pPr>
              <w:jc w:val="center"/>
              <w:ind w:left="357"/>
              <w:spacing w:after="0"/>
              <w:rPr>
                <w:sz w:val="20"/>
                <w:szCs w:val="20"/>
                <w:color w:val="auto"/>
              </w:rPr>
            </w:pPr>
            <w:r>
              <w:rPr>
                <w:rFonts w:ascii="Arial" w:cs="Arial" w:eastAsia="Arial" w:hAnsi="Arial"/>
                <w:sz w:val="18"/>
                <w:szCs w:val="18"/>
                <w:color w:val="auto"/>
                <w:w w:val="92"/>
              </w:rPr>
              <w:t>74.6 - 90.1%</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54"/>
              <w:spacing w:after="0"/>
              <w:rPr>
                <w:sz w:val="20"/>
                <w:szCs w:val="20"/>
                <w:color w:val="auto"/>
              </w:rPr>
            </w:pPr>
            <w:r>
              <w:rPr>
                <w:rFonts w:ascii="Arial" w:cs="Arial" w:eastAsia="Arial" w:hAnsi="Arial"/>
                <w:sz w:val="18"/>
                <w:szCs w:val="18"/>
                <w:color w:val="auto"/>
                <w:w w:val="90"/>
              </w:rPr>
              <w:t>58.4 - 70.9%</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left="713"/>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center"/>
              <w:ind w:left="437"/>
              <w:spacing w:after="0"/>
              <w:rPr>
                <w:sz w:val="20"/>
                <w:szCs w:val="20"/>
                <w:color w:val="auto"/>
              </w:rPr>
            </w:pPr>
            <w:r>
              <w:rPr>
                <w:rFonts w:ascii="Arial" w:cs="Arial" w:eastAsia="Arial" w:hAnsi="Arial"/>
                <w:sz w:val="18"/>
                <w:szCs w:val="18"/>
                <w:color w:val="auto"/>
                <w:w w:val="90"/>
              </w:rPr>
              <w:t>3.5 - 4.8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left="54"/>
              <w:spacing w:after="0"/>
              <w:rPr>
                <w:sz w:val="20"/>
                <w:szCs w:val="20"/>
                <w:color w:val="auto"/>
              </w:rPr>
            </w:pPr>
            <w:r>
              <w:rPr>
                <w:rFonts w:ascii="Arial" w:cs="Arial" w:eastAsia="Arial" w:hAnsi="Arial"/>
                <w:sz w:val="18"/>
                <w:szCs w:val="18"/>
                <w:color w:val="auto"/>
                <w:w w:val="90"/>
              </w:rPr>
              <w:t>4.2 - 4.5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dividends</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92"/>
              </w:rPr>
              <w:t>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left="457"/>
              <w:spacing w:after="0"/>
              <w:rPr>
                <w:sz w:val="20"/>
                <w:szCs w:val="20"/>
                <w:color w:val="auto"/>
              </w:rPr>
            </w:pPr>
            <w:r>
              <w:rPr>
                <w:rFonts w:ascii="Arial" w:cs="Arial" w:eastAsia="Arial" w:hAnsi="Arial"/>
                <w:sz w:val="18"/>
                <w:szCs w:val="18"/>
                <w:color w:val="auto"/>
                <w:w w:val="92"/>
              </w:rPr>
              <w:t>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54"/>
              <w:spacing w:after="0"/>
              <w:rPr>
                <w:sz w:val="20"/>
                <w:szCs w:val="20"/>
                <w:color w:val="auto"/>
              </w:rPr>
            </w:pPr>
            <w:r>
              <w:rPr>
                <w:rFonts w:ascii="Arial" w:cs="Arial" w:eastAsia="Arial" w:hAnsi="Arial"/>
                <w:sz w:val="18"/>
                <w:szCs w:val="18"/>
                <w:color w:val="auto"/>
                <w:w w:val="87"/>
              </w:rPr>
              <w:t>0.0%</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center"/>
              <w:ind w:left="633"/>
              <w:spacing w:after="0"/>
              <w:rPr>
                <w:sz w:val="20"/>
                <w:szCs w:val="20"/>
                <w:color w:val="auto"/>
              </w:rPr>
            </w:pPr>
            <w:r>
              <w:rPr>
                <w:rFonts w:ascii="Arial" w:cs="Arial" w:eastAsia="Arial" w:hAnsi="Arial"/>
                <w:sz w:val="18"/>
                <w:szCs w:val="18"/>
                <w:color w:val="auto"/>
                <w:w w:val="92"/>
              </w:rPr>
              <w:t>0.2 - 0.7%</w:t>
            </w:r>
          </w:p>
        </w:tc>
        <w:tc>
          <w:tcPr>
            <w:tcW w:w="140" w:type="dxa"/>
            <w:vAlign w:val="bottom"/>
          </w:tcPr>
          <w:p>
            <w:pPr>
              <w:spacing w:after="0"/>
              <w:rPr>
                <w:sz w:val="20"/>
                <w:szCs w:val="20"/>
                <w:color w:val="auto"/>
              </w:rPr>
            </w:pPr>
          </w:p>
        </w:tc>
        <w:tc>
          <w:tcPr>
            <w:tcW w:w="1400" w:type="dxa"/>
            <w:vAlign w:val="bottom"/>
            <w:gridSpan w:val="3"/>
          </w:tcPr>
          <w:p>
            <w:pPr>
              <w:jc w:val="center"/>
              <w:ind w:left="457"/>
              <w:spacing w:after="0"/>
              <w:rPr>
                <w:sz w:val="20"/>
                <w:szCs w:val="20"/>
                <w:color w:val="auto"/>
              </w:rPr>
            </w:pPr>
            <w:r>
              <w:rPr>
                <w:rFonts w:ascii="Arial" w:cs="Arial" w:eastAsia="Arial" w:hAnsi="Arial"/>
                <w:sz w:val="18"/>
                <w:szCs w:val="18"/>
                <w:color w:val="auto"/>
                <w:w w:val="91"/>
              </w:rPr>
              <w:t>0.3-1.6%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left="34"/>
              <w:spacing w:after="0"/>
              <w:rPr>
                <w:sz w:val="20"/>
                <w:szCs w:val="20"/>
                <w:color w:val="auto"/>
              </w:rPr>
            </w:pPr>
            <w:r>
              <w:rPr>
                <w:rFonts w:ascii="Arial" w:cs="Arial" w:eastAsia="Arial" w:hAnsi="Arial"/>
                <w:sz w:val="18"/>
                <w:szCs w:val="18"/>
                <w:color w:val="auto"/>
                <w:w w:val="91"/>
              </w:rPr>
              <w:t>2.2-2.9%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9640" w:type="dxa"/>
            <w:vAlign w:val="bottom"/>
            <w:gridSpan w:val="12"/>
          </w:tcPr>
          <w:p>
            <w:pPr>
              <w:spacing w:after="0"/>
              <w:rPr>
                <w:sz w:val="20"/>
                <w:szCs w:val="20"/>
                <w:color w:val="auto"/>
              </w:rPr>
            </w:pPr>
            <w:r>
              <w:rPr>
                <w:rFonts w:ascii="Arial" w:cs="Arial" w:eastAsia="Arial" w:hAnsi="Arial"/>
                <w:sz w:val="18"/>
                <w:szCs w:val="18"/>
                <w:color w:val="auto"/>
              </w:rPr>
              <w:t>The following tables provide information about outstanding options for the years ended June 30, 2021, 2020, and 2019: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40" w:type="dxa"/>
            <w:vAlign w:val="bottom"/>
            <w:gridSpan w:val="7"/>
          </w:tcPr>
          <w:p>
            <w:pPr>
              <w:ind w:left="40"/>
              <w:spacing w:after="0"/>
              <w:rPr>
                <w:sz w:val="20"/>
                <w:szCs w:val="20"/>
                <w:color w:val="auto"/>
              </w:rPr>
            </w:pPr>
            <w:r>
              <w:rPr>
                <w:rFonts w:ascii="Arial" w:cs="Arial" w:eastAsia="Arial" w:hAnsi="Arial"/>
                <w:sz w:val="14"/>
                <w:szCs w:val="14"/>
                <w:b w:val="1"/>
                <w:bCs w:val="1"/>
                <w:color w:val="auto"/>
              </w:rPr>
              <w:t>For the year ended June 30, 2021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7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24"/>
                <w:szCs w:val="24"/>
                <w:color w:val="auto"/>
              </w:rPr>
            </w:pPr>
          </w:p>
        </w:tc>
        <w:tc>
          <w:tcPr>
            <w:tcW w:w="15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24"/>
                <w:szCs w:val="24"/>
                <w:color w:val="auto"/>
              </w:rPr>
            </w:pPr>
          </w:p>
        </w:tc>
        <w:tc>
          <w:tcPr>
            <w:tcW w:w="14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 of Options</w:t>
            </w:r>
          </w:p>
        </w:tc>
        <w:tc>
          <w:tcPr>
            <w:tcW w:w="16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164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Remaining Contractual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Exercise Price</w:t>
            </w:r>
          </w:p>
        </w:tc>
        <w:tc>
          <w:tcPr>
            <w:tcW w:w="140" w:type="dxa"/>
            <w:vAlign w:val="bottom"/>
          </w:tcPr>
          <w:p>
            <w:pPr>
              <w:spacing w:after="0"/>
              <w:rPr>
                <w:sz w:val="16"/>
                <w:szCs w:val="16"/>
                <w:color w:val="auto"/>
              </w:rPr>
            </w:pPr>
          </w:p>
        </w:tc>
        <w:tc>
          <w:tcPr>
            <w:tcW w:w="15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Term (in years)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beginning of period</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2,437,425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6.43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755,000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Pr>
          <w:p>
            <w:pPr>
              <w:jc w:val="right"/>
              <w:spacing w:after="0"/>
              <w:rPr>
                <w:sz w:val="20"/>
                <w:szCs w:val="20"/>
                <w:color w:val="auto"/>
              </w:rPr>
            </w:pPr>
            <w:r>
              <w:rPr>
                <w:rFonts w:ascii="Arial" w:cs="Arial" w:eastAsia="Arial" w:hAnsi="Arial"/>
                <w:sz w:val="18"/>
                <w:szCs w:val="18"/>
                <w:color w:val="auto"/>
              </w:rPr>
              <w:t>(165,666)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Outstanding options, end of period</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2,952,092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14,419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options, end of period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5,558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740" w:type="dxa"/>
            <w:vAlign w:val="bottom"/>
          </w:tcPr>
          <w:p>
            <w:pPr>
              <w:spacing w:after="0"/>
              <w:rPr>
                <w:sz w:val="24"/>
                <w:szCs w:val="24"/>
                <w:color w:val="auto"/>
              </w:rPr>
            </w:pPr>
          </w:p>
        </w:tc>
        <w:tc>
          <w:tcPr>
            <w:tcW w:w="1520" w:type="dxa"/>
            <w:vAlign w:val="bottom"/>
          </w:tcPr>
          <w:p>
            <w:pPr>
              <w:jc w:val="right"/>
              <w:ind w:right="45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 ended June 30, 2020</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24"/>
                <w:szCs w:val="24"/>
                <w:color w:val="auto"/>
              </w:rPr>
            </w:pPr>
          </w:p>
        </w:tc>
        <w:tc>
          <w:tcPr>
            <w:tcW w:w="140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 of Options</w:t>
            </w:r>
          </w:p>
        </w:tc>
        <w:tc>
          <w:tcPr>
            <w:tcW w:w="16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Remaining Contractual</w:t>
            </w:r>
          </w:p>
        </w:tc>
        <w:tc>
          <w:tcPr>
            <w:tcW w:w="140" w:type="dxa"/>
            <w:vAlign w:val="bottom"/>
          </w:tcPr>
          <w:p>
            <w:pPr>
              <w:spacing w:after="0"/>
              <w:rPr>
                <w:sz w:val="11"/>
                <w:szCs w:val="11"/>
                <w:color w:val="auto"/>
              </w:rPr>
            </w:pPr>
          </w:p>
        </w:tc>
        <w:tc>
          <w:tcPr>
            <w:tcW w:w="14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Exercise Price</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Term (in years)</w:t>
            </w:r>
          </w:p>
        </w:tc>
        <w:tc>
          <w:tcPr>
            <w:tcW w:w="140" w:type="dxa"/>
            <w:vAlign w:val="bottom"/>
          </w:tcPr>
          <w:p>
            <w:pPr>
              <w:spacing w:after="0"/>
              <w:rPr>
                <w:sz w:val="16"/>
                <w:szCs w:val="16"/>
                <w:color w:val="auto"/>
              </w:rPr>
            </w:pPr>
          </w:p>
        </w:tc>
        <w:tc>
          <w:tcPr>
            <w:tcW w:w="140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beginning of period</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1,127,098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2,075,760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Pr>
          <w:p>
            <w:pPr>
              <w:jc w:val="right"/>
              <w:spacing w:after="0"/>
              <w:rPr>
                <w:sz w:val="20"/>
                <w:szCs w:val="20"/>
                <w:color w:val="auto"/>
              </w:rPr>
            </w:pPr>
            <w:r>
              <w:rPr>
                <w:rFonts w:ascii="Arial" w:cs="Arial" w:eastAsia="Arial" w:hAnsi="Arial"/>
                <w:sz w:val="18"/>
                <w:szCs w:val="18"/>
                <w:color w:val="auto"/>
              </w:rPr>
              <w:t>(324,998)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Outstanding options, end of period</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2,437,425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options, end of period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474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For the year ended June 30, 2019</w:t>
            </w: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1"/>
                <w:szCs w:val="11"/>
                <w:color w:val="auto"/>
              </w:rPr>
            </w:pPr>
          </w:p>
        </w:tc>
        <w:tc>
          <w:tcPr>
            <w:tcW w:w="14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 of Options</w:t>
            </w:r>
          </w:p>
        </w:tc>
        <w:tc>
          <w:tcPr>
            <w:tcW w:w="16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Remaining Contractual</w:t>
            </w:r>
          </w:p>
        </w:tc>
        <w:tc>
          <w:tcPr>
            <w:tcW w:w="140" w:type="dxa"/>
            <w:vAlign w:val="bottom"/>
          </w:tcPr>
          <w:p>
            <w:pPr>
              <w:spacing w:after="0"/>
              <w:rPr>
                <w:sz w:val="11"/>
                <w:szCs w:val="11"/>
                <w:color w:val="auto"/>
              </w:rPr>
            </w:pPr>
          </w:p>
        </w:tc>
        <w:tc>
          <w:tcPr>
            <w:tcW w:w="14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Exercise Price</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Term (in years)</w:t>
            </w:r>
          </w:p>
        </w:tc>
        <w:tc>
          <w:tcPr>
            <w:tcW w:w="140" w:type="dxa"/>
            <w:vAlign w:val="bottom"/>
          </w:tcPr>
          <w:p>
            <w:pPr>
              <w:spacing w:after="0"/>
              <w:rPr>
                <w:sz w:val="16"/>
                <w:szCs w:val="16"/>
                <w:color w:val="auto"/>
              </w:rPr>
            </w:pPr>
          </w:p>
        </w:tc>
        <w:tc>
          <w:tcPr>
            <w:tcW w:w="140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beginning of period</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904,766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470,000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Pr>
          <w:p>
            <w:pPr>
              <w:jc w:val="right"/>
              <w:spacing w:after="0"/>
              <w:rPr>
                <w:sz w:val="20"/>
                <w:szCs w:val="20"/>
                <w:color w:val="auto"/>
              </w:rPr>
            </w:pPr>
            <w:r>
              <w:rPr>
                <w:rFonts w:ascii="Arial" w:cs="Arial" w:eastAsia="Arial" w:hAnsi="Arial"/>
                <w:sz w:val="18"/>
                <w:szCs w:val="18"/>
                <w:color w:val="auto"/>
              </w:rPr>
              <w:t>(235,999)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Outstanding options, end of period</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1,127,098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options, end of period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638,988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 average grant date fair value per share for the Company's stock options granted during the years ended June 30, 2021, 2020, and 2019 was $4.92, $3.84, and $4.15, respectively. The total fair value of stock options vested during the years ended June 30, 2021, 2020, and 2019 was $2.4 million, $1.7 million, and $0.2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based awards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 has awarded stock options to certain executives which vest each year over a three to four year period. These stock options are also subject to the achievement of performance goals to be established by the Company's Board for each fiscal year.</w:t>
      </w:r>
    </w:p>
    <w:p>
      <w:pPr>
        <w:spacing w:after="0" w:line="200" w:lineRule="exact"/>
        <w:rPr>
          <w:sz w:val="20"/>
          <w:szCs w:val="20"/>
          <w:color w:val="auto"/>
        </w:rPr>
      </w:pP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27, 2021, the Compensation Committee of the Board of Directors established the performance metrics as a price target for the trading price of the Company’s common stock in each applicable fiscal year. The price target is achieved if the average closing price of the common stock during any consecutive 30-trading-day period during the applicable fiscal year meets or exceeds: (i) $10.50 in the case of fiscal year 2021; (ii) $13.50 in the case of fiscal year 2022; (iii) $16.50 in the case of fiscal year 2023; and (iv) $19.50 in the case of fiscal year 2024. If at least 80% of the performance goals for an applicable fiscal year are achieved, the Compensation Committee may determine that the portion of the option eligible to vest based on such fiscal year’s performance will vest on a prorated basis. In so determining, the Compensation Committee will consider the Company’s performance relative to its market competitors and any other considerations deemed relevant by the Compensation Committee. The Compensation Committee’s guideline is generally that for every percentage point the achieved price falls below the price target, the percentage of the performance options eligible to vest in respect of the applicable fiscal year should be reduced by 2%, but the Compensation Committee may vary this formula in its sole discretion.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these performance based awards that provide discretion to the Compensation Committee, a mutual understanding of the key</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terms and conditions between the Company and the employees have not yet been met and a grant date has not been established. When the service period begins prior to the grant date, the Company begins recognizing compensation cost before there is a grant date. The Company estimates the award's fair value at each reporting period for these equity classified awards, until the grant date, utilizing a Monte Carlo simulation valuation model. The total expense recognized for the year ended June 30, 2021 for these awards was $2.1 million.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STOCK GRANTS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makes annual grants of restricted shares of common stock to executive officers pursuant to long-term stock incentive plans (“LTIPs”) which vest annually, typically over three years.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grants restricted stock units (RSUs) to members of the board of directors as compensation for their service on the board as well as to employees as additional compensation. These stock awards typically vest over a one to three year period.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Two employees of Hudson Executive, a greater than 10% shareholder and a related party of the Company, entered into consulting agreements with the Company in August and September of 2020, respectively, under which the consultants are to provide financial and strategic analysis and advisory services to the Company's CEO through July 31, 2021. As consideration for the services, in March 2021 the consultants were granted a total of 80,000 restricted stock units. The total expense recognized as of June 30, 2021 for these agreements was $0.8 million. These restricted stock units had fully vested as of June 30, 2021.</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status of the Company’s nonvested common shares and RSUs as of June 30, 2021, 2020, and 2019, and changes during the years then ended is presented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5"/>
        </w:trPr>
        <w:tc>
          <w:tcPr>
            <w:tcW w:w="8440" w:type="dxa"/>
            <w:vAlign w:val="bottom"/>
          </w:tcPr>
          <w:p>
            <w:pPr>
              <w:spacing w:after="0"/>
              <w:rPr>
                <w:sz w:val="11"/>
                <w:szCs w:val="11"/>
                <w:color w:val="auto"/>
              </w:rPr>
            </w:pPr>
          </w:p>
        </w:tc>
        <w:tc>
          <w:tcPr>
            <w:tcW w:w="13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13"/>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88"/>
        </w:trPr>
        <w:tc>
          <w:tcPr>
            <w:tcW w:w="84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June 30, 2018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40,062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Nonvested at June 30, 2019</w:t>
            </w:r>
          </w:p>
        </w:tc>
        <w:tc>
          <w:tcPr>
            <w:tcW w:w="1320" w:type="dxa"/>
            <w:vAlign w:val="bottom"/>
          </w:tcPr>
          <w:p>
            <w:pPr>
              <w:jc w:val="right"/>
              <w:spacing w:after="0"/>
              <w:rPr>
                <w:sz w:val="20"/>
                <w:szCs w:val="20"/>
                <w:color w:val="auto"/>
              </w:rPr>
            </w:pPr>
            <w:r>
              <w:rPr>
                <w:rFonts w:ascii="Arial" w:cs="Arial" w:eastAsia="Arial" w:hAnsi="Arial"/>
                <w:sz w:val="18"/>
                <w:szCs w:val="18"/>
                <w:color w:val="auto"/>
              </w:rPr>
              <w:t>38,971</w:t>
            </w:r>
          </w:p>
        </w:tc>
        <w:tc>
          <w:tcPr>
            <w:tcW w:w="3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(109,050)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June 30,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213,014</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187,848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137,846</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BASED COMPENSATION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applies the fair value method to recognize compensation expense for stock-based awards. Using this method, the estimated grant-date fair value of the award is recognized over the requisite service period using the accelerated attribution method. The Company accounts for forfeitures as they occur.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Company's stock-based compensation expense recognized during the years ended June 30, 2021, 2020, and 2019 is 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 ended June 30,</w:t>
            </w:r>
          </w:p>
        </w:tc>
        <w:tc>
          <w:tcPr>
            <w:tcW w:w="900" w:type="dxa"/>
            <w:vAlign w:val="bottom"/>
            <w:tcBorders>
              <w:bottom w:val="single" w:sz="8" w:color="auto"/>
            </w:tcBorders>
          </w:tcPr>
          <w:p>
            <w:pPr>
              <w:spacing w:after="0"/>
              <w:rPr>
                <w:sz w:val="16"/>
                <w:szCs w:val="16"/>
                <w:color w:val="auto"/>
              </w:rPr>
            </w:pPr>
          </w:p>
        </w:tc>
      </w:tr>
      <w:tr>
        <w:trPr>
          <w:trHeight w:val="188"/>
        </w:trPr>
        <w:tc>
          <w:tcPr>
            <w:tcW w:w="7360" w:type="dxa"/>
            <w:vAlign w:val="bottom"/>
            <w:gridSpan w:val="2"/>
          </w:tcPr>
          <w:p>
            <w:pPr>
              <w:ind w:left="20"/>
              <w:spacing w:after="0"/>
              <w:rPr>
                <w:sz w:val="20"/>
                <w:szCs w:val="20"/>
                <w:color w:val="auto"/>
              </w:rPr>
            </w:pPr>
            <w:r>
              <w:rPr>
                <w:rFonts w:ascii="Arial" w:cs="Arial" w:eastAsia="Arial" w:hAnsi="Arial"/>
                <w:sz w:val="14"/>
                <w:szCs w:val="14"/>
                <w:b w:val="1"/>
                <w:bCs w:val="1"/>
                <w:color w:val="auto"/>
              </w:rPr>
              <w:t>Award type</w:t>
            </w:r>
          </w:p>
        </w:tc>
        <w:tc>
          <w:tcPr>
            <w:tcW w:w="280" w:type="dxa"/>
            <w:vAlign w:val="bottom"/>
          </w:tcPr>
          <w:p>
            <w:pPr>
              <w:spacing w:after="0"/>
              <w:rPr>
                <w:sz w:val="16"/>
                <w:szCs w:val="16"/>
                <w:color w:val="auto"/>
              </w:rPr>
            </w:pPr>
          </w:p>
        </w:tc>
        <w:tc>
          <w:tcPr>
            <w:tcW w:w="920" w:type="dxa"/>
            <w:vAlign w:val="bottom"/>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75"/>
              <w:spacing w:after="0"/>
              <w:rPr>
                <w:sz w:val="20"/>
                <w:szCs w:val="20"/>
                <w:color w:val="auto"/>
              </w:rPr>
            </w:pPr>
            <w:r>
              <w:rPr>
                <w:rFonts w:ascii="Arial" w:cs="Arial" w:eastAsia="Arial" w:hAnsi="Arial"/>
                <w:sz w:val="14"/>
                <w:szCs w:val="14"/>
                <w:b w:val="1"/>
                <w:bCs w:val="1"/>
                <w:color w:val="auto"/>
              </w:rPr>
              <w:t>2019</w:t>
            </w:r>
          </w:p>
        </w:tc>
      </w:tr>
      <w:tr>
        <w:trPr>
          <w:trHeight w:val="224"/>
        </w:trPr>
        <w:tc>
          <w:tcPr>
            <w:tcW w:w="7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Stock grants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r>
      <w:tr>
        <w:trPr>
          <w:trHeight w:val="248"/>
        </w:trPr>
        <w:tc>
          <w:tcPr>
            <w:tcW w:w="7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recognized tax benefits of $2.4 million, $0.5 million, and $0.3 million related to stock compensation expense for the years ended June 30, 2021, 2020, and 2019.</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A summary of the Company's unrecognized stock-based compensation expense as of June 30, 2021 is as follows:</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As of June 30, 2021</w:t>
            </w:r>
          </w:p>
        </w:tc>
        <w:tc>
          <w:tcPr>
            <w:tcW w:w="0" w:type="dxa"/>
            <w:vAlign w:val="bottom"/>
          </w:tcPr>
          <w:p>
            <w:pPr>
              <w:spacing w:after="0"/>
              <w:rPr>
                <w:sz w:val="1"/>
                <w:szCs w:val="1"/>
                <w:color w:val="auto"/>
              </w:rPr>
            </w:pPr>
          </w:p>
        </w:tc>
      </w:tr>
      <w:tr>
        <w:trPr>
          <w:trHeight w:val="135"/>
        </w:trPr>
        <w:tc>
          <w:tcPr>
            <w:tcW w:w="8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Unrecognized</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Recognition</w:t>
            </w:r>
          </w:p>
        </w:tc>
        <w:tc>
          <w:tcPr>
            <w:tcW w:w="0" w:type="dxa"/>
            <w:vAlign w:val="bottom"/>
          </w:tcPr>
          <w:p>
            <w:pPr>
              <w:spacing w:after="0"/>
              <w:rPr>
                <w:sz w:val="1"/>
                <w:szCs w:val="1"/>
                <w:color w:val="auto"/>
              </w:rPr>
            </w:pPr>
          </w:p>
        </w:tc>
      </w:tr>
      <w:tr>
        <w:trPr>
          <w:trHeight w:val="135"/>
        </w:trPr>
        <w:tc>
          <w:tcPr>
            <w:tcW w:w="8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Award type</w:t>
            </w: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Expense</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88"/>
        </w:trPr>
        <w:tc>
          <w:tcPr>
            <w:tcW w:w="8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4"/>
        </w:trPr>
        <w:tc>
          <w:tcPr>
            <w:tcW w:w="8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8,226</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Stock grants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PREFERRED STOCK</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authorized Preferred Stock may be issued from time to time in one or more series, each series with such rights, preferences or restrictions as determined by the Board of Directors. As of June 30, 2021 each share of Series A Preferred Stock is convertible into 0.1988 of a share of Common Stock and each share of Series A Preferred Stock is entitled to 0.1988 of a vote on all matters on which the holders of Common Stock are entitled to vote. Series A Preferred Stock provides for an annual cumulative dividend of $1.50 per share, payable when, and if declared by the Board of Directors, to the shareholders of record in equal parts on February 1 and August 1 of each year. Any and all accumulated and unpaid cash dividends on the Series A Preferred Stock must be declared and paid prior to the declaration and payment of any dividends on the Common Stock.</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Series A Preferred Stock may be called for redemption at the option of the Board of Directors for a price of $11.00 per share plus payment of all accrued and unpaid dividends. No such redemption has occurred as of June 30, 2021. In the event of any liquidation as defined in the Company’s Articles of Incorporation, the holders of shares of Series A Preferred Stock issued shall be entitled to receive $10.00 for each outstanding share plus all cumulative unpaid dividends. If funds are insufficient for this distribution, the assets available will be distributed ratably among the preferred shareholders. The Series A Preferred Stock liquidation preference as of June 30, 2021 and 2020 is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8"/>
        </w:trPr>
        <w:tc>
          <w:tcPr>
            <w:tcW w:w="84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shares outstanding at $10.00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Cumulative unpaid dividends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16,328</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determined that its convertible preferred stock is contingently redeemable due to the existence of deemed liquidation provisions contained in its certificate of incorporation, and therefore classifies its convertible preferred stock outside of permanent equity.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Cumulative unpaid dividends are convertible into common shares at $1,000 per common share at the option of the shareholder. During the years ended June 30, 2021, 2020 and 2019, no shares of Preferred Stock nor cumulative preferred dividends were converted into shares of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PLAN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401(k) Plan (the “Retirement Plan”) allows employees to make voluntary contributions, beginning on their first day of active employment, up to a maximum of 100% of their annual compensation, as defined in the Retirement Plan. The Company may, in its discretion, make a matching contribution, a profit sharing contribution, a qualified non-elective contribution, and/or a safe harbor 401(k) contribution to the Retirement Plan. The Company must make an annual election, at the beginning of the plan year, as to whether it will make a safe harbor contribution to the plan. In fiscal years 2021, 2020 and 2019, the Company elected and made safe harbor matching contributions of 100% of the participant’s first 3% and 50% of the next 2% of compensation deferred into the Retirement Plan. The Company’s safe harbor contributions for the years ended June 30, 2021, 2020 and 2019 approximated $0.2 million, $0.5 million and $0.4 million, respectively.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litigation and other proceedings that arise in the ordinary course of our business. These types of matters could result in fines, penalties, compensatory or treble damages or non-monetary sanctions or relief. In accordance with the accounting guidance for contingencies, we reserve for litigation claims and assessments asserted or threatened against us when a loss is probable and the amount of the loss can be reasonably estimated. We cannot predict the outcome of legal or other proceedings with certainty.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Department of Justice Subpoena</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reported, in the third quarter of fiscal year 2020, the Company responded to a subpoena received from the U.S. Department of Justice that sought records regarding Company activities that occurred during prior financial reporting periods, including restatements. The Company is cooperating fully with the agency’s queries.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Eastern District of Pennsylvania Consolidated Shareholder Class Actions</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previously reported, on September 11, 2018, Stéphane Gouet filed a putative class action complaint against the Company, Stephen P. Herbert, the then-current Chief Executive Officer, and Priyanka Singh, the then-current Chief Financial Officer, in the United States District Court for the District of New Jersey. The class was defined as purchasers of the Company’s securities from November 9, 2017 through September 11, 2018. The complaint alleged that the Company disclosed on September 11, 2018 that it was unable to timely file its Annual Report on Form 10-K for the fiscal year ended June 30, 2018 (the “2018 Form 10-K”), and that the Audit Committee of the Company’s Board of Directors was in the process of conducting an internal investigation of current and prior period matters relating to certain of the Company’s contractual arrangements, including the accounting treatment, financial reporting and internal controls related to such arrangements. The complaint alleged that the defendants disseminated false statements and failed to disclose material facts, and engaged in practices that operated as a fraud or deceit upon Gouet and others similarly situated in connection with their purchases of the Company’s securities during the proposed class period. The complaint alleged violations of Sections 10(b) and 20(a) of the Securities Exchange Act of 1934 (the “1934 Act”) and Rule 10b-5 promulgated thereunder.</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Two additional class action complaints, containing substantially the same factual allegations and legal claims, were filed against the Company, Herbert and Singh in the United States District Court for the District of New Jersey. On September 13, 2018, David Gray filed a putative class action complaint, and on October 3, 2018, Anthony E. Phillips filed a putative class action complaint. Subsequently, multiple shareholders moved to be appointed lead plaintiff, and on December 19, 2018, the Court consolidated the three actions, appointed a lead plaintiff (the “Lead Plaintiff”), and appointed lead counsel for the consolidated actions (the “Consolidated Action”).</w:t>
      </w:r>
    </w:p>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February 28, 2019, the Court approved a Stipulation agreed to by the parties in the Consolidated Action for the filing of an amended complaint within fourteen days after the Company filed its 2018 Form 10-K. On January 22, 2019, the Company and Herbert filed a motion to transfer the Consolidated Action to the United States District Court for the Eastern District of Pennsylvania. On February 5, 2019, the Lead Plaintiff filed its opposition to the Motion to Transfer. On August 12, 2019, the University of Puerto Rico Retirement System (“UPR”) filed a putative class action complaint in the United States District Court for the District of New Jersey against the Company, Herbert, Singh, the Company’s Directors at the relevant time (Steven D.</w:t>
      </w:r>
    </w:p>
    <w:p>
      <w:pPr>
        <w:spacing w:after="0" w:line="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Barnhart, Joel Books, Robert L. Metzger, Albin F. Moschner, William J. Reilly and William J. Schoch) (the “Independent Directors”), and the investment banking firms who acted as underwriters for the May 2018 follow-on public offering of the Company (the “Public Offering”): William Blair &amp; Company; LLC; Craig-Hallum Capital Group, LLC; Northland Securities, Inc.; and Barrington Research Associates, Inc. (the “Underwriters”). The class was defined as purchasers of the Company’s shares pursuant to the registration statement and prospectus issued in connection with the Public Offering. Plaintiff sought to recover damages caused by Defendants’ alleged violations of the Securities Act of 1933 (as amended, the “1933 Act”), and specifically Sections 11, 12 and 15 thereof. The complaint generally sought compensatory damages, rescissory damages and attorneys’ fees and costs. The UPR complaint was consolidated into the Consolidated Action and the UPR docket was closed.</w:t>
      </w:r>
    </w:p>
    <w:p>
      <w:pPr>
        <w:spacing w:after="0" w:line="20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September 30, 2019, the Court granted the motion to transfer and transferred the Consolidated Action to the United States District Court for the Eastern District of Pennsylvania, Docket No. 19-cv-04565. On November 20, 2019, Plaintiff filed an amended complaint that asserted claims under both the 1933 Act and the 1934 Act. Defendants filed motions to dismiss on February 3, 2020. Before briefing on the motions was completed, the parties participated in a private mediation on February 27, 2020, which ultimately resulted in a settlement. On May 29, 2020, the plaintiffs filed documents with the Court seeking preliminary approval of the settlement, with the defendants supporting approval of the settlement. On June 9, 2020, the Court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9" w:name="page80"/>
    <w:bookmarkEnd w:id="79"/>
    <w:p>
      <w:pPr>
        <w:jc w:val="both"/>
        <w:spacing w:after="0" w:line="271" w:lineRule="auto"/>
        <w:rPr>
          <w:sz w:val="20"/>
          <w:szCs w:val="20"/>
          <w:color w:val="auto"/>
        </w:rPr>
      </w:pPr>
      <w:r>
        <w:rPr>
          <w:rFonts w:ascii="Arial" w:cs="Arial" w:eastAsia="Arial" w:hAnsi="Arial"/>
          <w:sz w:val="17"/>
          <w:szCs w:val="17"/>
          <w:color w:val="auto"/>
        </w:rPr>
        <w:t>granted preliminary approval of the settlement and issued a scheduling order for further action on the settlement. The settlement provides for a payment of $15.3 million that includes all administrative costs and plaintiffs’ attorneys’ fees and expenses. The Company’s insurance carriers paid approximately $12.7 million towards the settlement and the Company paid approximately $2.6 million towards the settlement. The settlement payments were deposited into an escrow account in July 2020. Only one putative class member submitted an objection to the settlement. On October 30, 2020, the Court held a hearing on the motion for final settlement approval and granted approval. Under the settlement, payment of plaintiffs’ counsel’s fees and expenses may be distributed within three business days of approval (subject to being returned if the settlement is reversed based on any appeal). Thirty days after the judgment, the remaining funds from the escrow account were released to the plaintiffs pursuant to the settlement. The deadline for filing an appeal has passed, so this case has been fully and finally resolved.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Chester County, Pennsylvania Class Action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previously reported, a putative shareholder class action complaint was filed against the Company, its chief executive officer and chief financial officer at the relevant time, its directors at the relevant time, and the Underwriters, in the Court of Common Pleas, Chester County, Pennsylvania, Docket No. 2019-04821-MJ (the “State Securities Class Action”). The complaint alleged violations of the 1933 Act. As also previously reported, on September 20, 2019 the Court granted the defendants’ Petition for Stay and stayed the Chester County action until the Consolidated Action reaches a final disposition. On October 18, 2019, plaintiff filed an appeal to the Pennsylvania Superior Court from the Order granting defendants’ Petition for Stay, Docket No. 3100 EDA 2019. On December 6, 2019, the Pennsylvania Superior Court issued an Order stating that the Stay Order does not appear to be final or otherwise appealable and directed plaintiff to show cause as to the basis of the Pennsylvania Superior Court’s jurisdiction. The plaintiff filed a Response to the Order to Show Cause on December 16, 2019, and the defendants filed an Application to Quash Appeal on December 26, 2019. On February 20, 2020, the Pennsylvania Superior Court quashed the appeal. This action has remained stayed pending final disposition of the Consolidated Action. After the final resolution of the Consolidated Action plaintiffs' counsel agreed that the State Securities Class Action could not proceed in light of the releases provided by the final judgment in the federal action. On February 17, 2021, the parties filed a joint motion seeking approval from the Court to allow plaintiff to discontinue the State Securities Class Action with prejudice. On March 10, 2021, the Court held a hearing on the motion and granted the relief requested. On March 19, 2021, plaintiff made a filing to discontinue and end the action. This case has been fully and finally resolved.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Shareholder Demand Letters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By letter dated October 12, 2018, Peter D’Arcy, a purported shareholder of the Company, demanded that the Board of Directors investigate, remedy and commence proceedings against certain of the Company’s former officers and directors for breach of fiduciary duties. The letter alleged the officers and directors made false and misleading statements that failed to disclose that the Company’s accounting treatment, financial reporting and internal controls related to certain of the Company’s contractual agreements would result in an internal investigation and would delay the Company’s filing of its 2018 Form 10-K, and that the Company failed to maintain adequate internal controls. By letter dated October 18, 2018, Chiu Jen-Ting, a purported shareholder of the Company, demanded that the Board of Directors investigate, remedy and commence proceedings against certain of the Company’s former officers and directors for breach of fiduciary duties in connection with issues similar to those asserted by Mr. D’Arcy. By letter dated August 2, 2019, Stan Emanuel, a purported shareholder of the Company, demanded that the Board of Directors investigate, remedy and commence proceedings against certain of the Company’s former officers and directors for breach of fiduciary duties in connection with issues similar to those asserted by Mr. D’Arcy. In accordance with Pennsylvania law, the Board of Directors formed a special litigation committee (the “SLC”), currently consisting of Lisa P. Baird, Douglas L. Braunstein and Michael K. Passilla, in order to, among other things, investigate and evaluate the demand letters. The SLC and its counsel investigated the matters raised in these letters. During the second fiscal quarter of 2021, the Company reached a settlement in principle with these shareholders. The settlement consists of a payment of $500,000 in attorneys' fees to the shareholders’ counsel and adoption of various corporate governance reforms.</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16, 2021, the Court of Common Pleas of Chester County, Pennsylvania entered an order preliminarily approving the settlement and providing for notice to shareholders of the Company. As contemplated by the settlement agreement and ordered by the Court in the preliminary approval order, the Company gave notice to shareholders of the action (as filed in our Current Report on Form 8-K filed with the SEC on February 17, 2021), their right and timing to assert objections, and of the release of claims that would be effectuated if the settlement was finally approved. The Company also delivered the attorneys’ fees under the agreement to plaintiffs’ counsel to be held in escrow pending final approval of the settlement.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On March 25, 2021, the Court, having received no objections, granted the motion for final approval and entered final judgment.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case has been fully and finally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entered into various operating lease obligations. See Note 3 for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Company had firm commitments to purchase inventory of approximately $28 million over the next three years.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2021, we completed the acquisition of certain assets and liabilities of Delicious Nutritious LLC, doing business as Yoke Payments (“Yoke”), a micro market payments company. The purchase price includes payments of $3 million in cash at the close of the transaction, $1 million in contingent cash payments at the end of the first year, and contingent equity payments based on the achievement of certain sales growth targets for software licenses over the next three years and continued employment of the former owners of Yoke during the three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4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maintain disclosure controls and procedures to ensure that information required to be disclosed by us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defined in Rule 13a-15(e) and Rule 15d-15(e) under the Exchange Act as of June 30, 2021. Based on this evaluation, our management, including our chief executive officer and chief financial officer concluded that our disclosure controls and procedures are effective as of June 30, 2021.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such term is defined in Exchange Act Rules 13a-15(f) and 15d-15(f). The Company’s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Management, including our Chief Executive Officer and Chief Financial Officer, assessed the effectiveness of the Company’s internal control over financial reporting as of June 30, 2021. In making this assessment, management used the criteria set forth by the Committee of Sponsoring Organizations of the Treadway Commission (COSO) the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This evaluation included review of the documentation of controls, evaluation of the design effectiveness of controls, testing of the operating effectiveness of controls and a conclusion on this evaluation. Based on its assessment, our management believes that the Company did maintain, in all material respects, effective internal control over financial reporting as of June 30, 2021.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Remediation of Material Weakness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more fully disclosed in our June 30, 2020 Form 10-K, we identified and reported a material weakness in the Company’s internal control over financial reporting related to assessing the accounting impact of a non-routine and complex transaction. Consistent with our remediation plan, we reinforced our existing internal control structure to ensure that one-time and unusual transactions are subject to timely and formal evaluation by senior finance and accounting leadership to ensure proper accounting treatment to address the material weakness in our internal control over financial reporting. Management has concluded that the control has operated for a sufficient period of time and concluded, through testing, that the control is operating effectively, and that this material weakness was remediated as of June 30, 2021.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Attestation Report of Independent Registered Public Accounting Firm</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BDO USA, LLP, the Company’s independent registered public accounting firm that audited our financial statements included in this Form 10-K, has issued an attestation report on our internal control over financial reporting, which is included herein.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Changes in Internal Control Over Financial Reporting</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 in the Company's internal control over financial reporting during the three months ended June 30, 2021,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for our 2022 Annual Meeting of Stockholders, which will be filed with the SEC no later than 120 days after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for our 2022 Annual Meeting of Stockholders, which will be filed with the SEC no later than 120 days after June 30, 2021.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for our 2022 Annual Meeting of Stockholders, which will be filed with the SEC no later than 120 days after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for our 2022 Annual Meeting of Stockholders, which will be filed with the SEC no later than 120 days after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for our 2022 Annual Meeting of Stockholders, which will be filed with the SEC no later than 120 days after June 30, 2021.</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shd w:val="clear" w:color="auto" w:fill="CCEEFF"/>
          </w:tcPr>
          <w:p>
            <w:pPr>
              <w:spacing w:after="0"/>
              <w:rPr>
                <w:sz w:val="14"/>
                <w:szCs w:val="14"/>
                <w:color w:val="auto"/>
              </w:rPr>
            </w:pPr>
          </w:p>
        </w:tc>
        <w:tc>
          <w:tcPr>
            <w:tcW w:w="10020" w:type="dxa"/>
            <w:vAlign w:val="bottom"/>
            <w:tcBorders>
              <w:right w:val="single" w:sz="8" w:color="CCEEFF"/>
            </w:tcBorders>
            <w:gridSpan w:val="35"/>
            <w:vMerge w:val="restart"/>
            <w:shd w:val="clear" w:color="auto" w:fill="CCEEFF"/>
          </w:tcPr>
          <w:p>
            <w:pPr>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shd w:val="clear" w:color="auto" w:fill="CCEEFF"/>
          </w:tcPr>
          <w:p>
            <w:pPr>
              <w:spacing w:after="0"/>
              <w:rPr>
                <w:sz w:val="16"/>
                <w:szCs w:val="16"/>
                <w:color w:val="auto"/>
              </w:rPr>
            </w:pPr>
          </w:p>
        </w:tc>
        <w:tc>
          <w:tcPr>
            <w:tcW w:w="10020" w:type="dxa"/>
            <w:vAlign w:val="bottom"/>
            <w:tcBorders>
              <w:right w:val="single" w:sz="8" w:color="CCEEFF"/>
            </w:tcBorders>
            <w:gridSpan w:val="35"/>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Amended and Restated Articles of Incorporation, as amended through May 29, 2020 (incorporated by reference to Exhibit 3.1 to Form 8-</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920" w:type="dxa"/>
            <w:vAlign w:val="bottom"/>
            <w:tcBorders>
              <w:top w:val="single" w:sz="8" w:color="0000FF"/>
            </w:tcBorders>
            <w:gridSpan w:val="31"/>
            <w:shd w:val="clear" w:color="auto" w:fill="CCEEFF"/>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K filed on June 3, 2020).</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5"/>
              </w:rPr>
            </w:pPr>
            <w:hyperlink r:id="rId121">
              <w:r>
                <w:rPr>
                  <w:rFonts w:ascii="Arial" w:cs="Arial" w:eastAsia="Arial" w:hAnsi="Arial"/>
                  <w:sz w:val="18"/>
                  <w:szCs w:val="18"/>
                  <w:color w:val="0000FF"/>
                  <w:w w:val="95"/>
                </w:rPr>
                <w:t>Articles of Amendment to the Amended and Restated Articles of Incorporation (incorporated by reference to Exhibit 3.1 to Form 8-K</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640" w:type="dxa"/>
            <w:vAlign w:val="bottom"/>
            <w:tcBorders>
              <w:top w:val="single" w:sz="8" w:color="0000FF"/>
            </w:tcBorders>
            <w:gridSpan w:val="21"/>
            <w:shd w:val="clear" w:color="auto" w:fill="CCEEFF"/>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filed on April 2, 2021</w:t>
              </w:r>
              <w:r>
                <w:rPr>
                  <w:rFonts w:ascii="Arial" w:cs="Arial" w:eastAsia="Arial" w:hAnsi="Arial"/>
                  <w:sz w:val="18"/>
                  <w:szCs w:val="18"/>
                  <w:color w:val="000000"/>
                </w:rPr>
                <w:t>)</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2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rPr>
            </w:pPr>
            <w:hyperlink r:id="rId122">
              <w:r>
                <w:rPr>
                  <w:rFonts w:ascii="Arial" w:cs="Arial" w:eastAsia="Arial" w:hAnsi="Arial"/>
                  <w:sz w:val="18"/>
                  <w:szCs w:val="18"/>
                  <w:color w:val="0000FF"/>
                </w:rPr>
                <w:t>Second Amended and Restated Bylaws (incorporated by reference to Exhibit 3.1 to Form 8-K filed on August 10, 2021).</w:t>
              </w:r>
            </w:hyperlink>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2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rPr>
            </w:pPr>
            <w:hyperlink w:anchor="page89">
              <w:r>
                <w:rPr>
                  <w:rFonts w:ascii="Arial" w:cs="Arial" w:eastAsia="Arial" w:hAnsi="Arial"/>
                  <w:sz w:val="18"/>
                  <w:szCs w:val="18"/>
                  <w:color w:val="0000FF"/>
                </w:rPr>
                <w:t>Description of Securities</w:t>
              </w:r>
            </w:hyperlink>
            <w:r>
              <w:rPr>
                <w:rFonts w:ascii="Arial" w:cs="Arial" w:eastAsia="Arial" w:hAnsi="Arial"/>
                <w:sz w:val="18"/>
                <w:szCs w:val="18"/>
                <w:color w:val="000000"/>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4"/>
              </w:rPr>
            </w:pPr>
            <w:hyperlink r:id="rId123">
              <w:r>
                <w:rPr>
                  <w:rFonts w:ascii="Arial" w:cs="Arial" w:eastAsia="Arial" w:hAnsi="Arial"/>
                  <w:sz w:val="18"/>
                  <w:szCs w:val="18"/>
                  <w:color w:val="0000FF"/>
                  <w:w w:val="94"/>
                </w:rPr>
                <w:t>Form of Indemnification Agreement between the Company and each of its officers and directors (incorporated by reference to Exhibit</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660" w:type="dxa"/>
            <w:vAlign w:val="bottom"/>
            <w:tcBorders>
              <w:top w:val="single" w:sz="8" w:color="0000FF"/>
            </w:tcBorders>
            <w:gridSpan w:val="22"/>
            <w:shd w:val="clear" w:color="auto" w:fill="CCEEFF"/>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Form 10</w:t>
              </w:r>
              <w:r>
                <w:rPr>
                  <w:rFonts w:ascii="MS PGothic" w:cs="MS PGothic" w:eastAsia="MS PGothic" w:hAnsi="MS PGothic"/>
                  <w:sz w:val="18"/>
                  <w:szCs w:val="18"/>
                  <w:color w:val="0000FF"/>
                </w:rPr>
                <w:t>‑</w:t>
              </w:r>
              <w:r>
                <w:rPr>
                  <w:rFonts w:ascii="Arial" w:cs="Arial" w:eastAsia="Arial" w:hAnsi="Arial"/>
                  <w:sz w:val="18"/>
                  <w:szCs w:val="18"/>
                  <w:color w:val="0000FF"/>
                </w:rPr>
                <w:t>Q filed May 15, 2007).</w:t>
              </w:r>
            </w:hyperlink>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Mastercard Acceptance Agreement by and between the Company and Mastercard International Incorporated (Portions of this exhibit were</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980" w:type="dxa"/>
            <w:vAlign w:val="bottom"/>
            <w:tcBorders>
              <w:top w:val="single" w:sz="8" w:color="0000FF"/>
            </w:tcBorders>
            <w:gridSpan w:val="34"/>
            <w:shd w:val="clear" w:color="auto" w:fill="CCEEFF"/>
          </w:tcPr>
          <w:p>
            <w:pPr>
              <w:spacing w:after="0" w:line="156" w:lineRule="exact"/>
              <w:rPr>
                <w:rFonts w:ascii="Arial" w:cs="Arial" w:eastAsia="Arial" w:hAnsi="Arial"/>
                <w:sz w:val="18"/>
                <w:szCs w:val="18"/>
                <w:color w:val="0000FF"/>
                <w:w w:val="95"/>
              </w:rPr>
            </w:pPr>
            <w:hyperlink r:id="rId124">
              <w:r>
                <w:rPr>
                  <w:rFonts w:ascii="Arial" w:cs="Arial" w:eastAsia="Arial" w:hAnsi="Arial"/>
                  <w:sz w:val="18"/>
                  <w:szCs w:val="18"/>
                  <w:color w:val="0000FF"/>
                  <w:w w:val="95"/>
                </w:rPr>
                <w:t>redacted pursuant to a confidential treatment request) (incorporated by reference to Exhibit 10.2 to Form 10</w:t>
              </w:r>
              <w:r>
                <w:rPr>
                  <w:rFonts w:ascii="MS PGothic" w:cs="MS PGothic" w:eastAsia="MS PGothic" w:hAnsi="MS PGothic"/>
                  <w:sz w:val="18"/>
                  <w:szCs w:val="18"/>
                  <w:color w:val="0000FF"/>
                  <w:w w:val="95"/>
                </w:rPr>
                <w:t>‑</w:t>
              </w:r>
              <w:r>
                <w:rPr>
                  <w:rFonts w:ascii="Arial" w:cs="Arial" w:eastAsia="Arial" w:hAnsi="Arial"/>
                  <w:sz w:val="18"/>
                  <w:szCs w:val="18"/>
                  <w:color w:val="0000FF"/>
                  <w:w w:val="95"/>
                </w:rPr>
                <w:t>Q filed May 15, 2015).</w:t>
              </w:r>
            </w:hyperlink>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2"/>
              </w:rPr>
            </w:pPr>
            <w:hyperlink r:id="rId125">
              <w:r>
                <w:rPr>
                  <w:rFonts w:ascii="Arial" w:cs="Arial" w:eastAsia="Arial" w:hAnsi="Arial"/>
                  <w:sz w:val="18"/>
                  <w:szCs w:val="18"/>
                  <w:color w:val="0000FF"/>
                  <w:w w:val="92"/>
                </w:rPr>
                <w:t>First Amendment to Mastercard Acceptance Agreement by and between the Company and Mastercard International Incorporated dated</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60" w:type="dxa"/>
            <w:vAlign w:val="bottom"/>
            <w:tcBorders>
              <w:top w:val="single" w:sz="8" w:color="CCEEFF"/>
              <w:bottom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10.2.1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740" w:type="dxa"/>
            <w:vAlign w:val="bottom"/>
            <w:tcBorders>
              <w:top w:val="single" w:sz="8" w:color="0000FF"/>
              <w:bottom w:val="single" w:sz="8" w:color="0000FF"/>
            </w:tcBorders>
            <w:gridSpan w:val="24"/>
            <w:shd w:val="clear" w:color="auto" w:fill="CCEEFF"/>
          </w:tcPr>
          <w:p>
            <w:pPr>
              <w:spacing w:after="0" w:line="156" w:lineRule="exact"/>
              <w:rPr>
                <w:rFonts w:ascii="Arial" w:cs="Arial" w:eastAsia="Arial" w:hAnsi="Arial"/>
                <w:sz w:val="18"/>
                <w:szCs w:val="18"/>
                <w:color w:val="0000FF"/>
                <w:w w:val="90"/>
              </w:rPr>
            </w:pPr>
            <w:hyperlink r:id="rId125">
              <w:r>
                <w:rPr>
                  <w:rFonts w:ascii="Arial" w:cs="Arial" w:eastAsia="Arial" w:hAnsi="Arial"/>
                  <w:sz w:val="18"/>
                  <w:szCs w:val="18"/>
                  <w:color w:val="0000FF"/>
                  <w:w w:val="90"/>
                </w:rPr>
                <w:t>April 27, 2015 (Portions of this exhibit were redacted pursuant to a confidential treatment request) (incorporated by reference to Exhibit</w:t>
              </w:r>
            </w:hyperlink>
          </w:p>
        </w:tc>
        <w:tc>
          <w:tcPr>
            <w:tcW w:w="4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0" w:type="dxa"/>
            <w:vAlign w:val="bottom"/>
            <w:gridSpan w:val="26"/>
            <w:shd w:val="clear" w:color="auto" w:fill="CCEEFF"/>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10.</w:t>
              </w:r>
              <w:r>
                <w:rPr>
                  <w:rFonts w:ascii="Arial" w:cs="Arial" w:eastAsia="Arial" w:hAnsi="Arial"/>
                  <w:sz w:val="18"/>
                  <w:szCs w:val="18"/>
                  <w:u w:val="single" w:color="auto"/>
                  <w:color w:val="0000FF"/>
                </w:rPr>
                <w:t>45</w:t>
              </w:r>
              <w:r>
                <w:rPr>
                  <w:rFonts w:ascii="Arial" w:cs="Arial" w:eastAsia="Arial" w:hAnsi="Arial"/>
                  <w:sz w:val="18"/>
                  <w:szCs w:val="18"/>
                  <w:color w:val="0000FF"/>
                </w:rPr>
                <w:t xml:space="preserve"> to Form 10</w:t>
              </w:r>
              <w:r>
                <w:rPr>
                  <w:rFonts w:ascii="MS PGothic" w:cs="MS PGothic" w:eastAsia="MS PGothic" w:hAnsi="MS PGothic"/>
                  <w:sz w:val="18"/>
                  <w:szCs w:val="18"/>
                  <w:color w:val="0000FF"/>
                </w:rPr>
                <w:t>‑</w:t>
              </w:r>
              <w:r>
                <w:rPr>
                  <w:rFonts w:ascii="Arial" w:cs="Arial" w:eastAsia="Arial" w:hAnsi="Arial"/>
                  <w:sz w:val="18"/>
                  <w:szCs w:val="18"/>
                  <w:color w:val="0000FF"/>
                </w:rPr>
                <w:t>K filed September 30, 2015).</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gridSpan w:val="2"/>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right w:val="single" w:sz="8" w:color="CCEEFF"/>
            </w:tcBorders>
            <w:gridSpan w:val="2"/>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0"/>
              </w:rPr>
            </w:pPr>
            <w:hyperlink r:id="rId126">
              <w:r>
                <w:rPr>
                  <w:rFonts w:ascii="Arial" w:cs="Arial" w:eastAsia="Arial" w:hAnsi="Arial"/>
                  <w:sz w:val="18"/>
                  <w:szCs w:val="18"/>
                  <w:color w:val="0000FF"/>
                  <w:w w:val="90"/>
                </w:rPr>
                <w:t>Second Amendment to Mastercard Acceptance Agreement by and between the Company and Mastercard International Incorporated dated</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 w:type="dxa"/>
            <w:vAlign w:val="bottom"/>
            <w:tcBorders>
              <w:top w:val="single" w:sz="8" w:color="CCEEFF"/>
            </w:tcBorders>
            <w:vMerge w:val="continue"/>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940" w:type="dxa"/>
            <w:vAlign w:val="bottom"/>
            <w:tcBorders>
              <w:top w:val="single" w:sz="8" w:color="0000FF"/>
            </w:tcBorders>
            <w:gridSpan w:val="32"/>
            <w:shd w:val="clear" w:color="auto" w:fill="CCEEFF"/>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July 13, 2015 (incorporated by reference to Exhibit 10.14.2 to Form 10</w:t>
              </w:r>
              <w:r>
                <w:rPr>
                  <w:rFonts w:ascii="MS PGothic" w:cs="MS PGothic" w:eastAsia="MS PGothic" w:hAnsi="MS PGothic"/>
                  <w:sz w:val="18"/>
                  <w:szCs w:val="18"/>
                  <w:color w:val="0000FF"/>
                </w:rPr>
                <w:t>‑</w:t>
              </w:r>
              <w:r>
                <w:rPr>
                  <w:rFonts w:ascii="Arial" w:cs="Arial" w:eastAsia="Arial" w:hAnsi="Arial"/>
                  <w:sz w:val="18"/>
                  <w:szCs w:val="18"/>
                  <w:color w:val="0000FF"/>
                </w:rPr>
                <w:t>K filed October 9, 2019).</w:t>
              </w:r>
            </w:hyperlink>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right w:val="single" w:sz="8" w:color="CCEEFF"/>
            </w:tcBorders>
            <w:gridSpan w:val="2"/>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2"/>
              </w:rPr>
            </w:pPr>
            <w:hyperlink r:id="rId127">
              <w:r>
                <w:rPr>
                  <w:rFonts w:ascii="Arial" w:cs="Arial" w:eastAsia="Arial" w:hAnsi="Arial"/>
                  <w:sz w:val="18"/>
                  <w:szCs w:val="18"/>
                  <w:color w:val="0000FF"/>
                  <w:w w:val="92"/>
                </w:rPr>
                <w:t>Third Amendment to Mastercard Acceptance Agreement by and between the Company and Mastercard International Incorporated dated</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 w:type="dxa"/>
            <w:vAlign w:val="bottom"/>
            <w:tcBorders>
              <w:top w:val="single" w:sz="8" w:color="CCEEFF"/>
            </w:tcBorders>
            <w:vMerge w:val="continue"/>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840" w:type="dxa"/>
            <w:vAlign w:val="bottom"/>
            <w:tcBorders>
              <w:top w:val="single" w:sz="8" w:color="0000FF"/>
            </w:tcBorders>
            <w:gridSpan w:val="28"/>
            <w:shd w:val="clear" w:color="auto" w:fill="CCEEFF"/>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July 17, 2018 (incorporated by reference to Exhibit 10.14.3 to Form 10</w:t>
              </w:r>
              <w:r>
                <w:rPr>
                  <w:rFonts w:ascii="MS PGothic" w:cs="MS PGothic" w:eastAsia="MS PGothic" w:hAnsi="MS PGothic"/>
                  <w:sz w:val="18"/>
                  <w:szCs w:val="18"/>
                  <w:color w:val="0000FF"/>
                </w:rPr>
                <w:t>‑</w:t>
              </w:r>
              <w:r>
                <w:rPr>
                  <w:rFonts w:ascii="Arial" w:cs="Arial" w:eastAsia="Arial" w:hAnsi="Arial"/>
                  <w:sz w:val="18"/>
                  <w:szCs w:val="18"/>
                  <w:color w:val="0000FF"/>
                </w:rPr>
                <w:t>K filed October 9, 2019).</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right w:val="single" w:sz="8" w:color="CCEEFF"/>
            </w:tcBorders>
            <w:gridSpan w:val="2"/>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8"/>
              </w:rPr>
            </w:pPr>
            <w:hyperlink r:id="rId128">
              <w:r>
                <w:rPr>
                  <w:rFonts w:ascii="Arial" w:cs="Arial" w:eastAsia="Arial" w:hAnsi="Arial"/>
                  <w:sz w:val="18"/>
                  <w:szCs w:val="18"/>
                  <w:color w:val="0000FF"/>
                  <w:w w:val="98"/>
                </w:rPr>
                <w:t>Third Party Payment Processor Agreement dated April 24, 2015 by and among the Company, JPMorgan Chase Bank, N.A. and</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6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180" w:type="dxa"/>
            <w:vAlign w:val="bottom"/>
            <w:tcBorders>
              <w:top w:val="single" w:sz="8" w:color="0000FF"/>
            </w:tcBorders>
            <w:gridSpan w:val="16"/>
            <w:shd w:val="clear" w:color="auto" w:fill="CCEEFF"/>
          </w:tcPr>
          <w:p>
            <w:pPr>
              <w:spacing w:after="0" w:line="156" w:lineRule="exact"/>
              <w:rPr>
                <w:rFonts w:ascii="Arial" w:cs="Arial" w:eastAsia="Arial" w:hAnsi="Arial"/>
                <w:sz w:val="18"/>
                <w:szCs w:val="18"/>
                <w:color w:val="0000FF"/>
                <w:w w:val="89"/>
              </w:rPr>
            </w:pPr>
            <w:hyperlink r:id="rId128">
              <w:r>
                <w:rPr>
                  <w:rFonts w:ascii="Arial" w:cs="Arial" w:eastAsia="Arial" w:hAnsi="Arial"/>
                  <w:sz w:val="18"/>
                  <w:szCs w:val="18"/>
                  <w:color w:val="0000FF"/>
                  <w:w w:val="89"/>
                </w:rPr>
                <w:t>Paymentech, LLC (Portions of this exhibit were redacted pursuant to a confidential treatment request) (incorporated by reference</w:t>
              </w:r>
            </w:hyperlink>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right w:val="single" w:sz="8" w:color="CCEEFF"/>
            </w:tcBorders>
            <w:gridSpan w:val="18"/>
            <w:shd w:val="clear" w:color="auto" w:fill="CCEEFF"/>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to</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60" w:type="dxa"/>
            <w:vAlign w:val="bottom"/>
            <w:tcBorders>
              <w:top w:val="single" w:sz="8" w:color="CCEEFF"/>
            </w:tcBorders>
            <w:vMerge w:val="continue"/>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480" w:type="dxa"/>
            <w:vAlign w:val="bottom"/>
            <w:tcBorders>
              <w:top w:val="single" w:sz="8" w:color="0000FF"/>
            </w:tcBorders>
            <w:gridSpan w:val="19"/>
            <w:shd w:val="clear" w:color="auto" w:fill="CCEEFF"/>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Exhibit 10.46 to Form 10</w:t>
              </w:r>
              <w:r>
                <w:rPr>
                  <w:rFonts w:ascii="MS PGothic" w:cs="MS PGothic" w:eastAsia="MS PGothic" w:hAnsi="MS PGothic"/>
                  <w:sz w:val="18"/>
                  <w:szCs w:val="18"/>
                  <w:color w:val="0000FF"/>
                </w:rPr>
                <w:t>‑</w:t>
              </w:r>
              <w:r>
                <w:rPr>
                  <w:rFonts w:ascii="Arial" w:cs="Arial" w:eastAsia="Arial" w:hAnsi="Arial"/>
                  <w:sz w:val="18"/>
                  <w:szCs w:val="18"/>
                  <w:color w:val="0000FF"/>
                </w:rPr>
                <w:t>K filed September 30, 2015).</w:t>
              </w:r>
            </w:hyperlink>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gridSpan w:val="3"/>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right w:val="single" w:sz="8" w:color="CCEEFF"/>
            </w:tcBorders>
            <w:gridSpan w:val="2"/>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6"/>
              </w:rPr>
            </w:pPr>
            <w:hyperlink r:id="rId129">
              <w:r>
                <w:rPr>
                  <w:rFonts w:ascii="Arial" w:cs="Arial" w:eastAsia="Arial" w:hAnsi="Arial"/>
                  <w:sz w:val="18"/>
                  <w:szCs w:val="18"/>
                  <w:color w:val="0000FF"/>
                  <w:w w:val="96"/>
                </w:rPr>
                <w:t>Integrator Amendment (2018) to Third Party Payment Processor Agreement dated October 22, 2018 by and among the Company,</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10.3.1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34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JPMorgan Chase Bank, N.A. and Paymentech, LLC (incorporated by reference to Exhibit 10.15.1 to Form 10</w:t>
              </w:r>
              <w:r>
                <w:rPr>
                  <w:rFonts w:ascii="MS PGothic" w:cs="MS PGothic" w:eastAsia="MS PGothic" w:hAnsi="MS PGothic"/>
                  <w:sz w:val="18"/>
                  <w:szCs w:val="18"/>
                  <w:color w:val="0000FF"/>
                  <w:w w:val="92"/>
                </w:rPr>
                <w:t>‑</w:t>
              </w:r>
              <w:r>
                <w:rPr>
                  <w:rFonts w:ascii="Arial" w:cs="Arial" w:eastAsia="Arial" w:hAnsi="Arial"/>
                  <w:sz w:val="18"/>
                  <w:szCs w:val="18"/>
                  <w:color w:val="0000FF"/>
                  <w:w w:val="92"/>
                </w:rPr>
                <w:t>K filed October 9,</w:t>
              </w:r>
            </w:hyperlink>
          </w:p>
        </w:tc>
        <w:tc>
          <w:tcPr>
            <w:tcW w:w="480" w:type="dxa"/>
            <w:vAlign w:val="bottom"/>
            <w:tcBorders>
              <w:top w:val="single" w:sz="8" w:color="CCEEFF"/>
            </w:tcBorders>
            <w:gridSpan w:val="10"/>
            <w:shd w:val="clear" w:color="auto" w:fill="CCEEFF"/>
          </w:tcPr>
          <w:p>
            <w:pPr>
              <w:spacing w:after="0" w:line="156"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2019).</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right w:val="single" w:sz="8" w:color="CCEEFF"/>
            </w:tcBorders>
            <w:gridSpan w:val="2"/>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4"/>
              </w:rPr>
            </w:pPr>
            <w:hyperlink r:id="rId130">
              <w:r>
                <w:rPr>
                  <w:rFonts w:ascii="Arial" w:cs="Arial" w:eastAsia="Arial" w:hAnsi="Arial"/>
                  <w:sz w:val="18"/>
                  <w:szCs w:val="18"/>
                  <w:color w:val="0000FF"/>
                  <w:w w:val="94"/>
                </w:rPr>
                <w:t>Merchant Processing Agreement dated April 6, 2018 by and among Cantaloupe Systems, Inc., and Heartland Payment Systems, Inc</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 w:type="dxa"/>
            <w:vAlign w:val="bottom"/>
            <w:tcBorders>
              <w:top w:val="single" w:sz="8" w:color="CCEEFF"/>
            </w:tcBorders>
            <w:vMerge w:val="continue"/>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500" w:type="dxa"/>
            <w:vAlign w:val="bottom"/>
            <w:tcBorders>
              <w:top w:val="single" w:sz="8" w:color="0000FF"/>
            </w:tcBorders>
            <w:gridSpan w:val="20"/>
            <w:shd w:val="clear" w:color="auto" w:fill="CCEEFF"/>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(incorporated by reference to Exhibit 10.16 to Form 10</w:t>
              </w:r>
              <w:r>
                <w:rPr>
                  <w:rFonts w:ascii="MS PGothic" w:cs="MS PGothic" w:eastAsia="MS PGothic" w:hAnsi="MS PGothic"/>
                  <w:sz w:val="18"/>
                  <w:szCs w:val="18"/>
                  <w:color w:val="0000FF"/>
                </w:rPr>
                <w:t>‑</w:t>
              </w:r>
              <w:r>
                <w:rPr>
                  <w:rFonts w:ascii="Arial" w:cs="Arial" w:eastAsia="Arial" w:hAnsi="Arial"/>
                  <w:sz w:val="18"/>
                  <w:szCs w:val="18"/>
                  <w:color w:val="0000FF"/>
                </w:rPr>
                <w:t>K filed October 9, 2019).</w:t>
              </w:r>
            </w:hyperlink>
          </w:p>
        </w:tc>
        <w:tc>
          <w:tcPr>
            <w:tcW w:w="180" w:type="dxa"/>
            <w:vAlign w:val="bottom"/>
            <w:tcBorders>
              <w:top w:val="single" w:sz="8" w:color="CCEEFF"/>
            </w:tcBorders>
            <w:gridSpan w:val="3"/>
            <w:shd w:val="clear" w:color="auto" w:fill="CCEEFF"/>
          </w:tcPr>
          <w:p>
            <w:pPr>
              <w:spacing w:after="0"/>
              <w:rPr>
                <w:sz w:val="15"/>
                <w:szCs w:val="15"/>
                <w:color w:val="auto"/>
              </w:rPr>
            </w:pPr>
          </w:p>
        </w:tc>
        <w:tc>
          <w:tcPr>
            <w:tcW w:w="140" w:type="dxa"/>
            <w:vAlign w:val="bottom"/>
            <w:tcBorders>
              <w:top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right w:val="single" w:sz="8" w:color="CCEEFF"/>
            </w:tcBorders>
            <w:gridSpan w:val="2"/>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6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6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54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040" w:type="dxa"/>
            <w:vAlign w:val="bottom"/>
            <w:tcBorders>
              <w:top w:val="single" w:sz="8" w:color="0000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040" w:type="dxa"/>
            <w:vAlign w:val="bottom"/>
            <w:tcBorders>
              <w:top w:val="single" w:sz="8" w:color="CCEEFF"/>
            </w:tcBorders>
          </w:tcPr>
          <w:p>
            <w:pPr>
              <w:spacing w:after="0"/>
              <w:rPr>
                <w:sz w:val="8"/>
                <w:szCs w:val="8"/>
                <w:color w:val="auto"/>
              </w:rPr>
            </w:pPr>
          </w:p>
        </w:tc>
        <w:tc>
          <w:tcPr>
            <w:tcW w:w="1700" w:type="dxa"/>
            <w:vAlign w:val="bottom"/>
            <w:tcBorders>
              <w:top w:val="single" w:sz="8" w:color="CCEEFF"/>
            </w:tcBorders>
          </w:tcPr>
          <w:p>
            <w:pPr>
              <w:spacing w:after="0"/>
              <w:rPr>
                <w:sz w:val="8"/>
                <w:szCs w:val="8"/>
                <w:color w:val="auto"/>
              </w:rPr>
            </w:pPr>
          </w:p>
        </w:tc>
        <w:tc>
          <w:tcPr>
            <w:tcW w:w="480" w:type="dxa"/>
            <w:vAlign w:val="bottom"/>
            <w:tcBorders>
              <w:top w:val="single" w:sz="8" w:color="CCEEFF"/>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0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0"/>
              </w:rPr>
            </w:pPr>
            <w:hyperlink r:id="rId131">
              <w:r>
                <w:rPr>
                  <w:rFonts w:ascii="Arial" w:cs="Arial" w:eastAsia="Arial" w:hAnsi="Arial"/>
                  <w:sz w:val="18"/>
                  <w:szCs w:val="18"/>
                  <w:color w:val="0000FF"/>
                  <w:w w:val="90"/>
                </w:rPr>
                <w:t>Credit Agreement by and among the Company, its subsidiaries, and JPMorgan Chase Bank, N.A., dated August 14, 2020 (incorporated by</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tcBorders>
              <w:top w:val="single" w:sz="8" w:color="CCEEFF"/>
            </w:tcBorders>
            <w:vMerge w:val="continue"/>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960" w:type="dxa"/>
            <w:vAlign w:val="bottom"/>
            <w:tcBorders>
              <w:top w:val="single" w:sz="8" w:color="0000FF"/>
            </w:tcBorders>
            <w:gridSpan w:val="33"/>
            <w:shd w:val="clear" w:color="auto" w:fill="CCEEFF"/>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reference to Exhibit 10.7 to Form 10-K filed September 11, 2020).</w:t>
              </w:r>
            </w:hyperlink>
          </w:p>
        </w:tc>
        <w:tc>
          <w:tcPr>
            <w:tcW w:w="6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106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6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54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04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040" w:type="dxa"/>
            <w:vAlign w:val="bottom"/>
            <w:tcBorders>
              <w:top w:val="single" w:sz="8" w:color="CCEEFF"/>
            </w:tcBorders>
          </w:tcPr>
          <w:p>
            <w:pPr>
              <w:spacing w:after="0"/>
              <w:rPr>
                <w:sz w:val="8"/>
                <w:szCs w:val="8"/>
                <w:color w:val="auto"/>
              </w:rPr>
            </w:pPr>
          </w:p>
        </w:tc>
        <w:tc>
          <w:tcPr>
            <w:tcW w:w="1700" w:type="dxa"/>
            <w:vAlign w:val="bottom"/>
            <w:tcBorders>
              <w:top w:val="single" w:sz="8" w:color="CCEEFF"/>
            </w:tcBorders>
          </w:tcPr>
          <w:p>
            <w:pPr>
              <w:spacing w:after="0"/>
              <w:rPr>
                <w:sz w:val="8"/>
                <w:szCs w:val="8"/>
                <w:color w:val="auto"/>
              </w:rPr>
            </w:pPr>
          </w:p>
        </w:tc>
        <w:tc>
          <w:tcPr>
            <w:tcW w:w="480" w:type="dxa"/>
            <w:vAlign w:val="bottom"/>
            <w:tcBorders>
              <w:top w:val="single" w:sz="8" w:color="CCEEFF"/>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0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3"/>
              </w:rPr>
            </w:pPr>
            <w:hyperlink r:id="rId132">
              <w:r>
                <w:rPr>
                  <w:rFonts w:ascii="Arial" w:cs="Arial" w:eastAsia="Arial" w:hAnsi="Arial"/>
                  <w:sz w:val="18"/>
                  <w:szCs w:val="18"/>
                  <w:color w:val="0000FF"/>
                  <w:w w:val="93"/>
                </w:rPr>
                <w:t>First Amendment to Credit Agreement by and among the Company, its subsidiaries, and JPMorgan Chase Bank, N.A., dated March 2,</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 w:type="dxa"/>
            <w:vAlign w:val="bottom"/>
            <w:tcBorders>
              <w:top w:val="single" w:sz="8" w:color="CCEEFF"/>
            </w:tcBorders>
            <w:vMerge w:val="continue"/>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680" w:type="dxa"/>
            <w:vAlign w:val="bottom"/>
            <w:tcBorders>
              <w:top w:val="single" w:sz="8" w:color="0000FF"/>
            </w:tcBorders>
            <w:gridSpan w:val="23"/>
            <w:shd w:val="clear" w:color="auto" w:fill="CCEEFF"/>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2021 (incorporated by reference to Exhibit 10.1 to Form 8-K filed March 4, 2021).</w:t>
              </w:r>
            </w:hyperlink>
          </w:p>
        </w:tc>
        <w:tc>
          <w:tcPr>
            <w:tcW w:w="140" w:type="dxa"/>
            <w:vAlign w:val="bottom"/>
            <w:tcBorders>
              <w:top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gridSpan w:val="5"/>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1002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USA Technologies, Inc. 2013 Stock Incentive Plan (incorporated by reference to Exhibit 10.6 to Form 10</w:t>
              </w:r>
              <w:r>
                <w:rPr>
                  <w:rFonts w:ascii="MS PGothic" w:cs="MS PGothic" w:eastAsia="MS PGothic" w:hAnsi="MS PGothic"/>
                  <w:sz w:val="18"/>
                  <w:szCs w:val="18"/>
                  <w:color w:val="0000FF"/>
                  <w:w w:val="91"/>
                </w:rPr>
                <w:t>‑</w:t>
              </w:r>
              <w:r>
                <w:rPr>
                  <w:rFonts w:ascii="Arial" w:cs="Arial" w:eastAsia="Arial" w:hAnsi="Arial"/>
                  <w:sz w:val="18"/>
                  <w:szCs w:val="18"/>
                  <w:color w:val="0000FF"/>
                  <w:w w:val="91"/>
                </w:rPr>
                <w:t>K filed on September 30, 2013).</w:t>
              </w:r>
            </w:hyperlink>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6"/>
                <w:szCs w:val="16"/>
                <w:color w:val="auto"/>
              </w:rPr>
            </w:pPr>
          </w:p>
        </w:tc>
        <w:tc>
          <w:tcPr>
            <w:tcW w:w="1002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3"/>
              </w:rPr>
            </w:pPr>
            <w:hyperlink r:id="rId134">
              <w:r>
                <w:rPr>
                  <w:rFonts w:ascii="Arial" w:cs="Arial" w:eastAsia="Arial" w:hAnsi="Arial"/>
                  <w:sz w:val="18"/>
                  <w:szCs w:val="18"/>
                  <w:color w:val="0000FF"/>
                  <w:w w:val="93"/>
                </w:rPr>
                <w:t>USA Technologies, Inc. 2014 Stock Option Incentive Plan (incorporated by reference to Appendix A to the Company’s Definitive Proxy</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60" w:type="dxa"/>
            <w:vAlign w:val="bottom"/>
            <w:tcBorders>
              <w:top w:val="single" w:sz="8" w:color="CCEEFF"/>
            </w:tcBorders>
            <w:gridSpan w:val="2"/>
            <w:vMerge w:val="continue"/>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0000FF"/>
            </w:tcBorders>
            <w:gridSpan w:val="29"/>
            <w:shd w:val="clear" w:color="auto" w:fill="CCEEFF"/>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Statement on form DEF 14A filed on May 15, 2014).</w:t>
              </w:r>
            </w:hyperlink>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gridSpan w:val="5"/>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6"/>
                <w:szCs w:val="16"/>
                <w:color w:val="auto"/>
              </w:rPr>
            </w:pPr>
          </w:p>
        </w:tc>
        <w:tc>
          <w:tcPr>
            <w:tcW w:w="1002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8"/>
              </w:rPr>
            </w:pPr>
            <w:hyperlink r:id="rId135">
              <w:r>
                <w:rPr>
                  <w:rFonts w:ascii="Arial" w:cs="Arial" w:eastAsia="Arial" w:hAnsi="Arial"/>
                  <w:sz w:val="18"/>
                  <w:szCs w:val="18"/>
                  <w:color w:val="0000FF"/>
                  <w:w w:val="98"/>
                </w:rPr>
                <w:t>USA Technologies, Inc. 2015 Equity Incentive Plan (incorporated by reference to Appendix A to the Company’s Definitive Proxy</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60" w:type="dxa"/>
            <w:vAlign w:val="bottom"/>
            <w:tcBorders>
              <w:top w:val="single" w:sz="8" w:color="CCEEFF"/>
            </w:tcBorders>
            <w:gridSpan w:val="2"/>
            <w:vMerge w:val="continue"/>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380" w:type="dxa"/>
            <w:vAlign w:val="bottom"/>
            <w:tcBorders>
              <w:top w:val="single" w:sz="8" w:color="0000FF"/>
            </w:tcBorders>
            <w:gridSpan w:val="18"/>
            <w:shd w:val="clear" w:color="auto" w:fill="CCEEFF"/>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Statement filed on May 15, 2015).</w:t>
              </w:r>
            </w:hyperlink>
          </w:p>
        </w:tc>
        <w:tc>
          <w:tcPr>
            <w:tcW w:w="440" w:type="dxa"/>
            <w:vAlign w:val="bottom"/>
            <w:tcBorders>
              <w:top w:val="single" w:sz="8" w:color="CCEEFF"/>
            </w:tcBorders>
            <w:gridSpan w:val="9"/>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120" w:type="dxa"/>
            <w:vAlign w:val="bottom"/>
            <w:tcBorders>
              <w:top w:val="single" w:sz="8" w:color="CCEEFF"/>
              <w:right w:val="single" w:sz="8" w:color="CCEEFF"/>
            </w:tcBorders>
            <w:gridSpan w:val="5"/>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10.10†</w:t>
            </w:r>
          </w:p>
        </w:tc>
        <w:tc>
          <w:tcPr>
            <w:tcW w:w="20" w:type="dxa"/>
            <w:vAlign w:val="bottom"/>
            <w:shd w:val="clear" w:color="auto" w:fill="CCEEFF"/>
          </w:tcPr>
          <w:p>
            <w:pPr>
              <w:spacing w:after="0"/>
              <w:rPr>
                <w:sz w:val="16"/>
                <w:szCs w:val="16"/>
                <w:color w:val="auto"/>
              </w:rPr>
            </w:pPr>
          </w:p>
        </w:tc>
        <w:tc>
          <w:tcPr>
            <w:tcW w:w="1002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8"/>
              </w:rPr>
            </w:pPr>
            <w:hyperlink r:id="rId136">
              <w:r>
                <w:rPr>
                  <w:rFonts w:ascii="Arial" w:cs="Arial" w:eastAsia="Arial" w:hAnsi="Arial"/>
                  <w:sz w:val="18"/>
                  <w:szCs w:val="18"/>
                  <w:color w:val="0000FF"/>
                  <w:w w:val="98"/>
                </w:rPr>
                <w:t>USA Technologies, Inc. 2018 Equity Incentive Plan (incorporated by reference to Appendix A to the Company’s Definitive Proxy</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60" w:type="dxa"/>
            <w:vAlign w:val="bottom"/>
            <w:tcBorders>
              <w:top w:val="single" w:sz="8" w:color="CCEEFF"/>
            </w:tcBorders>
            <w:gridSpan w:val="2"/>
            <w:vMerge w:val="continue"/>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380" w:type="dxa"/>
            <w:vAlign w:val="bottom"/>
            <w:tcBorders>
              <w:top w:val="single" w:sz="8" w:color="0000FF"/>
            </w:tcBorders>
            <w:gridSpan w:val="18"/>
            <w:shd w:val="clear" w:color="auto" w:fill="CCEEFF"/>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Statement filed on April 2, 2018).</w:t>
              </w:r>
            </w:hyperlink>
          </w:p>
        </w:tc>
        <w:tc>
          <w:tcPr>
            <w:tcW w:w="440" w:type="dxa"/>
            <w:vAlign w:val="bottom"/>
            <w:tcBorders>
              <w:top w:val="single" w:sz="8" w:color="CCEEFF"/>
            </w:tcBorders>
            <w:gridSpan w:val="9"/>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120" w:type="dxa"/>
            <w:vAlign w:val="bottom"/>
            <w:tcBorders>
              <w:top w:val="single" w:sz="8" w:color="CCEEFF"/>
              <w:right w:val="single" w:sz="8" w:color="CCEEFF"/>
            </w:tcBorders>
            <w:gridSpan w:val="5"/>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10.10.1†</w:t>
            </w:r>
          </w:p>
        </w:tc>
        <w:tc>
          <w:tcPr>
            <w:tcW w:w="20" w:type="dxa"/>
            <w:vAlign w:val="bottom"/>
            <w:shd w:val="clear" w:color="auto" w:fill="CCEEFF"/>
          </w:tcPr>
          <w:p>
            <w:pPr>
              <w:spacing w:after="0"/>
              <w:rPr>
                <w:sz w:val="16"/>
                <w:szCs w:val="16"/>
                <w:color w:val="auto"/>
              </w:rPr>
            </w:pPr>
          </w:p>
        </w:tc>
        <w:tc>
          <w:tcPr>
            <w:tcW w:w="1002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3"/>
              </w:rPr>
            </w:pPr>
            <w:hyperlink r:id="rId137">
              <w:r>
                <w:rPr>
                  <w:rFonts w:ascii="Arial" w:cs="Arial" w:eastAsia="Arial" w:hAnsi="Arial"/>
                  <w:sz w:val="18"/>
                  <w:szCs w:val="18"/>
                  <w:color w:val="0000FF"/>
                  <w:w w:val="93"/>
                </w:rPr>
                <w:t>First Amendment to the USA Technologies, Inc. 2018 Equity Incentive Plan (incorporated by reference to Exhibit 10.1 to Form 8-K filed</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60" w:type="dxa"/>
            <w:vAlign w:val="bottom"/>
            <w:tcBorders>
              <w:top w:val="single" w:sz="8" w:color="CCEEFF"/>
            </w:tcBorders>
            <w:gridSpan w:val="2"/>
            <w:vMerge w:val="continue"/>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900" w:type="dxa"/>
            <w:vAlign w:val="bottom"/>
            <w:tcBorders>
              <w:top w:val="single" w:sz="8" w:color="0000FF"/>
            </w:tcBorders>
            <w:gridSpan w:val="30"/>
            <w:shd w:val="clear" w:color="auto" w:fill="CCEEFF"/>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on May 26, 2020).</w:t>
              </w:r>
            </w:hyperlink>
          </w:p>
        </w:tc>
        <w:tc>
          <w:tcPr>
            <w:tcW w:w="120" w:type="dxa"/>
            <w:vAlign w:val="bottom"/>
            <w:tcBorders>
              <w:top w:val="single" w:sz="8" w:color="CCEEFF"/>
              <w:right w:val="single" w:sz="8" w:color="CCEEFF"/>
            </w:tcBorders>
            <w:gridSpan w:val="5"/>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10.10.2†*</w:t>
            </w:r>
          </w:p>
        </w:tc>
        <w:tc>
          <w:tcPr>
            <w:tcW w:w="20" w:type="dxa"/>
            <w:vAlign w:val="bottom"/>
            <w:shd w:val="clear" w:color="auto" w:fill="CCEEFF"/>
          </w:tcPr>
          <w:p>
            <w:pPr>
              <w:spacing w:after="0"/>
              <w:rPr>
                <w:sz w:val="16"/>
                <w:szCs w:val="16"/>
                <w:color w:val="auto"/>
              </w:rPr>
            </w:pPr>
          </w:p>
        </w:tc>
        <w:tc>
          <w:tcPr>
            <w:tcW w:w="10020" w:type="dxa"/>
            <w:vAlign w:val="bottom"/>
            <w:tcBorders>
              <w:right w:val="single" w:sz="8" w:color="CCEEFF"/>
            </w:tcBorders>
            <w:gridSpan w:val="35"/>
            <w:shd w:val="clear" w:color="auto" w:fill="CCEEFF"/>
          </w:tcPr>
          <w:p>
            <w:pPr>
              <w:spacing w:after="0" w:line="189" w:lineRule="exact"/>
              <w:rPr>
                <w:rFonts w:ascii="Arial" w:cs="Arial" w:eastAsia="Arial" w:hAnsi="Arial"/>
                <w:sz w:val="18"/>
                <w:szCs w:val="18"/>
                <w:color w:val="0000FF"/>
                <w:w w:val="93"/>
              </w:rPr>
            </w:pPr>
            <w:hyperlink w:anchor="page101">
              <w:r>
                <w:rPr>
                  <w:rFonts w:ascii="Arial" w:cs="Arial" w:eastAsia="Arial" w:hAnsi="Arial"/>
                  <w:sz w:val="18"/>
                  <w:szCs w:val="18"/>
                  <w:color w:val="0000FF"/>
                  <w:w w:val="93"/>
                </w:rPr>
                <w:t>Form of Nonqualified Stock Option Award Agreement under the Cantaloupe, Inc. (f/k/a USA Technologies, Inc.) 2018 Equity Incentive</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tcBorders>
            <w:gridSpan w:val="2"/>
            <w:vMerge w:val="continue"/>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820" w:type="dxa"/>
            <w:vAlign w:val="bottom"/>
            <w:tcBorders>
              <w:top w:val="single" w:sz="8" w:color="0000FF"/>
            </w:tcBorders>
            <w:gridSpan w:val="27"/>
            <w:shd w:val="clear" w:color="auto" w:fill="CCEEFF"/>
          </w:tcPr>
          <w:p>
            <w:pPr>
              <w:spacing w:after="0" w:line="156" w:lineRule="exact"/>
              <w:rPr>
                <w:rFonts w:ascii="Arial" w:cs="Arial" w:eastAsia="Arial" w:hAnsi="Arial"/>
                <w:sz w:val="18"/>
                <w:szCs w:val="18"/>
                <w:color w:val="0000FF"/>
              </w:rPr>
            </w:pPr>
            <w:hyperlink w:anchor="page101">
              <w:r>
                <w:rPr>
                  <w:rFonts w:ascii="Arial" w:cs="Arial" w:eastAsia="Arial" w:hAnsi="Arial"/>
                  <w:sz w:val="18"/>
                  <w:szCs w:val="18"/>
                  <w:color w:val="0000FF"/>
                </w:rPr>
                <w:t>Plan.</w:t>
              </w:r>
            </w:hyperlink>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gridSpan w:val="7"/>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CCEEFF"/>
            </w:tcBorders>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10.10.3†*</w:t>
            </w:r>
          </w:p>
        </w:tc>
        <w:tc>
          <w:tcPr>
            <w:tcW w:w="20" w:type="dxa"/>
            <w:vAlign w:val="bottom"/>
            <w:tcBorders>
              <w:bottom w:val="single" w:sz="8" w:color="CCEEFF"/>
            </w:tcBorders>
            <w:shd w:val="clear" w:color="auto" w:fill="CCEEFF"/>
          </w:tcPr>
          <w:p>
            <w:pPr>
              <w:spacing w:after="0"/>
              <w:rPr>
                <w:sz w:val="19"/>
                <w:szCs w:val="19"/>
                <w:color w:val="auto"/>
              </w:rPr>
            </w:pPr>
          </w:p>
        </w:tc>
        <w:tc>
          <w:tcPr>
            <w:tcW w:w="9860" w:type="dxa"/>
            <w:vAlign w:val="bottom"/>
            <w:tcBorders>
              <w:bottom w:val="single" w:sz="8" w:color="0000FF"/>
            </w:tcBorders>
            <w:gridSpan w:val="29"/>
            <w:shd w:val="clear" w:color="auto" w:fill="CCEEFF"/>
          </w:tcPr>
          <w:p>
            <w:pPr>
              <w:spacing w:after="0" w:line="169" w:lineRule="exact"/>
              <w:rPr>
                <w:rFonts w:ascii="Arial" w:cs="Arial" w:eastAsia="Arial" w:hAnsi="Arial"/>
                <w:sz w:val="18"/>
                <w:szCs w:val="18"/>
                <w:color w:val="0000FF"/>
                <w:w w:val="92"/>
              </w:rPr>
            </w:pPr>
            <w:hyperlink w:anchor="page110">
              <w:r>
                <w:rPr>
                  <w:rFonts w:ascii="Arial" w:cs="Arial" w:eastAsia="Arial" w:hAnsi="Arial"/>
                  <w:sz w:val="18"/>
                  <w:szCs w:val="18"/>
                  <w:color w:val="0000FF"/>
                  <w:w w:val="92"/>
                </w:rPr>
                <w:t>Form of Restricted Stock Unit Award Agreement under the Cantaloupe, Inc. (f/k/a USA Technologies, Inc.) 2018 Equity Incentive Plan.</w:t>
              </w:r>
            </w:hyperlink>
          </w:p>
        </w:tc>
        <w:tc>
          <w:tcPr>
            <w:tcW w:w="160" w:type="dxa"/>
            <w:vAlign w:val="bottom"/>
            <w:tcBorders>
              <w:bottom w:val="single" w:sz="8" w:color="CCEEFF"/>
              <w:right w:val="single" w:sz="8" w:color="CCEEFF"/>
            </w:tcBorders>
            <w:gridSpan w:val="6"/>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gridSpan w:val="12"/>
          </w:tcPr>
          <w:p>
            <w:pPr>
              <w:jc w:val="right"/>
              <w:ind w:right="260"/>
              <w:spacing w:after="0"/>
              <w:rPr>
                <w:sz w:val="20"/>
                <w:szCs w:val="20"/>
                <w:color w:val="auto"/>
              </w:rPr>
            </w:pPr>
            <w:r>
              <w:rPr>
                <w:rFonts w:ascii="Arial" w:cs="Arial" w:eastAsia="Arial" w:hAnsi="Arial"/>
                <w:sz w:val="18"/>
                <w:szCs w:val="18"/>
                <w:color w:val="auto"/>
              </w:rPr>
              <w:t>85</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10.11†</w:t>
            </w:r>
          </w:p>
        </w:tc>
        <w:tc>
          <w:tcPr>
            <w:tcW w:w="10100" w:type="dxa"/>
            <w:vAlign w:val="bottom"/>
            <w:tcBorders>
              <w:right w:val="single" w:sz="8" w:color="CCEEFF"/>
            </w:tcBorders>
            <w:gridSpan w:val="45"/>
            <w:shd w:val="clear" w:color="auto" w:fill="CCEEFF"/>
          </w:tcPr>
          <w:p>
            <w:pPr>
              <w:spacing w:after="0"/>
              <w:rPr>
                <w:rFonts w:ascii="Arial" w:cs="Arial" w:eastAsia="Arial" w:hAnsi="Arial"/>
                <w:sz w:val="18"/>
                <w:szCs w:val="18"/>
                <w:color w:val="0000FF"/>
                <w:w w:val="92"/>
              </w:rPr>
            </w:pPr>
            <w:hyperlink r:id="rId140">
              <w:r>
                <w:rPr>
                  <w:rFonts w:ascii="Arial" w:cs="Arial" w:eastAsia="Arial" w:hAnsi="Arial"/>
                  <w:sz w:val="18"/>
                  <w:szCs w:val="18"/>
                  <w:color w:val="0000FF"/>
                  <w:w w:val="92"/>
                </w:rPr>
                <w:t>Letter agreement dated January 24, 2019, by and between the Company and Glen E. Goold (incorporated by reference to Exhibit 10.1 to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Borders>
              <w:top w:val="single" w:sz="8" w:color="CCEEFF"/>
            </w:tcBorders>
            <w:vMerge w:val="continue"/>
            <w:shd w:val="clear" w:color="auto" w:fill="CCEEFF"/>
          </w:tcPr>
          <w:p>
            <w:pPr>
              <w:spacing w:after="0"/>
              <w:rPr>
                <w:sz w:val="17"/>
                <w:szCs w:val="17"/>
                <w:color w:val="auto"/>
              </w:rPr>
            </w:pPr>
          </w:p>
        </w:tc>
        <w:tc>
          <w:tcPr>
            <w:tcW w:w="9820" w:type="dxa"/>
            <w:vAlign w:val="bottom"/>
            <w:tcBorders>
              <w:top w:val="single" w:sz="8" w:color="0000FF"/>
            </w:tcBorders>
            <w:gridSpan w:val="35"/>
            <w:shd w:val="clear" w:color="auto" w:fill="CCEEFF"/>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Form 8-K filed January 28, 2019).</w:t>
              </w:r>
            </w:hyperlink>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10.11.1†</w:t>
            </w: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5"/>
              </w:rPr>
            </w:pPr>
            <w:hyperlink r:id="rId141">
              <w:r>
                <w:rPr>
                  <w:rFonts w:ascii="Arial" w:cs="Arial" w:eastAsia="Arial" w:hAnsi="Arial"/>
                  <w:sz w:val="18"/>
                  <w:szCs w:val="18"/>
                  <w:color w:val="0000FF"/>
                  <w:w w:val="95"/>
                </w:rPr>
                <w:t>Amendment to letter agreement dated May 14, 2019, by and between the Company and Glen E. Goold (incorporated by reference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tcBorders>
            <w:vMerge w:val="continue"/>
            <w:shd w:val="clear" w:color="auto" w:fill="CCEEFF"/>
          </w:tcPr>
          <w:p>
            <w:pPr>
              <w:spacing w:after="0"/>
              <w:rPr>
                <w:sz w:val="15"/>
                <w:szCs w:val="15"/>
                <w:color w:val="auto"/>
              </w:rPr>
            </w:pPr>
          </w:p>
        </w:tc>
        <w:tc>
          <w:tcPr>
            <w:tcW w:w="9540" w:type="dxa"/>
            <w:vAlign w:val="bottom"/>
            <w:tcBorders>
              <w:top w:val="single" w:sz="8" w:color="0000FF"/>
            </w:tcBorders>
            <w:gridSpan w:val="27"/>
            <w:shd w:val="clear" w:color="auto" w:fill="CCEEFF"/>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Exhibit 10.1 to Form 8-K filed May 20, 2019).</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10.12†</w:t>
            </w: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5"/>
              </w:rPr>
            </w:pPr>
            <w:hyperlink r:id="rId142">
              <w:r>
                <w:rPr>
                  <w:rFonts w:ascii="Arial" w:cs="Arial" w:eastAsia="Arial" w:hAnsi="Arial"/>
                  <w:sz w:val="18"/>
                  <w:szCs w:val="18"/>
                  <w:color w:val="0000FF"/>
                  <w:w w:val="95"/>
                </w:rPr>
                <w:t>Employment Agreement between the Company and Glen E. Goold dated March 2, 2020 (incorporated by reference to Exhibit 10.3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tcBorders>
            <w:vMerge w:val="continue"/>
            <w:shd w:val="clear" w:color="auto" w:fill="CCEEFF"/>
          </w:tcPr>
          <w:p>
            <w:pPr>
              <w:spacing w:after="0"/>
              <w:rPr>
                <w:sz w:val="15"/>
                <w:szCs w:val="15"/>
                <w:color w:val="auto"/>
              </w:rPr>
            </w:pPr>
          </w:p>
        </w:tc>
        <w:tc>
          <w:tcPr>
            <w:tcW w:w="9640" w:type="dxa"/>
            <w:vAlign w:val="bottom"/>
            <w:tcBorders>
              <w:top w:val="single" w:sz="8" w:color="0000FF"/>
            </w:tcBorders>
            <w:gridSpan w:val="31"/>
            <w:shd w:val="clear" w:color="auto" w:fill="CCEEFF"/>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Form 10-Q filed June 24, 2020).</w:t>
              </w:r>
            </w:hyperlink>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10.13†</w:t>
            </w: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Employment Agreement dated March 27, 2019, by and between the Company and James M. Pollock (incorporated by reference to Exhibit</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tcBorders>
            <w:vMerge w:val="continue"/>
            <w:shd w:val="clear" w:color="auto" w:fill="CCEEFF"/>
          </w:tcPr>
          <w:p>
            <w:pPr>
              <w:spacing w:after="0"/>
              <w:rPr>
                <w:sz w:val="15"/>
                <w:szCs w:val="15"/>
                <w:color w:val="auto"/>
              </w:rPr>
            </w:pPr>
          </w:p>
        </w:tc>
        <w:tc>
          <w:tcPr>
            <w:tcW w:w="9980" w:type="dxa"/>
            <w:vAlign w:val="bottom"/>
            <w:tcBorders>
              <w:top w:val="single" w:sz="8" w:color="0000FF"/>
            </w:tcBorders>
            <w:gridSpan w:val="40"/>
            <w:shd w:val="clear" w:color="auto" w:fill="CCEEFF"/>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Form 8-K filed April 3, 2019).</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10.14†</w:t>
            </w: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4"/>
              </w:rPr>
            </w:pPr>
            <w:hyperlink r:id="rId144">
              <w:r>
                <w:rPr>
                  <w:rFonts w:ascii="Arial" w:cs="Arial" w:eastAsia="Arial" w:hAnsi="Arial"/>
                  <w:sz w:val="18"/>
                  <w:szCs w:val="18"/>
                  <w:color w:val="0000FF"/>
                  <w:w w:val="94"/>
                </w:rPr>
                <w:t>Employment Agreement, dated May 8, 2020, between USA Technologies, Inc. and Sean Feeney (incorporated by reference to Exhibit</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tcBorders>
            <w:vMerge w:val="continue"/>
            <w:shd w:val="clear" w:color="auto" w:fill="CCEEFF"/>
          </w:tcPr>
          <w:p>
            <w:pPr>
              <w:spacing w:after="0"/>
              <w:rPr>
                <w:sz w:val="15"/>
                <w:szCs w:val="15"/>
                <w:color w:val="auto"/>
              </w:rPr>
            </w:pPr>
          </w:p>
        </w:tc>
        <w:tc>
          <w:tcPr>
            <w:tcW w:w="9660" w:type="dxa"/>
            <w:vAlign w:val="bottom"/>
            <w:tcBorders>
              <w:top w:val="single" w:sz="8" w:color="0000FF"/>
            </w:tcBorders>
            <w:gridSpan w:val="32"/>
            <w:shd w:val="clear" w:color="auto" w:fill="CCEEFF"/>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Form 8-K filed on May 13, 2020).</w:t>
              </w:r>
            </w:hyperlink>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10.15†</w:t>
            </w: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8"/>
              </w:rPr>
            </w:pPr>
            <w:hyperlink r:id="rId145">
              <w:r>
                <w:rPr>
                  <w:rFonts w:ascii="Arial" w:cs="Arial" w:eastAsia="Arial" w:hAnsi="Arial"/>
                  <w:sz w:val="18"/>
                  <w:szCs w:val="18"/>
                  <w:color w:val="0000FF"/>
                  <w:w w:val="98"/>
                </w:rPr>
                <w:t>Non-Qualified Stock Option Agreement, dated May 8, 2020, between USA Technologies, Inc. and Sean Feeney (incorporated by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tcBorders>
            <w:vMerge w:val="continue"/>
            <w:shd w:val="clear" w:color="auto" w:fill="CCEEFF"/>
          </w:tcPr>
          <w:p>
            <w:pPr>
              <w:spacing w:after="0"/>
              <w:rPr>
                <w:sz w:val="15"/>
                <w:szCs w:val="15"/>
                <w:color w:val="auto"/>
              </w:rPr>
            </w:pPr>
          </w:p>
        </w:tc>
        <w:tc>
          <w:tcPr>
            <w:tcW w:w="9300" w:type="dxa"/>
            <w:vAlign w:val="bottom"/>
            <w:tcBorders>
              <w:top w:val="single" w:sz="8" w:color="0000FF"/>
            </w:tcBorders>
            <w:gridSpan w:val="24"/>
            <w:shd w:val="clear" w:color="auto" w:fill="CCEEFF"/>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reference to Exhibit 10.3 to Form 8-K filed on May 13, 2020).</w:t>
              </w:r>
            </w:hyperlink>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10.16†</w:t>
            </w: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3"/>
              </w:rPr>
            </w:pPr>
            <w:hyperlink r:id="rId146">
              <w:r>
                <w:rPr>
                  <w:rFonts w:ascii="Arial" w:cs="Arial" w:eastAsia="Arial" w:hAnsi="Arial"/>
                  <w:sz w:val="18"/>
                  <w:szCs w:val="18"/>
                  <w:color w:val="0000FF"/>
                  <w:w w:val="93"/>
                </w:rPr>
                <w:t>Employment, Non-Interference, Non-Solicitation, Non-Competition and Invention Assignment Agreement by and between the Company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tcBorders>
            <w:vMerge w:val="continue"/>
            <w:shd w:val="clear" w:color="auto" w:fill="CCEEFF"/>
          </w:tcPr>
          <w:p>
            <w:pPr>
              <w:spacing w:after="0"/>
              <w:rPr>
                <w:sz w:val="15"/>
                <w:szCs w:val="15"/>
                <w:color w:val="auto"/>
              </w:rPr>
            </w:pPr>
          </w:p>
        </w:tc>
        <w:tc>
          <w:tcPr>
            <w:tcW w:w="9880" w:type="dxa"/>
            <w:vAlign w:val="bottom"/>
            <w:tcBorders>
              <w:top w:val="single" w:sz="8" w:color="0000FF"/>
            </w:tcBorders>
            <w:gridSpan w:val="37"/>
            <w:shd w:val="clear" w:color="auto" w:fill="CCEEFF"/>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and Anant Agrawal dated November 9, 2017 (incorporated by reference to Exhibit 10.9 to Form 10-K filed October 9, 2019).</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CCEEFF"/>
          </w:tcPr>
          <w:p>
            <w:pPr>
              <w:spacing w:after="0"/>
              <w:rPr>
                <w:sz w:val="16"/>
                <w:szCs w:val="16"/>
                <w:color w:val="auto"/>
              </w:rPr>
            </w:pP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5"/>
              </w:rPr>
            </w:pPr>
            <w:hyperlink r:id="rId147">
              <w:r>
                <w:rPr>
                  <w:rFonts w:ascii="Arial" w:cs="Arial" w:eastAsia="Arial" w:hAnsi="Arial"/>
                  <w:sz w:val="18"/>
                  <w:szCs w:val="18"/>
                  <w:color w:val="0000FF"/>
                  <w:w w:val="95"/>
                </w:rPr>
                <w:t>First Amendment to Employment, Non-Interference, Non-Solicitation, Non-Competition and Invention Assignment Agreement by and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8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10.16.1†</w:t>
            </w:r>
          </w:p>
        </w:tc>
        <w:tc>
          <w:tcPr>
            <w:tcW w:w="9720" w:type="dxa"/>
            <w:vAlign w:val="bottom"/>
            <w:tcBorders>
              <w:top w:val="single" w:sz="8" w:color="0000FF"/>
            </w:tcBorders>
            <w:gridSpan w:val="33"/>
            <w:shd w:val="clear" w:color="auto" w:fill="CCEEFF"/>
          </w:tcPr>
          <w:p>
            <w:pPr>
              <w:spacing w:after="0" w:line="156" w:lineRule="exact"/>
              <w:rPr>
                <w:rFonts w:ascii="Arial" w:cs="Arial" w:eastAsia="Arial" w:hAnsi="Arial"/>
                <w:sz w:val="18"/>
                <w:szCs w:val="18"/>
                <w:color w:val="0000FF"/>
                <w:w w:val="93"/>
              </w:rPr>
            </w:pPr>
            <w:hyperlink r:id="rId147">
              <w:r>
                <w:rPr>
                  <w:rFonts w:ascii="Arial" w:cs="Arial" w:eastAsia="Arial" w:hAnsi="Arial"/>
                  <w:sz w:val="18"/>
                  <w:szCs w:val="18"/>
                  <w:color w:val="0000FF"/>
                  <w:w w:val="93"/>
                </w:rPr>
                <w:t>between the Company and Anant Agrawal dated February 25, 2018 (incorporated by reference to Exhibit 10.9.1 to Form 10-K filed</w:t>
              </w:r>
            </w:hyperlink>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tcBorders>
            <w:vMerge w:val="continue"/>
            <w:shd w:val="clear" w:color="auto" w:fill="CCEEFF"/>
          </w:tcPr>
          <w:p>
            <w:pPr>
              <w:spacing w:after="0"/>
              <w:rPr>
                <w:sz w:val="15"/>
                <w:szCs w:val="15"/>
                <w:color w:val="auto"/>
              </w:rPr>
            </w:pPr>
          </w:p>
        </w:tc>
        <w:tc>
          <w:tcPr>
            <w:tcW w:w="9500" w:type="dxa"/>
            <w:vAlign w:val="bottom"/>
            <w:tcBorders>
              <w:top w:val="single" w:sz="8" w:color="0000FF"/>
            </w:tcBorders>
            <w:gridSpan w:val="26"/>
            <w:shd w:val="clear" w:color="auto" w:fill="CCEEFF"/>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October 9, 2019).</w:t>
              </w:r>
            </w:hyperlink>
          </w:p>
        </w:tc>
        <w:tc>
          <w:tcPr>
            <w:tcW w:w="6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gridSpan w:val="4"/>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CCEEFF"/>
          </w:tcPr>
          <w:p>
            <w:pPr>
              <w:spacing w:after="0"/>
              <w:rPr>
                <w:sz w:val="16"/>
                <w:szCs w:val="16"/>
                <w:color w:val="auto"/>
              </w:rPr>
            </w:pP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3"/>
              </w:rPr>
            </w:pPr>
            <w:hyperlink r:id="rId148">
              <w:r>
                <w:rPr>
                  <w:rFonts w:ascii="Arial" w:cs="Arial" w:eastAsia="Arial" w:hAnsi="Arial"/>
                  <w:sz w:val="18"/>
                  <w:szCs w:val="18"/>
                  <w:color w:val="0000FF"/>
                  <w:w w:val="93"/>
                </w:rPr>
                <w:t>Second Amendment to Employment, Non-Interference, Non-Solicitation, Non-Competition and Invention Assignment Agreement by and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8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10.16.2†</w:t>
            </w:r>
          </w:p>
        </w:tc>
        <w:tc>
          <w:tcPr>
            <w:tcW w:w="9920" w:type="dxa"/>
            <w:vAlign w:val="bottom"/>
            <w:tcBorders>
              <w:top w:val="single" w:sz="8" w:color="0000FF"/>
            </w:tcBorders>
            <w:gridSpan w:val="39"/>
            <w:shd w:val="clear" w:color="auto" w:fill="CCEEFF"/>
          </w:tcPr>
          <w:p>
            <w:pPr>
              <w:spacing w:after="0" w:line="156"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between the Company and Anant Agrawal dated August 7, 2019 (incorporated by reference to Exhibit 10.9.2 to Form 10-K filed October</w:t>
              </w:r>
            </w:hyperlink>
          </w:p>
        </w:tc>
        <w:tc>
          <w:tcPr>
            <w:tcW w:w="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tcBorders>
            <w:vMerge w:val="continue"/>
            <w:shd w:val="clear" w:color="auto" w:fill="CCEEFF"/>
          </w:tcPr>
          <w:p>
            <w:pPr>
              <w:spacing w:after="0"/>
              <w:rPr>
                <w:sz w:val="15"/>
                <w:szCs w:val="15"/>
                <w:color w:val="auto"/>
              </w:rPr>
            </w:pPr>
          </w:p>
        </w:tc>
        <w:tc>
          <w:tcPr>
            <w:tcW w:w="128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9, 2019).</w:t>
              </w:r>
            </w:hyperlink>
          </w:p>
        </w:tc>
        <w:tc>
          <w:tcPr>
            <w:tcW w:w="106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20" w:type="dxa"/>
            <w:vAlign w:val="bottom"/>
            <w:tcBorders>
              <w:top w:val="single" w:sz="8" w:color="0000FF"/>
            </w:tcBorders>
            <w:shd w:val="clear" w:color="auto" w:fill="CCEEFF"/>
          </w:tcPr>
          <w:p>
            <w:pPr>
              <w:spacing w:after="0"/>
              <w:rPr>
                <w:sz w:val="15"/>
                <w:szCs w:val="15"/>
                <w:color w:val="auto"/>
              </w:rPr>
            </w:pPr>
          </w:p>
        </w:tc>
        <w:tc>
          <w:tcPr>
            <w:tcW w:w="36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720" w:type="dxa"/>
            <w:vAlign w:val="bottom"/>
            <w:tcBorders>
              <w:top w:val="single" w:sz="8" w:color="0000FF"/>
            </w:tcBorders>
            <w:shd w:val="clear" w:color="auto" w:fill="CCEEFF"/>
          </w:tcPr>
          <w:p>
            <w:pPr>
              <w:spacing w:after="0"/>
              <w:rPr>
                <w:sz w:val="15"/>
                <w:szCs w:val="15"/>
                <w:color w:val="auto"/>
              </w:rPr>
            </w:pPr>
          </w:p>
        </w:tc>
        <w:tc>
          <w:tcPr>
            <w:tcW w:w="22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18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460" w:type="dxa"/>
            <w:vAlign w:val="bottom"/>
            <w:tcBorders>
              <w:top w:val="single" w:sz="8" w:color="0000FF"/>
            </w:tcBorders>
            <w:shd w:val="clear" w:color="auto" w:fill="CCEEFF"/>
          </w:tcPr>
          <w:p>
            <w:pPr>
              <w:spacing w:after="0"/>
              <w:rPr>
                <w:sz w:val="15"/>
                <w:szCs w:val="15"/>
                <w:color w:val="auto"/>
              </w:rPr>
            </w:pPr>
          </w:p>
        </w:tc>
        <w:tc>
          <w:tcPr>
            <w:tcW w:w="360" w:type="dxa"/>
            <w:vAlign w:val="bottom"/>
            <w:tcBorders>
              <w:top w:val="single" w:sz="8" w:color="0000FF"/>
            </w:tcBorders>
            <w:shd w:val="clear" w:color="auto" w:fill="CCEEFF"/>
          </w:tcPr>
          <w:p>
            <w:pPr>
              <w:spacing w:after="0"/>
              <w:rPr>
                <w:sz w:val="15"/>
                <w:szCs w:val="15"/>
                <w:color w:val="auto"/>
              </w:rPr>
            </w:pPr>
          </w:p>
        </w:tc>
        <w:tc>
          <w:tcPr>
            <w:tcW w:w="1240" w:type="dxa"/>
            <w:vAlign w:val="bottom"/>
            <w:tcBorders>
              <w:top w:val="single" w:sz="8" w:color="0000FF"/>
            </w:tcBorders>
            <w:shd w:val="clear" w:color="auto" w:fill="CCEEFF"/>
          </w:tcPr>
          <w:p>
            <w:pPr>
              <w:spacing w:after="0"/>
              <w:rPr>
                <w:sz w:val="15"/>
                <w:szCs w:val="15"/>
                <w:color w:val="auto"/>
              </w:rPr>
            </w:pPr>
          </w:p>
        </w:tc>
        <w:tc>
          <w:tcPr>
            <w:tcW w:w="1320" w:type="dxa"/>
            <w:vAlign w:val="bottom"/>
            <w:tcBorders>
              <w:top w:val="single" w:sz="8" w:color="0000FF"/>
            </w:tcBorders>
            <w:shd w:val="clear" w:color="auto" w:fill="CCEEFF"/>
          </w:tcPr>
          <w:p>
            <w:pPr>
              <w:spacing w:after="0"/>
              <w:rPr>
                <w:sz w:val="15"/>
                <w:szCs w:val="15"/>
                <w:color w:val="auto"/>
              </w:rPr>
            </w:pPr>
          </w:p>
        </w:tc>
        <w:tc>
          <w:tcPr>
            <w:tcW w:w="78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0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10.17†</w:t>
            </w: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5"/>
              </w:rPr>
            </w:pPr>
            <w:hyperlink r:id="rId149">
              <w:r>
                <w:rPr>
                  <w:rFonts w:ascii="Arial" w:cs="Arial" w:eastAsia="Arial" w:hAnsi="Arial"/>
                  <w:sz w:val="18"/>
                  <w:szCs w:val="18"/>
                  <w:color w:val="0000FF"/>
                  <w:w w:val="95"/>
                </w:rPr>
                <w:t>Restricted Stock Unit Award Agreement, dated May 29, 2020, between USA Technologies, Inc. and Anant Agrawal (incorporated by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tcBorders>
            <w:vMerge w:val="continue"/>
            <w:shd w:val="clear" w:color="auto" w:fill="CCEEFF"/>
          </w:tcPr>
          <w:p>
            <w:pPr>
              <w:spacing w:after="0"/>
              <w:rPr>
                <w:sz w:val="15"/>
                <w:szCs w:val="15"/>
                <w:color w:val="auto"/>
              </w:rPr>
            </w:pPr>
          </w:p>
        </w:tc>
        <w:tc>
          <w:tcPr>
            <w:tcW w:w="9620" w:type="dxa"/>
            <w:vAlign w:val="bottom"/>
            <w:tcBorders>
              <w:top w:val="single" w:sz="8" w:color="0000FF"/>
            </w:tcBorders>
            <w:gridSpan w:val="30"/>
            <w:shd w:val="clear" w:color="auto" w:fill="CCEEFF"/>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reference to Exhibit 10.1 to Form 8-K filed on June 3, 2020).</w:t>
              </w:r>
            </w:hyperlink>
          </w:p>
        </w:tc>
        <w:tc>
          <w:tcPr>
            <w:tcW w:w="160" w:type="dxa"/>
            <w:vAlign w:val="bottom"/>
            <w:tcBorders>
              <w:top w:val="single" w:sz="8" w:color="CCEEFF"/>
            </w:tcBorders>
            <w:gridSpan w:val="4"/>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10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10.18</w:t>
            </w: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7"/>
              </w:rPr>
            </w:pPr>
            <w:hyperlink r:id="rId150">
              <w:r>
                <w:rPr>
                  <w:rFonts w:ascii="Arial" w:cs="Arial" w:eastAsia="Arial" w:hAnsi="Arial"/>
                  <w:sz w:val="18"/>
                  <w:szCs w:val="18"/>
                  <w:color w:val="0000FF"/>
                  <w:w w:val="97"/>
                </w:rPr>
                <w:t>Independent Contractor Agreement, dated as of June 29, 2020, by and between USA Technologies, Inc. and Eugene Cavanaugh</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tcBorders>
            <w:vMerge w:val="continue"/>
            <w:shd w:val="clear" w:color="auto" w:fill="CCEEFF"/>
          </w:tcPr>
          <w:p>
            <w:pPr>
              <w:spacing w:after="0"/>
              <w:rPr>
                <w:sz w:val="15"/>
                <w:szCs w:val="15"/>
                <w:color w:val="auto"/>
              </w:rPr>
            </w:pPr>
          </w:p>
        </w:tc>
        <w:tc>
          <w:tcPr>
            <w:tcW w:w="9200" w:type="dxa"/>
            <w:vAlign w:val="bottom"/>
            <w:tcBorders>
              <w:top w:val="single" w:sz="8" w:color="0000FF"/>
            </w:tcBorders>
            <w:gridSpan w:val="23"/>
            <w:shd w:val="clear" w:color="auto" w:fill="CCEEFF"/>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(incorporated by reference to Exhibit 10.1 to Form 8-K filed July 6, 2020)</w:t>
              </w:r>
            </w:hyperlink>
          </w:p>
        </w:tc>
        <w:tc>
          <w:tcPr>
            <w:tcW w:w="220" w:type="dxa"/>
            <w:vAlign w:val="bottom"/>
            <w:tcBorders>
              <w:top w:val="single" w:sz="8" w:color="CCEEFF"/>
            </w:tcBorders>
            <w:gridSpan w:val="2"/>
            <w:shd w:val="clear" w:color="auto" w:fill="CCEEFF"/>
          </w:tcPr>
          <w:p>
            <w:pPr>
              <w:spacing w:after="0"/>
              <w:rPr>
                <w:sz w:val="15"/>
                <w:szCs w:val="15"/>
                <w:color w:val="auto"/>
              </w:rPr>
            </w:pPr>
          </w:p>
        </w:tc>
        <w:tc>
          <w:tcPr>
            <w:tcW w:w="140" w:type="dxa"/>
            <w:vAlign w:val="bottom"/>
            <w:tcBorders>
              <w:top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gridSpan w:val="5"/>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10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10.18.1</w:t>
            </w: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3"/>
              </w:rPr>
            </w:pPr>
            <w:hyperlink r:id="rId151">
              <w:r>
                <w:rPr>
                  <w:rFonts w:ascii="Arial" w:cs="Arial" w:eastAsia="Arial" w:hAnsi="Arial"/>
                  <w:sz w:val="18"/>
                  <w:szCs w:val="18"/>
                  <w:color w:val="0000FF"/>
                  <w:w w:val="93"/>
                </w:rPr>
                <w:t>First Amendment to Independent Contractor Agreement, by and between Eugene Cavanaugh and USA Technologies, Inc., dated as of</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tcBorders>
            <w:vMerge w:val="continue"/>
            <w:shd w:val="clear" w:color="auto" w:fill="CCEEFF"/>
          </w:tcPr>
          <w:p>
            <w:pPr>
              <w:spacing w:after="0"/>
              <w:rPr>
                <w:sz w:val="15"/>
                <w:szCs w:val="15"/>
                <w:color w:val="auto"/>
              </w:rPr>
            </w:pPr>
          </w:p>
        </w:tc>
        <w:tc>
          <w:tcPr>
            <w:tcW w:w="10040" w:type="dxa"/>
            <w:vAlign w:val="bottom"/>
            <w:tcBorders>
              <w:top w:val="single" w:sz="8" w:color="0000FF"/>
            </w:tcBorders>
            <w:gridSpan w:val="43"/>
            <w:shd w:val="clear" w:color="auto" w:fill="CCEEFF"/>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August 10, 2020 (incorporated by reference to Exhibit 10.3 to Form 8-K filed August 14, 2020).</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10.19†</w:t>
            </w: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3"/>
              </w:rPr>
            </w:pPr>
            <w:hyperlink r:id="rId152">
              <w:r>
                <w:rPr>
                  <w:rFonts w:ascii="Arial" w:cs="Arial" w:eastAsia="Arial" w:hAnsi="Arial"/>
                  <w:sz w:val="18"/>
                  <w:szCs w:val="18"/>
                  <w:color w:val="0000FF"/>
                  <w:w w:val="93"/>
                </w:rPr>
                <w:t>Employment Agreement, by and between R. Wayne Jackson and USA Technologies, Inc., effective as of August 10, 2020 (incorporated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tcBorders>
            <w:vMerge w:val="continue"/>
            <w:shd w:val="clear" w:color="auto" w:fill="CCEEFF"/>
          </w:tcPr>
          <w:p>
            <w:pPr>
              <w:spacing w:after="0"/>
              <w:rPr>
                <w:sz w:val="15"/>
                <w:szCs w:val="15"/>
                <w:color w:val="auto"/>
              </w:rPr>
            </w:pPr>
          </w:p>
        </w:tc>
        <w:tc>
          <w:tcPr>
            <w:tcW w:w="10020" w:type="dxa"/>
            <w:vAlign w:val="bottom"/>
            <w:tcBorders>
              <w:top w:val="single" w:sz="8" w:color="0000FF"/>
            </w:tcBorders>
            <w:gridSpan w:val="42"/>
            <w:shd w:val="clear" w:color="auto" w:fill="CCEEFF"/>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by reference to Exhibit 10.1 to Form 8-K filed August 14, 2020).</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10.20†</w:t>
            </w: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4"/>
              </w:rPr>
            </w:pPr>
            <w:hyperlink r:id="rId153">
              <w:r>
                <w:rPr>
                  <w:rFonts w:ascii="Arial" w:cs="Arial" w:eastAsia="Arial" w:hAnsi="Arial"/>
                  <w:sz w:val="18"/>
                  <w:szCs w:val="18"/>
                  <w:color w:val="0000FF"/>
                  <w:w w:val="94"/>
                </w:rPr>
                <w:t>Non-Qualified Stock Option Agreement, by and between R. Wayne Jackson and USA Technologies, Inc., dated as of August 10, 2020</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tcBorders>
            <w:vMerge w:val="continue"/>
            <w:shd w:val="clear" w:color="auto" w:fill="CCEEFF"/>
          </w:tcPr>
          <w:p>
            <w:pPr>
              <w:spacing w:after="0"/>
              <w:rPr>
                <w:sz w:val="15"/>
                <w:szCs w:val="15"/>
                <w:color w:val="auto"/>
              </w:rPr>
            </w:pPr>
          </w:p>
        </w:tc>
        <w:tc>
          <w:tcPr>
            <w:tcW w:w="10060" w:type="dxa"/>
            <w:vAlign w:val="bottom"/>
            <w:tcBorders>
              <w:top w:val="single" w:sz="8" w:color="0000FF"/>
            </w:tcBorders>
            <w:gridSpan w:val="44"/>
            <w:shd w:val="clear" w:color="auto" w:fill="CCEEFF"/>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(incorporated by reference to Exhibit 10.2 to Form 8-K filed August 14, 2020).</w:t>
              </w:r>
            </w:hyperlink>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10.21†</w:t>
            </w: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3"/>
              </w:rPr>
            </w:pPr>
            <w:hyperlink r:id="rId154">
              <w:r>
                <w:rPr>
                  <w:rFonts w:ascii="Arial" w:cs="Arial" w:eastAsia="Arial" w:hAnsi="Arial"/>
                  <w:sz w:val="18"/>
                  <w:szCs w:val="18"/>
                  <w:color w:val="0000FF"/>
                  <w:w w:val="93"/>
                </w:rPr>
                <w:t>Non-Qualified Stock Option Agreement, dated as of July 16, 2020, by and between USA Technologies, Inc. and Jeff Vogt (incorporated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tcBorders>
            <w:vMerge w:val="continue"/>
            <w:shd w:val="clear" w:color="auto" w:fill="CCEEFF"/>
          </w:tcPr>
          <w:p>
            <w:pPr>
              <w:spacing w:after="0"/>
              <w:rPr>
                <w:sz w:val="15"/>
                <w:szCs w:val="15"/>
                <w:color w:val="auto"/>
              </w:rPr>
            </w:pPr>
          </w:p>
        </w:tc>
        <w:tc>
          <w:tcPr>
            <w:tcW w:w="10100" w:type="dxa"/>
            <w:vAlign w:val="bottom"/>
            <w:tcBorders>
              <w:top w:val="single" w:sz="8" w:color="0000FF"/>
              <w:right w:val="single" w:sz="8" w:color="CCEEFF"/>
            </w:tcBorders>
            <w:gridSpan w:val="45"/>
            <w:shd w:val="clear" w:color="auto" w:fill="CCEEFF"/>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by reference to Exhibit 10.1 to Form 8-K filed July 21, 2020).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CCEEFF"/>
          </w:tcPr>
          <w:p>
            <w:pPr>
              <w:spacing w:after="0"/>
              <w:rPr>
                <w:sz w:val="16"/>
                <w:szCs w:val="16"/>
                <w:color w:val="auto"/>
              </w:rPr>
            </w:pP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3"/>
              </w:rPr>
            </w:pPr>
            <w:hyperlink r:id="rId155">
              <w:r>
                <w:rPr>
                  <w:rFonts w:ascii="Arial" w:cs="Arial" w:eastAsia="Arial" w:hAnsi="Arial"/>
                  <w:sz w:val="18"/>
                  <w:szCs w:val="18"/>
                  <w:color w:val="0000FF"/>
                  <w:w w:val="93"/>
                </w:rPr>
                <w:t>Payment Solutions Agreement between the Company, First Data Merchant Services LLC and Wells Fargo Bank, N.A., dated March 20,</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8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10.22</w:t>
            </w:r>
          </w:p>
        </w:tc>
        <w:tc>
          <w:tcPr>
            <w:tcW w:w="9780" w:type="dxa"/>
            <w:vAlign w:val="bottom"/>
            <w:tcBorders>
              <w:top w:val="single" w:sz="8" w:color="0000FF"/>
            </w:tcBorders>
            <w:gridSpan w:val="34"/>
            <w:shd w:val="clear" w:color="auto" w:fill="CCEEFF"/>
          </w:tcPr>
          <w:p>
            <w:pPr>
              <w:spacing w:after="0" w:line="156" w:lineRule="exact"/>
              <w:rPr>
                <w:rFonts w:ascii="Arial" w:cs="Arial" w:eastAsia="Arial" w:hAnsi="Arial"/>
                <w:sz w:val="18"/>
                <w:szCs w:val="18"/>
                <w:color w:val="0000FF"/>
                <w:w w:val="92"/>
              </w:rPr>
            </w:pPr>
            <w:hyperlink r:id="rId155">
              <w:r>
                <w:rPr>
                  <w:rFonts w:ascii="Arial" w:cs="Arial" w:eastAsia="Arial" w:hAnsi="Arial"/>
                  <w:sz w:val="18"/>
                  <w:szCs w:val="18"/>
                  <w:color w:val="0000FF"/>
                  <w:w w:val="92"/>
                </w:rPr>
                <w:t>2020 (portions of this exhibit were redacted pursuant to a confidential treatment request)(incorporated by reference to Exhibit 10.1 to</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gridSpan w:val="3"/>
            <w:shd w:val="clear" w:color="auto" w:fill="CCEEFF"/>
          </w:tcPr>
          <w:p>
            <w:pPr>
              <w:spacing w:after="0"/>
              <w:rPr>
                <w:sz w:val="13"/>
                <w:szCs w:val="13"/>
                <w:color w:val="auto"/>
              </w:rPr>
            </w:pPr>
          </w:p>
        </w:tc>
        <w:tc>
          <w:tcPr>
            <w:tcW w:w="100" w:type="dxa"/>
            <w:vAlign w:val="bottom"/>
            <w:tcBorders>
              <w:top w:val="single" w:sz="8" w:color="CCEEFF"/>
              <w:right w:val="single" w:sz="8" w:color="CCEEFF"/>
            </w:tcBorders>
            <w:gridSpan w:val="4"/>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tcBorders>
            <w:vMerge w:val="continue"/>
            <w:shd w:val="clear" w:color="auto" w:fill="CCEEFF"/>
          </w:tcPr>
          <w:p>
            <w:pPr>
              <w:spacing w:after="0"/>
              <w:rPr>
                <w:sz w:val="15"/>
                <w:szCs w:val="15"/>
                <w:color w:val="auto"/>
              </w:rPr>
            </w:pPr>
          </w:p>
        </w:tc>
        <w:tc>
          <w:tcPr>
            <w:tcW w:w="9600" w:type="dxa"/>
            <w:vAlign w:val="bottom"/>
            <w:tcBorders>
              <w:top w:val="single" w:sz="8" w:color="0000FF"/>
            </w:tcBorders>
            <w:gridSpan w:val="29"/>
            <w:shd w:val="clear" w:color="auto" w:fill="CCEEFF"/>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Form 10-Q filed on June 24, 2020).</w:t>
              </w:r>
            </w:hyperlink>
          </w:p>
        </w:tc>
        <w:tc>
          <w:tcPr>
            <w:tcW w:w="240" w:type="dxa"/>
            <w:vAlign w:val="bottom"/>
            <w:tcBorders>
              <w:top w:val="single" w:sz="8" w:color="CCEEFF"/>
            </w:tcBorders>
            <w:gridSpan w:val="7"/>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100" w:type="dxa"/>
            <w:vAlign w:val="bottom"/>
            <w:tcBorders>
              <w:top w:val="single" w:sz="8" w:color="CCEEFF"/>
            </w:tcBorders>
            <w:gridSpan w:val="3"/>
            <w:shd w:val="clear" w:color="auto" w:fill="CCEEFF"/>
          </w:tcPr>
          <w:p>
            <w:pPr>
              <w:spacing w:after="0"/>
              <w:rPr>
                <w:sz w:val="15"/>
                <w:szCs w:val="15"/>
                <w:color w:val="auto"/>
              </w:rPr>
            </w:pPr>
          </w:p>
        </w:tc>
        <w:tc>
          <w:tcPr>
            <w:tcW w:w="100" w:type="dxa"/>
            <w:vAlign w:val="bottom"/>
            <w:tcBorders>
              <w:top w:val="single" w:sz="8" w:color="CCEEFF"/>
              <w:right w:val="single" w:sz="8" w:color="CCEEFF"/>
            </w:tcBorders>
            <w:gridSpan w:val="4"/>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10.23†</w:t>
            </w: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2"/>
              </w:rPr>
            </w:pPr>
            <w:hyperlink r:id="rId156">
              <w:r>
                <w:rPr>
                  <w:rFonts w:ascii="Arial" w:cs="Arial" w:eastAsia="Arial" w:hAnsi="Arial"/>
                  <w:sz w:val="18"/>
                  <w:szCs w:val="18"/>
                  <w:color w:val="0000FF"/>
                  <w:w w:val="92"/>
                </w:rPr>
                <w:t>Offer Letter, by and between Scott Stewart and USA Technologies, Inc., dated as of August 6, 2020 (incorporated by reference to Exhibit</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tcBorders>
            <w:vMerge w:val="continue"/>
            <w:shd w:val="clear" w:color="auto" w:fill="CCEEFF"/>
          </w:tcPr>
          <w:p>
            <w:pPr>
              <w:spacing w:after="0"/>
              <w:rPr>
                <w:sz w:val="15"/>
                <w:szCs w:val="15"/>
                <w:color w:val="auto"/>
              </w:rPr>
            </w:pPr>
          </w:p>
        </w:tc>
        <w:tc>
          <w:tcPr>
            <w:tcW w:w="9900" w:type="dxa"/>
            <w:vAlign w:val="bottom"/>
            <w:tcBorders>
              <w:top w:val="single" w:sz="8" w:color="0000FF"/>
            </w:tcBorders>
            <w:gridSpan w:val="38"/>
            <w:shd w:val="clear" w:color="auto" w:fill="CCEEFF"/>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Form 8-K filed on September 18, 2020).</w:t>
              </w:r>
            </w:hyperlink>
          </w:p>
        </w:tc>
        <w:tc>
          <w:tcPr>
            <w:tcW w:w="100" w:type="dxa"/>
            <w:vAlign w:val="bottom"/>
            <w:tcBorders>
              <w:top w:val="single" w:sz="8" w:color="CCEEFF"/>
            </w:tcBorders>
            <w:gridSpan w:val="3"/>
            <w:shd w:val="clear" w:color="auto" w:fill="CCEEFF"/>
          </w:tcPr>
          <w:p>
            <w:pPr>
              <w:spacing w:after="0"/>
              <w:rPr>
                <w:sz w:val="15"/>
                <w:szCs w:val="15"/>
                <w:color w:val="auto"/>
              </w:rPr>
            </w:pPr>
          </w:p>
        </w:tc>
        <w:tc>
          <w:tcPr>
            <w:tcW w:w="100" w:type="dxa"/>
            <w:vAlign w:val="bottom"/>
            <w:tcBorders>
              <w:top w:val="single" w:sz="8" w:color="CCEEFF"/>
              <w:right w:val="single" w:sz="8" w:color="CCEEFF"/>
            </w:tcBorders>
            <w:gridSpan w:val="4"/>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10.24†</w:t>
            </w: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Separation and Transition Agreement, by and between Glen Goold and USA Technologies, Inc., dated as of October 8, 2020 (incorporated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Borders>
              <w:top w:val="single" w:sz="8" w:color="CCEEFF"/>
            </w:tcBorders>
            <w:vMerge w:val="continue"/>
            <w:shd w:val="clear" w:color="auto" w:fill="CCEEFF"/>
          </w:tcPr>
          <w:p>
            <w:pPr>
              <w:spacing w:after="0"/>
              <w:rPr>
                <w:sz w:val="17"/>
                <w:szCs w:val="17"/>
                <w:color w:val="auto"/>
              </w:rPr>
            </w:pPr>
          </w:p>
        </w:tc>
        <w:tc>
          <w:tcPr>
            <w:tcW w:w="10000" w:type="dxa"/>
            <w:vAlign w:val="bottom"/>
            <w:tcBorders>
              <w:top w:val="single" w:sz="8" w:color="0000FF"/>
            </w:tcBorders>
            <w:gridSpan w:val="41"/>
            <w:shd w:val="clear" w:color="auto" w:fill="CCEEFF"/>
          </w:tcPr>
          <w:p>
            <w:pPr>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by reference to Exhibit 10.1 to Form 8-K filed on October 9, 2020).</w:t>
              </w:r>
            </w:hyperlink>
          </w:p>
        </w:tc>
        <w:tc>
          <w:tcPr>
            <w:tcW w:w="100" w:type="dxa"/>
            <w:vAlign w:val="bottom"/>
            <w:tcBorders>
              <w:top w:val="single" w:sz="8" w:color="CCEEFF"/>
              <w:right w:val="single" w:sz="8" w:color="CCEEFF"/>
            </w:tcBorders>
            <w:gridSpan w:val="4"/>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10.25†</w:t>
            </w: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Separation and Transition Agreement, by and between Jeff Vogt and USA Technologies, Inc., dated as of January 11, 2021 (incorporated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tcBorders>
            <w:vMerge w:val="continue"/>
            <w:shd w:val="clear" w:color="auto" w:fill="CCEEFF"/>
          </w:tcPr>
          <w:p>
            <w:pPr>
              <w:spacing w:after="0"/>
              <w:rPr>
                <w:sz w:val="15"/>
                <w:szCs w:val="15"/>
                <w:color w:val="auto"/>
              </w:rPr>
            </w:pPr>
          </w:p>
        </w:tc>
        <w:tc>
          <w:tcPr>
            <w:tcW w:w="9840" w:type="dxa"/>
            <w:vAlign w:val="bottom"/>
            <w:tcBorders>
              <w:top w:val="single" w:sz="8" w:color="0000FF"/>
            </w:tcBorders>
            <w:gridSpan w:val="36"/>
            <w:shd w:val="clear" w:color="auto" w:fill="CCEEFF"/>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by reference to Exhibit 10.1 to Form 8-K filed January 12, 2021).</w:t>
              </w:r>
            </w:hyperlink>
          </w:p>
        </w:tc>
        <w:tc>
          <w:tcPr>
            <w:tcW w:w="260" w:type="dxa"/>
            <w:vAlign w:val="bottom"/>
            <w:tcBorders>
              <w:top w:val="single" w:sz="8" w:color="CCEEFF"/>
              <w:right w:val="single" w:sz="8" w:color="CCEEFF"/>
            </w:tcBorders>
            <w:gridSpan w:val="9"/>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10.26†</w:t>
            </w: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4"/>
              </w:rPr>
            </w:pPr>
            <w:hyperlink r:id="rId159">
              <w:r>
                <w:rPr>
                  <w:rFonts w:ascii="Arial" w:cs="Arial" w:eastAsia="Arial" w:hAnsi="Arial"/>
                  <w:sz w:val="18"/>
                  <w:szCs w:val="18"/>
                  <w:color w:val="0000FF"/>
                  <w:w w:val="94"/>
                </w:rPr>
                <w:t>Separation and Transition Agreement, by and between James Pollock and Cantaloupe, Inc. dated as of June 1, 2021 (incorporated by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tcBorders>
            <w:vMerge w:val="continue"/>
            <w:shd w:val="clear" w:color="auto" w:fill="CCEEFF"/>
          </w:tcPr>
          <w:p>
            <w:pPr>
              <w:spacing w:after="0"/>
              <w:rPr>
                <w:sz w:val="15"/>
                <w:szCs w:val="15"/>
                <w:color w:val="auto"/>
              </w:rPr>
            </w:pPr>
          </w:p>
        </w:tc>
        <w:tc>
          <w:tcPr>
            <w:tcW w:w="9560" w:type="dxa"/>
            <w:vAlign w:val="bottom"/>
            <w:tcBorders>
              <w:top w:val="single" w:sz="8" w:color="0000FF"/>
            </w:tcBorders>
            <w:gridSpan w:val="28"/>
            <w:shd w:val="clear" w:color="auto" w:fill="CCEEFF"/>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reference to Exhibit 10.1 to Form 8-K filed June 3, 2021).</w:t>
              </w:r>
            </w:hyperlink>
          </w:p>
        </w:tc>
        <w:tc>
          <w:tcPr>
            <w:tcW w:w="540" w:type="dxa"/>
            <w:vAlign w:val="bottom"/>
            <w:tcBorders>
              <w:top w:val="single" w:sz="8" w:color="CCEEFF"/>
              <w:right w:val="single" w:sz="8" w:color="CCEEFF"/>
            </w:tcBorders>
            <w:gridSpan w:val="17"/>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1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10.27</w:t>
            </w:r>
          </w:p>
        </w:tc>
        <w:tc>
          <w:tcPr>
            <w:tcW w:w="10100" w:type="dxa"/>
            <w:vAlign w:val="bottom"/>
            <w:tcBorders>
              <w:right w:val="single" w:sz="8" w:color="CCEEFF"/>
            </w:tcBorders>
            <w:gridSpan w:val="45"/>
            <w:shd w:val="clear" w:color="auto" w:fill="CCEEFF"/>
          </w:tcPr>
          <w:p>
            <w:pPr>
              <w:spacing w:after="0" w:line="169" w:lineRule="exact"/>
              <w:rPr>
                <w:rFonts w:ascii="Arial" w:cs="Arial" w:eastAsia="Arial" w:hAnsi="Arial"/>
                <w:sz w:val="18"/>
                <w:szCs w:val="18"/>
                <w:color w:val="0000FF"/>
              </w:rPr>
            </w:pPr>
            <w:hyperlink r:id="rId160">
              <w:r>
                <w:rPr>
                  <w:rFonts w:ascii="Arial" w:cs="Arial" w:eastAsia="Arial" w:hAnsi="Arial"/>
                  <w:sz w:val="18"/>
                  <w:szCs w:val="18"/>
                  <w:color w:val="0000FF"/>
                </w:rPr>
                <w:t>Form of Subscription Agreement (incorporated by reference to Exhibit 10.1 to Form 8-K filed February 25, 2021).</w:t>
              </w:r>
            </w:hyperlink>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10.28</w:t>
            </w: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5"/>
              </w:rPr>
            </w:pPr>
            <w:hyperlink w:anchor="page92">
              <w:r>
                <w:rPr>
                  <w:rFonts w:ascii="Arial" w:cs="Arial" w:eastAsia="Arial" w:hAnsi="Arial"/>
                  <w:sz w:val="18"/>
                  <w:szCs w:val="18"/>
                  <w:color w:val="0000FF"/>
                  <w:w w:val="95"/>
                </w:rPr>
                <w:t>Settlement Agreement and Mutual General Release, by and between Michael Wasserfuhr, Sean Feeney, Douglas Bergeron, and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Borders>
              <w:top w:val="single" w:sz="8" w:color="CCEEFF"/>
            </w:tcBorders>
            <w:vMerge w:val="continue"/>
            <w:shd w:val="clear" w:color="auto" w:fill="CCEEFF"/>
          </w:tcPr>
          <w:p>
            <w:pPr>
              <w:spacing w:after="0"/>
              <w:rPr>
                <w:sz w:val="17"/>
                <w:szCs w:val="17"/>
                <w:color w:val="auto"/>
              </w:rPr>
            </w:pPr>
          </w:p>
        </w:tc>
        <w:tc>
          <w:tcPr>
            <w:tcW w:w="9420" w:type="dxa"/>
            <w:vAlign w:val="bottom"/>
            <w:tcBorders>
              <w:top w:val="single" w:sz="8" w:color="0000FF"/>
            </w:tcBorders>
            <w:gridSpan w:val="25"/>
            <w:shd w:val="clear" w:color="auto" w:fill="CCEEFF"/>
          </w:tcPr>
          <w:p>
            <w:pPr>
              <w:spacing w:after="0" w:line="156" w:lineRule="exact"/>
              <w:rPr>
                <w:rFonts w:ascii="Arial" w:cs="Arial" w:eastAsia="Arial" w:hAnsi="Arial"/>
                <w:sz w:val="18"/>
                <w:szCs w:val="18"/>
                <w:color w:val="0000FF"/>
              </w:rPr>
            </w:pPr>
            <w:hyperlink w:anchor="page92">
              <w:r>
                <w:rPr>
                  <w:rFonts w:ascii="Arial" w:cs="Arial" w:eastAsia="Arial" w:hAnsi="Arial"/>
                  <w:sz w:val="18"/>
                  <w:szCs w:val="18"/>
                  <w:color w:val="0000FF"/>
                </w:rPr>
                <w:t>Company, dated as of March 27, 2021.</w:t>
              </w:r>
            </w:hyperlink>
          </w:p>
        </w:tc>
        <w:tc>
          <w:tcPr>
            <w:tcW w:w="680" w:type="dxa"/>
            <w:vAlign w:val="bottom"/>
            <w:tcBorders>
              <w:top w:val="single" w:sz="8" w:color="CCEEFF"/>
              <w:right w:val="single" w:sz="8" w:color="CCEEFF"/>
            </w:tcBorders>
            <w:gridSpan w:val="20"/>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1180" w:type="dxa"/>
            <w:vAlign w:val="bottom"/>
            <w:tcBorders>
              <w:top w:val="single" w:sz="8" w:color="CCEE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106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36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720" w:type="dxa"/>
            <w:vAlign w:val="bottom"/>
            <w:tcBorders>
              <w:top w:val="single" w:sz="8" w:color="CCEEFF"/>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460" w:type="dxa"/>
            <w:vAlign w:val="bottom"/>
            <w:tcBorders>
              <w:top w:val="single" w:sz="8" w:color="CCEEFF"/>
            </w:tcBorders>
          </w:tcPr>
          <w:p>
            <w:pPr>
              <w:spacing w:after="0"/>
              <w:rPr>
                <w:sz w:val="8"/>
                <w:szCs w:val="8"/>
                <w:color w:val="auto"/>
              </w:rPr>
            </w:pPr>
          </w:p>
        </w:tc>
        <w:tc>
          <w:tcPr>
            <w:tcW w:w="360" w:type="dxa"/>
            <w:vAlign w:val="bottom"/>
            <w:tcBorders>
              <w:top w:val="single" w:sz="8" w:color="CCEEFF"/>
            </w:tcBorders>
          </w:tcPr>
          <w:p>
            <w:pPr>
              <w:spacing w:after="0"/>
              <w:rPr>
                <w:sz w:val="8"/>
                <w:szCs w:val="8"/>
                <w:color w:val="auto"/>
              </w:rPr>
            </w:pPr>
          </w:p>
        </w:tc>
        <w:tc>
          <w:tcPr>
            <w:tcW w:w="1240" w:type="dxa"/>
            <w:vAlign w:val="bottom"/>
            <w:tcBorders>
              <w:top w:val="single" w:sz="8" w:color="CCEEFF"/>
            </w:tcBorders>
          </w:tcPr>
          <w:p>
            <w:pPr>
              <w:spacing w:after="0"/>
              <w:rPr>
                <w:sz w:val="8"/>
                <w:szCs w:val="8"/>
                <w:color w:val="auto"/>
              </w:rPr>
            </w:pPr>
          </w:p>
        </w:tc>
        <w:tc>
          <w:tcPr>
            <w:tcW w:w="1320" w:type="dxa"/>
            <w:vAlign w:val="bottom"/>
            <w:tcBorders>
              <w:top w:val="single" w:sz="8" w:color="CCEEFF"/>
            </w:tcBorders>
          </w:tcPr>
          <w:p>
            <w:pPr>
              <w:spacing w:after="0"/>
              <w:rPr>
                <w:sz w:val="8"/>
                <w:szCs w:val="8"/>
                <w:color w:val="auto"/>
              </w:rPr>
            </w:pPr>
          </w:p>
        </w:tc>
        <w:tc>
          <w:tcPr>
            <w:tcW w:w="780" w:type="dxa"/>
            <w:vAlign w:val="bottom"/>
            <w:tcBorders>
              <w:top w:val="single" w:sz="8" w:color="CCEEFF"/>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1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21.1*</w:t>
            </w:r>
          </w:p>
        </w:tc>
        <w:tc>
          <w:tcPr>
            <w:tcW w:w="1010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rPr>
            </w:pPr>
            <w:hyperlink w:anchor="page117">
              <w:r>
                <w:rPr>
                  <w:rFonts w:ascii="Arial" w:cs="Arial" w:eastAsia="Arial" w:hAnsi="Arial"/>
                  <w:sz w:val="18"/>
                  <w:szCs w:val="18"/>
                  <w:color w:val="0000FF"/>
                </w:rPr>
                <w:t>List of significant subsidiaries of the Company</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04"/>
        </w:trPr>
        <w:tc>
          <w:tcPr>
            <w:tcW w:w="1180" w:type="dxa"/>
            <w:vAlign w:val="bottom"/>
            <w:tcBorders>
              <w:top w:val="single" w:sz="8" w:color="CCEEFF"/>
            </w:tcBorders>
          </w:tcPr>
          <w:p>
            <w:pPr>
              <w:spacing w:after="0"/>
              <w:rPr>
                <w:sz w:val="24"/>
                <w:szCs w:val="24"/>
                <w:color w:val="auto"/>
              </w:rPr>
            </w:pPr>
          </w:p>
        </w:tc>
        <w:tc>
          <w:tcPr>
            <w:tcW w:w="3380" w:type="dxa"/>
            <w:vAlign w:val="bottom"/>
            <w:tcBorders>
              <w:top w:val="single" w:sz="8" w:color="0000FF"/>
            </w:tcBorders>
            <w:gridSpan w:val="9"/>
          </w:tcPr>
          <w:p>
            <w:pPr>
              <w:spacing w:after="0"/>
              <w:rPr>
                <w:sz w:val="24"/>
                <w:szCs w:val="24"/>
                <w:color w:val="auto"/>
              </w:rPr>
            </w:pPr>
          </w:p>
        </w:tc>
        <w:tc>
          <w:tcPr>
            <w:tcW w:w="1300" w:type="dxa"/>
            <w:vAlign w:val="bottom"/>
            <w:tcBorders>
              <w:top w:val="single" w:sz="8" w:color="CCEEFF"/>
            </w:tcBorders>
            <w:gridSpan w:val="6"/>
          </w:tcPr>
          <w:p>
            <w:pPr>
              <w:jc w:val="right"/>
              <w:ind w:right="140"/>
              <w:spacing w:after="0"/>
              <w:rPr>
                <w:sz w:val="20"/>
                <w:szCs w:val="20"/>
                <w:color w:val="auto"/>
              </w:rPr>
            </w:pPr>
            <w:r>
              <w:rPr>
                <w:rFonts w:ascii="Arial" w:cs="Arial" w:eastAsia="Arial" w:hAnsi="Arial"/>
                <w:sz w:val="18"/>
                <w:szCs w:val="18"/>
                <w:color w:val="auto"/>
              </w:rPr>
              <w:t>86</w:t>
            </w: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27"/>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23.1*</w:t>
            </w:r>
          </w:p>
        </w:tc>
        <w:tc>
          <w:tcPr>
            <w:tcW w:w="10020" w:type="dxa"/>
            <w:vAlign w:val="bottom"/>
            <w:gridSpan w:val="7"/>
            <w:shd w:val="clear" w:color="auto" w:fill="CCEEFF"/>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Consent of BDO USA, LLP, Independent Registered Public Accounting Firm.</w:t>
              </w:r>
            </w:hyperlink>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gridSpan w:val="2"/>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720" w:type="dxa"/>
            <w:vAlign w:val="bottom"/>
            <w:tcBorders>
              <w:top w:val="single" w:sz="8" w:color="0000FF"/>
            </w:tcBorders>
          </w:tcPr>
          <w:p>
            <w:pPr>
              <w:spacing w:after="0"/>
              <w:rPr>
                <w:sz w:val="4"/>
                <w:szCs w:val="4"/>
                <w:color w:val="auto"/>
              </w:rPr>
            </w:pPr>
          </w:p>
        </w:tc>
        <w:tc>
          <w:tcPr>
            <w:tcW w:w="2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7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10020" w:type="dxa"/>
            <w:vAlign w:val="bottom"/>
            <w:gridSpan w:val="7"/>
            <w:shd w:val="clear" w:color="auto" w:fill="CCEEFF"/>
          </w:tcPr>
          <w:p>
            <w:pPr>
              <w:spacing w:after="0" w:line="189" w:lineRule="exact"/>
              <w:rPr>
                <w:rFonts w:ascii="Arial" w:cs="Arial" w:eastAsia="Arial" w:hAnsi="Arial"/>
                <w:sz w:val="18"/>
                <w:szCs w:val="18"/>
                <w:color w:val="0000FF"/>
              </w:rPr>
            </w:pPr>
            <w:hyperlink w:anchor="page119">
              <w:r>
                <w:rPr>
                  <w:rFonts w:ascii="Arial" w:cs="Arial" w:eastAsia="Arial" w:hAnsi="Arial"/>
                  <w:sz w:val="18"/>
                  <w:szCs w:val="18"/>
                  <w:color w:val="0000FF"/>
                </w:rPr>
                <w:t>Certifications of Chief Executive Officer pursuant to Rule 13a</w:t>
              </w:r>
              <w:r>
                <w:rPr>
                  <w:rFonts w:ascii="MS PGothic" w:cs="MS PGothic" w:eastAsia="MS PGothic" w:hAnsi="MS PGothic"/>
                  <w:sz w:val="18"/>
                  <w:szCs w:val="18"/>
                  <w:color w:val="0000FF"/>
                </w:rPr>
                <w:t>‑</w:t>
              </w:r>
              <w:r>
                <w:rPr>
                  <w:rFonts w:ascii="Arial" w:cs="Arial" w:eastAsia="Arial" w:hAnsi="Arial"/>
                  <w:sz w:val="18"/>
                  <w:szCs w:val="18"/>
                  <w:color w:val="0000FF"/>
                </w:rPr>
                <w:t>14(a) under the Securities Exchange Act of 1934.</w:t>
              </w:r>
            </w:hyperlink>
          </w:p>
        </w:tc>
        <w:tc>
          <w:tcPr>
            <w:tcW w:w="0" w:type="dxa"/>
            <w:vAlign w:val="bottom"/>
          </w:tcPr>
          <w:p>
            <w:pPr>
              <w:spacing w:after="0"/>
              <w:rPr>
                <w:sz w:val="1"/>
                <w:szCs w:val="1"/>
                <w:color w:val="auto"/>
              </w:rPr>
            </w:pPr>
          </w:p>
        </w:tc>
      </w:tr>
      <w:tr>
        <w:trPr>
          <w:trHeight w:val="54"/>
        </w:trPr>
        <w:tc>
          <w:tcPr>
            <w:tcW w:w="1180" w:type="dxa"/>
            <w:vAlign w:val="bottom"/>
            <w:tcBorders>
              <w:top w:val="single" w:sz="8" w:color="CCEEFF"/>
            </w:tcBorders>
            <w:gridSpan w:val="2"/>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720" w:type="dxa"/>
            <w:vAlign w:val="bottom"/>
            <w:tcBorders>
              <w:top w:val="single" w:sz="8" w:color="0000FF"/>
            </w:tcBorders>
          </w:tcPr>
          <w:p>
            <w:pPr>
              <w:spacing w:after="0"/>
              <w:rPr>
                <w:sz w:val="4"/>
                <w:szCs w:val="4"/>
                <w:color w:val="auto"/>
              </w:rPr>
            </w:pPr>
          </w:p>
        </w:tc>
        <w:tc>
          <w:tcPr>
            <w:tcW w:w="2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7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10020" w:type="dxa"/>
            <w:vAlign w:val="bottom"/>
            <w:gridSpan w:val="7"/>
            <w:shd w:val="clear" w:color="auto" w:fill="CCEEFF"/>
          </w:tcPr>
          <w:p>
            <w:pPr>
              <w:spacing w:after="0" w:line="189" w:lineRule="exact"/>
              <w:rPr>
                <w:rFonts w:ascii="Arial" w:cs="Arial" w:eastAsia="Arial" w:hAnsi="Arial"/>
                <w:sz w:val="18"/>
                <w:szCs w:val="18"/>
                <w:color w:val="0000FF"/>
              </w:rPr>
            </w:pPr>
            <w:hyperlink w:anchor="page120">
              <w:r>
                <w:rPr>
                  <w:rFonts w:ascii="Arial" w:cs="Arial" w:eastAsia="Arial" w:hAnsi="Arial"/>
                  <w:sz w:val="18"/>
                  <w:szCs w:val="18"/>
                  <w:color w:val="0000FF"/>
                </w:rPr>
                <w:t>Certifications of Chief Financial Officer pursuant to Rule 13a</w:t>
              </w:r>
              <w:r>
                <w:rPr>
                  <w:rFonts w:ascii="MS PGothic" w:cs="MS PGothic" w:eastAsia="MS PGothic" w:hAnsi="MS PGothic"/>
                  <w:sz w:val="18"/>
                  <w:szCs w:val="18"/>
                  <w:color w:val="0000FF"/>
                </w:rPr>
                <w:t>‑</w:t>
              </w:r>
              <w:r>
                <w:rPr>
                  <w:rFonts w:ascii="Arial" w:cs="Arial" w:eastAsia="Arial" w:hAnsi="Arial"/>
                  <w:sz w:val="18"/>
                  <w:szCs w:val="18"/>
                  <w:color w:val="0000FF"/>
                </w:rPr>
                <w:t>14(a) under the Securities Exchange Act of 1934.</w:t>
              </w:r>
            </w:hyperlink>
          </w:p>
        </w:tc>
        <w:tc>
          <w:tcPr>
            <w:tcW w:w="0" w:type="dxa"/>
            <w:vAlign w:val="bottom"/>
          </w:tcPr>
          <w:p>
            <w:pPr>
              <w:spacing w:after="0"/>
              <w:rPr>
                <w:sz w:val="1"/>
                <w:szCs w:val="1"/>
                <w:color w:val="auto"/>
              </w:rPr>
            </w:pPr>
          </w:p>
        </w:tc>
      </w:tr>
      <w:tr>
        <w:trPr>
          <w:trHeight w:val="54"/>
        </w:trPr>
        <w:tc>
          <w:tcPr>
            <w:tcW w:w="240" w:type="dxa"/>
            <w:vAlign w:val="bottom"/>
            <w:tcBorders>
              <w:top w:val="single" w:sz="8" w:color="CCEEFF"/>
            </w:tcBorders>
          </w:tcPr>
          <w:p>
            <w:pPr>
              <w:spacing w:after="0"/>
              <w:rPr>
                <w:sz w:val="4"/>
                <w:szCs w:val="4"/>
                <w:color w:val="auto"/>
              </w:rPr>
            </w:pPr>
          </w:p>
        </w:tc>
        <w:tc>
          <w:tcPr>
            <w:tcW w:w="94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720" w:type="dxa"/>
            <w:vAlign w:val="bottom"/>
            <w:tcBorders>
              <w:top w:val="single" w:sz="8" w:color="0000FF"/>
            </w:tcBorders>
          </w:tcPr>
          <w:p>
            <w:pPr>
              <w:spacing w:after="0"/>
              <w:rPr>
                <w:sz w:val="4"/>
                <w:szCs w:val="4"/>
                <w:color w:val="auto"/>
              </w:rPr>
            </w:pPr>
          </w:p>
        </w:tc>
        <w:tc>
          <w:tcPr>
            <w:tcW w:w="242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7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32.1**</w:t>
            </w:r>
          </w:p>
        </w:tc>
        <w:tc>
          <w:tcPr>
            <w:tcW w:w="10020" w:type="dxa"/>
            <w:vAlign w:val="bottom"/>
            <w:gridSpan w:val="7"/>
            <w:shd w:val="clear" w:color="auto" w:fill="CCEEFF"/>
          </w:tcPr>
          <w:p>
            <w:pPr>
              <w:spacing w:after="0" w:line="189" w:lineRule="exact"/>
              <w:rPr>
                <w:rFonts w:ascii="Arial" w:cs="Arial" w:eastAsia="Arial" w:hAnsi="Arial"/>
                <w:sz w:val="18"/>
                <w:szCs w:val="18"/>
                <w:color w:val="0000FF"/>
                <w:w w:val="91"/>
              </w:rPr>
            </w:pPr>
            <w:hyperlink w:anchor="page121">
              <w:r>
                <w:rPr>
                  <w:rFonts w:ascii="Arial" w:cs="Arial" w:eastAsia="Arial" w:hAnsi="Arial"/>
                  <w:sz w:val="18"/>
                  <w:szCs w:val="18"/>
                  <w:color w:val="0000FF"/>
                  <w:w w:val="91"/>
                </w:rPr>
                <w:t>Certification by the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tcBorders>
            <w:gridSpan w:val="2"/>
            <w:vMerge w:val="continue"/>
            <w:shd w:val="clear" w:color="auto" w:fill="CCEEFF"/>
          </w:tcPr>
          <w:p>
            <w:pPr>
              <w:spacing w:after="0"/>
              <w:rPr>
                <w:sz w:val="15"/>
                <w:szCs w:val="15"/>
                <w:color w:val="auto"/>
              </w:rPr>
            </w:pPr>
          </w:p>
        </w:tc>
        <w:tc>
          <w:tcPr>
            <w:tcW w:w="9900" w:type="dxa"/>
            <w:vAlign w:val="bottom"/>
            <w:tcBorders>
              <w:top w:val="single" w:sz="8" w:color="0000FF"/>
            </w:tcBorders>
            <w:gridSpan w:val="6"/>
            <w:shd w:val="clear" w:color="auto" w:fill="CCEEFF"/>
          </w:tcPr>
          <w:p>
            <w:pPr>
              <w:spacing w:after="0" w:line="156" w:lineRule="exact"/>
              <w:rPr>
                <w:rFonts w:ascii="Arial" w:cs="Arial" w:eastAsia="Arial" w:hAnsi="Arial"/>
                <w:sz w:val="18"/>
                <w:szCs w:val="18"/>
                <w:color w:val="0000FF"/>
              </w:rPr>
            </w:pPr>
            <w:hyperlink w:anchor="page121">
              <w:r>
                <w:rPr>
                  <w:rFonts w:ascii="Arial" w:cs="Arial" w:eastAsia="Arial" w:hAnsi="Arial"/>
                  <w:sz w:val="18"/>
                  <w:szCs w:val="18"/>
                  <w:color w:val="0000FF"/>
                </w:rPr>
                <w:t>Act of 2002.</w:t>
              </w:r>
            </w:hyperlink>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40" w:type="dxa"/>
            <w:vAlign w:val="bottom"/>
            <w:tcBorders>
              <w:top w:val="single" w:sz="8" w:color="CCEEFF"/>
            </w:tcBorders>
          </w:tcPr>
          <w:p>
            <w:pPr>
              <w:spacing w:after="0"/>
              <w:rPr>
                <w:sz w:val="4"/>
                <w:szCs w:val="4"/>
                <w:color w:val="auto"/>
              </w:rPr>
            </w:pPr>
          </w:p>
        </w:tc>
        <w:tc>
          <w:tcPr>
            <w:tcW w:w="94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720" w:type="dxa"/>
            <w:vAlign w:val="bottom"/>
            <w:tcBorders>
              <w:top w:val="single" w:sz="8" w:color="CCEEFF"/>
            </w:tcBorders>
          </w:tcPr>
          <w:p>
            <w:pPr>
              <w:spacing w:after="0"/>
              <w:rPr>
                <w:sz w:val="4"/>
                <w:szCs w:val="4"/>
                <w:color w:val="auto"/>
              </w:rPr>
            </w:pPr>
          </w:p>
        </w:tc>
        <w:tc>
          <w:tcPr>
            <w:tcW w:w="2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7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32.2**</w:t>
            </w:r>
          </w:p>
        </w:tc>
        <w:tc>
          <w:tcPr>
            <w:tcW w:w="10020" w:type="dxa"/>
            <w:vAlign w:val="bottom"/>
            <w:gridSpan w:val="7"/>
            <w:shd w:val="clear" w:color="auto" w:fill="CCEEFF"/>
          </w:tcPr>
          <w:p>
            <w:pPr>
              <w:spacing w:after="0" w:line="189" w:lineRule="exact"/>
              <w:rPr>
                <w:rFonts w:ascii="Arial" w:cs="Arial" w:eastAsia="Arial" w:hAnsi="Arial"/>
                <w:sz w:val="18"/>
                <w:szCs w:val="18"/>
                <w:color w:val="0000FF"/>
                <w:w w:val="92"/>
              </w:rPr>
            </w:pPr>
            <w:hyperlink w:anchor="page122">
              <w:r>
                <w:rPr>
                  <w:rFonts w:ascii="Arial" w:cs="Arial" w:eastAsia="Arial" w:hAnsi="Arial"/>
                  <w:sz w:val="18"/>
                  <w:szCs w:val="18"/>
                  <w:color w:val="0000FF"/>
                  <w:w w:val="92"/>
                </w:rPr>
                <w:t>Certification by the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tcBorders>
            <w:gridSpan w:val="2"/>
            <w:vMerge w:val="continue"/>
            <w:shd w:val="clear" w:color="auto" w:fill="CCEEFF"/>
          </w:tcPr>
          <w:p>
            <w:pPr>
              <w:spacing w:after="0"/>
              <w:rPr>
                <w:sz w:val="15"/>
                <w:szCs w:val="15"/>
                <w:color w:val="auto"/>
              </w:rPr>
            </w:pPr>
          </w:p>
        </w:tc>
        <w:tc>
          <w:tcPr>
            <w:tcW w:w="9840" w:type="dxa"/>
            <w:vAlign w:val="bottom"/>
            <w:tcBorders>
              <w:top w:val="single" w:sz="8" w:color="0000FF"/>
            </w:tcBorders>
            <w:gridSpan w:val="5"/>
            <w:shd w:val="clear" w:color="auto" w:fill="CCEEFF"/>
          </w:tcPr>
          <w:p>
            <w:pPr>
              <w:spacing w:after="0" w:line="156" w:lineRule="exact"/>
              <w:rPr>
                <w:rFonts w:ascii="Arial" w:cs="Arial" w:eastAsia="Arial" w:hAnsi="Arial"/>
                <w:sz w:val="18"/>
                <w:szCs w:val="18"/>
                <w:color w:val="0000FF"/>
              </w:rPr>
            </w:pPr>
            <w:hyperlink w:anchor="page122">
              <w:r>
                <w:rPr>
                  <w:rFonts w:ascii="Arial" w:cs="Arial" w:eastAsia="Arial" w:hAnsi="Arial"/>
                  <w:sz w:val="18"/>
                  <w:szCs w:val="18"/>
                  <w:color w:val="0000FF"/>
                </w:rPr>
                <w:t>Act of 2002.</w:t>
              </w:r>
            </w:hyperlink>
          </w:p>
        </w:tc>
        <w:tc>
          <w:tcPr>
            <w:tcW w:w="18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40" w:type="dxa"/>
            <w:vAlign w:val="bottom"/>
            <w:tcBorders>
              <w:top w:val="single" w:sz="8" w:color="CCEEFF"/>
            </w:tcBorders>
          </w:tcPr>
          <w:p>
            <w:pPr>
              <w:spacing w:after="0"/>
              <w:rPr>
                <w:sz w:val="4"/>
                <w:szCs w:val="4"/>
                <w:color w:val="auto"/>
              </w:rPr>
            </w:pPr>
          </w:p>
        </w:tc>
        <w:tc>
          <w:tcPr>
            <w:tcW w:w="94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720" w:type="dxa"/>
            <w:vAlign w:val="bottom"/>
            <w:tcBorders>
              <w:top w:val="single" w:sz="8" w:color="CCEEFF"/>
            </w:tcBorders>
          </w:tcPr>
          <w:p>
            <w:pPr>
              <w:spacing w:after="0"/>
              <w:rPr>
                <w:sz w:val="4"/>
                <w:szCs w:val="4"/>
                <w:color w:val="auto"/>
              </w:rPr>
            </w:pPr>
          </w:p>
        </w:tc>
        <w:tc>
          <w:tcPr>
            <w:tcW w:w="24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7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1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1002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w w:val="98"/>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180" w:type="dxa"/>
            <w:vAlign w:val="bottom"/>
            <w:gridSpan w:val="2"/>
            <w:vMerge w:val="continue"/>
            <w:shd w:val="clear" w:color="auto" w:fill="CCEEFF"/>
          </w:tcPr>
          <w:p>
            <w:pPr>
              <w:spacing w:after="0"/>
              <w:rPr>
                <w:sz w:val="19"/>
                <w:szCs w:val="19"/>
                <w:color w:val="auto"/>
              </w:rPr>
            </w:pPr>
          </w:p>
        </w:tc>
        <w:tc>
          <w:tcPr>
            <w:tcW w:w="100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54"/>
        </w:trPr>
        <w:tc>
          <w:tcPr>
            <w:tcW w:w="118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0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54"/>
        </w:trPr>
        <w:tc>
          <w:tcPr>
            <w:tcW w:w="118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0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54"/>
        </w:trPr>
        <w:tc>
          <w:tcPr>
            <w:tcW w:w="118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0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54"/>
        </w:trPr>
        <w:tc>
          <w:tcPr>
            <w:tcW w:w="118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0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54"/>
        </w:trPr>
        <w:tc>
          <w:tcPr>
            <w:tcW w:w="118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0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r>
        <w:trPr>
          <w:trHeight w:val="54"/>
        </w:trPr>
        <w:tc>
          <w:tcPr>
            <w:tcW w:w="118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100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283"/>
        </w:trPr>
        <w:tc>
          <w:tcPr>
            <w:tcW w:w="6820" w:type="dxa"/>
            <w:vAlign w:val="bottom"/>
            <w:gridSpan w:val="4"/>
          </w:tcPr>
          <w:p>
            <w:pPr>
              <w:spacing w:after="0"/>
              <w:rPr>
                <w:sz w:val="20"/>
                <w:szCs w:val="20"/>
                <w:color w:val="auto"/>
              </w:rPr>
            </w:pPr>
            <w:r>
              <w:rPr>
                <w:rFonts w:ascii="Arial" w:cs="Arial" w:eastAsia="Arial" w:hAnsi="Arial"/>
                <w:sz w:val="18"/>
                <w:szCs w:val="18"/>
                <w:color w:val="auto"/>
              </w:rPr>
              <w:t>______________________________________</w:t>
            </w: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0960" w:type="dxa"/>
            <w:vAlign w:val="bottom"/>
            <w:gridSpan w:val="8"/>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0960" w:type="dxa"/>
            <w:vAlign w:val="bottom"/>
            <w:gridSpan w:val="8"/>
          </w:tcPr>
          <w:p>
            <w:pPr>
              <w:ind w:left="120"/>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3" w:right="37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Section 13 or 15(d) of the Exchange Act, the registrant has duly caused this report to be signed on its behalf by the undersigned, thereunto duly authorized.</w:t>
      </w:r>
    </w:p>
    <w:p>
      <w:pPr>
        <w:spacing w:after="0" w:line="8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Cantaloupe, Inc.</w:t>
      </w:r>
    </w:p>
    <w:p>
      <w:pPr>
        <w:spacing w:after="0" w:line="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Sean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Sean Feeney, Chief Executive Officer</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ind w:left="1360"/>
              <w:spacing w:after="0"/>
              <w:rPr>
                <w:sz w:val="20"/>
                <w:szCs w:val="20"/>
                <w:color w:val="auto"/>
              </w:rPr>
            </w:pPr>
            <w:r>
              <w:rPr>
                <w:rFonts w:ascii="Arial" w:cs="Arial" w:eastAsia="Arial" w:hAnsi="Arial"/>
                <w:sz w:val="14"/>
                <w:szCs w:val="14"/>
                <w:b w:val="1"/>
                <w:bCs w:val="1"/>
                <w:color w:val="auto"/>
              </w:rPr>
              <w:t>SIGNATURES</w:t>
            </w:r>
          </w:p>
        </w:tc>
        <w:tc>
          <w:tcPr>
            <w:tcW w:w="280" w:type="dxa"/>
            <w:vAlign w:val="bottom"/>
          </w:tcPr>
          <w:p>
            <w:pPr>
              <w:spacing w:after="0"/>
              <w:rPr>
                <w:sz w:val="16"/>
                <w:szCs w:val="16"/>
                <w:color w:val="auto"/>
              </w:rPr>
            </w:pPr>
          </w:p>
        </w:tc>
        <w:tc>
          <w:tcPr>
            <w:tcW w:w="4720" w:type="dxa"/>
            <w:vAlign w:val="bottom"/>
            <w:gridSpan w:val="2"/>
          </w:tcPr>
          <w:p>
            <w:pPr>
              <w:ind w:left="1880"/>
              <w:spacing w:after="0"/>
              <w:rPr>
                <w:sz w:val="20"/>
                <w:szCs w:val="20"/>
                <w:color w:val="auto"/>
              </w:rPr>
            </w:pPr>
            <w:r>
              <w:rPr>
                <w:rFonts w:ascii="Arial" w:cs="Arial" w:eastAsia="Arial" w:hAnsi="Arial"/>
                <w:sz w:val="14"/>
                <w:szCs w:val="14"/>
                <w:b w:val="1"/>
                <w:bCs w:val="1"/>
                <w:color w:val="auto"/>
              </w:rPr>
              <w:t>TITLE</w:t>
            </w:r>
          </w:p>
        </w:tc>
        <w:tc>
          <w:tcPr>
            <w:tcW w:w="2580" w:type="dxa"/>
            <w:vAlign w:val="bottom"/>
          </w:tcPr>
          <w:p>
            <w:pPr>
              <w:ind w:left="11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6"/>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5"/>
        </w:trPr>
        <w:tc>
          <w:tcPr>
            <w:tcW w:w="3640" w:type="dxa"/>
            <w:vAlign w:val="bottom"/>
          </w:tcPr>
          <w:p>
            <w:pPr>
              <w:ind w:left="20"/>
              <w:spacing w:after="0"/>
              <w:rPr>
                <w:sz w:val="20"/>
                <w:szCs w:val="20"/>
                <w:color w:val="auto"/>
              </w:rPr>
            </w:pPr>
            <w:r>
              <w:rPr>
                <w:rFonts w:ascii="Arial" w:cs="Arial" w:eastAsia="Arial" w:hAnsi="Arial"/>
                <w:sz w:val="18"/>
                <w:szCs w:val="18"/>
                <w:color w:val="auto"/>
              </w:rPr>
              <w:t>/s/ Sean Feeney</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Director</w:t>
            </w:r>
          </w:p>
        </w:tc>
        <w:tc>
          <w:tcPr>
            <w:tcW w:w="2580" w:type="dxa"/>
            <w:vAlign w:val="bottom"/>
          </w:tcPr>
          <w:p>
            <w:pPr>
              <w:ind w:left="20"/>
              <w:spacing w:after="0"/>
              <w:rPr>
                <w:sz w:val="20"/>
                <w:szCs w:val="20"/>
                <w:color w:val="auto"/>
              </w:rPr>
            </w:pPr>
            <w:r>
              <w:rPr>
                <w:rFonts w:ascii="Arial" w:cs="Arial" w:eastAsia="Arial" w:hAnsi="Arial"/>
                <w:sz w:val="18"/>
                <w:szCs w:val="18"/>
                <w:color w:val="auto"/>
              </w:rPr>
              <w:t>September 3, 2021</w:t>
            </w:r>
          </w:p>
        </w:tc>
        <w:tc>
          <w:tcPr>
            <w:tcW w:w="0" w:type="dxa"/>
            <w:vAlign w:val="bottom"/>
          </w:tcPr>
          <w:p>
            <w:pPr>
              <w:spacing w:after="0"/>
              <w:rPr>
                <w:sz w:val="1"/>
                <w:szCs w:val="1"/>
                <w:color w:val="auto"/>
              </w:rPr>
            </w:pPr>
          </w:p>
        </w:tc>
      </w:tr>
      <w:tr>
        <w:trPr>
          <w:trHeight w:val="41"/>
        </w:trPr>
        <w:tc>
          <w:tcPr>
            <w:tcW w:w="364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472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Executive Officer)</w:t>
            </w:r>
          </w:p>
        </w:tc>
        <w:tc>
          <w:tcPr>
            <w:tcW w:w="2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640" w:type="dxa"/>
            <w:vAlign w:val="bottom"/>
            <w:vMerge w:val="restart"/>
          </w:tcPr>
          <w:p>
            <w:pPr>
              <w:ind w:left="20"/>
              <w:spacing w:after="0"/>
              <w:rPr>
                <w:sz w:val="20"/>
                <w:szCs w:val="20"/>
                <w:color w:val="auto"/>
              </w:rPr>
            </w:pPr>
            <w:r>
              <w:rPr>
                <w:rFonts w:ascii="Arial" w:cs="Arial" w:eastAsia="Arial" w:hAnsi="Arial"/>
                <w:sz w:val="18"/>
                <w:szCs w:val="18"/>
                <w:color w:val="auto"/>
              </w:rPr>
              <w:t>Sean Feeney</w:t>
            </w:r>
          </w:p>
        </w:tc>
        <w:tc>
          <w:tcPr>
            <w:tcW w:w="280" w:type="dxa"/>
            <w:vAlign w:val="bottom"/>
            <w:vMerge w:val="continue"/>
          </w:tcPr>
          <w:p>
            <w:pPr>
              <w:spacing w:after="0"/>
              <w:rPr>
                <w:sz w:val="14"/>
                <w:szCs w:val="14"/>
                <w:color w:val="auto"/>
              </w:rPr>
            </w:pPr>
          </w:p>
        </w:tc>
        <w:tc>
          <w:tcPr>
            <w:tcW w:w="4720" w:type="dxa"/>
            <w:vAlign w:val="bottom"/>
            <w:gridSpan w:val="2"/>
            <w:vMerge w:val="continue"/>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640" w:type="dxa"/>
            <w:vAlign w:val="bottom"/>
          </w:tcPr>
          <w:p>
            <w:pPr>
              <w:ind w:left="20"/>
              <w:spacing w:after="0"/>
              <w:rPr>
                <w:sz w:val="20"/>
                <w:szCs w:val="20"/>
                <w:color w:val="auto"/>
              </w:rPr>
            </w:pPr>
            <w:r>
              <w:rPr>
                <w:rFonts w:ascii="Arial" w:cs="Arial" w:eastAsia="Arial" w:hAnsi="Arial"/>
                <w:sz w:val="18"/>
                <w:szCs w:val="18"/>
                <w:color w:val="auto"/>
              </w:rPr>
              <w:t>/s/ R. Wayne Jackson</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2580" w:type="dxa"/>
            <w:vAlign w:val="bottom"/>
          </w:tcPr>
          <w:p>
            <w:pPr>
              <w:ind w:left="20"/>
              <w:spacing w:after="0"/>
              <w:rPr>
                <w:sz w:val="20"/>
                <w:szCs w:val="20"/>
                <w:color w:val="auto"/>
              </w:rPr>
            </w:pPr>
            <w:r>
              <w:rPr>
                <w:rFonts w:ascii="Arial" w:cs="Arial" w:eastAsia="Arial" w:hAnsi="Arial"/>
                <w:sz w:val="18"/>
                <w:szCs w:val="18"/>
                <w:color w:val="auto"/>
              </w:rPr>
              <w:t>September 3, 2021</w:t>
            </w:r>
          </w:p>
        </w:tc>
        <w:tc>
          <w:tcPr>
            <w:tcW w:w="0" w:type="dxa"/>
            <w:vAlign w:val="bottom"/>
          </w:tcPr>
          <w:p>
            <w:pPr>
              <w:spacing w:after="0"/>
              <w:rPr>
                <w:sz w:val="1"/>
                <w:szCs w:val="1"/>
                <w:color w:val="auto"/>
              </w:rPr>
            </w:pPr>
          </w:p>
        </w:tc>
      </w:tr>
      <w:tr>
        <w:trPr>
          <w:trHeight w:val="41"/>
        </w:trPr>
        <w:tc>
          <w:tcPr>
            <w:tcW w:w="364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472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Financial Officer)</w:t>
            </w:r>
          </w:p>
        </w:tc>
        <w:tc>
          <w:tcPr>
            <w:tcW w:w="2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640" w:type="dxa"/>
            <w:vAlign w:val="bottom"/>
            <w:vMerge w:val="restart"/>
          </w:tcPr>
          <w:p>
            <w:pPr>
              <w:ind w:left="20"/>
              <w:spacing w:after="0"/>
              <w:rPr>
                <w:sz w:val="20"/>
                <w:szCs w:val="20"/>
                <w:color w:val="auto"/>
              </w:rPr>
            </w:pPr>
            <w:r>
              <w:rPr>
                <w:rFonts w:ascii="Arial" w:cs="Arial" w:eastAsia="Arial" w:hAnsi="Arial"/>
                <w:sz w:val="18"/>
                <w:szCs w:val="18"/>
                <w:color w:val="auto"/>
              </w:rPr>
              <w:t>R. Wayne Jackson</w:t>
            </w:r>
          </w:p>
        </w:tc>
        <w:tc>
          <w:tcPr>
            <w:tcW w:w="280" w:type="dxa"/>
            <w:vAlign w:val="bottom"/>
            <w:vMerge w:val="continue"/>
          </w:tcPr>
          <w:p>
            <w:pPr>
              <w:spacing w:after="0"/>
              <w:rPr>
                <w:sz w:val="14"/>
                <w:szCs w:val="14"/>
                <w:color w:val="auto"/>
              </w:rPr>
            </w:pPr>
          </w:p>
        </w:tc>
        <w:tc>
          <w:tcPr>
            <w:tcW w:w="4720" w:type="dxa"/>
            <w:vAlign w:val="bottom"/>
            <w:gridSpan w:val="2"/>
            <w:vMerge w:val="continue"/>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640" w:type="dxa"/>
            <w:vAlign w:val="bottom"/>
          </w:tcPr>
          <w:p>
            <w:pPr>
              <w:ind w:left="20"/>
              <w:spacing w:after="0"/>
              <w:rPr>
                <w:sz w:val="20"/>
                <w:szCs w:val="20"/>
                <w:color w:val="auto"/>
              </w:rPr>
            </w:pPr>
            <w:r>
              <w:rPr>
                <w:rFonts w:ascii="Arial" w:cs="Arial" w:eastAsia="Arial" w:hAnsi="Arial"/>
                <w:sz w:val="18"/>
                <w:szCs w:val="18"/>
                <w:color w:val="auto"/>
              </w:rPr>
              <w:t>/s/ Scott Stewart</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c>
          <w:tcPr>
            <w:tcW w:w="2580" w:type="dxa"/>
            <w:vAlign w:val="bottom"/>
          </w:tcPr>
          <w:p>
            <w:pPr>
              <w:ind w:left="20"/>
              <w:spacing w:after="0"/>
              <w:rPr>
                <w:sz w:val="20"/>
                <w:szCs w:val="20"/>
                <w:color w:val="auto"/>
              </w:rPr>
            </w:pPr>
            <w:r>
              <w:rPr>
                <w:rFonts w:ascii="Arial" w:cs="Arial" w:eastAsia="Arial" w:hAnsi="Arial"/>
                <w:sz w:val="18"/>
                <w:szCs w:val="18"/>
                <w:color w:val="auto"/>
              </w:rPr>
              <w:t>September 3, 2021</w:t>
            </w:r>
          </w:p>
        </w:tc>
        <w:tc>
          <w:tcPr>
            <w:tcW w:w="0" w:type="dxa"/>
            <w:vAlign w:val="bottom"/>
          </w:tcPr>
          <w:p>
            <w:pPr>
              <w:spacing w:after="0"/>
              <w:rPr>
                <w:sz w:val="1"/>
                <w:szCs w:val="1"/>
                <w:color w:val="auto"/>
              </w:rPr>
            </w:pPr>
          </w:p>
        </w:tc>
      </w:tr>
      <w:tr>
        <w:trPr>
          <w:trHeight w:val="41"/>
        </w:trPr>
        <w:tc>
          <w:tcPr>
            <w:tcW w:w="364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472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Accounting Officer)</w:t>
            </w:r>
          </w:p>
        </w:tc>
        <w:tc>
          <w:tcPr>
            <w:tcW w:w="2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640" w:type="dxa"/>
            <w:vAlign w:val="bottom"/>
            <w:vMerge w:val="restart"/>
          </w:tcPr>
          <w:p>
            <w:pPr>
              <w:ind w:left="20"/>
              <w:spacing w:after="0"/>
              <w:rPr>
                <w:sz w:val="20"/>
                <w:szCs w:val="20"/>
                <w:color w:val="auto"/>
              </w:rPr>
            </w:pPr>
            <w:r>
              <w:rPr>
                <w:rFonts w:ascii="Arial" w:cs="Arial" w:eastAsia="Arial" w:hAnsi="Arial"/>
                <w:sz w:val="18"/>
                <w:szCs w:val="18"/>
                <w:color w:val="auto"/>
              </w:rPr>
              <w:t>Scott Stewart</w:t>
            </w:r>
          </w:p>
        </w:tc>
        <w:tc>
          <w:tcPr>
            <w:tcW w:w="280" w:type="dxa"/>
            <w:vAlign w:val="bottom"/>
            <w:vMerge w:val="continue"/>
          </w:tcPr>
          <w:p>
            <w:pPr>
              <w:spacing w:after="0"/>
              <w:rPr>
                <w:sz w:val="14"/>
                <w:szCs w:val="14"/>
                <w:color w:val="auto"/>
              </w:rPr>
            </w:pPr>
          </w:p>
        </w:tc>
        <w:tc>
          <w:tcPr>
            <w:tcW w:w="4720" w:type="dxa"/>
            <w:vAlign w:val="bottom"/>
            <w:gridSpan w:val="2"/>
            <w:vMerge w:val="continue"/>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Arial" w:cs="Arial" w:eastAsia="Arial" w:hAnsi="Arial"/>
                <w:sz w:val="18"/>
                <w:szCs w:val="18"/>
                <w:color w:val="auto"/>
              </w:rPr>
              <w:t>/s/ Lisa P. Baird</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20"/>
              <w:spacing w:after="0"/>
              <w:rPr>
                <w:sz w:val="20"/>
                <w:szCs w:val="20"/>
                <w:color w:val="auto"/>
              </w:rPr>
            </w:pPr>
            <w:r>
              <w:rPr>
                <w:rFonts w:ascii="Arial" w:cs="Arial" w:eastAsia="Arial" w:hAnsi="Arial"/>
                <w:sz w:val="18"/>
                <w:szCs w:val="18"/>
                <w:color w:val="auto"/>
              </w:rPr>
              <w:t>September 3, 2021</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Lisa P. Baird</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Arial" w:cs="Arial" w:eastAsia="Arial" w:hAnsi="Arial"/>
                <w:sz w:val="18"/>
                <w:szCs w:val="18"/>
                <w:color w:val="auto"/>
              </w:rPr>
              <w:t>/s/ Douglas G. Bergeron</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Chairman of the Board of Directors</w:t>
            </w:r>
          </w:p>
        </w:tc>
        <w:tc>
          <w:tcPr>
            <w:tcW w:w="2580" w:type="dxa"/>
            <w:vAlign w:val="bottom"/>
          </w:tcPr>
          <w:p>
            <w:pPr>
              <w:ind w:left="20"/>
              <w:spacing w:after="0"/>
              <w:rPr>
                <w:sz w:val="20"/>
                <w:szCs w:val="20"/>
                <w:color w:val="auto"/>
              </w:rPr>
            </w:pPr>
            <w:r>
              <w:rPr>
                <w:rFonts w:ascii="Arial" w:cs="Arial" w:eastAsia="Arial" w:hAnsi="Arial"/>
                <w:sz w:val="18"/>
                <w:szCs w:val="18"/>
                <w:color w:val="auto"/>
              </w:rPr>
              <w:t>September 3, 2021</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Douglas G. Bergeron</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Arial" w:cs="Arial" w:eastAsia="Arial" w:hAnsi="Arial"/>
                <w:sz w:val="18"/>
                <w:szCs w:val="18"/>
                <w:color w:val="auto"/>
              </w:rPr>
              <w:t>/s/ Douglas L. Braunstein</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20"/>
              <w:spacing w:after="0"/>
              <w:rPr>
                <w:sz w:val="20"/>
                <w:szCs w:val="20"/>
                <w:color w:val="auto"/>
              </w:rPr>
            </w:pPr>
            <w:r>
              <w:rPr>
                <w:rFonts w:ascii="Arial" w:cs="Arial" w:eastAsia="Arial" w:hAnsi="Arial"/>
                <w:sz w:val="18"/>
                <w:szCs w:val="18"/>
                <w:color w:val="auto"/>
              </w:rPr>
              <w:t>September 3, 2021</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Douglas L. Braunstein</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Arial" w:cs="Arial" w:eastAsia="Arial" w:hAnsi="Arial"/>
                <w:sz w:val="18"/>
                <w:szCs w:val="18"/>
                <w:color w:val="auto"/>
              </w:rPr>
              <w:t>/s/ Jacob Lamm</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20"/>
              <w:spacing w:after="0"/>
              <w:rPr>
                <w:sz w:val="20"/>
                <w:szCs w:val="20"/>
                <w:color w:val="auto"/>
              </w:rPr>
            </w:pPr>
            <w:r>
              <w:rPr>
                <w:rFonts w:ascii="Arial" w:cs="Arial" w:eastAsia="Arial" w:hAnsi="Arial"/>
                <w:sz w:val="18"/>
                <w:szCs w:val="18"/>
                <w:color w:val="auto"/>
              </w:rPr>
              <w:t>September 3, 2021</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Jacob Lamm</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Arial" w:cs="Arial" w:eastAsia="Arial" w:hAnsi="Arial"/>
                <w:sz w:val="18"/>
                <w:szCs w:val="18"/>
                <w:color w:val="auto"/>
              </w:rPr>
              <w:t>/s/ Michael K. Passilla</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20"/>
              <w:spacing w:after="0"/>
              <w:rPr>
                <w:sz w:val="20"/>
                <w:szCs w:val="20"/>
                <w:color w:val="auto"/>
              </w:rPr>
            </w:pPr>
            <w:r>
              <w:rPr>
                <w:rFonts w:ascii="Arial" w:cs="Arial" w:eastAsia="Arial" w:hAnsi="Arial"/>
                <w:sz w:val="18"/>
                <w:szCs w:val="18"/>
                <w:color w:val="auto"/>
              </w:rPr>
              <w:t>September 3, 2021</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Michael K. Passilla</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Arial" w:cs="Arial" w:eastAsia="Arial" w:hAnsi="Arial"/>
                <w:sz w:val="18"/>
                <w:szCs w:val="18"/>
                <w:color w:val="auto"/>
              </w:rPr>
              <w:t>/s/ Ellen Richey</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20"/>
              <w:spacing w:after="0"/>
              <w:rPr>
                <w:sz w:val="20"/>
                <w:szCs w:val="20"/>
                <w:color w:val="auto"/>
              </w:rPr>
            </w:pPr>
            <w:r>
              <w:rPr>
                <w:rFonts w:ascii="Arial" w:cs="Arial" w:eastAsia="Arial" w:hAnsi="Arial"/>
                <w:sz w:val="18"/>
                <w:szCs w:val="18"/>
                <w:color w:val="auto"/>
              </w:rPr>
              <w:t>September 3, 2021</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Ellen Richey</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Arial" w:cs="Arial" w:eastAsia="Arial" w:hAnsi="Arial"/>
                <w:sz w:val="18"/>
                <w:szCs w:val="18"/>
                <w:color w:val="auto"/>
              </w:rPr>
              <w:t>/s/ Anne M. Smalling</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20"/>
              <w:spacing w:after="0"/>
              <w:rPr>
                <w:sz w:val="20"/>
                <w:szCs w:val="20"/>
                <w:color w:val="auto"/>
              </w:rPr>
            </w:pPr>
            <w:r>
              <w:rPr>
                <w:rFonts w:ascii="Arial" w:cs="Arial" w:eastAsia="Arial" w:hAnsi="Arial"/>
                <w:sz w:val="18"/>
                <w:szCs w:val="18"/>
                <w:color w:val="auto"/>
              </w:rPr>
              <w:t>September 3, 2021</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Anne M. Smalling</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Arial" w:cs="Arial" w:eastAsia="Arial" w:hAnsi="Arial"/>
                <w:sz w:val="18"/>
                <w:szCs w:val="18"/>
                <w:color w:val="auto"/>
              </w:rPr>
              <w:t>/s/ Shannon S. Warren</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20"/>
              <w:spacing w:after="0"/>
              <w:rPr>
                <w:sz w:val="20"/>
                <w:szCs w:val="20"/>
                <w:color w:val="auto"/>
              </w:rPr>
            </w:pPr>
            <w:r>
              <w:rPr>
                <w:rFonts w:ascii="Arial" w:cs="Arial" w:eastAsia="Arial" w:hAnsi="Arial"/>
                <w:sz w:val="18"/>
                <w:szCs w:val="18"/>
                <w:color w:val="auto"/>
              </w:rPr>
              <w:t>September 3, 2021</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Shannon S. Warren</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107"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20"/>
          <w:szCs w:val="20"/>
          <w:b w:val="1"/>
          <w:bCs w:val="1"/>
          <w:color w:val="auto"/>
        </w:rPr>
        <w:t>Exhibit 4.1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SECURITIES REGISTERED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12 OF SECURITIES EXCHANGE ACT OF 1934</w:t>
      </w:r>
    </w:p>
    <w:p>
      <w:pPr>
        <w:spacing w:after="0" w:line="27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As of June 30, 2021, Cantaloupe, Inc. has two classes of securities registered under Section 12 of the Securities Exchange Act of 1934, as amended (the “Exchange Act”): (1) our Common Stock; (2) our Preferred Stock.</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Authorized Capital Shares</w:t>
      </w:r>
    </w:p>
    <w:p>
      <w:pPr>
        <w:spacing w:after="0" w:line="276"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Our authorized capital shares consist of 640,000,000 shares of common stock, no par value (“Common Stock”), and 1,800,000 shares of undesignated preferred stock. As of the date hereof, 900,000 preferred shares have been designated as series A convertible preferred stock, no par value (“Preferred Stock”). The outstanding shares of our Common Stock are fully paid and nonassessable.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Common Stock</w:t>
      </w:r>
    </w:p>
    <w:p>
      <w:pPr>
        <w:spacing w:after="0" w:line="276" w:lineRule="exact"/>
        <w:rPr>
          <w:sz w:val="20"/>
          <w:szCs w:val="20"/>
          <w:color w:val="auto"/>
        </w:rPr>
      </w:pPr>
    </w:p>
    <w:p>
      <w:pPr>
        <w:ind w:right="300"/>
        <w:spacing w:after="0" w:line="314" w:lineRule="auto"/>
        <w:rPr>
          <w:sz w:val="20"/>
          <w:szCs w:val="20"/>
          <w:color w:val="auto"/>
        </w:rPr>
      </w:pPr>
      <w:r>
        <w:rPr>
          <w:rFonts w:ascii="Arial" w:cs="Arial" w:eastAsia="Arial" w:hAnsi="Arial"/>
          <w:sz w:val="18"/>
          <w:szCs w:val="18"/>
          <w:color w:val="auto"/>
        </w:rPr>
        <w:t>The following description of our Common Stock sets forth certain general terms and provisions of our Common Stock to which any prospectus supplement may relate, including a prospectus supplement providing that Common Stock will be issuable upon conversion or exchange of our debt securities or Preferred Stock or upon the exercise of warrants or rights to purchase our Common Stock. All shares of our Common Stock covered by this prospectus will be duly authorized, fully paid and nonassessable</w:t>
      </w:r>
      <w:r>
        <w:rPr>
          <w:rFonts w:ascii="Arial" w:cs="Arial" w:eastAsia="Arial" w:hAnsi="Arial"/>
          <w:sz w:val="18"/>
          <w:szCs w:val="18"/>
          <w:b w:val="1"/>
          <w:bCs w:val="1"/>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Rights</w:t>
      </w:r>
    </w:p>
    <w:p>
      <w:pPr>
        <w:spacing w:after="0" w:line="27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The holder of each share of Common Stock is entitled to one vote on all matters submitted to a vote of the shareholders, including the election of directors. There is no cumulative voting for directors.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Rights</w:t>
      </w:r>
    </w:p>
    <w:p>
      <w:pPr>
        <w:spacing w:after="0" w:line="276" w:lineRule="exact"/>
        <w:rPr>
          <w:sz w:val="20"/>
          <w:szCs w:val="20"/>
          <w:color w:val="auto"/>
        </w:rPr>
      </w:pPr>
    </w:p>
    <w:p>
      <w:pPr>
        <w:jc w:val="both"/>
        <w:ind w:right="20"/>
        <w:spacing w:after="0" w:line="278" w:lineRule="auto"/>
        <w:rPr>
          <w:sz w:val="20"/>
          <w:szCs w:val="20"/>
          <w:color w:val="auto"/>
        </w:rPr>
      </w:pPr>
      <w:r>
        <w:rPr>
          <w:rFonts w:ascii="Arial" w:cs="Arial" w:eastAsia="Arial" w:hAnsi="Arial"/>
          <w:sz w:val="20"/>
          <w:szCs w:val="20"/>
          <w:color w:val="auto"/>
        </w:rPr>
        <w:t>No dividend may be paid on the Common Stock until all accumulated and unpaid dividends on the Preferred Stock have been paid. Each holder of our Common Stock is entitled to receive such dividends as the Board of Directors may from time to time declare out of funds legally available for payment of dividends.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Liquidation Rights</w:t>
      </w:r>
    </w:p>
    <w:p>
      <w:pPr>
        <w:spacing w:after="0" w:line="276" w:lineRule="exact"/>
        <w:rPr>
          <w:sz w:val="20"/>
          <w:szCs w:val="20"/>
          <w:color w:val="auto"/>
        </w:rPr>
      </w:pPr>
    </w:p>
    <w:p>
      <w:pPr>
        <w:jc w:val="both"/>
        <w:spacing w:after="0" w:line="314" w:lineRule="auto"/>
        <w:rPr>
          <w:sz w:val="20"/>
          <w:szCs w:val="20"/>
          <w:color w:val="auto"/>
        </w:rPr>
      </w:pPr>
      <w:r>
        <w:rPr>
          <w:rFonts w:ascii="Arial" w:cs="Arial" w:eastAsia="Arial" w:hAnsi="Arial"/>
          <w:sz w:val="18"/>
          <w:szCs w:val="18"/>
          <w:color w:val="auto"/>
        </w:rPr>
        <w:t xml:space="preserve">Subject to any preferential rights of outstanding shares of Preferred Stock, holders of Common Stock will share ratably in all assets legally available for distribution to our shareholders in the event of dissolution. Upon any liquidation, dissolution or winding up of the Company, holders of our Common Stock are entitled to receive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all of the assets of the Company available for distribution, subject to the liquidation preference of the Preferred Stock of $10 per share, and any unpaid and accumulated dividends on the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Rights and Preferences</w:t>
      </w:r>
    </w:p>
    <w:p>
      <w:pPr>
        <w:spacing w:after="0" w:line="27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Our Common Stock has no sinking fund or redemption provisions or preemptive, conversion or exchange rights. Holders of our Common Stock may act by unanimous written consent.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ectPr>
          <w:pgSz w:w="11900" w:h="16838" w:orient="portrait"/>
          <w:cols w:equalWidth="0" w:num="1">
            <w:col w:w="11240"/>
          </w:cols>
          <w:pgMar w:left="320" w:top="900" w:right="339" w:bottom="1440" w:gutter="0" w:footer="0" w:header="0"/>
        </w:sectPr>
      </w:pPr>
    </w:p>
    <w:bookmarkStart w:id="89" w:name="page90"/>
    <w:bookmarkEnd w:id="89"/>
    <w:p>
      <w:pPr>
        <w:spacing w:after="0"/>
        <w:rPr>
          <w:sz w:val="20"/>
          <w:szCs w:val="20"/>
          <w:color w:val="auto"/>
        </w:rPr>
      </w:pPr>
      <w:r>
        <w:rPr>
          <w:rFonts w:ascii="Arial" w:cs="Arial" w:eastAsia="Arial" w:hAnsi="Arial"/>
          <w:sz w:val="20"/>
          <w:szCs w:val="20"/>
          <w:color w:val="auto"/>
        </w:rPr>
        <w:t>The Common Stock is quoted on the Nasdaq Global Select Market under the trading symbol, “CLTP”.</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Preferred Stock</w:t>
      </w:r>
    </w:p>
    <w:p>
      <w:pPr>
        <w:spacing w:after="0" w:line="276"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Our charter authorizes our board of directors to classify any unissued shares of Preferred Stock and to reclassify any previously classified but unissued shares of any series. Prior to issuance of shares of each series, our board of directors is required by the PBCL and our charter to set the preferences, voting powers, designations, restrictions, limitations and relative rights for each such series. Thus, our board of directors could authorize the issuance of shares of Preferred Stock with terms and conditions that could have the effect of delaying, deferring or preventing a transaction or a change of control of our company that might involve a premium price for holders of our Common Stock or that stockholders believe may be in their best interests. As of the date hereof, 445,063 shares of our Series A Preferred Stock are outstanding. Our Preferred Stock will, when issued, be fully paid and nonassessable and will not have, or be subject to, any preemptive or similar rights.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Rights</w:t>
      </w:r>
    </w:p>
    <w:p>
      <w:pPr>
        <w:spacing w:after="0" w:line="27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holders of our Preferred Stock have the number of votes per share equal to the number of shares of Common Stock into which each such share is convertible, and are entitled to vote on all matters submitted to the vote of the shareholders of the Company, including the 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Rights</w:t>
      </w:r>
    </w:p>
    <w:p>
      <w:pPr>
        <w:spacing w:after="0" w:line="276"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The holders of our Preferred Stock are entitled to an annual cumulative cash dividend of $1.50 per annum, payable when, as and if declared by the Board of Directors. No dividend may be paid on the Common Stock until all accumulated and unpaid dividends on the Preferred Stock have been paid. The record dates for payment of dividends on the Preferred Stock are February 1 ($0.75) and August 1 ($0.75) of each year. Any and all accumulated and unpaid cash dividends on the Preferred Stock must be declared and paid prior to the declaration and payment of any dividends on the Common Stock. Any unpaid and accumulated dividends will not bear interest.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Liquidation Rights</w:t>
      </w:r>
    </w:p>
    <w:p>
      <w:pPr>
        <w:spacing w:after="0" w:line="276"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Upon any liquidation, dissolution, or winding-up of the Company, the holders of our Preferred Stock are entitled to receive a distribution in preference to the Common Stock in the amount of $10 per share plus any accumulated and unpaid dividends. As more fully described in our Articles of Incorporation, the holders of at least 60% of the outstanding shares of our Preferred Stock could elect to treat the occurrence of any of the following events as a liquidation: (i) consolidation or merger of the Company with another corporation; (ii) sale of substantially all of the Company’s assets, or (iii) disposition by the Company of more than 50% of voting power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Rights and Preferences</w:t>
      </w:r>
    </w:p>
    <w:p>
      <w:pPr>
        <w:spacing w:after="0" w:line="27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Shares of our Preferred Stock are convertible at any time into shares of fully issued and non-assessable Common Stock as provided in our Articles of Incorporation. Accrued and unpaid dividends earned on shares of Preferred Stock being converted into Common Stock are also convertible into Common Stock at the rate of $1,000 per share of Common Stock at the time of conversion, and whether or not such dividends have then been declared by the Company.</w:t>
      </w:r>
    </w:p>
    <w:p>
      <w:pPr>
        <w:sectPr>
          <w:pgSz w:w="11900" w:h="16838" w:orient="portrait"/>
          <w:cols w:equalWidth="0" w:num="1">
            <w:col w:w="11240"/>
          </w:cols>
          <w:pgMar w:left="320" w:top="892" w:right="339" w:bottom="1440" w:gutter="0" w:footer="0" w:header="0"/>
        </w:sectPr>
      </w:pPr>
    </w:p>
    <w:bookmarkStart w:id="90" w:name="page91"/>
    <w:bookmarkEnd w:id="90"/>
    <w:p>
      <w:pPr>
        <w:jc w:val="both"/>
        <w:spacing w:after="0" w:line="272" w:lineRule="auto"/>
        <w:rPr>
          <w:sz w:val="20"/>
          <w:szCs w:val="20"/>
          <w:color w:val="auto"/>
        </w:rPr>
      </w:pPr>
      <w:r>
        <w:rPr>
          <w:rFonts w:ascii="Arial" w:cs="Arial" w:eastAsia="Arial" w:hAnsi="Arial"/>
          <w:sz w:val="20"/>
          <w:szCs w:val="20"/>
          <w:color w:val="auto"/>
        </w:rPr>
        <w:t>We have the right, at any time, to redeem all or any part of the issued and outstanding Preferred Stock for the sum of $11 per share plus any and all unpaid and accumulated dividends thereon. Upon notice by the Company of such call, the holders of the Preferred Stock so called will have the opportunity to convert their shares and any unpaid and accumulated dividends thereon into shares of Common Stock. There is no restriction on our right to repurchase or redeem our Common Stock while there is an arrearage in the payment of dividends to the holders of our Preferred Stock.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The Preferred Stock is quoted on the OTC Markets' Pink Open Market under the trading symbol, “CLTPP”.</w:t>
      </w:r>
    </w:p>
    <w:p>
      <w:pPr>
        <w:sectPr>
          <w:pgSz w:w="11900" w:h="16838" w:orient="portrait"/>
          <w:cols w:equalWidth="0" w:num="1">
            <w:col w:w="11240"/>
          </w:cols>
          <w:pgMar w:left="320" w:top="906"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0"/>
          <w:szCs w:val="20"/>
          <w:b w:val="1"/>
          <w:bCs w:val="1"/>
          <w:color w:val="auto"/>
        </w:rPr>
        <w:t>Exhibit 10.28</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SETTLEMENT AGREEMENT AND MUTUAL GENERAL RELEASE</w:t>
      </w:r>
    </w:p>
    <w:p>
      <w:pPr>
        <w:spacing w:after="0" w:line="2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This Settlement Agreement and Mutual General Release (the “Agreement”) is made and entered into by and among Michael Wasserfuhr (“Wasserfuhr”), on the one hand, and USA Technologies, Inc., Sean Feeney (“Feeney”), and Douglas Bergeron (“Bergeron”), on the other hand. When used herein, the term “USAT” shall mean and include USA Technologies, Inc. and all its successors, parents, related entities, and other affiliated corporations, divisions, subsidiaries, partnerships, officers, directors, shareholders, employees, agents, attorneys, predecessors, successors, and assigns (and the officers, agents, attorneys, successors, and assigns of such parent or other affiliated corporations, divisions, partnerships, and subsidiaries). Wasserfuhr, USAT, Feeney, and Bergeron are collectively referred to herein as the “Parties,” and each is a “Party.”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WHEREAS, Wasserfuhr filed a lawsuit against USAT, Feeney, and Bergeron captioned </w:t>
      </w:r>
      <w:r>
        <w:rPr>
          <w:rFonts w:ascii="Arial" w:cs="Arial" w:eastAsia="Arial" w:hAnsi="Arial"/>
          <w:sz w:val="19"/>
          <w:szCs w:val="19"/>
          <w:i w:val="1"/>
          <w:iCs w:val="1"/>
          <w:color w:val="auto"/>
        </w:rPr>
        <w:t>Wasserfuhr v. USA Technologies, Inc., et al.,</w:t>
      </w:r>
      <w:r>
        <w:rPr>
          <w:rFonts w:ascii="Arial" w:cs="Arial" w:eastAsia="Arial" w:hAnsi="Arial"/>
          <w:sz w:val="19"/>
          <w:szCs w:val="19"/>
          <w:color w:val="auto"/>
        </w:rPr>
        <w:t xml:space="preserve"> Case No. 2020CV340345, in the Superior Court of Fulton County (the “Lawsuit”), alleging breach of contract and a violation of the Pennsylvania Wage Payment Collection Law, and seeking attorney’s fees and a declaratory judgment;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USAT, Feeney, and Bergeron deny Wasserfuhr’s allegations and deny any wrongdoing;</w:t>
      </w: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Parties desire to finally and completely settle, resolve, and forever extinguish any and all claims that they have or may have had against each other, individually and/or collectively;</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NOW, THEREFORE, in consideration of the covenants described below, the receipt and sufficiency of which is hereby acknowledged,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Parties agree as follows:</w:t>
      </w:r>
    </w:p>
    <w:p>
      <w:pPr>
        <w:spacing w:after="0" w:line="167" w:lineRule="exact"/>
        <w:rPr>
          <w:sz w:val="20"/>
          <w:szCs w:val="20"/>
          <w:color w:val="auto"/>
        </w:rPr>
      </w:pPr>
    </w:p>
    <w:p>
      <w:pPr>
        <w:ind w:firstLine="8"/>
        <w:spacing w:after="0" w:line="267" w:lineRule="auto"/>
        <w:tabs>
          <w:tab w:leader="none" w:pos="648"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Effective Date of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effective seven (7) days following Wasserfuhr’s execution of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“Effective Date”) without Wasserfuhr’s revocation under Paragraph 24 of this Agreement.</w:t>
      </w:r>
    </w:p>
    <w:p>
      <w:pPr>
        <w:spacing w:after="0" w:line="149" w:lineRule="exact"/>
        <w:rPr>
          <w:rFonts w:ascii="Arial" w:cs="Arial" w:eastAsia="Arial" w:hAnsi="Arial"/>
          <w:sz w:val="20"/>
          <w:szCs w:val="20"/>
          <w:b w:val="1"/>
          <w:bCs w:val="1"/>
          <w:color w:val="auto"/>
        </w:rPr>
      </w:pPr>
    </w:p>
    <w:p>
      <w:pPr>
        <w:ind w:firstLine="8"/>
        <w:spacing w:after="0" w:line="293" w:lineRule="auto"/>
        <w:tabs>
          <w:tab w:leader="none" w:pos="648"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Dismissal of the Lawsuit.</w:t>
      </w:r>
      <w:r>
        <w:rPr>
          <w:rFonts w:ascii="Arial" w:cs="Arial" w:eastAsia="Arial" w:hAnsi="Arial"/>
          <w:sz w:val="19"/>
          <w:szCs w:val="19"/>
          <w:b w:val="1"/>
          <w:bCs w:val="1"/>
          <w:color w:val="auto"/>
        </w:rPr>
        <w:t xml:space="preserve"> </w:t>
      </w:r>
      <w:r>
        <w:rPr>
          <w:rFonts w:ascii="Arial" w:cs="Arial" w:eastAsia="Arial" w:hAnsi="Arial"/>
          <w:sz w:val="19"/>
          <w:szCs w:val="19"/>
          <w:color w:val="auto"/>
        </w:rPr>
        <w:t>Within five (5) business days of the Effective Date of this Agreement, Wasserfuhr shall file a stipulation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voluntary dismissal of the Lawsuit with prejudice, signed by counsel for Wasserfuhr, USAT, Feeney, and Bergeron.</w:t>
      </w:r>
    </w:p>
    <w:p>
      <w:pPr>
        <w:spacing w:after="0" w:line="128" w:lineRule="exact"/>
        <w:rPr>
          <w:rFonts w:ascii="Arial" w:cs="Arial" w:eastAsia="Arial" w:hAnsi="Arial"/>
          <w:sz w:val="19"/>
          <w:szCs w:val="19"/>
          <w:b w:val="1"/>
          <w:bCs w:val="1"/>
          <w:color w:val="auto"/>
        </w:rPr>
      </w:pPr>
    </w:p>
    <w:p>
      <w:pPr>
        <w:jc w:val="both"/>
        <w:ind w:firstLine="8"/>
        <w:spacing w:after="0" w:line="273" w:lineRule="auto"/>
        <w:tabs>
          <w:tab w:leader="none" w:pos="648"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for the promises and covenants made by Wasserfuhr set forth in this Agreement, and in full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and settlement of any and all claims, whether known or unknown, USAT agrees to pay Wasserfuhr or his heirs, for itself and for the benefit of Feeney, Bergeron, and the USAT Releasees (as defined below), the total amount of Four Hundred Eighty Thousand Dollars and No Cents ($480,000) (“Settlement Sum”), within ten (10) days after the Effective Date, contingent upon USAT’s receipt of Wasserfuhr’s counsel’s IRS Form W-9. In further consideration of Wasserfuhr’s promises and covenants set forth in this Agreement, USAT agrees to release Wasserfuhr from the non-competition obligations set forth in the three full bullet points on page five (5) of the March 2, 2020 employment agreement by and between Wasserfuhr and USAT (“Release of Non-Competition Obligation”). The Settlement Sum and Release of Non-Competition Obligation are consideration for Wasserfuhr’s dismissal of his claims in the Lawsuit and all his other commitments, obligations, and undertakings set forth in this Agreement. The Parties agree that but for their agreement to enter into this Agreement, USAT would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w:t>
      </w:r>
      <w:r>
        <w:rPr>
          <w:rFonts w:ascii="Arial" w:cs="Arial" w:eastAsia="Arial" w:hAnsi="Arial"/>
          <w:sz w:val="20"/>
          <w:szCs w:val="20"/>
          <w:color w:val="auto"/>
        </w:rPr>
        <w:t xml:space="preserve"> of 8</w:t>
      </w:r>
    </w:p>
    <w:p>
      <w:pPr>
        <w:sectPr>
          <w:pgSz w:w="11900" w:h="16838" w:orient="portrait"/>
          <w:cols w:equalWidth="0" w:num="1">
            <w:col w:w="11240"/>
          </w:cols>
          <w:pgMar w:left="320" w:top="129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have agreed to the Settlement Sum or Release of Non-Competition Obligation. The Settlement Sum will be paid in the following manner:</w:t>
      </w:r>
    </w:p>
    <w:p>
      <w:pPr>
        <w:spacing w:after="0" w:line="198" w:lineRule="exact"/>
        <w:rPr>
          <w:sz w:val="20"/>
          <w:szCs w:val="20"/>
          <w:color w:val="auto"/>
        </w:rPr>
      </w:pPr>
    </w:p>
    <w:p>
      <w:pPr>
        <w:ind w:left="1140" w:hanging="484"/>
        <w:spacing w:after="0" w:line="236" w:lineRule="auto"/>
        <w:tabs>
          <w:tab w:leader="none" w:pos="1136"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amount of Three-Hundred Seventy-Five Thousand Dollars and No Cents ($375,000.00) to Wasserfuhr, less all legally required withholdings and deductions, for which an IRS Form W-2 will be issued to Wasserfuhr.</w:t>
      </w:r>
    </w:p>
    <w:p>
      <w:pPr>
        <w:spacing w:after="0" w:line="155" w:lineRule="exact"/>
        <w:rPr>
          <w:rFonts w:ascii="Arial" w:cs="Arial" w:eastAsia="Arial" w:hAnsi="Arial"/>
          <w:sz w:val="20"/>
          <w:szCs w:val="20"/>
          <w:color w:val="auto"/>
        </w:rPr>
      </w:pPr>
    </w:p>
    <w:p>
      <w:pPr>
        <w:ind w:left="1140" w:hanging="484"/>
        <w:spacing w:after="0" w:line="236" w:lineRule="auto"/>
        <w:tabs>
          <w:tab w:leader="none" w:pos="1134"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amount of One-Hundred Five Thousand Dollars and No Cents ($105,000.00) to Wasserfuhr’s counsel, Hunton Andrews Kurth LLP, for which an IRS Form 1099 will be issued to Wasserfuhr and his counsel.</w:t>
      </w:r>
    </w:p>
    <w:p>
      <w:pPr>
        <w:spacing w:after="0" w:line="155" w:lineRule="exact"/>
        <w:rPr>
          <w:rFonts w:ascii="Arial" w:cs="Arial" w:eastAsia="Arial" w:hAnsi="Arial"/>
          <w:sz w:val="20"/>
          <w:szCs w:val="20"/>
          <w:color w:val="auto"/>
        </w:rPr>
      </w:pPr>
    </w:p>
    <w:p>
      <w:pPr>
        <w:jc w:val="both"/>
        <w:ind w:left="1140" w:hanging="484"/>
        <w:spacing w:after="0" w:line="228" w:lineRule="auto"/>
        <w:tabs>
          <w:tab w:leader="none" w:pos="1136"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Full Consideration</w:t>
      </w:r>
      <w:r>
        <w:rPr>
          <w:rFonts w:ascii="Arial" w:cs="Arial" w:eastAsia="Arial" w:hAnsi="Arial"/>
          <w:sz w:val="19"/>
          <w:szCs w:val="19"/>
          <w:color w:val="auto"/>
        </w:rPr>
        <w:t>. Wasserfuhr agrees the Settlement Sum constitutes full consideration for each and all of his promises as set forth in this Agreement and for all amounts USAT might owe him as a result of his employment or separation of employment by USAT through the Effective Date of this Agreement, including, but not limited to, wages, bonuses, commissions, penalties, medical and dental benefits, leave time, long and short term disability benefits, severance pay, paid time off, vacation and sick pay and other fringe benefits of any kind. Wasserfuhr further acknowledges and represents that he: (i) has received all compensation due to him as a result of his employment with USAT; (ii) has properly received any leave of absence because of an alleged disability for his or his family member’s health condition and was not subjected to any improper treatment, conduct, or actions due to a request for or taking such leave; and (iii) has reported to USAT any and all work-related injuries he incurred during his employment by USAT.</w:t>
      </w:r>
    </w:p>
    <w:p>
      <w:pPr>
        <w:spacing w:after="0" w:line="143" w:lineRule="exact"/>
        <w:rPr>
          <w:rFonts w:ascii="Arial" w:cs="Arial" w:eastAsia="Arial" w:hAnsi="Arial"/>
          <w:sz w:val="19"/>
          <w:szCs w:val="19"/>
          <w:color w:val="auto"/>
        </w:rPr>
      </w:pPr>
    </w:p>
    <w:p>
      <w:pPr>
        <w:jc w:val="both"/>
        <w:ind w:left="1140" w:hanging="484"/>
        <w:spacing w:after="0"/>
        <w:tabs>
          <w:tab w:leader="none" w:pos="1134"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Tax Liability and Indemnification</w:t>
      </w:r>
      <w:r>
        <w:rPr>
          <w:rFonts w:ascii="Arial" w:cs="Arial" w:eastAsia="Arial" w:hAnsi="Arial"/>
          <w:sz w:val="18"/>
          <w:szCs w:val="18"/>
          <w:color w:val="auto"/>
        </w:rPr>
        <w:t>. USAT makes no representation to Wasserfuhr or his counsel as to the tax liability, if any, on the Settlement Sum. Wasserfuhr agrees that he shall be fully and solely responsible for any and all tax liabilities with respect to the Settlement Sum. In the event that any federal or state taxing authority or other government entity later determines that Wasserfuhr has any unpaid tax liability on the Settlement Sum and/or that USAT should have withheld an additional amount from the payment made to Wasserfuhr or his counsel, in consideration for the payment of the Settlement Sum by USA Technologies, Inc. and other consideration specified herein, Wasserfuhr hereby agrees to fully indemnify, defend, and hold USAT harmless, from any and all tax consequences, fines, liabilities or other legal obligations arising from such unpaid taxes, penalties, and/or interest and for any alleged failure to withhold taxes or other deductions required by law. In the event that any federal, state, or local taxing authority seeks to collect from USAT taxes or interest which would have been collectable from Wasserfuhr, Wasserfuhr hereby agrees to immediately reimburse USAT for those taxes or interest.</w:t>
      </w:r>
    </w:p>
    <w:p>
      <w:pPr>
        <w:spacing w:after="0" w:line="165"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General Release of Claims by Wasserfuhr.</w:t>
      </w:r>
    </w:p>
    <w:p>
      <w:pPr>
        <w:spacing w:after="0" w:line="181" w:lineRule="exact"/>
        <w:rPr>
          <w:rFonts w:ascii="Arial" w:cs="Arial" w:eastAsia="Arial" w:hAnsi="Arial"/>
          <w:sz w:val="20"/>
          <w:szCs w:val="20"/>
          <w:b w:val="1"/>
          <w:bCs w:val="1"/>
          <w:color w:val="auto"/>
        </w:rPr>
      </w:pPr>
    </w:p>
    <w:p>
      <w:pPr>
        <w:jc w:val="both"/>
        <w:ind w:left="1140" w:hanging="484"/>
        <w:spacing w:after="0" w:line="241" w:lineRule="auto"/>
        <w:tabs>
          <w:tab w:leader="none" w:pos="1136" w:val="left"/>
        </w:tabs>
        <w:numPr>
          <w:ilvl w:val="1"/>
          <w:numId w:val="31"/>
        </w:numPr>
        <w:rPr>
          <w:rFonts w:ascii="Arial" w:cs="Arial" w:eastAsia="Arial" w:hAnsi="Arial"/>
          <w:sz w:val="18"/>
          <w:szCs w:val="18"/>
          <w:color w:val="auto"/>
        </w:rPr>
      </w:pPr>
      <w:r>
        <w:rPr>
          <w:rFonts w:ascii="Arial" w:cs="Arial" w:eastAsia="Arial" w:hAnsi="Arial"/>
          <w:sz w:val="18"/>
          <w:szCs w:val="18"/>
          <w:color w:val="auto"/>
        </w:rPr>
        <w:t>Wasserfuhr hereby settles with, compromises, releases, remits, acquits, discharges, and reaches an accord and satisfaction upon any and all claims, demands, causes of action, remedies, obligations, damages, and liabilities which he had or now has, whether known or unknown, against Bergeron, Feeney, USAT, any employee benefit plans sponsored or administered by USAT or related entities, and each of their respective fiduciaries, administrators, trustees, officers, directors, stockholders, employees, agents, and attorneys (collectively, the “USAT Releasees”) arising at any point in the past up to the Effective Date of this Agreement. This release specifically includes, but is not limited to, any claims for wages, back pay, front pay, bonuses, commissions, severance pay, emotional distress, liquidated damages, compensatory damages, penalties, exemplary damages, or punitive damages arising out of his employment with USAT or separation of employment with USAT.</w:t>
      </w:r>
    </w:p>
    <w:p>
      <w:pPr>
        <w:spacing w:after="0" w:line="159" w:lineRule="exact"/>
        <w:rPr>
          <w:rFonts w:ascii="Arial" w:cs="Arial" w:eastAsia="Arial" w:hAnsi="Arial"/>
          <w:sz w:val="18"/>
          <w:szCs w:val="18"/>
          <w:color w:val="auto"/>
        </w:rPr>
      </w:pPr>
    </w:p>
    <w:p>
      <w:pPr>
        <w:ind w:left="1140" w:right="20" w:hanging="484"/>
        <w:spacing w:after="0" w:line="236" w:lineRule="auto"/>
        <w:tabs>
          <w:tab w:leader="none" w:pos="1134" w:val="left"/>
        </w:tabs>
        <w:numPr>
          <w:ilvl w:val="1"/>
          <w:numId w:val="31"/>
        </w:numPr>
        <w:rPr>
          <w:rFonts w:ascii="Arial" w:cs="Arial" w:eastAsia="Arial" w:hAnsi="Arial"/>
          <w:sz w:val="20"/>
          <w:szCs w:val="20"/>
          <w:color w:val="auto"/>
        </w:rPr>
      </w:pPr>
      <w:r>
        <w:rPr>
          <w:rFonts w:ascii="Arial" w:cs="Arial" w:eastAsia="Arial" w:hAnsi="Arial"/>
          <w:sz w:val="20"/>
          <w:szCs w:val="20"/>
          <w:color w:val="auto"/>
        </w:rPr>
        <w:t>Wasserfuhr further unconditionally releases, discharges, and holds the USAT Releasees harmless from each and every claim, cause of action, right, liability, or demand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2</w:t>
      </w:r>
      <w:r>
        <w:rPr>
          <w:rFonts w:ascii="Arial" w:cs="Arial" w:eastAsia="Arial" w:hAnsi="Arial"/>
          <w:sz w:val="20"/>
          <w:szCs w:val="20"/>
          <w:color w:val="auto"/>
        </w:rPr>
        <w:t xml:space="preserve"> of 8</w:t>
      </w:r>
    </w:p>
    <w:p>
      <w:pPr>
        <w:sectPr>
          <w:pgSz w:w="11900" w:h="16838" w:orient="portrait"/>
          <w:cols w:equalWidth="0" w:num="1">
            <w:col w:w="11240"/>
          </w:cols>
          <w:pgMar w:left="320" w:top="1297" w:right="339" w:bottom="1440" w:gutter="0" w:footer="0" w:header="0"/>
        </w:sectPr>
      </w:pPr>
    </w:p>
    <w:bookmarkStart w:id="93" w:name="page94"/>
    <w:bookmarkEnd w:id="93"/>
    <w:p>
      <w:pPr>
        <w:ind w:left="1140"/>
        <w:spacing w:after="0" w:line="285" w:lineRule="auto"/>
        <w:rPr>
          <w:sz w:val="20"/>
          <w:szCs w:val="20"/>
          <w:color w:val="auto"/>
        </w:rPr>
      </w:pPr>
      <w:r>
        <w:rPr>
          <w:rFonts w:ascii="Arial" w:cs="Arial" w:eastAsia="Arial" w:hAnsi="Arial"/>
          <w:sz w:val="18"/>
          <w:szCs w:val="18"/>
          <w:color w:val="auto"/>
        </w:rPr>
        <w:t>and nature in existence prior to the Effective Date, and from any claims which may be derived therefrom, that Wasserfuhr had, has, or might claim to have against the USAT Releasees, including, but not limited to, any and all claims:</w:t>
      </w:r>
    </w:p>
    <w:p>
      <w:pPr>
        <w:spacing w:after="0" w:line="116" w:lineRule="exact"/>
        <w:rPr>
          <w:sz w:val="20"/>
          <w:szCs w:val="20"/>
          <w:color w:val="auto"/>
        </w:rPr>
      </w:pPr>
    </w:p>
    <w:p>
      <w:pPr>
        <w:ind w:left="2280" w:hanging="652"/>
        <w:spacing w:after="0" w:line="260" w:lineRule="auto"/>
        <w:tabs>
          <w:tab w:leader="none" w:pos="2278" w:val="left"/>
        </w:tabs>
        <w:numPr>
          <w:ilvl w:val="2"/>
          <w:numId w:val="32"/>
        </w:numPr>
        <w:rPr>
          <w:rFonts w:ascii="Arial" w:cs="Arial" w:eastAsia="Arial" w:hAnsi="Arial"/>
          <w:sz w:val="20"/>
          <w:szCs w:val="20"/>
          <w:color w:val="auto"/>
        </w:rPr>
      </w:pPr>
      <w:r>
        <w:rPr>
          <w:rFonts w:ascii="Arial" w:cs="Arial" w:eastAsia="Arial" w:hAnsi="Arial"/>
          <w:sz w:val="20"/>
          <w:szCs w:val="20"/>
          <w:color w:val="auto"/>
        </w:rPr>
        <w:t>arising from Wasserfuhr’s employment and other terms and conditions of his employment relationship with USAT;</w:t>
      </w:r>
    </w:p>
    <w:p>
      <w:pPr>
        <w:spacing w:after="0" w:line="163" w:lineRule="exact"/>
        <w:rPr>
          <w:rFonts w:ascii="Arial" w:cs="Arial" w:eastAsia="Arial" w:hAnsi="Arial"/>
          <w:sz w:val="20"/>
          <w:szCs w:val="20"/>
          <w:color w:val="auto"/>
        </w:rPr>
      </w:pPr>
    </w:p>
    <w:p>
      <w:pPr>
        <w:ind w:left="2280" w:hanging="652"/>
        <w:spacing w:after="0" w:line="260" w:lineRule="auto"/>
        <w:tabs>
          <w:tab w:leader="none" w:pos="2279" w:val="left"/>
        </w:tabs>
        <w:numPr>
          <w:ilvl w:val="2"/>
          <w:numId w:val="32"/>
        </w:numPr>
        <w:rPr>
          <w:rFonts w:ascii="Arial" w:cs="Arial" w:eastAsia="Arial" w:hAnsi="Arial"/>
          <w:sz w:val="20"/>
          <w:szCs w:val="20"/>
          <w:color w:val="auto"/>
        </w:rPr>
      </w:pPr>
      <w:r>
        <w:rPr>
          <w:rFonts w:ascii="Arial" w:cs="Arial" w:eastAsia="Arial" w:hAnsi="Arial"/>
          <w:sz w:val="20"/>
          <w:szCs w:val="20"/>
          <w:color w:val="auto"/>
        </w:rPr>
        <w:t>relating to the separation of Wasserfuhr’s employment relationship with USAT or any claim to entitlement to severance or separation pay related thereto;</w:t>
      </w:r>
    </w:p>
    <w:p>
      <w:pPr>
        <w:spacing w:after="0" w:line="163" w:lineRule="exact"/>
        <w:rPr>
          <w:rFonts w:ascii="Arial" w:cs="Arial" w:eastAsia="Arial" w:hAnsi="Arial"/>
          <w:sz w:val="20"/>
          <w:szCs w:val="20"/>
          <w:color w:val="auto"/>
        </w:rPr>
      </w:pPr>
    </w:p>
    <w:p>
      <w:pPr>
        <w:ind w:left="2280" w:hanging="652"/>
        <w:spacing w:after="0" w:line="260" w:lineRule="auto"/>
        <w:tabs>
          <w:tab w:leader="none" w:pos="2280" w:val="left"/>
        </w:tabs>
        <w:numPr>
          <w:ilvl w:val="2"/>
          <w:numId w:val="32"/>
        </w:numPr>
        <w:rPr>
          <w:rFonts w:ascii="Arial" w:cs="Arial" w:eastAsia="Arial" w:hAnsi="Arial"/>
          <w:sz w:val="20"/>
          <w:szCs w:val="20"/>
          <w:color w:val="auto"/>
        </w:rPr>
      </w:pPr>
      <w:r>
        <w:rPr>
          <w:rFonts w:ascii="Arial" w:cs="Arial" w:eastAsia="Arial" w:hAnsi="Arial"/>
          <w:sz w:val="20"/>
          <w:szCs w:val="20"/>
          <w:color w:val="auto"/>
        </w:rPr>
        <w:t>arising from any contracts, agreements, or other understandings between Wasserfuhr and USAT, including claims under any equity award agreements or equity plans;</w:t>
      </w:r>
    </w:p>
    <w:p>
      <w:pPr>
        <w:spacing w:after="0" w:line="149" w:lineRule="exact"/>
        <w:rPr>
          <w:rFonts w:ascii="Arial" w:cs="Arial" w:eastAsia="Arial" w:hAnsi="Arial"/>
          <w:sz w:val="20"/>
          <w:szCs w:val="20"/>
          <w:color w:val="auto"/>
        </w:rPr>
      </w:pPr>
    </w:p>
    <w:p>
      <w:pPr>
        <w:ind w:left="2280" w:right="20" w:hanging="652"/>
        <w:spacing w:after="0" w:line="260" w:lineRule="auto"/>
        <w:tabs>
          <w:tab w:leader="none" w:pos="2269" w:val="left"/>
        </w:tabs>
        <w:numPr>
          <w:ilvl w:val="2"/>
          <w:numId w:val="32"/>
        </w:numPr>
        <w:rPr>
          <w:rFonts w:ascii="Arial" w:cs="Arial" w:eastAsia="Arial" w:hAnsi="Arial"/>
          <w:sz w:val="20"/>
          <w:szCs w:val="20"/>
          <w:color w:val="auto"/>
        </w:rPr>
      </w:pPr>
      <w:r>
        <w:rPr>
          <w:rFonts w:ascii="Arial" w:cs="Arial" w:eastAsia="Arial" w:hAnsi="Arial"/>
          <w:sz w:val="20"/>
          <w:szCs w:val="20"/>
          <w:color w:val="auto"/>
        </w:rPr>
        <w:t>based on any contract, tort, whistleblower, or wrongful discharge theory, whether arising under common law, constitution, statute, code, ordinance, regulation, or other applicable law;</w:t>
      </w:r>
    </w:p>
    <w:p>
      <w:pPr>
        <w:spacing w:after="0" w:line="163" w:lineRule="exact"/>
        <w:rPr>
          <w:rFonts w:ascii="Arial" w:cs="Arial" w:eastAsia="Arial" w:hAnsi="Arial"/>
          <w:sz w:val="20"/>
          <w:szCs w:val="20"/>
          <w:color w:val="auto"/>
        </w:rPr>
      </w:pPr>
    </w:p>
    <w:p>
      <w:pPr>
        <w:jc w:val="both"/>
        <w:ind w:left="2280" w:hanging="652"/>
        <w:spacing w:after="0" w:line="256" w:lineRule="auto"/>
        <w:tabs>
          <w:tab w:leader="none" w:pos="2268" w:val="left"/>
        </w:tabs>
        <w:numPr>
          <w:ilvl w:val="2"/>
          <w:numId w:val="32"/>
        </w:numPr>
        <w:rPr>
          <w:rFonts w:ascii="Arial" w:cs="Arial" w:eastAsia="Arial" w:hAnsi="Arial"/>
          <w:sz w:val="19"/>
          <w:szCs w:val="19"/>
          <w:color w:val="auto"/>
        </w:rPr>
      </w:pPr>
      <w:r>
        <w:rPr>
          <w:rFonts w:ascii="Arial" w:cs="Arial" w:eastAsia="Arial" w:hAnsi="Arial"/>
          <w:sz w:val="19"/>
          <w:szCs w:val="19"/>
          <w:color w:val="auto"/>
        </w:rPr>
        <w:t>based on discrimination or retaliation on the basis of race, color, religion, sex, national origin, handicap, disability, age, or any other category protected by federal state, or local law, including, but not limited to, the Civil Rights Acts of 1866, 1871, and 1964; the Civil Rights Act of 1991; 42 U.S.C. § 1981; the Americans With Disabilities Act; the Rehabilitation Act of 1973; the Employee Retirement Income Security Act; the Equal Pay Act; the Age Discrimination in Employment Act, as amended; the Older Workers Benefit Protection Act; and/or the Family and Medical Leave Act; the Georgia Equal Pay Act; the Georgia Prohibition of Age Discrimination in Employment Act; the Georgia Equal Employment for Persons with Disabilities Code; Georgia statutory and common law; the Pennsylvania Equal Pay Law; the Pennsylvania Whistleblower Law; and/or Pennsylvania statutory and common law;</w:t>
      </w:r>
    </w:p>
    <w:p>
      <w:pPr>
        <w:spacing w:after="0" w:line="157" w:lineRule="exact"/>
        <w:rPr>
          <w:rFonts w:ascii="Arial" w:cs="Arial" w:eastAsia="Arial" w:hAnsi="Arial"/>
          <w:sz w:val="19"/>
          <w:szCs w:val="19"/>
          <w:color w:val="auto"/>
        </w:rPr>
      </w:pPr>
    </w:p>
    <w:p>
      <w:pPr>
        <w:jc w:val="both"/>
        <w:ind w:left="2280" w:right="20" w:hanging="652"/>
        <w:spacing w:after="0" w:line="250" w:lineRule="auto"/>
        <w:tabs>
          <w:tab w:leader="none" w:pos="2269" w:val="left"/>
        </w:tabs>
        <w:numPr>
          <w:ilvl w:val="2"/>
          <w:numId w:val="32"/>
        </w:numPr>
        <w:rPr>
          <w:rFonts w:ascii="Arial" w:cs="Arial" w:eastAsia="Arial" w:hAnsi="Arial"/>
          <w:sz w:val="20"/>
          <w:szCs w:val="20"/>
          <w:color w:val="auto"/>
        </w:rPr>
      </w:pPr>
      <w:r>
        <w:rPr>
          <w:rFonts w:ascii="Arial" w:cs="Arial" w:eastAsia="Arial" w:hAnsi="Arial"/>
          <w:sz w:val="20"/>
          <w:szCs w:val="20"/>
          <w:color w:val="auto"/>
        </w:rPr>
        <w:t>based on any other federal, state or local constitution, regulation, law (statutory or common), or legal theory, including but not limited to the Pennsylvania Minimum Wage Act and the Pennsylvania Wage Payment and Collection Law;.</w:t>
      </w:r>
    </w:p>
    <w:p>
      <w:pPr>
        <w:spacing w:after="0" w:line="158" w:lineRule="exact"/>
        <w:rPr>
          <w:rFonts w:ascii="Arial" w:cs="Arial" w:eastAsia="Arial" w:hAnsi="Arial"/>
          <w:sz w:val="20"/>
          <w:szCs w:val="20"/>
          <w:color w:val="auto"/>
        </w:rPr>
      </w:pPr>
    </w:p>
    <w:p>
      <w:pPr>
        <w:ind w:left="1140" w:hanging="484"/>
        <w:spacing w:after="0" w:line="236" w:lineRule="auto"/>
        <w:tabs>
          <w:tab w:leader="none" w:pos="1136" w:val="left"/>
        </w:tabs>
        <w:numPr>
          <w:ilvl w:val="1"/>
          <w:numId w:val="33"/>
        </w:numPr>
        <w:rPr>
          <w:rFonts w:ascii="Arial" w:cs="Arial" w:eastAsia="Arial" w:hAnsi="Arial"/>
          <w:sz w:val="20"/>
          <w:szCs w:val="20"/>
          <w:color w:val="auto"/>
        </w:rPr>
      </w:pPr>
      <w:r>
        <w:rPr>
          <w:rFonts w:ascii="Arial" w:cs="Arial" w:eastAsia="Arial" w:hAnsi="Arial"/>
          <w:sz w:val="20"/>
          <w:szCs w:val="20"/>
          <w:color w:val="auto"/>
        </w:rPr>
        <w:t>Any and all claims, causes of actions, rights, liabilities, demands, obligations, remedies, and damages described in and released by Subsections (a) and (b) of this Paragraph shall herein be referred to as the “Released Claims.”</w:t>
      </w:r>
    </w:p>
    <w:p>
      <w:pPr>
        <w:spacing w:after="0" w:line="168" w:lineRule="exact"/>
        <w:rPr>
          <w:rFonts w:ascii="Arial" w:cs="Arial" w:eastAsia="Arial" w:hAnsi="Arial"/>
          <w:sz w:val="20"/>
          <w:szCs w:val="20"/>
          <w:color w:val="auto"/>
        </w:rPr>
      </w:pPr>
    </w:p>
    <w:p>
      <w:pPr>
        <w:ind w:left="1140" w:hanging="484"/>
        <w:spacing w:after="0" w:line="246" w:lineRule="auto"/>
        <w:tabs>
          <w:tab w:leader="none" w:pos="1048" w:val="left"/>
        </w:tabs>
        <w:numPr>
          <w:ilvl w:val="1"/>
          <w:numId w:val="33"/>
        </w:numPr>
        <w:rPr>
          <w:rFonts w:ascii="Arial" w:cs="Arial" w:eastAsia="Arial" w:hAnsi="Arial"/>
          <w:sz w:val="20"/>
          <w:szCs w:val="20"/>
          <w:color w:val="auto"/>
        </w:rPr>
      </w:pPr>
      <w:r>
        <w:rPr>
          <w:rFonts w:ascii="Arial" w:cs="Arial" w:eastAsia="Arial" w:hAnsi="Arial"/>
          <w:sz w:val="20"/>
          <w:szCs w:val="20"/>
          <w:color w:val="auto"/>
        </w:rPr>
        <w:t>Notwithstanding anything to the contrary in the foregoing, Wasserfuhr’s release shall not affect any rights or claims related to any vested benefits to which he may be entitled under USAT’s benefit plans that arise or accrue after the Effective Date of this Agreement. Nothing herein shall affect Wasserfuhr’s rights, if any, to participate in continuation coverage under the Consolidated Omnibus Budget Reconciliation Act (“COBRA”).</w:t>
      </w:r>
    </w:p>
    <w:p>
      <w:pPr>
        <w:spacing w:after="0" w:line="158" w:lineRule="exact"/>
        <w:rPr>
          <w:rFonts w:ascii="Arial" w:cs="Arial" w:eastAsia="Arial" w:hAnsi="Arial"/>
          <w:sz w:val="20"/>
          <w:szCs w:val="20"/>
          <w:color w:val="auto"/>
        </w:rPr>
      </w:pPr>
    </w:p>
    <w:p>
      <w:pPr>
        <w:jc w:val="both"/>
        <w:ind w:firstLine="8"/>
        <w:spacing w:after="0" w:line="245" w:lineRule="auto"/>
        <w:tabs>
          <w:tab w:leader="none" w:pos="648"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General Release of Claims by USAT, Bergeron, and Feeney.</w:t>
      </w:r>
      <w:r>
        <w:rPr>
          <w:rFonts w:ascii="Arial" w:cs="Arial" w:eastAsia="Arial" w:hAnsi="Arial"/>
          <w:sz w:val="20"/>
          <w:szCs w:val="20"/>
          <w:b w:val="1"/>
          <w:bCs w:val="1"/>
          <w:color w:val="auto"/>
        </w:rPr>
        <w:t xml:space="preserve"> </w:t>
      </w:r>
      <w:r>
        <w:rPr>
          <w:rFonts w:ascii="Arial" w:cs="Arial" w:eastAsia="Arial" w:hAnsi="Arial"/>
          <w:sz w:val="20"/>
          <w:szCs w:val="20"/>
          <w:color w:val="auto"/>
        </w:rPr>
        <w:t>USAT, Bergeron, and Feeney hereby settle with, compromise,</w:t>
      </w:r>
      <w:r>
        <w:rPr>
          <w:rFonts w:ascii="Arial" w:cs="Arial" w:eastAsia="Arial" w:hAnsi="Arial"/>
          <w:sz w:val="20"/>
          <w:szCs w:val="20"/>
          <w:b w:val="1"/>
          <w:bCs w:val="1"/>
          <w:color w:val="auto"/>
        </w:rPr>
        <w:t xml:space="preserve"> </w:t>
      </w:r>
      <w:r>
        <w:rPr>
          <w:rFonts w:ascii="Arial" w:cs="Arial" w:eastAsia="Arial" w:hAnsi="Arial"/>
          <w:sz w:val="20"/>
          <w:szCs w:val="20"/>
          <w:color w:val="auto"/>
        </w:rPr>
        <w:t>release, remit, acquit, discharge, and reach an accord and satisfaction upon any and all claims, demands, causes of action, remedies, obligations, damages, and liabilities which they had or now have, whether known or unknown, against Wasserfuhr arising at any point in the past up to the Effective Date of this Agreement. This release specifically includes, but is not limited to, any counterclaims USAT could have asserted against Wasserfuhr in the Lawsuit and any claims of USAT arising under the March 2, 2020 employment agreement by and between Wasserfuhr and USAT.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3</w:t>
      </w:r>
      <w:r>
        <w:rPr>
          <w:rFonts w:ascii="Arial" w:cs="Arial" w:eastAsia="Arial" w:hAnsi="Arial"/>
          <w:sz w:val="20"/>
          <w:szCs w:val="20"/>
          <w:color w:val="auto"/>
        </w:rPr>
        <w:t xml:space="preserve"> of 8</w:t>
      </w:r>
    </w:p>
    <w:p>
      <w:pPr>
        <w:sectPr>
          <w:pgSz w:w="11900" w:h="16838" w:orient="portrait"/>
          <w:cols w:equalWidth="0" w:num="1">
            <w:col w:w="11240"/>
          </w:cols>
          <w:pgMar w:left="320" w:top="1284" w:right="339" w:bottom="1440" w:gutter="0" w:footer="0" w:header="0"/>
        </w:sectPr>
      </w:pPr>
    </w:p>
    <w:bookmarkStart w:id="94" w:name="page95"/>
    <w:bookmarkEnd w:id="94"/>
    <w:p>
      <w:pPr>
        <w:spacing w:after="0" w:line="260" w:lineRule="auto"/>
        <w:rPr>
          <w:sz w:val="20"/>
          <w:szCs w:val="20"/>
          <w:color w:val="auto"/>
        </w:rPr>
      </w:pPr>
      <w:r>
        <w:rPr>
          <w:rFonts w:ascii="Arial" w:cs="Arial" w:eastAsia="Arial" w:hAnsi="Arial"/>
          <w:sz w:val="20"/>
          <w:szCs w:val="20"/>
          <w:color w:val="auto"/>
        </w:rPr>
        <w:t>foregoing, no claim based on Wasserfuhr’s breach of any confidentiality obligations owed to USAT prior to the Effective Date of this Agreement shall be released by this Agreement.</w:t>
      </w:r>
    </w:p>
    <w:p>
      <w:pPr>
        <w:spacing w:after="0" w:line="144" w:lineRule="exact"/>
        <w:rPr>
          <w:sz w:val="20"/>
          <w:szCs w:val="20"/>
          <w:color w:val="auto"/>
        </w:rPr>
      </w:pPr>
    </w:p>
    <w:p>
      <w:pPr>
        <w:jc w:val="both"/>
        <w:ind w:firstLine="8"/>
        <w:spacing w:after="0" w:line="256" w:lineRule="auto"/>
        <w:tabs>
          <w:tab w:leader="none" w:pos="648"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Covenant Not to Sue.</w:t>
      </w:r>
      <w:r>
        <w:rPr>
          <w:rFonts w:ascii="Arial" w:cs="Arial" w:eastAsia="Arial" w:hAnsi="Arial"/>
          <w:sz w:val="19"/>
          <w:szCs w:val="19"/>
          <w:b w:val="1"/>
          <w:bCs w:val="1"/>
          <w:color w:val="auto"/>
        </w:rPr>
        <w:t xml:space="preserve"> </w:t>
      </w:r>
      <w:r>
        <w:rPr>
          <w:rFonts w:ascii="Arial" w:cs="Arial" w:eastAsia="Arial" w:hAnsi="Arial"/>
          <w:sz w:val="19"/>
          <w:szCs w:val="19"/>
          <w:color w:val="auto"/>
        </w:rPr>
        <w:t>Wasserfuhr agrees that he will not directly or indirectly institute, solicit, encourage, advise, consult, or</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participate in the commencement and/or prosecution of any lawsuit against the USAT Releasees in regard to the Released Claims or any other claims or causes of action arising from acts or omissions taken or made prior to the Effective Date of this Agreement. Wasserfuhr further agrees that he will not either directly or indirectly assist in, cooperate or consult with, or encourage any other parties or their attorneys to commence or prosecute any present or future lawsuit against the USAT Releasees in regard to the Released Claims or any other claims or causes of action arising from acts or omissions taken or made prior to the Effective Date of this Agreement. Notwithstanding the foregoing, this Agreement does not prevent Wasserfuhr from providing truthful testimony pursuant to a subpoena or court order, nor does it prevent Wasserfuhr from filing a charge or participating in an investigation or proceeding with the Equal Employment Opportunity Commission, the Securities and Exchange Commission, or any other government agency. Wasserfuhr does, however, waive any right to recover monetary damages that could result from filing such a charge.</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Wasserfuhr further agrees and understands that he waives and gives up any right to become, and promises not to consent to become, a member or class representative of any class in a case in which claims are asserted against the USAT Releasees in regard to the Released Claims or any other claims or causes of action arising from acts or omissions taken or made prior to the Effective Date of this Agreement. If, without Wasserfuhr’s prior knowledge and consent, he is made a member or representative of a class or a collective in any proceeding, he hereby agrees to opt out of the class or the collective at the first opportunity.</w:t>
      </w:r>
    </w:p>
    <w:p>
      <w:pPr>
        <w:spacing w:after="0" w:line="161" w:lineRule="exact"/>
        <w:rPr>
          <w:sz w:val="20"/>
          <w:szCs w:val="20"/>
          <w:color w:val="auto"/>
        </w:rPr>
      </w:pPr>
    </w:p>
    <w:p>
      <w:pPr>
        <w:jc w:val="both"/>
        <w:ind w:firstLine="8"/>
        <w:spacing w:after="0" w:line="277" w:lineRule="auto"/>
        <w:tabs>
          <w:tab w:leader="none" w:pos="648"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Wasserfuhr agrees to conduct himself in a professional manner in all dealings, communications, and contacts</w:t>
      </w:r>
      <w:r>
        <w:rPr>
          <w:rFonts w:ascii="Arial" w:cs="Arial" w:eastAsia="Arial" w:hAnsi="Arial"/>
          <w:sz w:val="18"/>
          <w:szCs w:val="18"/>
          <w:b w:val="1"/>
          <w:bCs w:val="1"/>
          <w:color w:val="auto"/>
        </w:rPr>
        <w:t xml:space="preserve"> </w:t>
      </w:r>
      <w:r>
        <w:rPr>
          <w:rFonts w:ascii="Arial" w:cs="Arial" w:eastAsia="Arial" w:hAnsi="Arial"/>
          <w:sz w:val="18"/>
          <w:szCs w:val="18"/>
          <w:color w:val="auto"/>
        </w:rPr>
        <w:t>concerning USAT, his employment with USAT, or his separation from employment with USAT. Wasserfuhr agrees that he will not criticize, denigrate, disparage, or make any derogatory statements about USAT. In particular, Wasserfuhr agrees not to make any derogatory statements about USAT’s business plans, policies, and practices, or about any of USAT’s officers, employees, or former officers or employees, to customers, competitors, suppliers, employees, former employees, members of the public, members of the media, or any other person, nor shall Wasserfuhr take any action to harm or in any way adversely affect the reputation and good will of USAT.</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USAT’s executives, Feeney, and Bergeron agree not to criticize, denigrate, disparage, or make any derogatory statements about Wasserfuhr or MWBT LLC to any persons or entities external to USAT, including taking any action to harm or in any way adversely affect the reputation and business opportunities of Wasserfuhr or MWBT LLC. USAT agrees to instruct its executives not to violate this provision.</w:t>
      </w:r>
    </w:p>
    <w:p>
      <w:pPr>
        <w:spacing w:after="0" w:line="13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This Paragraph applies not only to oral communications but also to all written communications including, but not limited to, communications through social media/social networking sites such as Facebook, Instagram, Twitter and the like. Nothing in this Agreement shall prevent any Party from giving truthful testimony or information to law enforcement entities, administrative agencies or courts or in any other legal proceedings as required by law or otherwise by court order, including, but not limited to, assisting in an investigation or proceeding brought by any governmental or regulatory body or official, including the Department of Justice, related to alleged violations of any law relating to fraud or any rule or regulation of the Securities and Exchange Commission. Additionally, nothing herein shall act to prohibit any Party from reporting potential unlawful activity to any state or federal government agency. The Parties understand and agree that this “Non-Disparagement” provision is an integral part of this Agreement, and a breach of this provision will be considered a material breach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4</w:t>
      </w:r>
      <w:r>
        <w:rPr>
          <w:rFonts w:ascii="Arial" w:cs="Arial" w:eastAsia="Arial" w:hAnsi="Arial"/>
          <w:sz w:val="20"/>
          <w:szCs w:val="20"/>
          <w:color w:val="auto"/>
        </w:rPr>
        <w:t xml:space="preserve"> of 8</w:t>
      </w:r>
    </w:p>
    <w:p>
      <w:pPr>
        <w:sectPr>
          <w:pgSz w:w="11900" w:h="16838" w:orient="portrait"/>
          <w:cols w:equalWidth="0" w:num="1">
            <w:col w:w="11240"/>
          </w:cols>
          <w:pgMar w:left="320" w:top="1297" w:right="339" w:bottom="1440" w:gutter="0" w:footer="0" w:header="0"/>
        </w:sectPr>
      </w:pPr>
    </w:p>
    <w:bookmarkStart w:id="95" w:name="page96"/>
    <w:bookmarkEnd w:id="95"/>
    <w:p>
      <w:pPr>
        <w:jc w:val="both"/>
        <w:ind w:firstLine="8"/>
        <w:spacing w:after="0" w:line="275" w:lineRule="auto"/>
        <w:tabs>
          <w:tab w:leader="none" w:pos="648"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Rehire or Contracting.</w:t>
      </w:r>
      <w:r>
        <w:rPr>
          <w:rFonts w:ascii="Arial" w:cs="Arial" w:eastAsia="Arial" w:hAnsi="Arial"/>
          <w:sz w:val="18"/>
          <w:szCs w:val="18"/>
          <w:b w:val="1"/>
          <w:bCs w:val="1"/>
          <w:color w:val="auto"/>
        </w:rPr>
        <w:t xml:space="preserve"> </w:t>
      </w:r>
      <w:r>
        <w:rPr>
          <w:rFonts w:ascii="Arial" w:cs="Arial" w:eastAsia="Arial" w:hAnsi="Arial"/>
          <w:sz w:val="18"/>
          <w:szCs w:val="18"/>
          <w:color w:val="auto"/>
        </w:rPr>
        <w:t>Wasserfuhr agrees that he will not seek or accept employment with or any other type of contract or</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whereby he would provide services to USAT or its affiliates at any time in the future, directly or indirectly. Wasserfuhr agrees that if he knowingly or unknowingly applies for a position with USAT or an affiliate and is offered or accepts a position, the offer may be withdrawn, or he may be terminated immediately, without notice, cause, or recourse. Wasserfuhr also agrees not to accept any position or project, or provide any services in any capacity that would require him to perform work of any kind for USAT or its affiliates or at a facility or office of USAT or an affiliate. This provision shall apply with equal effect regardless of whether Wasserfuhr would perform the work in question in his individual capacity or through affiliation with another person or entity, including, but not limited to, through MWBT LLC.</w:t>
      </w:r>
    </w:p>
    <w:p>
      <w:pPr>
        <w:spacing w:after="0" w:line="135" w:lineRule="exact"/>
        <w:rPr>
          <w:rFonts w:ascii="Arial" w:cs="Arial" w:eastAsia="Arial" w:hAnsi="Arial"/>
          <w:sz w:val="18"/>
          <w:szCs w:val="18"/>
          <w:b w:val="1"/>
          <w:bCs w:val="1"/>
          <w:color w:val="auto"/>
        </w:rPr>
      </w:pPr>
    </w:p>
    <w:p>
      <w:pPr>
        <w:jc w:val="both"/>
        <w:ind w:firstLine="8"/>
        <w:spacing w:after="0" w:line="280" w:lineRule="auto"/>
        <w:tabs>
          <w:tab w:leader="none" w:pos="648"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Admission.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not be construed as an admission by USAT, Feeney, or Bergeron of any liability, or any acts of</w:t>
      </w:r>
      <w:r>
        <w:rPr>
          <w:rFonts w:ascii="Arial" w:cs="Arial" w:eastAsia="Arial" w:hAnsi="Arial"/>
          <w:sz w:val="18"/>
          <w:szCs w:val="18"/>
          <w:b w:val="1"/>
          <w:bCs w:val="1"/>
          <w:color w:val="auto"/>
        </w:rPr>
        <w:t xml:space="preserve"> </w:t>
      </w:r>
      <w:r>
        <w:rPr>
          <w:rFonts w:ascii="Arial" w:cs="Arial" w:eastAsia="Arial" w:hAnsi="Arial"/>
          <w:sz w:val="18"/>
          <w:szCs w:val="18"/>
          <w:color w:val="auto"/>
        </w:rPr>
        <w:t>wrongdoing, or the violation of any federal, state, or local law, ordinance, or regulation, nor shall it be considered as evidence of any such alleged liability, wrongdoing, or violation of any federal, state, or local law, ordinance, or regulation. The Parties agree that this Agreement shall not be admissible as evidence in any trial, hearing, deposition, or other action before any court or tribunal of any kind, except that this Agreement may be used as evidence in a subsequent proceeding in which any of the Parties allege a breach of this Agreement.</w:t>
      </w:r>
    </w:p>
    <w:p>
      <w:pPr>
        <w:spacing w:after="0" w:line="142" w:lineRule="exact"/>
        <w:rPr>
          <w:rFonts w:ascii="Arial" w:cs="Arial" w:eastAsia="Arial" w:hAnsi="Arial"/>
          <w:sz w:val="18"/>
          <w:szCs w:val="18"/>
          <w:b w:val="1"/>
          <w:bCs w:val="1"/>
          <w:color w:val="auto"/>
        </w:rPr>
      </w:pPr>
    </w:p>
    <w:p>
      <w:pPr>
        <w:jc w:val="both"/>
        <w:ind w:firstLine="8"/>
        <w:spacing w:after="0" w:line="272" w:lineRule="auto"/>
        <w:tabs>
          <w:tab w:leader="none" w:pos="639"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Unless such disclosure is required under the law, Wasserfuhr agrees, and shall so instruct his counsel, that he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absent a court order or as required via other governmental or legal process, which he will not seek, directly or indirectly, discuss or disclose to any other person, firm, corporation, association, or organization the terms, existence, or negotiations leading up to this Agreement. Wasserfuhr and Wasserfuhr’s counsel agree that they will not directly or indirectly make any posting on any website, instant messaging site, blog, or social networking site publicizing or otherwise disclosing the fact that the Parties have entered into this Agreement or otherwise settled their disputes. Wasserfuhr further understands and agrees that this “Confidentiality” provision is an integral part of this Agreement, and a breach of this provision will be considered a material breach of this Agreement. Nothing in this Agreement shall prohibit USAT or Wasserfuhr from using or disclosing this Agreement or its terms as necessary to comply with applicable law. Further, nothing in this Agreement shall obviate Wasserfuhr’s confidentiality obligations that arise under contract, statute, regulation, or common law due to his former employment as an executive officer of USAT, including, but not limited to, any fiduciary duties.</w:t>
      </w:r>
    </w:p>
    <w:p>
      <w:pPr>
        <w:spacing w:after="0" w:line="151" w:lineRule="exact"/>
        <w:rPr>
          <w:rFonts w:ascii="Arial" w:cs="Arial" w:eastAsia="Arial" w:hAnsi="Arial"/>
          <w:sz w:val="18"/>
          <w:szCs w:val="18"/>
          <w:b w:val="1"/>
          <w:bCs w:val="1"/>
          <w:color w:val="auto"/>
        </w:rPr>
      </w:pPr>
    </w:p>
    <w:p>
      <w:pPr>
        <w:jc w:val="both"/>
        <w:ind w:firstLine="8"/>
        <w:spacing w:after="0" w:line="244" w:lineRule="auto"/>
        <w:tabs>
          <w:tab w:leader="none" w:pos="628"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Return of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Wasserfuhr represents and warrants that he (a) has returned to USAT or destroyed every confidential or</w:t>
      </w:r>
      <w:r>
        <w:rPr>
          <w:rFonts w:ascii="Arial" w:cs="Arial" w:eastAsia="Arial" w:hAnsi="Arial"/>
          <w:sz w:val="20"/>
          <w:szCs w:val="20"/>
          <w:b w:val="1"/>
          <w:bCs w:val="1"/>
          <w:color w:val="auto"/>
        </w:rPr>
        <w:t xml:space="preserve"> </w:t>
      </w:r>
      <w:r>
        <w:rPr>
          <w:rFonts w:ascii="Arial" w:cs="Arial" w:eastAsia="Arial" w:hAnsi="Arial"/>
          <w:sz w:val="20"/>
          <w:szCs w:val="20"/>
          <w:color w:val="auto"/>
        </w:rPr>
        <w:t>proprietary document in his individual, personal, or collective possession, custody, or control that he accessed and/or acquired as a result of his employment with or consulting work with USAT (“USAT’s Documents”); (b) has not retained a copy or other reproduction of USAT’s Documents; and (c) has not disclosed and will not disclose any of USAT’s Documents or their contents to any third party. “Document” should be understood to have the broadest possible meaning under the Federal Rules of Civil Procedure. Wasserfuhr understands and agrees that this provision is an integral part of this Agreement, and a breach of this provision by Wasserfuhr will be considered a material breach of this Agreement.</w:t>
      </w:r>
    </w:p>
    <w:p>
      <w:pPr>
        <w:spacing w:after="0" w:line="158" w:lineRule="exact"/>
        <w:rPr>
          <w:rFonts w:ascii="Arial" w:cs="Arial" w:eastAsia="Arial" w:hAnsi="Arial"/>
          <w:sz w:val="20"/>
          <w:szCs w:val="20"/>
          <w:b w:val="1"/>
          <w:bCs w:val="1"/>
          <w:color w:val="auto"/>
        </w:rPr>
      </w:pPr>
    </w:p>
    <w:p>
      <w:pPr>
        <w:jc w:val="both"/>
        <w:ind w:firstLine="8"/>
        <w:spacing w:after="0" w:line="253" w:lineRule="auto"/>
        <w:tabs>
          <w:tab w:leader="none" w:pos="639"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Third Party Beneficiary.</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expressly acknowledge and agree that the USAT Releasees are intended third party</w:t>
      </w:r>
      <w:r>
        <w:rPr>
          <w:rFonts w:ascii="Arial" w:cs="Arial" w:eastAsia="Arial" w:hAnsi="Arial"/>
          <w:sz w:val="20"/>
          <w:szCs w:val="20"/>
          <w:b w:val="1"/>
          <w:bCs w:val="1"/>
          <w:color w:val="auto"/>
        </w:rPr>
        <w:t xml:space="preserve"> </w:t>
      </w:r>
      <w:r>
        <w:rPr>
          <w:rFonts w:ascii="Arial" w:cs="Arial" w:eastAsia="Arial" w:hAnsi="Arial"/>
          <w:sz w:val="20"/>
          <w:szCs w:val="20"/>
          <w:color w:val="auto"/>
        </w:rPr>
        <w:t>beneficiaries of this Agreement and that each of them shall have the full right to enforce this Agreement in accordance with its terms as if he, she, or it were a signatory hereto.</w:t>
      </w:r>
    </w:p>
    <w:p>
      <w:pPr>
        <w:spacing w:after="0" w:line="163" w:lineRule="exact"/>
        <w:rPr>
          <w:rFonts w:ascii="Arial" w:cs="Arial" w:eastAsia="Arial" w:hAnsi="Arial"/>
          <w:sz w:val="20"/>
          <w:szCs w:val="20"/>
          <w:b w:val="1"/>
          <w:bCs w:val="1"/>
          <w:color w:val="auto"/>
        </w:rPr>
      </w:pPr>
    </w:p>
    <w:p>
      <w:pPr>
        <w:jc w:val="both"/>
        <w:ind w:firstLine="8"/>
        <w:spacing w:after="0" w:line="346" w:lineRule="auto"/>
        <w:tabs>
          <w:tab w:leader="none" w:pos="639"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Merger and Integration.</w:t>
      </w:r>
      <w:r>
        <w:rPr>
          <w:rFonts w:ascii="Arial" w:cs="Arial" w:eastAsia="Arial" w:hAnsi="Arial"/>
          <w:sz w:val="16"/>
          <w:szCs w:val="16"/>
          <w:b w:val="1"/>
          <w:bCs w:val="1"/>
          <w:color w:val="auto"/>
        </w:rPr>
        <w:t xml:space="preserve"> </w:t>
      </w:r>
      <w:r>
        <w:rPr>
          <w:rFonts w:ascii="Arial" w:cs="Arial" w:eastAsia="Arial" w:hAnsi="Arial"/>
          <w:sz w:val="16"/>
          <w:szCs w:val="16"/>
          <w:color w:val="auto"/>
        </w:rPr>
        <w:t>It is expressly agreed that this Agreement constitutes a full and final settlement and release of all claims</w:t>
      </w:r>
      <w:r>
        <w:rPr>
          <w:rFonts w:ascii="Arial" w:cs="Arial" w:eastAsia="Arial" w:hAnsi="Arial"/>
          <w:sz w:val="16"/>
          <w:szCs w:val="16"/>
          <w:b w:val="1"/>
          <w:bCs w:val="1"/>
          <w:color w:val="auto"/>
        </w:rPr>
        <w:t xml:space="preserve"> </w:t>
      </w:r>
      <w:r>
        <w:rPr>
          <w:rFonts w:ascii="Arial" w:cs="Arial" w:eastAsia="Arial" w:hAnsi="Arial"/>
          <w:sz w:val="16"/>
          <w:szCs w:val="16"/>
          <w:color w:val="auto"/>
        </w:rPr>
        <w:t>identified herein. The Parties agree that this Agreement contains the entire agreement between the Parties with respect to the issues addressed herein. This Agreement may not be changed, modified, amended, or altered except by written agreement signed by all Parties hereto. This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5</w:t>
      </w:r>
      <w:r>
        <w:rPr>
          <w:rFonts w:ascii="Arial" w:cs="Arial" w:eastAsia="Arial" w:hAnsi="Arial"/>
          <w:sz w:val="20"/>
          <w:szCs w:val="20"/>
          <w:color w:val="auto"/>
        </w:rPr>
        <w:t xml:space="preserve"> of 8</w:t>
      </w:r>
    </w:p>
    <w:p>
      <w:pPr>
        <w:sectPr>
          <w:pgSz w:w="11900" w:h="16838" w:orient="portrait"/>
          <w:cols w:equalWidth="0" w:num="1">
            <w:col w:w="11240"/>
          </w:cols>
          <w:pgMar w:left="320" w:top="1291" w:right="339" w:bottom="1440" w:gutter="0" w:footer="0" w:header="0"/>
        </w:sectPr>
      </w:pPr>
    </w:p>
    <w:bookmarkStart w:id="96" w:name="page97"/>
    <w:bookmarkEnd w:id="96"/>
    <w:p>
      <w:pPr>
        <w:jc w:val="both"/>
        <w:spacing w:after="0" w:line="250" w:lineRule="auto"/>
        <w:rPr>
          <w:sz w:val="20"/>
          <w:szCs w:val="20"/>
          <w:color w:val="auto"/>
        </w:rPr>
      </w:pPr>
      <w:r>
        <w:rPr>
          <w:rFonts w:ascii="Arial" w:cs="Arial" w:eastAsia="Arial" w:hAnsi="Arial"/>
          <w:sz w:val="20"/>
          <w:szCs w:val="20"/>
          <w:color w:val="auto"/>
        </w:rPr>
        <w:t>Agreement supersedes all prior agreements and understandings between Wasserfuhr and USAT, with the exception of all post-employment confidentiality obligations owed by Wasserfuhr to USAT pursuant to the last bullet point on page four (4) of the March 2, 2020 employment agreement Wasserfuhr entered into with USAT, which shall remain intact and enforceable.</w:t>
      </w:r>
    </w:p>
    <w:p>
      <w:pPr>
        <w:spacing w:after="0" w:line="153" w:lineRule="exact"/>
        <w:rPr>
          <w:sz w:val="20"/>
          <w:szCs w:val="20"/>
          <w:color w:val="auto"/>
        </w:rPr>
      </w:pPr>
    </w:p>
    <w:p>
      <w:pPr>
        <w:ind w:firstLine="8"/>
        <w:spacing w:after="0" w:line="323" w:lineRule="auto"/>
        <w:tabs>
          <w:tab w:leader="none" w:pos="639"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clause or provision herein shall be adjudged invalid or unenforceable by a court of competent jurisdiction or by</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of any applicable law, it shall not affect the validity of any other clause or provision, which shall remain in full force and effect.</w:t>
      </w:r>
    </w:p>
    <w:p>
      <w:pPr>
        <w:spacing w:after="0" w:line="104" w:lineRule="exact"/>
        <w:rPr>
          <w:rFonts w:ascii="Arial" w:cs="Arial" w:eastAsia="Arial" w:hAnsi="Arial"/>
          <w:sz w:val="18"/>
          <w:szCs w:val="18"/>
          <w:b w:val="1"/>
          <w:bCs w:val="1"/>
          <w:color w:val="auto"/>
        </w:rPr>
      </w:pPr>
    </w:p>
    <w:p>
      <w:pPr>
        <w:jc w:val="both"/>
        <w:ind w:right="20" w:firstLine="8"/>
        <w:spacing w:after="0" w:line="248" w:lineRule="auto"/>
        <w:tabs>
          <w:tab w:leader="none" w:pos="639"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Capacity.</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warrant and represent that they have not sold, assigned, granted, conveyed, or transferred to any other entity or</w:t>
      </w:r>
      <w:r>
        <w:rPr>
          <w:rFonts w:ascii="Arial" w:cs="Arial" w:eastAsia="Arial" w:hAnsi="Arial"/>
          <w:sz w:val="20"/>
          <w:szCs w:val="20"/>
          <w:b w:val="1"/>
          <w:bCs w:val="1"/>
          <w:color w:val="auto"/>
        </w:rPr>
        <w:t xml:space="preserve"> </w:t>
      </w:r>
      <w:r>
        <w:rPr>
          <w:rFonts w:ascii="Arial" w:cs="Arial" w:eastAsia="Arial" w:hAnsi="Arial"/>
          <w:sz w:val="20"/>
          <w:szCs w:val="20"/>
          <w:color w:val="auto"/>
        </w:rPr>
        <w:t>person any of the rights, obligations, claims, demands, actions, or causes of action described herein. The Parties have full legal and mental capacity to enter into, execute, and perform the terms and conditions contained in this Agreement and have entered into the Agreement voluntarily.</w:t>
      </w:r>
    </w:p>
    <w:p>
      <w:pPr>
        <w:spacing w:after="0" w:line="169" w:lineRule="exact"/>
        <w:rPr>
          <w:rFonts w:ascii="Arial" w:cs="Arial" w:eastAsia="Arial" w:hAnsi="Arial"/>
          <w:sz w:val="20"/>
          <w:szCs w:val="20"/>
          <w:b w:val="1"/>
          <w:bCs w:val="1"/>
          <w:color w:val="auto"/>
        </w:rPr>
      </w:pPr>
    </w:p>
    <w:p>
      <w:pPr>
        <w:jc w:val="both"/>
        <w:ind w:firstLine="8"/>
        <w:spacing w:after="0" w:line="253" w:lineRule="auto"/>
        <w:tabs>
          <w:tab w:leader="none" w:pos="639"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binding upon and shall inure to the benefit of the Parties hereto and their respective</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assigns. Wasserfuhr’s rights and obligations under this Agreement may not be assigned, sold, or transferred and any purported assignment, transfer, or sale shall be void.</w:t>
      </w:r>
    </w:p>
    <w:p>
      <w:pPr>
        <w:spacing w:after="0" w:line="150" w:lineRule="exact"/>
        <w:rPr>
          <w:rFonts w:ascii="Arial" w:cs="Arial" w:eastAsia="Arial" w:hAnsi="Arial"/>
          <w:sz w:val="20"/>
          <w:szCs w:val="20"/>
          <w:b w:val="1"/>
          <w:bCs w:val="1"/>
          <w:color w:val="auto"/>
        </w:rPr>
      </w:pPr>
    </w:p>
    <w:p>
      <w:pPr>
        <w:ind w:firstLine="8"/>
        <w:spacing w:after="0" w:line="267" w:lineRule="auto"/>
        <w:tabs>
          <w:tab w:leader="none" w:pos="639"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Headings.</w:t>
      </w:r>
      <w:r>
        <w:rPr>
          <w:rFonts w:ascii="Arial" w:cs="Arial" w:eastAsia="Arial" w:hAnsi="Arial"/>
          <w:sz w:val="20"/>
          <w:szCs w:val="20"/>
          <w:b w:val="1"/>
          <w:bCs w:val="1"/>
          <w:color w:val="auto"/>
        </w:rPr>
        <w:t xml:space="preserve"> </w:t>
      </w:r>
      <w:r>
        <w:rPr>
          <w:rFonts w:ascii="Arial" w:cs="Arial" w:eastAsia="Arial" w:hAnsi="Arial"/>
          <w:sz w:val="20"/>
          <w:szCs w:val="20"/>
          <w:color w:val="auto"/>
        </w:rPr>
        <w:t>The headings used in this Agreement are for convenience only and are not a part of this Agreement nor affect the</w:t>
      </w:r>
      <w:r>
        <w:rPr>
          <w:rFonts w:ascii="Arial" w:cs="Arial" w:eastAsia="Arial" w:hAnsi="Arial"/>
          <w:sz w:val="20"/>
          <w:szCs w:val="20"/>
          <w:b w:val="1"/>
          <w:bCs w:val="1"/>
          <w:color w:val="auto"/>
        </w:rPr>
        <w:t xml:space="preserve"> </w:t>
      </w:r>
      <w:r>
        <w:rPr>
          <w:rFonts w:ascii="Arial" w:cs="Arial" w:eastAsia="Arial" w:hAnsi="Arial"/>
          <w:sz w:val="20"/>
          <w:szCs w:val="20"/>
          <w:color w:val="auto"/>
        </w:rPr>
        <w:t>interpretation of any of its provisions.</w:t>
      </w:r>
    </w:p>
    <w:p>
      <w:pPr>
        <w:spacing w:after="0" w:line="149" w:lineRule="exact"/>
        <w:rPr>
          <w:rFonts w:ascii="Arial" w:cs="Arial" w:eastAsia="Arial" w:hAnsi="Arial"/>
          <w:sz w:val="20"/>
          <w:szCs w:val="20"/>
          <w:b w:val="1"/>
          <w:bCs w:val="1"/>
          <w:color w:val="auto"/>
        </w:rPr>
      </w:pPr>
    </w:p>
    <w:p>
      <w:pPr>
        <w:jc w:val="both"/>
        <w:ind w:firstLine="8"/>
        <w:spacing w:after="0" w:line="248" w:lineRule="auto"/>
        <w:tabs>
          <w:tab w:leader="none" w:pos="639"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one or more counterparts, at different times and places. Subject to Paragraph 24</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Agreement, when all Parties have executed a counterpart of this Agreement, it shall be binding on all Parties notwithstanding that all of them may not have signed the same counterpart. A facsimile or other copy of an executed counterpart hereof, such as an e-mailed PDF copy, shall have the same effect as an original.</w:t>
      </w:r>
    </w:p>
    <w:p>
      <w:pPr>
        <w:spacing w:after="0" w:line="156" w:lineRule="exact"/>
        <w:rPr>
          <w:rFonts w:ascii="Arial" w:cs="Arial" w:eastAsia="Arial" w:hAnsi="Arial"/>
          <w:sz w:val="20"/>
          <w:szCs w:val="20"/>
          <w:b w:val="1"/>
          <w:bCs w:val="1"/>
          <w:color w:val="auto"/>
        </w:rPr>
      </w:pPr>
    </w:p>
    <w:p>
      <w:pPr>
        <w:ind w:firstLine="8"/>
        <w:spacing w:after="0" w:line="267" w:lineRule="auto"/>
        <w:tabs>
          <w:tab w:leader="none" w:pos="639"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Representation by Counsel.</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to this Agreement have read and understand this Agreement, and they have been</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represented by legal counsel in the negotiation, drafting, and execution of this Agreement.</w:t>
      </w:r>
    </w:p>
    <w:p>
      <w:pPr>
        <w:spacing w:after="0" w:line="149" w:lineRule="exact"/>
        <w:rPr>
          <w:rFonts w:ascii="Arial" w:cs="Arial" w:eastAsia="Arial" w:hAnsi="Arial"/>
          <w:sz w:val="20"/>
          <w:szCs w:val="20"/>
          <w:b w:val="1"/>
          <w:bCs w:val="1"/>
          <w:color w:val="auto"/>
        </w:rPr>
      </w:pPr>
    </w:p>
    <w:p>
      <w:pPr>
        <w:jc w:val="both"/>
        <w:ind w:firstLine="8"/>
        <w:spacing w:after="0" w:line="253" w:lineRule="auto"/>
        <w:tabs>
          <w:tab w:leader="none" w:pos="639"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Construction.</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has been jointly negotiated and drafted by the Parties through their respective counsel, and no</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 shall be construed or interpreted for or against any of the Parties on the basis that such provision, or any other provisions or the Agreement as a whole, was purportedly drafted by a particular Party.</w:t>
      </w:r>
    </w:p>
    <w:p>
      <w:pPr>
        <w:spacing w:after="0" w:line="163" w:lineRule="exact"/>
        <w:rPr>
          <w:rFonts w:ascii="Arial" w:cs="Arial" w:eastAsia="Arial" w:hAnsi="Arial"/>
          <w:sz w:val="20"/>
          <w:szCs w:val="20"/>
          <w:b w:val="1"/>
          <w:bCs w:val="1"/>
          <w:color w:val="auto"/>
        </w:rPr>
      </w:pPr>
    </w:p>
    <w:p>
      <w:pPr>
        <w:ind w:firstLine="8"/>
        <w:spacing w:after="0" w:line="293" w:lineRule="auto"/>
        <w:tabs>
          <w:tab w:leader="none" w:pos="639"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is made and entered into in the State of Georgia and will in all material respects be interpreted,</w:t>
      </w:r>
      <w:r>
        <w:rPr>
          <w:rFonts w:ascii="Arial" w:cs="Arial" w:eastAsia="Arial" w:hAnsi="Arial"/>
          <w:sz w:val="19"/>
          <w:szCs w:val="19"/>
          <w:b w:val="1"/>
          <w:bCs w:val="1"/>
          <w:color w:val="auto"/>
        </w:rPr>
        <w:t xml:space="preserve"> </w:t>
      </w:r>
      <w:r>
        <w:rPr>
          <w:rFonts w:ascii="Arial" w:cs="Arial" w:eastAsia="Arial" w:hAnsi="Arial"/>
          <w:sz w:val="19"/>
          <w:szCs w:val="19"/>
          <w:color w:val="auto"/>
        </w:rPr>
        <w:t>enforced, and governed under the laws of said state, without giving effect to any choice of law or conflict of law principles.</w:t>
      </w:r>
    </w:p>
    <w:p>
      <w:pPr>
        <w:spacing w:after="0" w:line="114" w:lineRule="exact"/>
        <w:rPr>
          <w:rFonts w:ascii="Arial" w:cs="Arial" w:eastAsia="Arial" w:hAnsi="Arial"/>
          <w:sz w:val="19"/>
          <w:szCs w:val="19"/>
          <w:b w:val="1"/>
          <w:bCs w:val="1"/>
          <w:color w:val="auto"/>
        </w:rPr>
      </w:pPr>
    </w:p>
    <w:p>
      <w:pPr>
        <w:jc w:val="both"/>
        <w:ind w:firstLine="8"/>
        <w:spacing w:after="0" w:line="258" w:lineRule="auto"/>
        <w:tabs>
          <w:tab w:leader="none" w:pos="639"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Attorneys’ Fees and Costs.</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otherwise provided herein, USAT and Wasserfuhr shall each bear their own costs and</w:t>
      </w:r>
      <w:r>
        <w:rPr>
          <w:rFonts w:ascii="Arial" w:cs="Arial" w:eastAsia="Arial" w:hAnsi="Arial"/>
          <w:sz w:val="19"/>
          <w:szCs w:val="19"/>
          <w:b w:val="1"/>
          <w:bCs w:val="1"/>
          <w:color w:val="auto"/>
        </w:rPr>
        <w:t xml:space="preserve"> </w:t>
      </w:r>
      <w:r>
        <w:rPr>
          <w:rFonts w:ascii="Arial" w:cs="Arial" w:eastAsia="Arial" w:hAnsi="Arial"/>
          <w:sz w:val="19"/>
          <w:szCs w:val="19"/>
          <w:color w:val="auto"/>
        </w:rPr>
        <w:t>attorneys’ fees incurred in connection with the Lawsuit, the preparation of this Agreement, or any other matter existing as of the Effective Date arising out of or relating to Wasserfuhr’s employment or relationship with USAT. If any future litigation or similar adjudicatory proceeding is commenced by any Party to enforce its rights under this Agreement against any other Party, all fees, costs and expenses, including, without limitation, reasonable attorneys’ fees and court costs, incurred by the Party prevailing on any or all issues in such litigation or proceeding shall be reimbursed by the non-prevailing Party; provided, that if a Party to such litigation, action, arbitration or proceeding prevails in part, and loses in part, the court or other adjudicator presiding over such litigation or proceeding shall award a reimbursement of the fees, costs and expenses incurred by such Party on an equitable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6</w:t>
      </w:r>
      <w:r>
        <w:rPr>
          <w:rFonts w:ascii="Arial" w:cs="Arial" w:eastAsia="Arial" w:hAnsi="Arial"/>
          <w:sz w:val="20"/>
          <w:szCs w:val="20"/>
          <w:color w:val="auto"/>
        </w:rPr>
        <w:t xml:space="preserve"> of 8</w:t>
      </w:r>
    </w:p>
    <w:p>
      <w:pPr>
        <w:sectPr>
          <w:pgSz w:w="11900" w:h="16838" w:orient="portrait"/>
          <w:cols w:equalWidth="0" w:num="1">
            <w:col w:w="11240"/>
          </w:cols>
          <w:pgMar w:left="320" w:top="1297" w:right="339" w:bottom="1440" w:gutter="0" w:footer="0" w:header="0"/>
        </w:sectPr>
      </w:pPr>
    </w:p>
    <w:bookmarkStart w:id="97" w:name="page98"/>
    <w:bookmarkEnd w:id="97"/>
    <w:p>
      <w:pPr>
        <w:jc w:val="both"/>
        <w:ind w:firstLine="8"/>
        <w:spacing w:after="0" w:line="243" w:lineRule="auto"/>
        <w:tabs>
          <w:tab w:leader="none" w:pos="639"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Breach and Remedies.</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agree and acknowledge that it will be impossible to measure in money the damage that USAT</w:t>
      </w:r>
      <w:r>
        <w:rPr>
          <w:rFonts w:ascii="Arial" w:cs="Arial" w:eastAsia="Arial" w:hAnsi="Arial"/>
          <w:sz w:val="20"/>
          <w:szCs w:val="20"/>
          <w:b w:val="1"/>
          <w:bCs w:val="1"/>
          <w:color w:val="auto"/>
        </w:rPr>
        <w:t xml:space="preserve"> </w:t>
      </w:r>
      <w:r>
        <w:rPr>
          <w:rFonts w:ascii="Arial" w:cs="Arial" w:eastAsia="Arial" w:hAnsi="Arial"/>
          <w:sz w:val="20"/>
          <w:szCs w:val="20"/>
          <w:color w:val="auto"/>
        </w:rPr>
        <w:t>would be suffer if Wasserfuhr fails to comply with any of the obligations set forth in this Agreement and that in the event of any such failure, USAT will be irreparably damaged and will not have an adequate remedy at law. USAT shall, therefore, be entitled (in addition to any other remedy to which it may be entitled in law or in equity) to injunctive relief, without the necessity of posting bond, including specific performance, to enforce such obligations, and if any action should be brought in equity to enforce any of the provisions of this Agreement, Wasserfuhr shall not raise the defense that there is an adequate remedy at law. Upon determination by a court of competent jurisdiction that Wasserfuhr committed a material breach of this Agreement, USAT shall be entitled to recover and Wasserfuhr required to disgorge the Settlement Sum.</w:t>
      </w:r>
    </w:p>
    <w:p>
      <w:pPr>
        <w:spacing w:after="0" w:line="162" w:lineRule="exact"/>
        <w:rPr>
          <w:rFonts w:ascii="Arial" w:cs="Arial" w:eastAsia="Arial" w:hAnsi="Arial"/>
          <w:sz w:val="20"/>
          <w:szCs w:val="20"/>
          <w:b w:val="1"/>
          <w:bCs w:val="1"/>
          <w:color w:val="auto"/>
        </w:rPr>
      </w:pPr>
    </w:p>
    <w:p>
      <w:pPr>
        <w:jc w:val="both"/>
        <w:ind w:firstLine="8"/>
        <w:spacing w:after="0" w:line="255" w:lineRule="auto"/>
        <w:tabs>
          <w:tab w:leader="none" w:pos="639"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Acknowledgment of Rights and Waiver of Claims under the Age Discrimination in Employment Act.</w:t>
      </w:r>
      <w:r>
        <w:rPr>
          <w:rFonts w:ascii="Arial" w:cs="Arial" w:eastAsia="Arial" w:hAnsi="Arial"/>
          <w:sz w:val="19"/>
          <w:szCs w:val="19"/>
          <w:b w:val="1"/>
          <w:bCs w:val="1"/>
          <w:color w:val="auto"/>
        </w:rPr>
        <w:t xml:space="preserve"> </w:t>
      </w:r>
      <w:r>
        <w:rPr>
          <w:rFonts w:ascii="Arial" w:cs="Arial" w:eastAsia="Arial" w:hAnsi="Arial"/>
          <w:sz w:val="19"/>
          <w:szCs w:val="19"/>
          <w:color w:val="auto"/>
        </w:rPr>
        <w:t>By signing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Wasserfuhr acknowledges that he is knowingly and voluntarily waiving and releasing any rights he may have under the Age Discrimination in Employment Act. Wasserfuhr also acknowledges that the consideration given for this waiver and release is in addition to anything of value to which he was already entitled. Wasserfuhr further acknowledges that he has been advised that: (a) his waiver and release does not apply to any rights or claims that may arise after the Effective Date of this Agreement; (b) he has at least twenty-one (21) days to consider this Agreement (although Wasserfuhr may choose to execute this Agreement earlier); (c) he has seven (7) days following his execution of this Agreement to revoke the Agreement; and (d) this Agreement shall not be effective until the date upon which the revocation period has expired. Wasserfuhr further acknowledges that he was advised to, and has, consulted with his attorney before signing this Agreement. Wasserfuhr may revoke this Agreement only by delivering written notice of revocation by overnight courier to Nathan D. Chapman, Kabat Chapman &amp; Ozmer LLP, 171 17th Street NW, Suite 1550, Atlanta, Georgia, 30363, within the seven (7) day revocation period. Wasserfuhr further understands that this Agreement shall not become effective or enforceable until the seven (7) day revocation period has expired without his revocation. For the avoidance of doubt, Wasserfuhr’s seven (7) day revocation period shall begin to run from the date he signs this Agreement. Wasserfuhr shall have seven (7) days, and no more, to revoke his Agreement from the date he signs this Agreement.</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WASSERFUHR AFFIRMS THAT HE HAS CONSULTED WITH HIS ATTORNEY PRIOR TO SIGNING THIS AGREEMENT, THAT HE HAS PERSONALLY READ THE AGREEMENT AND THAT HE IS ENTERING INTO THE AGREEMENT VOLUNTARILY, WITH FULL UNDERSTANDING OF ITS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7</w:t>
      </w:r>
      <w:r>
        <w:rPr>
          <w:rFonts w:ascii="Arial" w:cs="Arial" w:eastAsia="Arial" w:hAnsi="Arial"/>
          <w:sz w:val="20"/>
          <w:szCs w:val="20"/>
          <w:color w:val="auto"/>
        </w:rPr>
        <w:t xml:space="preserve"> of 8</w:t>
      </w:r>
    </w:p>
    <w:p>
      <w:pPr>
        <w:sectPr>
          <w:pgSz w:w="11900" w:h="16838" w:orient="portrait"/>
          <w:cols w:equalWidth="0" w:num="1">
            <w:col w:w="11240"/>
          </w:cols>
          <w:pgMar w:left="320" w:top="1291" w:right="339" w:bottom="1440" w:gutter="0" w:footer="0" w:header="0"/>
        </w:sectPr>
      </w:pPr>
    </w:p>
    <w:bookmarkStart w:id="98" w:name="page99"/>
    <w:bookmarkEnd w:id="98"/>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MICHAEL WASSERFUHR</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/s/ Michael Wasserfuhr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2877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Michael Wasserfuhr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Date: March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-14605</wp:posOffset>
            </wp:positionV>
            <wp:extent cx="9245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USA TECHNOLOGIES, INC.</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By: /s/ Sean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9144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Its: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-14605</wp:posOffset>
            </wp:positionV>
            <wp:extent cx="3771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Date:March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-14605</wp:posOffset>
            </wp:positionV>
            <wp:extent cx="9245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SEAN FEENEY</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/s/ Sean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9144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Sean Feeney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Date:March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-14605</wp:posOffset>
            </wp:positionV>
            <wp:extent cx="9245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DOUGLAS BERGERON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/s/ Douglas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1912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Douglas Bergeron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Date: March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-14605</wp:posOffset>
            </wp:positionV>
            <wp:extent cx="9245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924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0"/>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8</w:t>
      </w:r>
      <w:r>
        <w:rPr>
          <w:rFonts w:ascii="Arial" w:cs="Arial" w:eastAsia="Arial" w:hAnsi="Arial"/>
          <w:sz w:val="20"/>
          <w:szCs w:val="20"/>
          <w:color w:val="auto"/>
        </w:rPr>
        <w:t xml:space="preserve"> of 8</w:t>
      </w:r>
    </w:p>
    <w:p>
      <w:pPr>
        <w:sectPr>
          <w:pgSz w:w="11900" w:h="16838" w:orient="portrait"/>
          <w:cols w:equalWidth="0" w:num="2">
            <w:col w:w="4300" w:space="720"/>
            <w:col w:w="5039"/>
          </w:cols>
          <w:pgMar w:left="400" w:top="1440" w:right="1440" w:bottom="1440" w:gutter="0" w:footer="0" w:header="0"/>
        </w:sectPr>
      </w:pPr>
    </w:p>
    <w:bookmarkStart w:id="99" w:name="page100"/>
    <w:bookmarkEnd w:id="9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0" w:name="page101"/>
    <w:bookmarkEnd w:id="100"/>
    <w:p>
      <w:pPr>
        <w:jc w:val="right"/>
        <w:spacing w:after="0"/>
        <w:rPr>
          <w:sz w:val="20"/>
          <w:szCs w:val="20"/>
          <w:color w:val="auto"/>
        </w:rPr>
      </w:pPr>
      <w:r>
        <w:rPr>
          <w:rFonts w:ascii="Arial" w:cs="Arial" w:eastAsia="Arial" w:hAnsi="Arial"/>
          <w:sz w:val="20"/>
          <w:szCs w:val="20"/>
          <w:b w:val="1"/>
          <w:bCs w:val="1"/>
          <w:color w:val="auto"/>
        </w:rPr>
        <w:t>Exhibit 10.10.2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CANTALOUPE,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EQUITY INCENTIVE PLAN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NON-QUALIFIED STOCK OPTION GRANT AND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256" w:lineRule="exact"/>
        <w:rPr>
          <w:sz w:val="20"/>
          <w:szCs w:val="20"/>
          <w:color w:val="auto"/>
        </w:rPr>
      </w:pPr>
    </w:p>
    <w:p>
      <w:pPr>
        <w:jc w:val="both"/>
        <w:ind w:firstLine="321"/>
        <w:spacing w:after="0" w:line="292" w:lineRule="auto"/>
        <w:rPr>
          <w:sz w:val="20"/>
          <w:szCs w:val="20"/>
          <w:color w:val="auto"/>
        </w:rPr>
      </w:pPr>
      <w:r>
        <w:rPr>
          <w:rFonts w:ascii="Arial" w:cs="Arial" w:eastAsia="Arial" w:hAnsi="Arial"/>
          <w:sz w:val="19"/>
          <w:szCs w:val="19"/>
          <w:color w:val="auto"/>
        </w:rPr>
        <w:t>Cantaloupe, Inc., a Pennsylvania corporation, f/k/a USA Technologies, Inc. (the “Company”), pursuant to its 2018 Equity Incentive Plan (as amended from time to time, the “Plan”) hereby grants to the holder listed below (the “Participant”) a non-qualified stock option (the “Option”) to purchase the number of shares of common stock, no par value, of the Company (the “Shares”) set forth below. The Option is subject to the terms and conditions set forth herein, including in the Notice of Non-Qualified Stock Option Grant attached at the end of this document (the “Notice”) and the following Non-Qualified Stock Option Agreement (together with the Notice, the “Agreement”), and in the Plan, each of which is incorporated herein by reference. Capitalized terms used but not defined in this document shall have the meanings given to them in the Plan.</w:t>
      </w:r>
    </w:p>
    <w:p>
      <w:pPr>
        <w:spacing w:after="0" w:line="178" w:lineRule="exact"/>
        <w:rPr>
          <w:sz w:val="20"/>
          <w:szCs w:val="20"/>
          <w:color w:val="auto"/>
        </w:rPr>
      </w:pPr>
    </w:p>
    <w:p>
      <w:pPr>
        <w:jc w:val="both"/>
        <w:ind w:firstLine="250"/>
        <w:spacing w:after="0" w:line="261" w:lineRule="auto"/>
        <w:rPr>
          <w:sz w:val="20"/>
          <w:szCs w:val="20"/>
          <w:color w:val="auto"/>
        </w:rPr>
      </w:pPr>
      <w:r>
        <w:rPr>
          <w:rFonts w:ascii="Arial" w:cs="Arial" w:eastAsia="Arial" w:hAnsi="Arial"/>
          <w:sz w:val="21"/>
          <w:szCs w:val="21"/>
          <w:color w:val="auto"/>
        </w:rPr>
        <w:t>By Participant’s electronic acceptance on this site, Participant agrees to be bound by the terms and conditions of the Plan and the Agreement (including, without limitation, the Notice). Participant has reviewed the Plan and the Agreement (including, without limitation, the Notice) in their entirety, has had an opportunity to obtain the advice of counsel prior to executing the Agreement, and fully understands all provisions of the Plan and the Agreement (including, without limitation, the Notice). Participant hereby accepts as binding, conclusive, and final all decisions or interpretations of the Committee upon any questions arising under the Plan or the Agreement (including, without limitation, the Notice).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Your detailed award information can be found in the Notice, which is attached at the end of this document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[CTLP – Non-Qualified Stock Option Award Documentation – 2018 Equity Incentive Plan]</w:t>
      </w:r>
    </w:p>
    <w:p>
      <w:pPr>
        <w:sectPr>
          <w:pgSz w:w="11900" w:h="16838" w:orient="portrait"/>
          <w:cols w:equalWidth="0" w:num="1">
            <w:col w:w="11240"/>
          </w:cols>
          <w:pgMar w:left="320" w:top="1413" w:right="339" w:bottom="1440" w:gutter="0" w:footer="0" w:header="0"/>
        </w:sectPr>
      </w:pPr>
    </w:p>
    <w:bookmarkStart w:id="101" w:name="page102"/>
    <w:bookmarkEnd w:id="101"/>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CANTALOUPE,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EQUITY INCENTIVE PLAN</w:t>
      </w:r>
    </w:p>
    <w:p>
      <w:pPr>
        <w:spacing w:after="0" w:line="2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9"/>
          <w:szCs w:val="19"/>
          <w:color w:val="auto"/>
        </w:rPr>
        <w:t>This Non-Qualified Stock Option Agreement (together with the Notice of Non-Qualified Stock Option Grant (“Notice”) attached hereto , the “Agreement”) made as of the Grant Date set forth in the Notice, by and between the Participant set forth in the Notice (the “Original Grantee,” or together with any permitted assignee or transferee of this option under Section 9 hereof, the “Grantee”) and CANTALOUPE, INC., a Pennsylvania corporation, f/k/a USA Technologies, Inc. (the “Company”).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BACKGROUND</w:t>
      </w:r>
    </w:p>
    <w:p>
      <w:pPr>
        <w:spacing w:after="0" w:line="4" w:lineRule="exact"/>
        <w:rPr>
          <w:sz w:val="20"/>
          <w:szCs w:val="20"/>
          <w:color w:val="auto"/>
        </w:rPr>
      </w:pPr>
    </w:p>
    <w:p>
      <w:pPr>
        <w:jc w:val="both"/>
        <w:ind w:firstLine="238"/>
        <w:spacing w:after="0" w:line="243" w:lineRule="auto"/>
        <w:rPr>
          <w:sz w:val="20"/>
          <w:szCs w:val="20"/>
          <w:color w:val="auto"/>
        </w:rPr>
      </w:pPr>
      <w:r>
        <w:rPr>
          <w:rFonts w:ascii="Arial" w:cs="Arial" w:eastAsia="Arial" w:hAnsi="Arial"/>
          <w:sz w:val="22"/>
          <w:szCs w:val="22"/>
          <w:color w:val="auto"/>
        </w:rPr>
        <w:t>Original Grantee is providing services to the Company. The Company’s 2018 Equity Incentive Plan (as amended from time to time, the “Plan”) provides for Awards based upon the Common Stock of the Company. The Company has determined to make an award to Original Grantee of an Option to purchase Shares, as further set forth below. Capitalized terms used but not defined herein shall have the meanings given to such terms in the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covenants set forth herein, and intending to be legally bound hereby,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Company and Original Grantee agree as follows:</w:t>
      </w:r>
    </w:p>
    <w:p>
      <w:pPr>
        <w:spacing w:after="0" w:line="4" w:lineRule="exact"/>
        <w:rPr>
          <w:sz w:val="20"/>
          <w:szCs w:val="20"/>
          <w:color w:val="auto"/>
        </w:rPr>
      </w:pPr>
    </w:p>
    <w:p>
      <w:pPr>
        <w:jc w:val="both"/>
        <w:ind w:firstLine="8"/>
        <w:spacing w:after="0" w:line="295" w:lineRule="auto"/>
        <w:tabs>
          <w:tab w:leader="none" w:pos="216" w:val="left"/>
        </w:tabs>
        <w:numPr>
          <w:ilvl w:val="0"/>
          <w:numId w:val="40"/>
        </w:numPr>
        <w:rPr>
          <w:rFonts w:ascii="Arial" w:cs="Arial" w:eastAsia="Arial" w:hAnsi="Arial"/>
          <w:sz w:val="19"/>
          <w:szCs w:val="19"/>
          <w:color w:val="auto"/>
        </w:rPr>
      </w:pPr>
      <w:r>
        <w:rPr>
          <w:rFonts w:ascii="Arial" w:cs="Arial" w:eastAsia="Arial" w:hAnsi="Arial"/>
          <w:sz w:val="19"/>
          <w:szCs w:val="19"/>
          <w:b w:val="1"/>
          <w:bCs w:val="1"/>
          <w:u w:val="single" w:color="auto"/>
          <w:color w:val="auto"/>
        </w:rPr>
        <w:t>Grant of Option</w:t>
      </w:r>
      <w:r>
        <w:rPr>
          <w:rFonts w:ascii="Arial" w:cs="Arial" w:eastAsia="Arial" w:hAnsi="Arial"/>
          <w:sz w:val="19"/>
          <w:szCs w:val="19"/>
          <w:color w:val="auto"/>
        </w:rPr>
        <w:t>. Subject to the terms hereof, the Company hereby grants to the Original Grantee an Option to purchase the</w:t>
      </w:r>
      <w:r>
        <w:rPr>
          <w:rFonts w:ascii="Arial" w:cs="Arial" w:eastAsia="Arial" w:hAnsi="Arial"/>
          <w:sz w:val="19"/>
          <w:szCs w:val="19"/>
          <w:b w:val="1"/>
          <w:bCs w:val="1"/>
          <w:color w:val="auto"/>
        </w:rPr>
        <w:t xml:space="preserve"> </w:t>
      </w:r>
      <w:r>
        <w:rPr>
          <w:rFonts w:ascii="Arial" w:cs="Arial" w:eastAsia="Arial" w:hAnsi="Arial"/>
          <w:sz w:val="19"/>
          <w:szCs w:val="19"/>
          <w:color w:val="auto"/>
        </w:rPr>
        <w:t>number of Shares set forth in the Notice, at an exercise price per Share set forth in the Notice, pursuant to the Plan. The Option is not currently vested or exercisable and is subject to vesting and forfeiture as more fully described in Section 2 below. The number of Shares subject to, and the exercise price of, the Option shall be subject to adjustment as provided in the Plan.</w:t>
      </w:r>
    </w:p>
    <w:p>
      <w:pPr>
        <w:spacing w:after="0" w:line="170" w:lineRule="exact"/>
        <w:rPr>
          <w:rFonts w:ascii="Arial" w:cs="Arial" w:eastAsia="Arial" w:hAnsi="Arial"/>
          <w:sz w:val="19"/>
          <w:szCs w:val="19"/>
          <w:color w:val="auto"/>
        </w:rPr>
      </w:pPr>
    </w:p>
    <w:p>
      <w:pPr>
        <w:ind w:left="220" w:hanging="212"/>
        <w:spacing w:after="0"/>
        <w:tabs>
          <w:tab w:leader="none" w:pos="220" w:val="left"/>
        </w:tabs>
        <w:numPr>
          <w:ilvl w:val="0"/>
          <w:numId w:val="40"/>
        </w:numPr>
        <w:rPr>
          <w:rFonts w:ascii="Arial" w:cs="Arial" w:eastAsia="Arial" w:hAnsi="Arial"/>
          <w:sz w:val="22"/>
          <w:szCs w:val="22"/>
          <w:color w:val="auto"/>
        </w:rPr>
      </w:pPr>
      <w:r>
        <w:rPr>
          <w:rFonts w:ascii="Arial" w:cs="Arial" w:eastAsia="Arial" w:hAnsi="Arial"/>
          <w:sz w:val="22"/>
          <w:szCs w:val="22"/>
          <w:b w:val="1"/>
          <w:bCs w:val="1"/>
          <w:u w:val="single" w:color="auto"/>
          <w:color w:val="auto"/>
        </w:rPr>
        <w:t>Exercisability of Option</w:t>
      </w:r>
      <w:r>
        <w:rPr>
          <w:rFonts w:ascii="Arial" w:cs="Arial" w:eastAsia="Arial" w:hAnsi="Arial"/>
          <w:sz w:val="22"/>
          <w:szCs w:val="22"/>
          <w:color w:val="auto"/>
        </w:rPr>
        <w:t>.</w:t>
      </w:r>
    </w:p>
    <w:p>
      <w:pPr>
        <w:spacing w:after="0" w:line="266" w:lineRule="exact"/>
        <w:rPr>
          <w:rFonts w:ascii="Arial" w:cs="Arial" w:eastAsia="Arial" w:hAnsi="Arial"/>
          <w:sz w:val="22"/>
          <w:szCs w:val="22"/>
          <w:color w:val="auto"/>
        </w:rPr>
      </w:pPr>
    </w:p>
    <w:p>
      <w:pPr>
        <w:jc w:val="both"/>
        <w:ind w:firstLine="332"/>
        <w:spacing w:after="0" w:line="250" w:lineRule="auto"/>
        <w:tabs>
          <w:tab w:leader="none" w:pos="645" w:val="left"/>
        </w:tabs>
        <w:numPr>
          <w:ilvl w:val="1"/>
          <w:numId w:val="40"/>
        </w:numPr>
        <w:rPr>
          <w:rFonts w:ascii="Arial" w:cs="Arial" w:eastAsia="Arial" w:hAnsi="Arial"/>
          <w:sz w:val="22"/>
          <w:szCs w:val="22"/>
          <w:color w:val="auto"/>
        </w:rPr>
      </w:pPr>
      <w:r>
        <w:rPr>
          <w:rFonts w:ascii="Arial" w:cs="Arial" w:eastAsia="Arial" w:hAnsi="Arial"/>
          <w:sz w:val="22"/>
          <w:szCs w:val="22"/>
          <w:color w:val="auto"/>
        </w:rPr>
        <w:t>Except as otherwise provided in the Plan, the Option shall vest and become exercisable as provided in the Notice. Any portion of the Option that is not vested pursuant to the preceding sentence on the date of Original Grantee’s termination of Service for any reason shall be immediately forfeited on the date of such termination for no consideration. Upon a Change of Control that occurs after the Grant Date, Section 9 of the Plan shall apply.</w:t>
      </w:r>
    </w:p>
    <w:p>
      <w:pPr>
        <w:spacing w:after="0" w:line="214" w:lineRule="exact"/>
        <w:rPr>
          <w:rFonts w:ascii="Arial" w:cs="Arial" w:eastAsia="Arial" w:hAnsi="Arial"/>
          <w:sz w:val="22"/>
          <w:szCs w:val="22"/>
          <w:color w:val="auto"/>
        </w:rPr>
      </w:pPr>
    </w:p>
    <w:p>
      <w:pPr>
        <w:ind w:right="20" w:firstLine="332"/>
        <w:spacing w:after="0" w:line="263" w:lineRule="auto"/>
        <w:tabs>
          <w:tab w:leader="none" w:pos="643" w:val="left"/>
        </w:tabs>
        <w:numPr>
          <w:ilvl w:val="1"/>
          <w:numId w:val="40"/>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if Original Grantee’s Service is terminated for Cause (as defined below), the Option shall immediately terminate and be</w:t>
      </w:r>
    </w:p>
    <w:p>
      <w:pPr>
        <w:sectPr>
          <w:pgSz w:w="11900" w:h="16838" w:orient="portrait"/>
          <w:cols w:equalWidth="0" w:num="1">
            <w:col w:w="11240"/>
          </w:cols>
          <w:pgMar w:left="320" w:top="1440" w:right="3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forfeited for no consideration (regardless of whether the Option, or any portion thereof, is then vested or unvested).</w:t>
      </w:r>
    </w:p>
    <w:p>
      <w:pPr>
        <w:spacing w:after="0" w:line="247"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If Original Grantee is party to an employment or severance agreement with the Company that contains a definition of “cause” for termination of employment, for the purposes of this Agreement, “Cause” shall have the meaning ascribed to such term in such agreement. Otherwise, for the purposes of this Agreement, the term “Cause” shall mean, with respect to the termination of Original Grantee’s employment, termination of such employment by the Company for any of the following reasons, as determined by the Committee: (i) any material act or omission by Original Grantee involving malfeasance or gross negligence in the performance of Original Grantee’s duties to, or material deviation from, any of the provisions of the Employee Handbook or Code of Business Conduct and Ethics, or policies or directives of, the Company; (ii) the conviction of Original Grantee of, or plea of guilty or nolo contendere to, any felony or any other crime involving moral turpitude, whether or not relating to Original Grantee’s employment; (iii) fraud, embezzlement, theft or dishonesty by Original Grantee against the Company; or (iv) violation of any applicable written proprietary information, confidentiality, non-competition and/or non-solicitation agreements with the Company.</w:t>
      </w:r>
    </w:p>
    <w:p>
      <w:pPr>
        <w:spacing w:after="0" w:line="203" w:lineRule="exact"/>
        <w:rPr>
          <w:sz w:val="20"/>
          <w:szCs w:val="20"/>
          <w:color w:val="auto"/>
        </w:rPr>
      </w:pPr>
    </w:p>
    <w:p>
      <w:pPr>
        <w:ind w:left="220" w:hanging="212"/>
        <w:spacing w:after="0"/>
        <w:tabs>
          <w:tab w:leader="none" w:pos="220" w:val="left"/>
        </w:tabs>
        <w:numPr>
          <w:ilvl w:val="0"/>
          <w:numId w:val="41"/>
        </w:numPr>
        <w:rPr>
          <w:rFonts w:ascii="Arial" w:cs="Arial" w:eastAsia="Arial" w:hAnsi="Arial"/>
          <w:sz w:val="22"/>
          <w:szCs w:val="22"/>
          <w:color w:val="auto"/>
        </w:rPr>
      </w:pPr>
      <w:r>
        <w:rPr>
          <w:rFonts w:ascii="Arial" w:cs="Arial" w:eastAsia="Arial" w:hAnsi="Arial"/>
          <w:sz w:val="22"/>
          <w:szCs w:val="22"/>
          <w:b w:val="1"/>
          <w:bCs w:val="1"/>
          <w:u w:val="single" w:color="auto"/>
          <w:color w:val="auto"/>
        </w:rPr>
        <w:t>Term of Option</w:t>
      </w:r>
      <w:r>
        <w:rPr>
          <w:rFonts w:ascii="Arial" w:cs="Arial" w:eastAsia="Arial" w:hAnsi="Arial"/>
          <w:sz w:val="22"/>
          <w:szCs w:val="22"/>
          <w:color w:val="auto"/>
        </w:rPr>
        <w:t>.</w:t>
      </w:r>
    </w:p>
    <w:p>
      <w:pPr>
        <w:spacing w:after="0" w:line="27" w:lineRule="exact"/>
        <w:rPr>
          <w:sz w:val="20"/>
          <w:szCs w:val="20"/>
          <w:color w:val="auto"/>
        </w:rPr>
      </w:pPr>
    </w:p>
    <w:p>
      <w:pPr>
        <w:jc w:val="both"/>
        <w:ind w:firstLine="287"/>
        <w:spacing w:after="0" w:line="243" w:lineRule="auto"/>
        <w:rPr>
          <w:sz w:val="20"/>
          <w:szCs w:val="20"/>
          <w:color w:val="auto"/>
        </w:rPr>
      </w:pPr>
      <w:r>
        <w:rPr>
          <w:rFonts w:ascii="Arial" w:cs="Arial" w:eastAsia="Arial" w:hAnsi="Arial"/>
          <w:sz w:val="22"/>
          <w:szCs w:val="22"/>
          <w:color w:val="auto"/>
        </w:rPr>
        <w:t>Unless the Option is terminated at an earlier date pursuant to the provisions of the Agreement or the Plan, the Option shall expire on the Expiration Date set forth in the Notice. In no event may the Option be exercised after the Expiration Date. Notwithstanding the foregoing, the Option shall automatically terminate prior to the Expiration Date upon the happening of any of the following events:</w:t>
      </w:r>
    </w:p>
    <w:p>
      <w:pPr>
        <w:spacing w:after="0" w:line="1" w:lineRule="exact"/>
        <w:rPr>
          <w:sz w:val="20"/>
          <w:szCs w:val="20"/>
          <w:color w:val="auto"/>
        </w:rPr>
      </w:pPr>
    </w:p>
    <w:p>
      <w:pPr>
        <w:ind w:firstLine="332"/>
        <w:spacing w:after="0" w:line="323" w:lineRule="auto"/>
        <w:tabs>
          <w:tab w:leader="none" w:pos="645" w:val="left"/>
        </w:tabs>
        <w:numPr>
          <w:ilvl w:val="3"/>
          <w:numId w:val="42"/>
        </w:numPr>
        <w:rPr>
          <w:rFonts w:ascii="Arial" w:cs="Arial" w:eastAsia="Arial" w:hAnsi="Arial"/>
          <w:sz w:val="19"/>
          <w:szCs w:val="19"/>
          <w:color w:val="auto"/>
        </w:rPr>
      </w:pPr>
      <w:r>
        <w:rPr>
          <w:rFonts w:ascii="Arial" w:cs="Arial" w:eastAsia="Arial" w:hAnsi="Arial"/>
          <w:sz w:val="19"/>
          <w:szCs w:val="19"/>
          <w:color w:val="auto"/>
        </w:rPr>
        <w:t>The expiration of the three (3)-month period following the Original Grantee’s termination of Service, if the termination of Service is for any reason whatsoever other than death or disability (as defined in Section 22(e)(3) of the Code), or</w:t>
      </w:r>
    </w:p>
    <w:p>
      <w:pPr>
        <w:spacing w:after="0" w:line="149" w:lineRule="exact"/>
        <w:rPr>
          <w:rFonts w:ascii="Arial" w:cs="Arial" w:eastAsia="Arial" w:hAnsi="Arial"/>
          <w:sz w:val="19"/>
          <w:szCs w:val="19"/>
          <w:color w:val="auto"/>
        </w:rPr>
      </w:pPr>
    </w:p>
    <w:p>
      <w:pPr>
        <w:ind w:firstLine="332"/>
        <w:spacing w:after="0" w:line="263" w:lineRule="auto"/>
        <w:tabs>
          <w:tab w:leader="none" w:pos="643" w:val="left"/>
        </w:tabs>
        <w:numPr>
          <w:ilvl w:val="3"/>
          <w:numId w:val="42"/>
        </w:numPr>
        <w:rPr>
          <w:rFonts w:ascii="Arial" w:cs="Arial" w:eastAsia="Arial" w:hAnsi="Arial"/>
          <w:sz w:val="22"/>
          <w:szCs w:val="22"/>
          <w:color w:val="auto"/>
        </w:rPr>
      </w:pPr>
      <w:r>
        <w:rPr>
          <w:rFonts w:ascii="Arial" w:cs="Arial" w:eastAsia="Arial" w:hAnsi="Arial"/>
          <w:sz w:val="22"/>
          <w:szCs w:val="22"/>
          <w:color w:val="auto"/>
        </w:rPr>
        <w:t>The expiration of the twelve (12)-month period after the Original Grantee’s termination of Service on account of the Grantee’s death or disability (as defined in Section 22(e)(3) of the Code).</w:t>
      </w:r>
    </w:p>
    <w:p>
      <w:pPr>
        <w:spacing w:after="0" w:line="195" w:lineRule="exact"/>
        <w:rPr>
          <w:rFonts w:ascii="Arial" w:cs="Arial" w:eastAsia="Arial" w:hAnsi="Arial"/>
          <w:sz w:val="22"/>
          <w:szCs w:val="22"/>
          <w:color w:val="auto"/>
        </w:rPr>
      </w:pPr>
    </w:p>
    <w:p>
      <w:pPr>
        <w:ind w:left="220" w:hanging="212"/>
        <w:spacing w:after="0"/>
        <w:tabs>
          <w:tab w:leader="none" w:pos="220" w:val="left"/>
        </w:tabs>
        <w:numPr>
          <w:ilvl w:val="0"/>
          <w:numId w:val="43"/>
        </w:numPr>
        <w:rPr>
          <w:rFonts w:ascii="Arial" w:cs="Arial" w:eastAsia="Arial" w:hAnsi="Arial"/>
          <w:sz w:val="22"/>
          <w:szCs w:val="22"/>
          <w:color w:val="auto"/>
        </w:rPr>
      </w:pPr>
      <w:r>
        <w:rPr>
          <w:rFonts w:ascii="Arial" w:cs="Arial" w:eastAsia="Arial" w:hAnsi="Arial"/>
          <w:sz w:val="22"/>
          <w:szCs w:val="22"/>
          <w:b w:val="1"/>
          <w:bCs w:val="1"/>
          <w:u w:val="single" w:color="auto"/>
          <w:color w:val="auto"/>
        </w:rPr>
        <w:t>Exercise Procedures</w:t>
      </w:r>
      <w:r>
        <w:rPr>
          <w:rFonts w:ascii="Arial" w:cs="Arial" w:eastAsia="Arial" w:hAnsi="Arial"/>
          <w:sz w:val="22"/>
          <w:szCs w:val="22"/>
          <w:color w:val="auto"/>
        </w:rPr>
        <w:t>.</w:t>
      </w:r>
    </w:p>
    <w:p>
      <w:pPr>
        <w:spacing w:after="0" w:line="252" w:lineRule="exact"/>
        <w:rPr>
          <w:rFonts w:ascii="Arial" w:cs="Arial" w:eastAsia="Arial" w:hAnsi="Arial"/>
          <w:sz w:val="22"/>
          <w:szCs w:val="22"/>
          <w:color w:val="auto"/>
        </w:rPr>
      </w:pPr>
    </w:p>
    <w:p>
      <w:pPr>
        <w:jc w:val="both"/>
        <w:ind w:firstLine="290"/>
        <w:spacing w:after="0" w:line="250" w:lineRule="auto"/>
        <w:tabs>
          <w:tab w:leader="none" w:pos="593" w:val="left"/>
        </w:tabs>
        <w:numPr>
          <w:ilvl w:val="2"/>
          <w:numId w:val="43"/>
        </w:numPr>
        <w:rPr>
          <w:rFonts w:ascii="Arial" w:cs="Arial" w:eastAsia="Arial" w:hAnsi="Arial"/>
          <w:sz w:val="22"/>
          <w:szCs w:val="22"/>
          <w:color w:val="auto"/>
        </w:rPr>
      </w:pPr>
      <w:r>
        <w:rPr>
          <w:rFonts w:ascii="Arial" w:cs="Arial" w:eastAsia="Arial" w:hAnsi="Arial"/>
          <w:sz w:val="22"/>
          <w:szCs w:val="22"/>
          <w:color w:val="auto"/>
        </w:rPr>
        <w:t>The Grantee may exercise the vested portion of the Option only in the following manner: from time to time prior to the Expiration Date of the Option, the Grantee may give written notice (or notice in another form approved by the Committee, including electronic notice) to the Company of Grantee’s election to purchase some or all of the Shares purchasable at the time of such notice. This notice shall specify the number of Shares to be purchased.</w:t>
      </w:r>
    </w:p>
    <w:p>
      <w:pPr>
        <w:spacing w:after="0" w:line="214" w:lineRule="exact"/>
        <w:rPr>
          <w:rFonts w:ascii="Arial" w:cs="Arial" w:eastAsia="Arial" w:hAnsi="Arial"/>
          <w:sz w:val="22"/>
          <w:szCs w:val="22"/>
          <w:color w:val="auto"/>
        </w:rPr>
      </w:pPr>
    </w:p>
    <w:p>
      <w:pPr>
        <w:jc w:val="both"/>
        <w:ind w:firstLine="264"/>
        <w:spacing w:after="0" w:line="253" w:lineRule="auto"/>
        <w:tabs>
          <w:tab w:leader="none" w:pos="572"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exercise price of the Option may be payable: (i) in cash by personal check, bank draft or money order payable to the order of the Company, by money transfers or direct account debits; (ii) through the delivery or deemed delivery based on attestation to the ownership of</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103" w:name="page104"/>
    <w:bookmarkEnd w:id="103"/>
    <w:p>
      <w:pPr>
        <w:jc w:val="both"/>
        <w:spacing w:after="0" w:line="247" w:lineRule="auto"/>
        <w:rPr>
          <w:sz w:val="20"/>
          <w:szCs w:val="20"/>
          <w:color w:val="auto"/>
        </w:rPr>
      </w:pPr>
      <w:r>
        <w:rPr>
          <w:rFonts w:ascii="Arial" w:cs="Arial" w:eastAsia="Arial" w:hAnsi="Arial"/>
          <w:sz w:val="22"/>
          <w:szCs w:val="22"/>
          <w:color w:val="auto"/>
        </w:rPr>
        <w:t>previously acquired Shares with a Fair Market Value equal to the total payment due from the Grantee; (iii) authorizing the Company to withhold whole Shares, which would otherwise be delivered, having an aggregate Fair Market Value, determined as of the date of exercise, equal to the amount necessary to satisfy such obligation; (iv) by a combination of the methods described in (i), (ii) and (iii) above; (v) except as may be prohibited by applicable law, in cash by a broker-dealer acceptable to the Company to whom the Grantee has submitted an irrevocable notice of exercise; or (vi) by such other methods as the Committee may deem appropriate.</w:t>
      </w:r>
    </w:p>
    <w:p>
      <w:pPr>
        <w:spacing w:after="0" w:line="220" w:lineRule="exact"/>
        <w:rPr>
          <w:sz w:val="20"/>
          <w:szCs w:val="20"/>
          <w:color w:val="auto"/>
        </w:rPr>
      </w:pPr>
    </w:p>
    <w:p>
      <w:pPr>
        <w:jc w:val="both"/>
        <w:ind w:firstLine="239"/>
        <w:spacing w:after="0" w:line="259" w:lineRule="auto"/>
        <w:tabs>
          <w:tab w:leader="none" w:pos="529" w:val="left"/>
        </w:tabs>
        <w:numPr>
          <w:ilvl w:val="2"/>
          <w:numId w:val="44"/>
        </w:numPr>
        <w:rPr>
          <w:rFonts w:ascii="Arial" w:cs="Arial" w:eastAsia="Arial" w:hAnsi="Arial"/>
          <w:sz w:val="21"/>
          <w:szCs w:val="21"/>
          <w:color w:val="auto"/>
        </w:rPr>
      </w:pPr>
      <w:r>
        <w:rPr>
          <w:rFonts w:ascii="Arial" w:cs="Arial" w:eastAsia="Arial" w:hAnsi="Arial"/>
          <w:sz w:val="21"/>
          <w:szCs w:val="21"/>
          <w:color w:val="auto"/>
        </w:rPr>
        <w:t>The transfer to the Grantee on the records of the Company or of the transfer agent of the Shares will be contingent upon (i) the Company’s receipt from the Grantee of the full purchase price for the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Shares to be purchased pursuant to the exercise of the Option under the Plan and any subsequent resale of the Shares will be in compliance with applicable laws and regulations. In the event the Grantee chooses to pay the purchase price by previously-owned Shares through the attestation method, the number of Shares transferred to the Grantee upon the exercise of the Option shall be net of the Shares attested to.</w:t>
      </w:r>
    </w:p>
    <w:p>
      <w:pPr>
        <w:spacing w:after="0" w:line="210" w:lineRule="exact"/>
        <w:rPr>
          <w:rFonts w:ascii="Arial" w:cs="Arial" w:eastAsia="Arial" w:hAnsi="Arial"/>
          <w:sz w:val="21"/>
          <w:szCs w:val="21"/>
          <w:color w:val="auto"/>
        </w:rPr>
      </w:pPr>
    </w:p>
    <w:p>
      <w:pPr>
        <w:jc w:val="both"/>
        <w:ind w:firstLine="280"/>
        <w:spacing w:after="0" w:line="248" w:lineRule="auto"/>
        <w:tabs>
          <w:tab w:leader="none" w:pos="592" w:val="left"/>
        </w:tabs>
        <w:numPr>
          <w:ilvl w:val="3"/>
          <w:numId w:val="44"/>
        </w:numPr>
        <w:rPr>
          <w:rFonts w:ascii="Arial" w:cs="Arial" w:eastAsia="Arial" w:hAnsi="Arial"/>
          <w:sz w:val="22"/>
          <w:szCs w:val="22"/>
          <w:color w:val="auto"/>
        </w:rPr>
      </w:pPr>
      <w:r>
        <w:rPr>
          <w:rFonts w:ascii="Arial" w:cs="Arial" w:eastAsia="Arial" w:hAnsi="Arial"/>
          <w:sz w:val="22"/>
          <w:szCs w:val="22"/>
          <w:color w:val="auto"/>
        </w:rPr>
        <w:t>The Grantee shall not be deemed to be the holder of, or to have any of the rights of a holder with respect to, any Shares subject to the Option unless and until the Option shall have been exercised pursuant to the terms hereof, the Company or the transfer agent shall have transferred the shares to the Grantee, and the Grantee’s name shall have been entered as the shareholder of record on the books of the Company. Thereupon, the Grantee shall have full voting and other ownership rights with respect to such Shares.</w:t>
      </w:r>
    </w:p>
    <w:p>
      <w:pPr>
        <w:spacing w:after="0" w:line="232" w:lineRule="exact"/>
        <w:rPr>
          <w:rFonts w:ascii="Arial" w:cs="Arial" w:eastAsia="Arial" w:hAnsi="Arial"/>
          <w:sz w:val="22"/>
          <w:szCs w:val="22"/>
          <w:color w:val="auto"/>
        </w:rPr>
      </w:pPr>
    </w:p>
    <w:p>
      <w:pPr>
        <w:ind w:firstLine="228"/>
        <w:spacing w:after="0" w:line="263" w:lineRule="auto"/>
        <w:tabs>
          <w:tab w:leader="none" w:pos="515" w:val="left"/>
        </w:tabs>
        <w:numPr>
          <w:ilvl w:val="1"/>
          <w:numId w:val="45"/>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the Option shall be exercisable after the Expiration Date hereof.</w:t>
      </w:r>
    </w:p>
    <w:p>
      <w:pPr>
        <w:spacing w:after="0" w:line="195" w:lineRule="exact"/>
        <w:rPr>
          <w:rFonts w:ascii="Arial" w:cs="Arial" w:eastAsia="Arial" w:hAnsi="Arial"/>
          <w:sz w:val="22"/>
          <w:szCs w:val="22"/>
          <w:color w:val="auto"/>
        </w:rPr>
      </w:pPr>
    </w:p>
    <w:p>
      <w:pPr>
        <w:ind w:right="20" w:firstLine="8"/>
        <w:spacing w:after="0" w:line="269" w:lineRule="auto"/>
        <w:tabs>
          <w:tab w:leader="none" w:pos="229" w:val="left"/>
        </w:tabs>
        <w:numPr>
          <w:ilvl w:val="0"/>
          <w:numId w:val="46"/>
        </w:numPr>
        <w:rPr>
          <w:rFonts w:ascii="Arial" w:cs="Arial" w:eastAsia="Arial" w:hAnsi="Arial"/>
          <w:sz w:val="22"/>
          <w:szCs w:val="22"/>
          <w:color w:val="auto"/>
        </w:rPr>
      </w:pPr>
      <w:r>
        <w:rPr>
          <w:rFonts w:ascii="Arial" w:cs="Arial" w:eastAsia="Arial" w:hAnsi="Arial"/>
          <w:sz w:val="22"/>
          <w:szCs w:val="22"/>
          <w:b w:val="1"/>
          <w:bCs w:val="1"/>
          <w:u w:val="single" w:color="auto"/>
          <w:color w:val="auto"/>
        </w:rPr>
        <w:t>Nature of the Option</w:t>
      </w:r>
      <w:r>
        <w:rPr>
          <w:rFonts w:ascii="Arial" w:cs="Arial" w:eastAsia="Arial" w:hAnsi="Arial"/>
          <w:sz w:val="22"/>
          <w:szCs w:val="22"/>
          <w:color w:val="auto"/>
        </w:rPr>
        <w:t>. The Option is not intended to constitute, and shall not be treated at any time by the Grantee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as, an incentive stock option, as defined under Section 422(b) of the Code.</w:t>
      </w:r>
    </w:p>
    <w:p>
      <w:pPr>
        <w:spacing w:after="0" w:line="188" w:lineRule="exact"/>
        <w:rPr>
          <w:rFonts w:ascii="Arial" w:cs="Arial" w:eastAsia="Arial" w:hAnsi="Arial"/>
          <w:sz w:val="22"/>
          <w:szCs w:val="22"/>
          <w:color w:val="auto"/>
        </w:rPr>
      </w:pPr>
    </w:p>
    <w:p>
      <w:pPr>
        <w:ind w:left="220" w:hanging="212"/>
        <w:spacing w:after="0"/>
        <w:tabs>
          <w:tab w:leader="none" w:pos="220" w:val="left"/>
        </w:tabs>
        <w:numPr>
          <w:ilvl w:val="0"/>
          <w:numId w:val="46"/>
        </w:numPr>
        <w:rPr>
          <w:rFonts w:ascii="Arial" w:cs="Arial" w:eastAsia="Arial" w:hAnsi="Arial"/>
          <w:sz w:val="22"/>
          <w:szCs w:val="22"/>
          <w:color w:val="auto"/>
        </w:rPr>
      </w:pPr>
      <w:r>
        <w:rPr>
          <w:rFonts w:ascii="Arial" w:cs="Arial" w:eastAsia="Arial" w:hAnsi="Arial"/>
          <w:sz w:val="22"/>
          <w:szCs w:val="22"/>
          <w:b w:val="1"/>
          <w:bCs w:val="1"/>
          <w:u w:val="single" w:color="auto"/>
          <w:color w:val="auto"/>
        </w:rPr>
        <w:t>Tax Withholding</w:t>
      </w:r>
      <w:r>
        <w:rPr>
          <w:rFonts w:ascii="Arial" w:cs="Arial" w:eastAsia="Arial" w:hAnsi="Arial"/>
          <w:sz w:val="22"/>
          <w:szCs w:val="22"/>
          <w:color w:val="auto"/>
        </w:rPr>
        <w:t>.</w:t>
      </w:r>
    </w:p>
    <w:p>
      <w:pPr>
        <w:spacing w:after="0" w:line="252" w:lineRule="exact"/>
        <w:rPr>
          <w:rFonts w:ascii="Arial" w:cs="Arial" w:eastAsia="Arial" w:hAnsi="Arial"/>
          <w:sz w:val="22"/>
          <w:szCs w:val="22"/>
          <w:color w:val="auto"/>
        </w:rPr>
      </w:pPr>
    </w:p>
    <w:p>
      <w:pPr>
        <w:jc w:val="both"/>
        <w:ind w:firstLine="656"/>
        <w:spacing w:after="0" w:line="297" w:lineRule="auto"/>
        <w:tabs>
          <w:tab w:leader="none" w:pos="949" w:val="left"/>
        </w:tabs>
        <w:numPr>
          <w:ilvl w:val="4"/>
          <w:numId w:val="46"/>
        </w:numPr>
        <w:rPr>
          <w:rFonts w:ascii="Arial" w:cs="Arial" w:eastAsia="Arial" w:hAnsi="Arial"/>
          <w:sz w:val="19"/>
          <w:szCs w:val="19"/>
          <w:color w:val="auto"/>
        </w:rPr>
      </w:pPr>
      <w:r>
        <w:rPr>
          <w:rFonts w:ascii="Arial" w:cs="Arial" w:eastAsia="Arial" w:hAnsi="Arial"/>
          <w:sz w:val="19"/>
          <w:szCs w:val="19"/>
          <w:color w:val="auto"/>
        </w:rPr>
        <w:t>The Company does not represent or warrant that the Option (or the purchase or sale of the Shares subject hereto) will be subject to any particular tax treatment. The Grantee acknowledges that the Grantee: (i) has reviewed, or has had the opportunity to review, the tax treatment of the Option (including the purchase and sale of Shares subject hereto) with the Grantee’s own tax advisors; and (ii) is relying solely on those advisors in that regard. The Grantee understands that the Grantee (and not the Company) will be responsible for the Grantee’s own tax liabilities arising in connection with the Option.</w:t>
      </w:r>
    </w:p>
    <w:p>
      <w:pPr>
        <w:spacing w:after="0" w:line="173" w:lineRule="exact"/>
        <w:rPr>
          <w:rFonts w:ascii="Arial" w:cs="Arial" w:eastAsia="Arial" w:hAnsi="Arial"/>
          <w:sz w:val="19"/>
          <w:szCs w:val="19"/>
          <w:color w:val="auto"/>
        </w:rPr>
      </w:pPr>
    </w:p>
    <w:p>
      <w:pPr>
        <w:ind w:firstLine="656"/>
        <w:spacing w:after="0" w:line="263" w:lineRule="auto"/>
        <w:tabs>
          <w:tab w:leader="none" w:pos="966" w:val="left"/>
        </w:tabs>
        <w:numPr>
          <w:ilvl w:val="4"/>
          <w:numId w:val="46"/>
        </w:numPr>
        <w:rPr>
          <w:rFonts w:ascii="Arial" w:cs="Arial" w:eastAsia="Arial" w:hAnsi="Arial"/>
          <w:sz w:val="22"/>
          <w:szCs w:val="22"/>
          <w:color w:val="auto"/>
        </w:rPr>
      </w:pPr>
      <w:r>
        <w:rPr>
          <w:rFonts w:ascii="Arial" w:cs="Arial" w:eastAsia="Arial" w:hAnsi="Arial"/>
          <w:sz w:val="22"/>
          <w:szCs w:val="22"/>
          <w:color w:val="auto"/>
        </w:rPr>
        <w:t>The Grantee shall, not later than the date as of which the exercise of the Option becomes a taxable event for Federal income tax purposes, pay to the Company or make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104" w:name="page105"/>
    <w:bookmarkEnd w:id="104"/>
    <w:p>
      <w:pPr>
        <w:spacing w:after="0" w:line="251" w:lineRule="auto"/>
        <w:rPr>
          <w:sz w:val="20"/>
          <w:szCs w:val="20"/>
          <w:color w:val="auto"/>
        </w:rPr>
      </w:pPr>
      <w:r>
        <w:rPr>
          <w:rFonts w:ascii="Arial" w:cs="Arial" w:eastAsia="Arial" w:hAnsi="Arial"/>
          <w:sz w:val="22"/>
          <w:szCs w:val="22"/>
          <w:color w:val="auto"/>
        </w:rPr>
        <w:t>arrangements satisfactory to the Company for payment of any Federal, state, and local taxes required by law to be withheld on account of such taxable event in accordance with procedures described in Section 10 of the Plan.</w:t>
      </w:r>
    </w:p>
    <w:p>
      <w:pPr>
        <w:spacing w:after="0" w:line="2" w:lineRule="exact"/>
        <w:rPr>
          <w:sz w:val="20"/>
          <w:szCs w:val="20"/>
          <w:color w:val="auto"/>
        </w:rPr>
      </w:pPr>
    </w:p>
    <w:p>
      <w:pPr>
        <w:jc w:val="both"/>
        <w:ind w:firstLine="8"/>
        <w:spacing w:after="0" w:line="292" w:lineRule="auto"/>
        <w:tabs>
          <w:tab w:leader="none" w:pos="229" w:val="left"/>
        </w:tabs>
        <w:numPr>
          <w:ilvl w:val="0"/>
          <w:numId w:val="47"/>
        </w:numPr>
        <w:rPr>
          <w:rFonts w:ascii="Arial" w:cs="Arial" w:eastAsia="Arial" w:hAnsi="Arial"/>
          <w:sz w:val="19"/>
          <w:szCs w:val="19"/>
          <w:color w:val="auto"/>
        </w:rPr>
      </w:pPr>
      <w:r>
        <w:rPr>
          <w:rFonts w:ascii="Arial" w:cs="Arial" w:eastAsia="Arial" w:hAnsi="Arial"/>
          <w:sz w:val="19"/>
          <w:szCs w:val="19"/>
          <w:b w:val="1"/>
          <w:bCs w:val="1"/>
          <w:u w:val="single" w:color="auto"/>
          <w:color w:val="auto"/>
        </w:rPr>
        <w:t>Grant Subject to Plan Provisions</w:t>
      </w:r>
      <w:r>
        <w:rPr>
          <w:rFonts w:ascii="Arial" w:cs="Arial" w:eastAsia="Arial" w:hAnsi="Arial"/>
          <w:sz w:val="19"/>
          <w:szCs w:val="19"/>
          <w:color w:val="auto"/>
        </w:rPr>
        <w:t>. This grant is made pursuant to the Plan, the terms of which are incorporated herein by</w:t>
      </w:r>
      <w:r>
        <w:rPr>
          <w:rFonts w:ascii="Arial" w:cs="Arial" w:eastAsia="Arial" w:hAnsi="Arial"/>
          <w:sz w:val="19"/>
          <w:szCs w:val="19"/>
          <w:b w:val="1"/>
          <w:bCs w:val="1"/>
          <w:color w:val="auto"/>
        </w:rPr>
        <w:t xml:space="preserve"> </w:t>
      </w:r>
      <w:r>
        <w:rPr>
          <w:rFonts w:ascii="Arial" w:cs="Arial" w:eastAsia="Arial" w:hAnsi="Arial"/>
          <w:sz w:val="19"/>
          <w:szCs w:val="19"/>
          <w:color w:val="auto"/>
        </w:rPr>
        <w:t>reference, and in all respects shall be interpreted in accordance with the Plan. The grant and exercise of the Option are subject to interpretations, regulations, and determinations concerning the Plan established from time to time by the Committee in accordance with the provisions of the Plan. The Committee shall have the authority to interpret and construe the Option pursuant to the terms of the Plan, and its decisions shall be conclusive as to any questions arising hereunder.</w:t>
      </w:r>
    </w:p>
    <w:p>
      <w:pPr>
        <w:spacing w:after="0" w:line="172" w:lineRule="exact"/>
        <w:rPr>
          <w:rFonts w:ascii="Arial" w:cs="Arial" w:eastAsia="Arial" w:hAnsi="Arial"/>
          <w:sz w:val="19"/>
          <w:szCs w:val="19"/>
          <w:color w:val="auto"/>
        </w:rPr>
      </w:pPr>
    </w:p>
    <w:p>
      <w:pPr>
        <w:jc w:val="both"/>
        <w:ind w:firstLine="8"/>
        <w:spacing w:after="0" w:line="298" w:lineRule="auto"/>
        <w:tabs>
          <w:tab w:leader="none" w:pos="243" w:val="left"/>
        </w:tabs>
        <w:numPr>
          <w:ilvl w:val="0"/>
          <w:numId w:val="47"/>
        </w:numPr>
        <w:rPr>
          <w:rFonts w:ascii="Arial" w:cs="Arial" w:eastAsia="Arial" w:hAnsi="Arial"/>
          <w:sz w:val="19"/>
          <w:szCs w:val="19"/>
          <w:color w:val="auto"/>
        </w:rPr>
      </w:pPr>
      <w:r>
        <w:rPr>
          <w:rFonts w:ascii="Arial" w:cs="Arial" w:eastAsia="Arial" w:hAnsi="Arial"/>
          <w:sz w:val="19"/>
          <w:szCs w:val="19"/>
          <w:b w:val="1"/>
          <w:bCs w:val="1"/>
          <w:u w:val="single" w:color="auto"/>
          <w:color w:val="auto"/>
        </w:rPr>
        <w:t>No Right to Continued Service; No Rights as Shareholder</w:t>
      </w:r>
      <w:r>
        <w:rPr>
          <w:rFonts w:ascii="Arial" w:cs="Arial" w:eastAsia="Arial" w:hAnsi="Arial"/>
          <w:sz w:val="19"/>
          <w:szCs w:val="19"/>
          <w:color w:val="auto"/>
        </w:rPr>
        <w:t>. Neither the Plan nor this Agreement shall confer upon the</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any right to be retained in any capacity as a service provider to the Company or any of its affiliates. The Grantee shall not have any rights as a shareholder with respect to any Shares subject to the Option unless and until certificates representing the Shares have been issued by the Company following exercise of the Option to the holder of such Shares, or the Shares have otherwise been recorded on the books of the Company or of a duly authorized transfer agent as owned by such holder.</w:t>
      </w:r>
    </w:p>
    <w:p>
      <w:pPr>
        <w:spacing w:after="0" w:line="169" w:lineRule="exact"/>
        <w:rPr>
          <w:rFonts w:ascii="Arial" w:cs="Arial" w:eastAsia="Arial" w:hAnsi="Arial"/>
          <w:sz w:val="19"/>
          <w:szCs w:val="19"/>
          <w:color w:val="auto"/>
        </w:rPr>
      </w:pPr>
    </w:p>
    <w:p>
      <w:pPr>
        <w:ind w:left="220" w:hanging="212"/>
        <w:spacing w:after="0"/>
        <w:tabs>
          <w:tab w:leader="none" w:pos="220"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Assignment and Transfers</w:t>
      </w:r>
      <w:r>
        <w:rPr>
          <w:rFonts w:ascii="Arial" w:cs="Arial" w:eastAsia="Arial" w:hAnsi="Arial"/>
          <w:sz w:val="22"/>
          <w:szCs w:val="22"/>
          <w:color w:val="auto"/>
        </w:rPr>
        <w:t>.</w:t>
      </w:r>
    </w:p>
    <w:p>
      <w:pPr>
        <w:spacing w:after="0" w:line="252" w:lineRule="exact"/>
        <w:rPr>
          <w:rFonts w:ascii="Arial" w:cs="Arial" w:eastAsia="Arial" w:hAnsi="Arial"/>
          <w:sz w:val="22"/>
          <w:szCs w:val="22"/>
          <w:color w:val="auto"/>
        </w:rPr>
      </w:pPr>
    </w:p>
    <w:p>
      <w:pPr>
        <w:jc w:val="both"/>
        <w:ind w:firstLine="656"/>
        <w:spacing w:after="0" w:line="271" w:lineRule="auto"/>
        <w:tabs>
          <w:tab w:leader="none" w:pos="965" w:val="left"/>
        </w:tabs>
        <w:numPr>
          <w:ilvl w:val="1"/>
          <w:numId w:val="47"/>
        </w:numPr>
        <w:rPr>
          <w:rFonts w:ascii="Arial" w:cs="Arial" w:eastAsia="Arial" w:hAnsi="Arial"/>
          <w:sz w:val="21"/>
          <w:szCs w:val="21"/>
          <w:color w:val="auto"/>
        </w:rPr>
      </w:pPr>
      <w:r>
        <w:rPr>
          <w:rFonts w:ascii="Arial" w:cs="Arial" w:eastAsia="Arial" w:hAnsi="Arial"/>
          <w:sz w:val="21"/>
          <w:szCs w:val="21"/>
          <w:color w:val="auto"/>
        </w:rPr>
        <w:t>The rights and interests of the Grantee under this Agreement may not be sold, assigned, encumbered, or otherwise transferred, except in the event of the death of the Grantee, by will, or by the laws of descent and distribution, provided that the transferees, devisees, or beneficiaries are Immediate Family (as defined in subsection (c) below).</w:t>
      </w:r>
    </w:p>
    <w:p>
      <w:pPr>
        <w:spacing w:after="0" w:line="194" w:lineRule="exact"/>
        <w:rPr>
          <w:rFonts w:ascii="Arial" w:cs="Arial" w:eastAsia="Arial" w:hAnsi="Arial"/>
          <w:sz w:val="21"/>
          <w:szCs w:val="21"/>
          <w:color w:val="auto"/>
        </w:rPr>
      </w:pPr>
    </w:p>
    <w:p>
      <w:pPr>
        <w:jc w:val="both"/>
        <w:ind w:firstLine="656"/>
        <w:spacing w:after="0" w:line="250" w:lineRule="auto"/>
        <w:tabs>
          <w:tab w:leader="none" w:pos="964" w:val="left"/>
        </w:tabs>
        <w:numPr>
          <w:ilvl w:val="1"/>
          <w:numId w:val="47"/>
        </w:numPr>
        <w:rPr>
          <w:rFonts w:ascii="Arial" w:cs="Arial" w:eastAsia="Arial" w:hAnsi="Arial"/>
          <w:sz w:val="22"/>
          <w:szCs w:val="22"/>
          <w:color w:val="auto"/>
        </w:rPr>
      </w:pPr>
      <w:r>
        <w:rPr>
          <w:rFonts w:ascii="Arial" w:cs="Arial" w:eastAsia="Arial" w:hAnsi="Arial"/>
          <w:sz w:val="22"/>
          <w:szCs w:val="22"/>
          <w:color w:val="auto"/>
        </w:rPr>
        <w:t>Notwithstanding subsection (a) above, the Grantee may transfer the Option through a gift or domestic relations order to the Immediate Family (as defined in subsection (c) below), and each transferee shall remain subject to all terms and conditions applicable to the Option prior to such transfer, and each transferee shall so acknowledge in writing as a condition precedent to the effectiveness of such transfer.</w:t>
      </w:r>
    </w:p>
    <w:p>
      <w:pPr>
        <w:spacing w:after="0" w:line="214" w:lineRule="exact"/>
        <w:rPr>
          <w:rFonts w:ascii="Arial" w:cs="Arial" w:eastAsia="Arial" w:hAnsi="Arial"/>
          <w:sz w:val="22"/>
          <w:szCs w:val="22"/>
          <w:color w:val="auto"/>
        </w:rPr>
      </w:pPr>
    </w:p>
    <w:p>
      <w:pPr>
        <w:jc w:val="both"/>
        <w:ind w:firstLine="656"/>
        <w:spacing w:after="0" w:line="261" w:lineRule="auto"/>
        <w:tabs>
          <w:tab w:leader="none" w:pos="985" w:val="left"/>
        </w:tabs>
        <w:numPr>
          <w:ilvl w:val="1"/>
          <w:numId w:val="47"/>
        </w:numPr>
        <w:rPr>
          <w:rFonts w:ascii="Arial" w:cs="Arial" w:eastAsia="Arial" w:hAnsi="Arial"/>
          <w:sz w:val="21"/>
          <w:szCs w:val="21"/>
          <w:color w:val="auto"/>
        </w:rPr>
      </w:pPr>
      <w:r>
        <w:rPr>
          <w:rFonts w:ascii="Arial" w:cs="Arial" w:eastAsia="Arial" w:hAnsi="Arial"/>
          <w:sz w:val="21"/>
          <w:szCs w:val="21"/>
          <w:color w:val="auto"/>
        </w:rPr>
        <w:t>The term “Immediate Family” shall mean the Original Grantee’s child, stepchild, grandchild, parent, stepparent, grandparent, spouse, former spouse, sibling, niece, nephew, mother-in-law, father-in-law, son-in-law, daughter-in-law, brother-in-law, or sister-in-law, including adoptive relationships, any person sharing the Original Grantee’s household (other than a tenant or employee), a trust in which these persons have more than fifty percent of the beneficial interest, a foundation in which these persons (or the Original Grantee) control the management of assets, and any other entity in which these persons (or the Original Grantee) own more than fifty percent of the voting interests.</w:t>
      </w:r>
    </w:p>
    <w:p>
      <w:pPr>
        <w:spacing w:after="0" w:line="206" w:lineRule="exact"/>
        <w:rPr>
          <w:rFonts w:ascii="Arial" w:cs="Arial" w:eastAsia="Arial" w:hAnsi="Arial"/>
          <w:sz w:val="21"/>
          <w:szCs w:val="21"/>
          <w:color w:val="auto"/>
        </w:rPr>
      </w:pPr>
    </w:p>
    <w:p>
      <w:pPr>
        <w:ind w:left="960" w:hanging="304"/>
        <w:spacing w:after="0"/>
        <w:tabs>
          <w:tab w:leader="none" w:pos="960"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Option may not be transferred for value by the Grantee. The following transactions are not prohibited transfers for</w:t>
      </w:r>
    </w:p>
    <w:p>
      <w:pPr>
        <w:spacing w:after="0" w:line="55" w:lineRule="exact"/>
        <w:rPr>
          <w:rFonts w:ascii="Arial" w:cs="Arial" w:eastAsia="Arial" w:hAnsi="Arial"/>
          <w:sz w:val="19"/>
          <w:szCs w:val="19"/>
          <w:color w:val="auto"/>
        </w:rPr>
      </w:pPr>
    </w:p>
    <w:p>
      <w:pPr>
        <w:ind w:right="20"/>
        <w:spacing w:after="0" w:line="246" w:lineRule="auto"/>
        <w:rPr>
          <w:rFonts w:ascii="Arial" w:cs="Arial" w:eastAsia="Arial" w:hAnsi="Arial"/>
          <w:sz w:val="19"/>
          <w:szCs w:val="19"/>
          <w:color w:val="auto"/>
        </w:rPr>
      </w:pPr>
      <w:r>
        <w:rPr>
          <w:rFonts w:ascii="Arial" w:cs="Arial" w:eastAsia="Arial" w:hAnsi="Arial"/>
          <w:sz w:val="22"/>
          <w:szCs w:val="22"/>
          <w:color w:val="auto"/>
        </w:rPr>
        <w:t>value: (i) a transfer to Immediate Family under a domestic relations order in settlement of marital property rights; and (ii) a transfer to an entity in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105" w:name="page106"/>
    <w:bookmarkEnd w:id="105"/>
    <w:p>
      <w:pPr>
        <w:ind w:right="20"/>
        <w:spacing w:after="0" w:line="263" w:lineRule="auto"/>
        <w:rPr>
          <w:sz w:val="20"/>
          <w:szCs w:val="20"/>
          <w:color w:val="auto"/>
        </w:rPr>
      </w:pPr>
      <w:r>
        <w:rPr>
          <w:rFonts w:ascii="Arial" w:cs="Arial" w:eastAsia="Arial" w:hAnsi="Arial"/>
          <w:sz w:val="22"/>
          <w:szCs w:val="22"/>
          <w:color w:val="auto"/>
        </w:rPr>
        <w:t>which more than fifty percent of the voting interests are owned by the Immediate Family (or the Original Grantee) in exchange for an interest in that entity.</w:t>
      </w:r>
    </w:p>
    <w:p>
      <w:pPr>
        <w:spacing w:after="0" w:line="202" w:lineRule="exact"/>
        <w:rPr>
          <w:sz w:val="20"/>
          <w:szCs w:val="20"/>
          <w:color w:val="auto"/>
        </w:rPr>
      </w:pPr>
    </w:p>
    <w:p>
      <w:pPr>
        <w:jc w:val="both"/>
        <w:ind w:firstLine="656"/>
        <w:spacing w:after="0" w:line="253" w:lineRule="auto"/>
        <w:tabs>
          <w:tab w:leader="none" w:pos="955" w:val="left"/>
        </w:tabs>
        <w:numPr>
          <w:ilvl w:val="1"/>
          <w:numId w:val="48"/>
        </w:numPr>
        <w:rPr>
          <w:rFonts w:ascii="Arial" w:cs="Arial" w:eastAsia="Arial" w:hAnsi="Arial"/>
          <w:sz w:val="22"/>
          <w:szCs w:val="22"/>
          <w:color w:val="auto"/>
        </w:rPr>
      </w:pPr>
      <w:r>
        <w:rPr>
          <w:rFonts w:ascii="Arial" w:cs="Arial" w:eastAsia="Arial" w:hAnsi="Arial"/>
          <w:sz w:val="22"/>
          <w:szCs w:val="22"/>
          <w:color w:val="auto"/>
        </w:rPr>
        <w:t>In order to transfer any portion of the Option in accordance with the provisions of subsection (b) above, the Grantee must notify the Company of such transfer, and the Grantee and proposed transferee must execute and deliver to the Company such certification and documentation deemed necessary by and approved by the Company.</w:t>
      </w:r>
    </w:p>
    <w:p>
      <w:pPr>
        <w:spacing w:after="0" w:line="212" w:lineRule="exact"/>
        <w:rPr>
          <w:rFonts w:ascii="Arial" w:cs="Arial" w:eastAsia="Arial" w:hAnsi="Arial"/>
          <w:sz w:val="22"/>
          <w:szCs w:val="22"/>
          <w:color w:val="auto"/>
        </w:rPr>
      </w:pPr>
    </w:p>
    <w:p>
      <w:pPr>
        <w:ind w:firstLine="656"/>
        <w:spacing w:after="0" w:line="343" w:lineRule="auto"/>
        <w:tabs>
          <w:tab w:leader="none" w:pos="923" w:val="left"/>
        </w:tabs>
        <w:numPr>
          <w:ilvl w:val="1"/>
          <w:numId w:val="48"/>
        </w:numPr>
        <w:rPr>
          <w:rFonts w:ascii="Arial" w:cs="Arial" w:eastAsia="Arial" w:hAnsi="Arial"/>
          <w:sz w:val="19"/>
          <w:szCs w:val="19"/>
          <w:color w:val="auto"/>
        </w:rPr>
      </w:pPr>
      <w:r>
        <w:rPr>
          <w:rFonts w:ascii="Arial" w:cs="Arial" w:eastAsia="Arial" w:hAnsi="Arial"/>
          <w:sz w:val="19"/>
          <w:szCs w:val="19"/>
          <w:color w:val="auto"/>
        </w:rPr>
        <w:t>Notwithstanding anything else set forth in this Agreement or the Plan, in no event shall the Option be held at any time by, transferred to, or exercised by, any person or entity unless such person or entity is the Original Grantee or Immediate Family.</w:t>
      </w:r>
    </w:p>
    <w:p>
      <w:pPr>
        <w:spacing w:after="0" w:line="131" w:lineRule="exact"/>
        <w:rPr>
          <w:rFonts w:ascii="Arial" w:cs="Arial" w:eastAsia="Arial" w:hAnsi="Arial"/>
          <w:sz w:val="19"/>
          <w:szCs w:val="19"/>
          <w:color w:val="auto"/>
        </w:rPr>
      </w:pPr>
    </w:p>
    <w:p>
      <w:pPr>
        <w:jc w:val="both"/>
        <w:ind w:firstLine="656"/>
        <w:spacing w:after="0" w:line="294" w:lineRule="auto"/>
        <w:tabs>
          <w:tab w:leader="none" w:pos="971" w:val="left"/>
        </w:tabs>
        <w:numPr>
          <w:ilvl w:val="1"/>
          <w:numId w:val="48"/>
        </w:numPr>
        <w:rPr>
          <w:rFonts w:ascii="Arial" w:cs="Arial" w:eastAsia="Arial" w:hAnsi="Arial"/>
          <w:sz w:val="19"/>
          <w:szCs w:val="19"/>
          <w:color w:val="auto"/>
        </w:rPr>
      </w:pPr>
      <w:r>
        <w:rPr>
          <w:rFonts w:ascii="Arial" w:cs="Arial" w:eastAsia="Arial" w:hAnsi="Arial"/>
          <w:sz w:val="19"/>
          <w:szCs w:val="19"/>
          <w:color w:val="auto"/>
        </w:rPr>
        <w:t>Except as provided otherwise in this Section 9, during the Original Grantee’s lifetime: (i) only the Original Grantee (or, in the event of legal incapacity or incompetency, the Grantee’s guardian or representative) may exercise the Option; (ii) the Option shall not be assigned, pledged, or hypothecated in any way (whether by operation of law or otherwise); and (iii) the Option shall not be subject to execution, attachment, or similar process. Any attempted transfer, assignment, pledge, hypothecation, or other disposition of the Option or of any rights granted hereunder contrary to the provisions of this Section 9 shall be null and void. Any levy of an attachment or similar process upon the Option shall be null and void.</w:t>
      </w:r>
    </w:p>
    <w:p>
      <w:pPr>
        <w:spacing w:after="0" w:line="176" w:lineRule="exact"/>
        <w:rPr>
          <w:rFonts w:ascii="Arial" w:cs="Arial" w:eastAsia="Arial" w:hAnsi="Arial"/>
          <w:sz w:val="19"/>
          <w:szCs w:val="19"/>
          <w:color w:val="auto"/>
        </w:rPr>
      </w:pPr>
    </w:p>
    <w:p>
      <w:pPr>
        <w:jc w:val="both"/>
        <w:ind w:firstLine="656"/>
        <w:spacing w:after="0" w:line="249" w:lineRule="auto"/>
        <w:tabs>
          <w:tab w:leader="none" w:pos="962"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rights and protections of the Company hereunder shall extend to any successors and assigns of the Company and to the Company’s parents, subsidiaries, and affiliates. The Company may assign this Agreement without the consent of the Grantee.</w:t>
      </w:r>
    </w:p>
    <w:p>
      <w:pPr>
        <w:jc w:val="both"/>
        <w:ind w:firstLine="8"/>
        <w:spacing w:after="0" w:line="286" w:lineRule="auto"/>
        <w:tabs>
          <w:tab w:leader="none" w:pos="351" w:val="left"/>
        </w:tabs>
        <w:numPr>
          <w:ilvl w:val="0"/>
          <w:numId w:val="49"/>
        </w:numPr>
        <w:rPr>
          <w:rFonts w:ascii="Arial" w:cs="Arial" w:eastAsia="Arial" w:hAnsi="Arial"/>
          <w:sz w:val="19"/>
          <w:szCs w:val="19"/>
          <w:color w:val="auto"/>
        </w:rPr>
      </w:pPr>
      <w:r>
        <w:rPr>
          <w:rFonts w:ascii="Arial" w:cs="Arial" w:eastAsia="Arial" w:hAnsi="Arial"/>
          <w:sz w:val="19"/>
          <w:szCs w:val="19"/>
          <w:b w:val="1"/>
          <w:bCs w:val="1"/>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w:t>
      </w:r>
      <w:r>
        <w:rPr>
          <w:rFonts w:ascii="Arial" w:cs="Arial" w:eastAsia="Arial" w:hAnsi="Arial"/>
          <w:sz w:val="19"/>
          <w:szCs w:val="19"/>
          <w:b w:val="1"/>
          <w:bCs w:val="1"/>
          <w:color w:val="auto"/>
        </w:rPr>
        <w:t xml:space="preserve"> </w:t>
      </w:r>
      <w:r>
        <w:rPr>
          <w:rFonts w:ascii="Arial" w:cs="Arial" w:eastAsia="Arial" w:hAnsi="Arial"/>
          <w:sz w:val="19"/>
          <w:szCs w:val="19"/>
          <w:color w:val="auto"/>
        </w:rPr>
        <w:t>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or this Agreement (the “Relevant Information”). By entering into this Agreement, the Grantee: (i) authorizes the Company to collect, process, register, and transfer to the Relevant Companies all Relevant Information; (ii) waives any privacy rights that the Grantee may have with respect to the Relevant Information; and (iii) authorizes the Relevant Companies to store and transmit such information in electronic form. The Grantee shall have access to, and the right to change, the Relevant Information. Relevant Information will only be used in accordance with applicable law.</w:t>
      </w:r>
    </w:p>
    <w:p>
      <w:pPr>
        <w:spacing w:after="0" w:line="184" w:lineRule="exact"/>
        <w:rPr>
          <w:rFonts w:ascii="Arial" w:cs="Arial" w:eastAsia="Arial" w:hAnsi="Arial"/>
          <w:sz w:val="19"/>
          <w:szCs w:val="19"/>
          <w:color w:val="auto"/>
        </w:rPr>
      </w:pPr>
    </w:p>
    <w:p>
      <w:pPr>
        <w:jc w:val="both"/>
        <w:ind w:firstLine="8"/>
        <w:spacing w:after="0" w:line="249" w:lineRule="auto"/>
        <w:tabs>
          <w:tab w:leader="none" w:pos="316"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Law</w:t>
      </w:r>
      <w:r>
        <w:rPr>
          <w:rFonts w:ascii="Arial" w:cs="Arial" w:eastAsia="Arial" w:hAnsi="Arial"/>
          <w:sz w:val="22"/>
          <w:szCs w:val="22"/>
          <w:color w:val="auto"/>
        </w:rPr>
        <w:t>. The issuance of Shares upon exercise of the Option shall be subject to compliance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Grantee with all applicable requirements of federal and state securities laws and with all applicable requirements of any stock exchange on which the Shares may be listed. No Shares shall be issued or transferred unless and until any then applicable requirements of state or federal laws and regulatory agencies have been fully complied with to the satisfaction of the Company and its counsel. Grantee understands that the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06" w:name="page107"/>
    <w:bookmarkEnd w:id="106"/>
    <w:p>
      <w:pPr>
        <w:spacing w:after="0" w:line="263" w:lineRule="auto"/>
        <w:rPr>
          <w:sz w:val="20"/>
          <w:szCs w:val="20"/>
          <w:color w:val="auto"/>
        </w:rPr>
      </w:pPr>
      <w:r>
        <w:rPr>
          <w:rFonts w:ascii="Arial" w:cs="Arial" w:eastAsia="Arial" w:hAnsi="Arial"/>
          <w:sz w:val="22"/>
          <w:szCs w:val="22"/>
          <w:color w:val="auto"/>
        </w:rPr>
        <w:t>Company is under no obligation to register any Shares with the Securities and Exchange Commission, any state securities commission or any stock exchange to effect such compliance.</w:t>
      </w:r>
    </w:p>
    <w:p>
      <w:pPr>
        <w:spacing w:after="0" w:line="196" w:lineRule="exact"/>
        <w:rPr>
          <w:sz w:val="20"/>
          <w:szCs w:val="20"/>
          <w:color w:val="auto"/>
        </w:rPr>
      </w:pPr>
    </w:p>
    <w:p>
      <w:pPr>
        <w:jc w:val="both"/>
        <w:ind w:firstLine="8"/>
        <w:spacing w:after="0" w:line="298" w:lineRule="auto"/>
        <w:tabs>
          <w:tab w:leader="none" w:pos="351" w:val="left"/>
        </w:tabs>
        <w:numPr>
          <w:ilvl w:val="0"/>
          <w:numId w:val="50"/>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w:t>
      </w:r>
      <w:r>
        <w:rPr>
          <w:rFonts w:ascii="Arial" w:cs="Arial" w:eastAsia="Arial" w:hAnsi="Arial"/>
          <w:sz w:val="19"/>
          <w:szCs w:val="19"/>
          <w:color w:val="auto"/>
        </w:rPr>
        <w:t>. Any notice to the Company provided for in this Agreement shall be addressed to the Company in care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Secretary at the corporate headquarters of the Company, and any notice to the Grantee shall be addressed to such Grantee at the current address shown in the Company’s records, or to such other address as the Grantee may designate to the Company in writing. Any notice shall be delivered by hand, sent by telecopy, or enclosed in a properly sealed envelope addressed as stated above, registered and deposited, postage prepaid, in a post office regularly maintained by the United States Postal Service.</w:t>
      </w:r>
    </w:p>
    <w:p>
      <w:pPr>
        <w:spacing w:after="0" w:line="169" w:lineRule="exact"/>
        <w:rPr>
          <w:rFonts w:ascii="Arial" w:cs="Arial" w:eastAsia="Arial" w:hAnsi="Arial"/>
          <w:sz w:val="19"/>
          <w:szCs w:val="19"/>
          <w:color w:val="auto"/>
        </w:rPr>
      </w:pPr>
    </w:p>
    <w:p>
      <w:pPr>
        <w:ind w:right="20" w:firstLine="8"/>
        <w:spacing w:after="0" w:line="269" w:lineRule="auto"/>
        <w:tabs>
          <w:tab w:leader="none" w:pos="337"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To the extent that federal laws do not otherwise control, this Agreement shall be construed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and governed by the law of the Commonwealth of Pennsylvania.</w:t>
      </w:r>
    </w:p>
    <w:p>
      <w:pPr>
        <w:spacing w:after="0" w:line="188" w:lineRule="exact"/>
        <w:rPr>
          <w:rFonts w:ascii="Arial" w:cs="Arial" w:eastAsia="Arial" w:hAnsi="Arial"/>
          <w:sz w:val="22"/>
          <w:szCs w:val="22"/>
          <w:color w:val="auto"/>
        </w:rPr>
      </w:pPr>
    </w:p>
    <w:p>
      <w:pPr>
        <w:jc w:val="both"/>
        <w:ind w:firstLine="8"/>
        <w:spacing w:after="0" w:line="256" w:lineRule="auto"/>
        <w:tabs>
          <w:tab w:leader="none" w:pos="324"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The invalidity or unenforceability of any provision of the Plan or this Agreement shall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any other provision of the Plan or this Agreement, and each provision of the Plan and this Agreement shall be severable and enforceable to the extent permitted by law.</w:t>
      </w:r>
    </w:p>
    <w:p>
      <w:pPr>
        <w:spacing w:after="0" w:line="203" w:lineRule="exact"/>
        <w:rPr>
          <w:rFonts w:ascii="Arial" w:cs="Arial" w:eastAsia="Arial" w:hAnsi="Arial"/>
          <w:sz w:val="22"/>
          <w:szCs w:val="22"/>
          <w:color w:val="auto"/>
        </w:rPr>
      </w:pPr>
    </w:p>
    <w:p>
      <w:pPr>
        <w:jc w:val="both"/>
        <w:ind w:firstLine="8"/>
        <w:spacing w:after="0" w:line="262" w:lineRule="auto"/>
        <w:tabs>
          <w:tab w:leader="none" w:pos="337" w:val="left"/>
        </w:tabs>
        <w:numPr>
          <w:ilvl w:val="0"/>
          <w:numId w:val="50"/>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 Amendment</w:t>
      </w:r>
      <w:r>
        <w:rPr>
          <w:rFonts w:ascii="Arial" w:cs="Arial" w:eastAsia="Arial" w:hAnsi="Arial"/>
          <w:sz w:val="21"/>
          <w:szCs w:val="21"/>
          <w:color w:val="auto"/>
        </w:rPr>
        <w:t>. This Agreement and the Plan constitute the entire agreement with respect to the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matter hereof between the parties hereto and there are no other agreements between the parties relating to the subject matter hereof. The Company and Grantee have made no promises, agreements, conditions, or understandings relating to the Option, either orally or in writing, that are not included in this Agreement or the Plan. This Agreement may only be modified by an agreement in writing executed by both the Company and Grantee. Emailed copies (pdf format) of any party’s signature hereto will have the same effect as an original signature.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[Notice of Non-Qualified Stock Option Grant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2"/>
          <w:szCs w:val="22"/>
          <w:b w:val="1"/>
          <w:bCs w:val="1"/>
          <w:color w:val="auto"/>
        </w:rPr>
        <w:t>CANTALOUPE,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NON-QUALIFIED STOCK OPTION GRANT</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Cantaloupe, Inc., a Pennsylvania corporation, f/k/a USA Technologies, Inc. (the “Company”) has granted to you, the “Participant” named below, a non-qualified stock option (the “Option”) to purchase shares of common stock, no par value, of the Company (the “Shares”) under the Company’s 2018 Equity Incentive Plan (as amended from time to time, the “Plan”). The terms of the grant are set forth in the Non-Qualified Stock Option Agreement (together with this Notice of Non-Qualified Stock Option Grant, the “Agreement”) provided to you and which immediately precedes this Notice. The following provides a summary of the key terms of your award; however, you should read the entire Agreement, along with the terms of the Plan, to fully understand your award and the terms and conditions applicable to it.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NON-QUALIFIED STOCK OPTION AWARD</w:t>
      </w:r>
    </w:p>
    <w:p>
      <w:pPr>
        <w:sectPr>
          <w:pgSz w:w="11900" w:h="16838" w:orient="portrait"/>
          <w:cols w:equalWidth="0" w:num="1">
            <w:col w:w="11240"/>
          </w:cols>
          <w:pgMar w:left="320" w:top="1422" w:right="339" w:bottom="1440" w:gutter="0" w:footer="0" w:header="0"/>
        </w:sect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Participant:</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pacing w:after="0" w:line="200" w:lineRule="exact"/>
        <w:rPr>
          <w:sz w:val="20"/>
          <w:szCs w:val="20"/>
          <w:color w:val="auto"/>
        </w:rPr>
      </w:pPr>
    </w:p>
    <w:p>
      <w:pPr>
        <w:sectPr>
          <w:pgSz w:w="11900" w:h="16838" w:orient="portrait"/>
          <w:cols w:equalWidth="0" w:num="2">
            <w:col w:w="1140" w:space="720"/>
            <w:col w:w="9380"/>
          </w:cols>
          <w:pgMar w:left="320" w:top="1422" w:right="3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Grant Date: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pacing w:after="0" w:line="200" w:lineRule="exact"/>
        <w:rPr>
          <w:sz w:val="20"/>
          <w:szCs w:val="20"/>
          <w:color w:val="auto"/>
        </w:rPr>
      </w:pPr>
    </w:p>
    <w:p>
      <w:pPr>
        <w:sectPr>
          <w:pgSz w:w="11900" w:h="16838" w:orient="portrait"/>
          <w:cols w:equalWidth="0" w:num="2">
            <w:col w:w="1160" w:space="720"/>
            <w:col w:w="9360"/>
          </w:cols>
          <w:pgMar w:left="320" w:top="1422" w:right="339" w:bottom="1440" w:gutter="0" w:footer="0" w:header="0"/>
          <w:type w:val="continuous"/>
        </w:sectPr>
      </w:pPr>
    </w:p>
    <w:p>
      <w:pPr>
        <w:spacing w:after="0" w:line="81" w:lineRule="exact"/>
        <w:rPr>
          <w:sz w:val="20"/>
          <w:szCs w:val="20"/>
          <w:color w:val="auto"/>
        </w:rPr>
      </w:pPr>
    </w:p>
    <w:p>
      <w:pPr>
        <w:spacing w:after="0"/>
        <w:tabs>
          <w:tab w:leader="none" w:pos="3300" w:val="left"/>
        </w:tabs>
        <w:rPr>
          <w:sz w:val="20"/>
          <w:szCs w:val="20"/>
          <w:color w:val="auto"/>
        </w:rPr>
      </w:pPr>
      <w:r>
        <w:rPr>
          <w:rFonts w:ascii="Arial" w:cs="Arial" w:eastAsia="Arial" w:hAnsi="Arial"/>
          <w:sz w:val="22"/>
          <w:szCs w:val="22"/>
          <w:color w:val="auto"/>
        </w:rPr>
        <w:t>Total Number of Shares Underlying</w:t>
      </w:r>
      <w:r>
        <w:rPr>
          <w:sz w:val="20"/>
          <w:szCs w:val="20"/>
          <w:color w:val="auto"/>
        </w:rPr>
        <w:tab/>
      </w:r>
      <w:r>
        <w:rPr>
          <w:rFonts w:ascii="Arial" w:cs="Arial" w:eastAsia="Arial" w:hAnsi="Arial"/>
          <w:sz w:val="19"/>
          <w:szCs w:val="19"/>
          <w:color w:val="auto"/>
        </w:rPr>
        <w:t>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Option:</w:t>
      </w:r>
    </w:p>
    <w:p>
      <w:pPr>
        <w:sectPr>
          <w:pgSz w:w="11900" w:h="16838" w:orient="portrait"/>
          <w:cols w:equalWidth="0" w:num="1">
            <w:col w:w="11240"/>
          </w:cols>
          <w:pgMar w:left="320" w:top="1422" w:right="3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Exercise Price Per Share: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pacing w:after="0" w:line="200" w:lineRule="exact"/>
        <w:rPr>
          <w:sz w:val="20"/>
          <w:szCs w:val="20"/>
          <w:color w:val="auto"/>
        </w:rPr>
      </w:pPr>
    </w:p>
    <w:p>
      <w:pPr>
        <w:sectPr>
          <w:pgSz w:w="11900" w:h="16838" w:orient="portrait"/>
          <w:cols w:equalWidth="0" w:num="2">
            <w:col w:w="2200" w:space="420"/>
            <w:col w:w="8620"/>
          </w:cols>
          <w:pgMar w:left="320" w:top="1422" w:right="3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Expiration Date: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pacing w:after="0" w:line="200" w:lineRule="exact"/>
        <w:rPr>
          <w:sz w:val="20"/>
          <w:szCs w:val="20"/>
          <w:color w:val="auto"/>
        </w:rPr>
      </w:pPr>
    </w:p>
    <w:p>
      <w:pPr>
        <w:sectPr>
          <w:pgSz w:w="11900" w:h="16838" w:orient="portrait"/>
          <w:cols w:equalWidth="0" w:num="2">
            <w:col w:w="1440" w:space="640"/>
            <w:col w:w="9160"/>
          </w:cols>
          <w:pgMar w:left="320" w:top="1422" w:right="339" w:bottom="1440" w:gutter="0" w:footer="0" w:header="0"/>
          <w:type w:val="continuous"/>
        </w:sectPr>
      </w:pPr>
    </w:p>
    <w:p>
      <w:pPr>
        <w:spacing w:after="0" w:line="81"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Vesting Commencement Date:</w:t>
      </w:r>
      <w:r>
        <w:rPr>
          <w:sz w:val="20"/>
          <w:szCs w:val="20"/>
          <w:color w:val="auto"/>
        </w:rPr>
        <w:tab/>
      </w:r>
      <w:r>
        <w:rPr>
          <w:rFonts w:ascii="Arial" w:cs="Arial" w:eastAsia="Arial" w:hAnsi="Arial"/>
          <w:sz w:val="19"/>
          <w:szCs w:val="19"/>
          <w:color w:val="auto"/>
        </w:rPr>
        <w:t>___________________________</w:t>
      </w:r>
    </w:p>
    <w:p>
      <w:pPr>
        <w:spacing w:after="0" w:line="247" w:lineRule="exact"/>
        <w:rPr>
          <w:sz w:val="20"/>
          <w:szCs w:val="20"/>
          <w:color w:val="auto"/>
        </w:rPr>
      </w:pPr>
    </w:p>
    <w:p>
      <w:pPr>
        <w:ind w:left="1860" w:hanging="3239"/>
        <w:spacing w:after="0" w:line="263" w:lineRule="auto"/>
        <w:tabs>
          <w:tab w:leader="none" w:pos="1840" w:val="left"/>
        </w:tabs>
        <w:rPr>
          <w:sz w:val="20"/>
          <w:szCs w:val="20"/>
          <w:color w:val="auto"/>
        </w:rPr>
      </w:pPr>
      <w:r>
        <w:rPr>
          <w:rFonts w:ascii="Arial" w:cs="Arial" w:eastAsia="Arial" w:hAnsi="Arial"/>
          <w:sz w:val="22"/>
          <w:szCs w:val="22"/>
          <w:color w:val="auto"/>
        </w:rPr>
        <w:t>Vesting Schedule:</w:t>
        <w:tab/>
        <w:t>[The Option shall vest and become exercisable [</w:t>
      </w:r>
      <w:r>
        <w:rPr>
          <w:rFonts w:ascii="Arial" w:cs="Arial" w:eastAsia="Arial" w:hAnsi="Arial"/>
          <w:sz w:val="22"/>
          <w:szCs w:val="22"/>
          <w:i w:val="1"/>
          <w:iCs w:val="1"/>
          <w:color w:val="auto"/>
        </w:rPr>
        <w:t>insert vesting schedule</w:t>
      </w:r>
      <w:r>
        <w:rPr>
          <w:rFonts w:ascii="Arial" w:cs="Arial" w:eastAsia="Arial" w:hAnsi="Arial"/>
          <w:sz w:val="22"/>
          <w:szCs w:val="22"/>
          <w:color w:val="auto"/>
        </w:rPr>
        <w:t>], subject to Participant’s continued Service through each such date*]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*Unless otherwise provided in the Agreement or the Plan.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[CTLP – Notice of Non-Qualified Stock Option Award – 2018 Equity Incentive Plan]</w:t>
      </w:r>
    </w:p>
    <w:p>
      <w:pPr>
        <w:sectPr>
          <w:pgSz w:w="11900" w:h="16838" w:orient="portrait"/>
          <w:cols w:equalWidth="0" w:num="1">
            <w:col w:w="11240"/>
          </w:cols>
          <w:pgMar w:left="320" w:top="1422" w:right="339" w:bottom="1440" w:gutter="0" w:footer="0" w:header="0"/>
          <w:type w:val="continuous"/>
        </w:sectPr>
      </w:pPr>
    </w:p>
    <w:bookmarkStart w:id="108" w:name="page109"/>
    <w:bookmarkEnd w:id="108"/>
    <w:p>
      <w:pPr>
        <w:ind w:left="652"/>
        <w:spacing w:after="0"/>
        <w:rPr>
          <w:sz w:val="20"/>
          <w:szCs w:val="20"/>
          <w:color w:val="auto"/>
        </w:rPr>
      </w:pPr>
      <w:r>
        <w:rPr>
          <w:rFonts w:ascii="Arial" w:cs="Arial" w:eastAsia="Arial" w:hAnsi="Arial"/>
          <w:sz w:val="22"/>
          <w:szCs w:val="22"/>
          <w:color w:val="auto"/>
        </w:rPr>
        <w:t>IN WITNESS WHEREOF, the parties hereto have executed this Agreement as of the Grant Date.</w:t>
      </w:r>
    </w:p>
    <w:p>
      <w:pPr>
        <w:spacing w:after="0" w:line="58" w:lineRule="exact"/>
        <w:rPr>
          <w:sz w:val="20"/>
          <w:szCs w:val="20"/>
          <w:color w:val="auto"/>
        </w:rPr>
      </w:pPr>
    </w:p>
    <w:p>
      <w:pPr>
        <w:ind w:left="4312"/>
        <w:spacing w:after="0"/>
        <w:rPr>
          <w:sz w:val="20"/>
          <w:szCs w:val="20"/>
          <w:color w:val="auto"/>
        </w:rPr>
      </w:pPr>
      <w:r>
        <w:rPr>
          <w:rFonts w:ascii="Arial" w:cs="Arial" w:eastAsia="Arial" w:hAnsi="Arial"/>
          <w:sz w:val="22"/>
          <w:szCs w:val="22"/>
          <w:color w:val="auto"/>
        </w:rPr>
        <w:t>CANTALOUPE, INC.</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312"/>
        <w:spacing w:after="0"/>
        <w:rPr>
          <w:sz w:val="20"/>
          <w:szCs w:val="20"/>
          <w:color w:val="auto"/>
        </w:rPr>
      </w:pPr>
      <w:r>
        <w:rPr>
          <w:rFonts w:ascii="Arial" w:cs="Arial" w:eastAsia="Arial" w:hAnsi="Arial"/>
          <w:sz w:val="22"/>
          <w:szCs w:val="22"/>
          <w:color w:val="auto"/>
        </w:rPr>
        <w:t>By:__________________________</w:t>
      </w:r>
    </w:p>
    <w:p>
      <w:pPr>
        <w:spacing w:after="0" w:line="21" w:lineRule="exact"/>
        <w:rPr>
          <w:sz w:val="20"/>
          <w:szCs w:val="20"/>
          <w:color w:val="auto"/>
        </w:rPr>
      </w:pPr>
    </w:p>
    <w:p>
      <w:pPr>
        <w:ind w:left="4472"/>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472"/>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72" w:right="60"/>
        <w:spacing w:after="0" w:line="248" w:lineRule="auto"/>
        <w:rPr>
          <w:sz w:val="20"/>
          <w:szCs w:val="20"/>
          <w:color w:val="auto"/>
        </w:rPr>
      </w:pPr>
      <w:r>
        <w:rPr>
          <w:rFonts w:ascii="Arial" w:cs="Arial" w:eastAsia="Arial" w:hAnsi="Arial"/>
          <w:sz w:val="22"/>
          <w:szCs w:val="22"/>
          <w:b w:val="1"/>
          <w:bCs w:val="1"/>
          <w:color w:val="auto"/>
        </w:rPr>
        <w:t>THE UNDERSIGNED PARTICIPANT ACKNOWLEDGES RECEIPT OF THIS NOTICE OF NON-QUALIFIED STOCK OPTION GRANT, THE NON-QUALIFIED STOCK OPTION AWARD AGREEMENT, ANY EXHIBIT ATTACHED THERETO, AND THE PLAN, AND, AS AN EXPRESS CONDITION TO THE GRANT OF THE OPTION HEREUNDER, AGREES TO BE BOUND BY THE TERMS OF THIS NOTICE OF NON-QUALIFIED STOCK OPTION GRANT, THE NON-QUALIFIED STOCK OPTION AWARD AGREEMENT, ANY EXHIBIT ATTACHED THERETO, AND THE PLAN.</w:t>
      </w:r>
    </w:p>
    <w:p>
      <w:pPr>
        <w:spacing w:after="0" w:line="31" w:lineRule="exact"/>
        <w:rPr>
          <w:sz w:val="20"/>
          <w:szCs w:val="20"/>
          <w:color w:val="auto"/>
        </w:rPr>
      </w:pPr>
    </w:p>
    <w:p>
      <w:pPr>
        <w:ind w:left="4312"/>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90" w:lineRule="exact"/>
        <w:rPr>
          <w:sz w:val="20"/>
          <w:szCs w:val="20"/>
          <w:color w:val="auto"/>
        </w:rPr>
      </w:pPr>
    </w:p>
    <w:p>
      <w:pPr>
        <w:ind w:left="4312"/>
        <w:spacing w:after="0"/>
        <w:rPr>
          <w:sz w:val="20"/>
          <w:szCs w:val="20"/>
          <w:color w:val="auto"/>
        </w:rPr>
      </w:pPr>
      <w:r>
        <w:rPr>
          <w:rFonts w:ascii="Arial" w:cs="Arial" w:eastAsia="Arial" w:hAnsi="Arial"/>
          <w:sz w:val="22"/>
          <w:szCs w:val="22"/>
          <w:color w:val="auto"/>
        </w:rPr>
        <w:t>_____________________________</w:t>
      </w:r>
    </w:p>
    <w:p>
      <w:pPr>
        <w:spacing w:after="0" w:line="8" w:lineRule="exact"/>
        <w:rPr>
          <w:sz w:val="20"/>
          <w:szCs w:val="20"/>
          <w:color w:val="auto"/>
        </w:rPr>
      </w:pPr>
    </w:p>
    <w:p>
      <w:pPr>
        <w:ind w:left="4312"/>
        <w:spacing w:after="0"/>
        <w:rPr>
          <w:sz w:val="20"/>
          <w:szCs w:val="20"/>
          <w:color w:val="auto"/>
        </w:rPr>
      </w:pPr>
      <w:r>
        <w:rPr>
          <w:rFonts w:ascii="Arial" w:cs="Arial" w:eastAsia="Arial" w:hAnsi="Arial"/>
          <w:sz w:val="22"/>
          <w:szCs w:val="22"/>
          <w:color w:val="auto"/>
        </w:rPr>
        <w:t>_________________</w:t>
      </w:r>
      <w:r>
        <w:rPr>
          <w:rFonts w:ascii="Arial" w:cs="Arial" w:eastAsia="Arial" w:hAnsi="Arial"/>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372110</wp:posOffset>
            </wp:positionV>
            <wp:extent cx="1714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 w:firstLine="8"/>
        <w:spacing w:after="0" w:line="227" w:lineRule="auto"/>
        <w:tabs>
          <w:tab w:leader="none" w:pos="95"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ectPr>
          <w:pgSz w:w="11900" w:h="16838" w:orient="portrait"/>
          <w:cols w:equalWidth="0" w:num="1">
            <w:col w:w="11212"/>
          </w:cols>
          <w:pgMar w:left="328" w:top="1428" w:right="359" w:bottom="1440" w:gutter="0" w:footer="0" w:header="0"/>
        </w:sectPr>
      </w:pPr>
    </w:p>
    <w:bookmarkStart w:id="109" w:name="page110"/>
    <w:bookmarkEnd w:id="109"/>
    <w:p>
      <w:pPr>
        <w:ind w:left="9980"/>
        <w:spacing w:after="0"/>
        <w:rPr>
          <w:sz w:val="20"/>
          <w:szCs w:val="20"/>
          <w:color w:val="auto"/>
        </w:rPr>
      </w:pPr>
      <w:r>
        <w:rPr>
          <w:rFonts w:ascii="Arial" w:cs="Arial" w:eastAsia="Arial" w:hAnsi="Arial"/>
          <w:sz w:val="18"/>
          <w:szCs w:val="18"/>
          <w:b w:val="1"/>
          <w:bCs w:val="1"/>
          <w:color w:val="auto"/>
        </w:rPr>
        <w:t>Exhibit 10.10.3</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CANTALOUPE,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RESTRICTED STOCK UNIT GRANT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29" w:lineRule="exact"/>
        <w:rPr>
          <w:sz w:val="20"/>
          <w:szCs w:val="20"/>
          <w:color w:val="auto"/>
        </w:rPr>
      </w:pPr>
    </w:p>
    <w:p>
      <w:pPr>
        <w:jc w:val="both"/>
        <w:ind w:firstLine="321"/>
        <w:spacing w:after="0" w:line="294" w:lineRule="auto"/>
        <w:rPr>
          <w:sz w:val="20"/>
          <w:szCs w:val="20"/>
          <w:color w:val="auto"/>
        </w:rPr>
      </w:pPr>
      <w:r>
        <w:rPr>
          <w:rFonts w:ascii="Arial" w:cs="Arial" w:eastAsia="Arial" w:hAnsi="Arial"/>
          <w:sz w:val="19"/>
          <w:szCs w:val="19"/>
          <w:color w:val="auto"/>
        </w:rPr>
        <w:t>Cantaloupe, Inc., a Pennsylvania corporation, f/k/a USA Technologies, Inc. (the “Company”), pursuant to its 2018 Equity Incentive Plan (as amended from time to time, the “Plan”) hereby grants to the holder listed below (the “Participant”) an award of restricted stock units (“RSUs”) as set forth below. The RSUs are subject to the terms and conditions set forth herein, including in the Notice of Restricted Stock Unit Grant attached at the end of this document (the “Notice”) and the following Restricted Stock Unit Award Agreement (together with the Notice, the “Agreement”), and in the Plan, each of which is incorporated herein by reference. Capitalized terms used but not defined in this document shall have the meanings given to them in the Plan.</w:t>
      </w:r>
    </w:p>
    <w:p>
      <w:pPr>
        <w:spacing w:after="0" w:line="176" w:lineRule="exact"/>
        <w:rPr>
          <w:sz w:val="20"/>
          <w:szCs w:val="20"/>
          <w:color w:val="auto"/>
        </w:rPr>
      </w:pPr>
    </w:p>
    <w:p>
      <w:pPr>
        <w:jc w:val="both"/>
        <w:ind w:firstLine="250"/>
        <w:spacing w:after="0" w:line="261" w:lineRule="auto"/>
        <w:rPr>
          <w:sz w:val="20"/>
          <w:szCs w:val="20"/>
          <w:color w:val="auto"/>
        </w:rPr>
      </w:pPr>
      <w:r>
        <w:rPr>
          <w:rFonts w:ascii="Arial" w:cs="Arial" w:eastAsia="Arial" w:hAnsi="Arial"/>
          <w:sz w:val="21"/>
          <w:szCs w:val="21"/>
          <w:color w:val="auto"/>
        </w:rPr>
        <w:t>By Participant’s electronic acceptance on this site, Participant agrees to be bound by the terms and conditions of the Plan and the Agreement (including, without limitation, the Notice). Participant has reviewed the Plan and the Agreement (including, without limitation, the Notice) in their entirety, has had an opportunity to obtain the advice of counsel prior to executing the Agreement, and fully understands all provisions of the Plan and the Agreement (including, without limitation, the Notice). Participant hereby accepts as binding, conclusive, and final all decisions or interpretations of the Committee upon any questions arising under the Plan or the Agreement (including, without limitation, the Notice).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Your detailed award information can be found in the Notice, which is attached at the end of this document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[CTLP – Restricted Stock Unit Award Documentation – 2018 Equity Incentive Plan]</w:t>
      </w:r>
    </w:p>
    <w:p>
      <w:pPr>
        <w:sectPr>
          <w:pgSz w:w="11900" w:h="16838" w:orient="portrait"/>
          <w:cols w:equalWidth="0" w:num="1">
            <w:col w:w="11240"/>
          </w:cols>
          <w:pgMar w:left="320" w:top="1413" w:right="339" w:bottom="1440" w:gutter="0" w:footer="0" w:header="0"/>
        </w:sectPr>
      </w:pPr>
    </w:p>
    <w:bookmarkStart w:id="110" w:name="page111"/>
    <w:bookmarkEnd w:id="110"/>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CANTALOUPE,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EQUITY INCENTIVE PLAN</w:t>
      </w:r>
    </w:p>
    <w:p>
      <w:pPr>
        <w:spacing w:after="0" w:line="200" w:lineRule="exact"/>
        <w:rPr>
          <w:sz w:val="20"/>
          <w:szCs w:val="20"/>
          <w:color w:val="auto"/>
        </w:rPr>
      </w:pPr>
    </w:p>
    <w:p>
      <w:pPr>
        <w:spacing w:after="0" w:line="29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This Restricted Stock Unit Award Agreement (together with the Notice of Restricted Stock Unit Grant (“Notice”) attached hereto, the “Agreement”) made as of the Grant Date set forth in the Notice, by and between the Participant set forth in the Notice and CANTALOUPE, INC., a Pennsylvania corporation, f/k/a USA Technologies, Inc. (the “Company”).</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22"/>
          <w:szCs w:val="22"/>
          <w:b w:val="1"/>
          <w:bCs w:val="1"/>
          <w:u w:val="single" w:color="auto"/>
          <w:color w:val="auto"/>
        </w:rPr>
        <w:t>BACKGROUND</w:t>
      </w:r>
    </w:p>
    <w:p>
      <w:pPr>
        <w:spacing w:after="0" w:line="253" w:lineRule="exact"/>
        <w:rPr>
          <w:sz w:val="20"/>
          <w:szCs w:val="20"/>
          <w:color w:val="auto"/>
        </w:rPr>
      </w:pPr>
    </w:p>
    <w:p>
      <w:pPr>
        <w:jc w:val="both"/>
        <w:ind w:right="20" w:firstLine="243"/>
        <w:spacing w:after="0" w:line="250" w:lineRule="auto"/>
        <w:rPr>
          <w:sz w:val="20"/>
          <w:szCs w:val="20"/>
          <w:color w:val="auto"/>
        </w:rPr>
      </w:pPr>
      <w:r>
        <w:rPr>
          <w:rFonts w:ascii="Arial" w:cs="Arial" w:eastAsia="Arial" w:hAnsi="Arial"/>
          <w:sz w:val="22"/>
          <w:szCs w:val="22"/>
          <w:color w:val="auto"/>
        </w:rPr>
        <w:t>Participant is providing services to the Company. The Company’s 2018 Equity Incentive Plan (as amended from time to time, the “Plan”) provides for Awards based upon the Common Stock of the Company. The Company has determined to make an award to Participant of restricted stock units (“RSUs”) as further set forth below. Capitalized terms used but not defined herein shall have the meanings given to such terms in the Plan.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covenants set forth herein, and intending to be legally bound hereby,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Company and Participant agree as follows:</w:t>
      </w:r>
    </w:p>
    <w:p>
      <w:pPr>
        <w:spacing w:after="0" w:line="223" w:lineRule="exact"/>
        <w:rPr>
          <w:sz w:val="20"/>
          <w:szCs w:val="20"/>
          <w:color w:val="auto"/>
        </w:rPr>
      </w:pPr>
    </w:p>
    <w:p>
      <w:pPr>
        <w:jc w:val="both"/>
        <w:ind w:right="20" w:firstLine="656"/>
        <w:spacing w:after="0" w:line="249" w:lineRule="auto"/>
        <w:tabs>
          <w:tab w:leader="none" w:pos="1296" w:val="left"/>
        </w:tabs>
        <w:numPr>
          <w:ilvl w:val="1"/>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RSUs</w:t>
      </w:r>
      <w:r>
        <w:rPr>
          <w:rFonts w:ascii="Arial" w:cs="Arial" w:eastAsia="Arial" w:hAnsi="Arial"/>
          <w:sz w:val="22"/>
          <w:szCs w:val="22"/>
          <w:color w:val="auto"/>
        </w:rPr>
        <w:t>. Subject to the terms hereof, the Company hereby grants to Participant an award of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RSUs set forth in the Notice pursuant to the Plan. Each RSU represents the right to receive one (1) share of the Company’s Common Stock (each, a “Share”) upon vesting and settlement in accordance with Sections 2 and 3 below. The RSUs (and the Shares underlying the RSUs) are not vested and shall be subject to forfeiture by Participant as more fully described in Section 2 below.</w:t>
      </w:r>
    </w:p>
    <w:p>
      <w:pPr>
        <w:spacing w:after="0" w:line="186" w:lineRule="exact"/>
        <w:rPr>
          <w:rFonts w:ascii="Arial" w:cs="Arial" w:eastAsia="Arial" w:hAnsi="Arial"/>
          <w:sz w:val="22"/>
          <w:szCs w:val="22"/>
          <w:color w:val="auto"/>
        </w:rPr>
      </w:pPr>
    </w:p>
    <w:p>
      <w:pPr>
        <w:jc w:val="both"/>
        <w:ind w:firstLine="656"/>
        <w:spacing w:after="0" w:line="252" w:lineRule="auto"/>
        <w:tabs>
          <w:tab w:leader="none" w:pos="1296" w:val="left"/>
        </w:tabs>
        <w:numPr>
          <w:ilvl w:val="1"/>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 of RSUs</w:t>
      </w:r>
      <w:r>
        <w:rPr>
          <w:rFonts w:ascii="Arial" w:cs="Arial" w:eastAsia="Arial" w:hAnsi="Arial"/>
          <w:sz w:val="22"/>
          <w:szCs w:val="22"/>
          <w:color w:val="auto"/>
        </w:rPr>
        <w:t>. Except as otherwise provided in the Plan, the RSUs shall vest as provided in the Notice. Any</w:t>
      </w:r>
      <w:r>
        <w:rPr>
          <w:rFonts w:ascii="Arial" w:cs="Arial" w:eastAsia="Arial" w:hAnsi="Arial"/>
          <w:sz w:val="22"/>
          <w:szCs w:val="22"/>
          <w:b w:val="1"/>
          <w:bCs w:val="1"/>
          <w:color w:val="auto"/>
        </w:rPr>
        <w:t xml:space="preserve"> </w:t>
      </w:r>
      <w:r>
        <w:rPr>
          <w:rFonts w:ascii="Arial" w:cs="Arial" w:eastAsia="Arial" w:hAnsi="Arial"/>
          <w:sz w:val="22"/>
          <w:szCs w:val="22"/>
          <w:color w:val="auto"/>
        </w:rPr>
        <w:t>RSUs that are not vested pursuant to the preceding sentence on the date of Participant’s termination of Service for any reason shall be immediately forfeited on the date of such termination for no consideration. Upon a Change of Control that occurs after the Grant Date, Section 9 of the Plan shall apply.</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1"/>
          <w:numId w:val="52"/>
        </w:numPr>
        <w:rPr>
          <w:rFonts w:ascii="Arial" w:cs="Arial" w:eastAsia="Arial" w:hAnsi="Arial"/>
          <w:sz w:val="19"/>
          <w:szCs w:val="19"/>
          <w:color w:val="auto"/>
        </w:rPr>
      </w:pPr>
      <w:r>
        <w:rPr>
          <w:rFonts w:ascii="Arial" w:cs="Arial" w:eastAsia="Arial" w:hAnsi="Arial"/>
          <w:sz w:val="19"/>
          <w:szCs w:val="19"/>
          <w:b w:val="1"/>
          <w:bCs w:val="1"/>
          <w:u w:val="single" w:color="auto"/>
          <w:color w:val="auto"/>
        </w:rPr>
        <w:t>Settlement; Issuance of Shares</w:t>
      </w:r>
      <w:r>
        <w:rPr>
          <w:rFonts w:ascii="Arial" w:cs="Arial" w:eastAsia="Arial" w:hAnsi="Arial"/>
          <w:sz w:val="19"/>
          <w:szCs w:val="19"/>
          <w:color w:val="auto"/>
        </w:rPr>
        <w:t>. One (1) Share shall be issued in respect of each vested RSU, if any, within thirty</w:t>
      </w:r>
    </w:p>
    <w:p>
      <w:pPr>
        <w:spacing w:after="0" w:line="61" w:lineRule="exact"/>
        <w:rPr>
          <w:rFonts w:ascii="Arial" w:cs="Arial" w:eastAsia="Arial" w:hAnsi="Arial"/>
          <w:sz w:val="19"/>
          <w:szCs w:val="19"/>
          <w:color w:val="auto"/>
        </w:rPr>
      </w:pPr>
    </w:p>
    <w:p>
      <w:pPr>
        <w:ind w:right="20" w:firstLine="8"/>
        <w:spacing w:after="0" w:line="323" w:lineRule="auto"/>
        <w:tabs>
          <w:tab w:leader="none" w:pos="428" w:val="left"/>
        </w:tabs>
        <w:numPr>
          <w:ilvl w:val="0"/>
          <w:numId w:val="53"/>
        </w:numPr>
        <w:rPr>
          <w:rFonts w:ascii="Arial" w:cs="Arial" w:eastAsia="Arial" w:hAnsi="Arial"/>
          <w:sz w:val="19"/>
          <w:szCs w:val="19"/>
          <w:color w:val="auto"/>
        </w:rPr>
      </w:pPr>
      <w:r>
        <w:rPr>
          <w:rFonts w:ascii="Arial" w:cs="Arial" w:eastAsia="Arial" w:hAnsi="Arial"/>
          <w:sz w:val="19"/>
          <w:szCs w:val="19"/>
          <w:color w:val="auto"/>
        </w:rPr>
        <w:t>days following the applicable date on which such RSU vested. The Company shall issue any such Shares registered in the name of Participant, Participant’s authorized assignee, or Participant’s legal representative, which shall be evidenced</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87" w:lineRule="auto"/>
        <w:rPr>
          <w:sz w:val="20"/>
          <w:szCs w:val="20"/>
          <w:color w:val="auto"/>
        </w:rPr>
      </w:pPr>
      <w:r>
        <w:rPr>
          <w:rFonts w:ascii="Arial" w:cs="Arial" w:eastAsia="Arial" w:hAnsi="Arial"/>
          <w:sz w:val="21"/>
          <w:szCs w:val="21"/>
          <w:color w:val="auto"/>
        </w:rPr>
        <w:t>by stock certificates representing the Shares with the appropriate legends affixed thereto, appropriate entry on the books of the Company or of a duly authorized transfer agent, or other appropriate means as determined by the Company.</w:t>
      </w:r>
    </w:p>
    <w:p>
      <w:pPr>
        <w:spacing w:after="0" w:line="145" w:lineRule="exact"/>
        <w:rPr>
          <w:sz w:val="20"/>
          <w:szCs w:val="20"/>
          <w:color w:val="auto"/>
        </w:rPr>
      </w:pPr>
    </w:p>
    <w:p>
      <w:pPr>
        <w:jc w:val="both"/>
        <w:ind w:firstLine="656"/>
        <w:spacing w:after="0" w:line="256" w:lineRule="auto"/>
        <w:tabs>
          <w:tab w:leader="none" w:pos="1296" w:val="left"/>
        </w:tabs>
        <w:numPr>
          <w:ilvl w:val="0"/>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Restriction on Transfer</w:t>
      </w:r>
      <w:r>
        <w:rPr>
          <w:rFonts w:ascii="Arial" w:cs="Arial" w:eastAsia="Arial" w:hAnsi="Arial"/>
          <w:sz w:val="22"/>
          <w:szCs w:val="22"/>
          <w:color w:val="auto"/>
        </w:rPr>
        <w:t>. The RSUs shall be non-transferable, and Participant shall not sell, transfer, pledge,</w:t>
      </w:r>
      <w:r>
        <w:rPr>
          <w:rFonts w:ascii="Arial" w:cs="Arial" w:eastAsia="Arial" w:hAnsi="Arial"/>
          <w:sz w:val="22"/>
          <w:szCs w:val="22"/>
          <w:b w:val="1"/>
          <w:bCs w:val="1"/>
          <w:color w:val="auto"/>
        </w:rPr>
        <w:t xml:space="preserve"> </w:t>
      </w:r>
      <w:r>
        <w:rPr>
          <w:rFonts w:ascii="Arial" w:cs="Arial" w:eastAsia="Arial" w:hAnsi="Arial"/>
          <w:sz w:val="22"/>
          <w:szCs w:val="22"/>
          <w:color w:val="auto"/>
        </w:rPr>
        <w:t>hypothecate or otherwise dispose of any RSUs or any Shares underlying the RSUs until such Shares have been delivered to Participant in accordance with Section 3.</w:t>
      </w:r>
    </w:p>
    <w:p>
      <w:pPr>
        <w:spacing w:after="0" w:line="176" w:lineRule="exact"/>
        <w:rPr>
          <w:rFonts w:ascii="Arial" w:cs="Arial" w:eastAsia="Arial" w:hAnsi="Arial"/>
          <w:sz w:val="22"/>
          <w:szCs w:val="22"/>
          <w:color w:val="auto"/>
        </w:rPr>
      </w:pPr>
    </w:p>
    <w:p>
      <w:pPr>
        <w:jc w:val="both"/>
        <w:ind w:firstLine="656"/>
        <w:spacing w:after="0" w:line="298" w:lineRule="auto"/>
        <w:tabs>
          <w:tab w:leader="none" w:pos="1296" w:val="left"/>
        </w:tabs>
        <w:numPr>
          <w:ilvl w:val="0"/>
          <w:numId w:val="54"/>
        </w:numPr>
        <w:rPr>
          <w:rFonts w:ascii="Arial" w:cs="Arial" w:eastAsia="Arial" w:hAnsi="Arial"/>
          <w:sz w:val="19"/>
          <w:szCs w:val="19"/>
          <w:color w:val="auto"/>
        </w:rPr>
      </w:pPr>
      <w:r>
        <w:rPr>
          <w:rFonts w:ascii="Arial" w:cs="Arial" w:eastAsia="Arial" w:hAnsi="Arial"/>
          <w:sz w:val="19"/>
          <w:szCs w:val="19"/>
          <w:b w:val="1"/>
          <w:bCs w:val="1"/>
          <w:u w:val="single" w:color="auto"/>
          <w:color w:val="auto"/>
        </w:rPr>
        <w:t>No Right to Continued Service; No Rights as Shareholder</w:t>
      </w:r>
      <w:r>
        <w:rPr>
          <w:rFonts w:ascii="Arial" w:cs="Arial" w:eastAsia="Arial" w:hAnsi="Arial"/>
          <w:sz w:val="19"/>
          <w:szCs w:val="19"/>
          <w:color w:val="auto"/>
        </w:rPr>
        <w:t>. Neither the Plan nor this Agreement shall confer</w:t>
      </w:r>
      <w:r>
        <w:rPr>
          <w:rFonts w:ascii="Arial" w:cs="Arial" w:eastAsia="Arial" w:hAnsi="Arial"/>
          <w:sz w:val="19"/>
          <w:szCs w:val="19"/>
          <w:b w:val="1"/>
          <w:bCs w:val="1"/>
          <w:color w:val="auto"/>
        </w:rPr>
        <w:t xml:space="preserve"> </w:t>
      </w:r>
      <w:r>
        <w:rPr>
          <w:rFonts w:ascii="Arial" w:cs="Arial" w:eastAsia="Arial" w:hAnsi="Arial"/>
          <w:sz w:val="19"/>
          <w:szCs w:val="19"/>
          <w:color w:val="auto"/>
        </w:rPr>
        <w:t>upon Participant any right to be retained in any capacity as a service provider to the Company or any of its affiliates. Participant shall not have any rights as a shareholder with respect to any Shares subject to the RSUs unless and until certificates representing the Shares have been issued by the Company to the holder of such Shares, or the Shares have otherwise been recorded on the books of the Company or of a duly authorized transfer agent as owned by such holder.</w:t>
      </w:r>
    </w:p>
    <w:p>
      <w:pPr>
        <w:spacing w:after="0" w:line="142" w:lineRule="exact"/>
        <w:rPr>
          <w:rFonts w:ascii="Arial" w:cs="Arial" w:eastAsia="Arial" w:hAnsi="Arial"/>
          <w:sz w:val="19"/>
          <w:szCs w:val="19"/>
          <w:color w:val="auto"/>
        </w:rPr>
      </w:pPr>
    </w:p>
    <w:p>
      <w:pPr>
        <w:jc w:val="both"/>
        <w:ind w:firstLine="656"/>
        <w:spacing w:after="0" w:line="286" w:lineRule="auto"/>
        <w:tabs>
          <w:tab w:leader="none" w:pos="1296" w:val="left"/>
        </w:tabs>
        <w:numPr>
          <w:ilvl w:val="0"/>
          <w:numId w:val="54"/>
        </w:numPr>
        <w:rPr>
          <w:rFonts w:ascii="Arial" w:cs="Arial" w:eastAsia="Arial" w:hAnsi="Arial"/>
          <w:sz w:val="19"/>
          <w:szCs w:val="19"/>
          <w:color w:val="auto"/>
        </w:rPr>
      </w:pPr>
      <w:r>
        <w:rPr>
          <w:rFonts w:ascii="Arial" w:cs="Arial" w:eastAsia="Arial" w:hAnsi="Arial"/>
          <w:sz w:val="19"/>
          <w:szCs w:val="19"/>
          <w:b w:val="1"/>
          <w:bCs w:val="1"/>
          <w:u w:val="single" w:color="auto"/>
          <w:color w:val="auto"/>
        </w:rPr>
        <w:t>Tax Consequences; Section 409A</w:t>
      </w:r>
      <w:r>
        <w:rPr>
          <w:rFonts w:ascii="Arial" w:cs="Arial" w:eastAsia="Arial" w:hAnsi="Arial"/>
          <w:sz w:val="19"/>
          <w:szCs w:val="19"/>
          <w:color w:val="auto"/>
        </w:rPr>
        <w:t>. Participant understands that Participant (and not the Company)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responsible for Participant’s tax liability that may arise as a result of the transactions contemplated by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Participant acknowledges and agrees that the Company shall have the right to deduct from payments of any kind otherwise due to Participant any federal, state, or local taxes of any kind required by law to be withheld with respect to the grant of this Award, the vesting of the RSUs, or the issuance of the Shares in accordance with the procedures set forth in Section 10 of the Plan, which is expressly incorporated by reference herein. This Agreement and the RSUs are intended to comply with, or be exempt from, the provisions of Section 409A of the Code and shall be interpreted in accordance with Section 409A of the Code and the Treasury regulations and other interpretive guidance issued thereunder (“Section 409A”). If the Company at any time determines that this Agreement or the RSUs are not compliant with, or otherwise exempt from, Section 409A, the Company may amend this Agreement or adopt other policies and procedures (including amendments, policies, and procedures with retroactive effect), or take any other actions, that the Company determines to be necessary or appropriate to cause this Agreement and the transactions contemplated thereby to (i) comply with Section 409A, or (ii) otherwise be exempt from Section 409A. For the avoidance of doubt, any termination of Participant’s Service must constitute a “separation from service” (as defined under Section 409A) in order to be deemed a termination of Service hereunder.</w:t>
      </w:r>
    </w:p>
    <w:p>
      <w:pPr>
        <w:spacing w:after="0" w:line="161" w:lineRule="exact"/>
        <w:rPr>
          <w:rFonts w:ascii="Arial" w:cs="Arial" w:eastAsia="Arial" w:hAnsi="Arial"/>
          <w:sz w:val="19"/>
          <w:szCs w:val="19"/>
          <w:color w:val="auto"/>
        </w:rPr>
      </w:pPr>
    </w:p>
    <w:p>
      <w:pPr>
        <w:jc w:val="both"/>
        <w:ind w:firstLine="656"/>
        <w:spacing w:after="0" w:line="264" w:lineRule="auto"/>
        <w:tabs>
          <w:tab w:leader="none" w:pos="1296" w:val="left"/>
        </w:tabs>
        <w:numPr>
          <w:ilvl w:val="0"/>
          <w:numId w:val="54"/>
        </w:numPr>
        <w:rPr>
          <w:rFonts w:ascii="Arial" w:cs="Arial" w:eastAsia="Arial" w:hAnsi="Arial"/>
          <w:sz w:val="21"/>
          <w:szCs w:val="21"/>
          <w:color w:val="auto"/>
        </w:rPr>
      </w:pPr>
      <w:r>
        <w:rPr>
          <w:rFonts w:ascii="Arial" w:cs="Arial" w:eastAsia="Arial" w:hAnsi="Arial"/>
          <w:sz w:val="21"/>
          <w:szCs w:val="21"/>
          <w:b w:val="1"/>
          <w:bCs w:val="1"/>
          <w:u w:val="single" w:color="auto"/>
          <w:color w:val="auto"/>
        </w:rPr>
        <w:t>Compliance with Law</w:t>
      </w:r>
      <w:r>
        <w:rPr>
          <w:rFonts w:ascii="Arial" w:cs="Arial" w:eastAsia="Arial" w:hAnsi="Arial"/>
          <w:sz w:val="21"/>
          <w:szCs w:val="21"/>
          <w:color w:val="auto"/>
        </w:rPr>
        <w:t>. The issuance of Shares shall be subject to compliance by the Company and the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with all applicable requirements of federal and state securities laws and with all applicable requirements of any stock exchange on which the Shares may be listed. No Shares shall be issued or transferred unless and until any then applicable requirements of state or federal laws and regulatory agencies have been fully complied with to the satisfaction of the Company and its counsel. Participant understands that the Company is under no obligation</w:t>
      </w:r>
    </w:p>
    <w:p>
      <w:pPr>
        <w:sectPr>
          <w:pgSz w:w="11900" w:h="16838" w:orient="portrait"/>
          <w:cols w:equalWidth="0" w:num="1">
            <w:col w:w="11240"/>
          </w:cols>
          <w:pgMar w:left="320" w:top="1428" w:right="339" w:bottom="1440" w:gutter="0" w:footer="0" w:header="0"/>
        </w:sectPr>
      </w:pPr>
    </w:p>
    <w:bookmarkStart w:id="112" w:name="page113"/>
    <w:bookmarkEnd w:id="112"/>
    <w:p>
      <w:pPr>
        <w:spacing w:after="0" w:line="263" w:lineRule="auto"/>
        <w:rPr>
          <w:sz w:val="20"/>
          <w:szCs w:val="20"/>
          <w:color w:val="auto"/>
        </w:rPr>
      </w:pPr>
      <w:r>
        <w:rPr>
          <w:rFonts w:ascii="Arial" w:cs="Arial" w:eastAsia="Arial" w:hAnsi="Arial"/>
          <w:sz w:val="22"/>
          <w:szCs w:val="22"/>
          <w:color w:val="auto"/>
        </w:rPr>
        <w:t>to register any Shares with the Securities and Exchange Commission, any state securities commission or any stock exchange to effect such compliance.</w:t>
      </w:r>
    </w:p>
    <w:p>
      <w:pPr>
        <w:spacing w:after="0" w:line="169" w:lineRule="exact"/>
        <w:rPr>
          <w:sz w:val="20"/>
          <w:szCs w:val="20"/>
          <w:color w:val="auto"/>
        </w:rPr>
      </w:pPr>
    </w:p>
    <w:p>
      <w:pPr>
        <w:jc w:val="both"/>
        <w:ind w:firstLine="656"/>
        <w:spacing w:after="0" w:line="262" w:lineRule="auto"/>
        <w:tabs>
          <w:tab w:leader="none" w:pos="1296" w:val="left"/>
        </w:tabs>
        <w:numPr>
          <w:ilvl w:val="0"/>
          <w:numId w:val="55"/>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Any notice to the Company provided for in this Agreement shall be addressed to the Company in care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chief executive officer at the corporate headquarters of the Company, and any notice to Participant shall be addressed to Participant at the current address shown in the Company’s records, or to such other address as Participant may designate to the Company in writing. Any notice shall be delivered by hand, sent by telecopy, sent by electronic mail, or enclosed in a properly sealed envelope addressed as stated above, registered and deposited, postage prepaid, in a post office regularly maintained by the United States Postal Service.</w:t>
      </w:r>
    </w:p>
    <w:p>
      <w:pPr>
        <w:spacing w:after="0" w:line="173" w:lineRule="exact"/>
        <w:rPr>
          <w:rFonts w:ascii="Arial" w:cs="Arial" w:eastAsia="Arial" w:hAnsi="Arial"/>
          <w:sz w:val="21"/>
          <w:szCs w:val="21"/>
          <w:color w:val="auto"/>
        </w:rPr>
      </w:pPr>
    </w:p>
    <w:p>
      <w:pPr>
        <w:ind w:firstLine="656"/>
        <w:spacing w:after="0" w:line="293" w:lineRule="auto"/>
        <w:tabs>
          <w:tab w:leader="none" w:pos="1296" w:val="left"/>
        </w:tabs>
        <w:numPr>
          <w:ilvl w:val="0"/>
          <w:numId w:val="55"/>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The implementation and interpretation of this Agreement shall be governed by and enforced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the laws of the Commonwealth of Pennsylvania without regard to its conflict of laws rules.</w:t>
      </w:r>
    </w:p>
    <w:p>
      <w:pPr>
        <w:spacing w:after="0" w:line="139" w:lineRule="exact"/>
        <w:rPr>
          <w:rFonts w:ascii="Arial" w:cs="Arial" w:eastAsia="Arial" w:hAnsi="Arial"/>
          <w:sz w:val="21"/>
          <w:szCs w:val="21"/>
          <w:color w:val="auto"/>
        </w:rPr>
      </w:pPr>
    </w:p>
    <w:p>
      <w:pPr>
        <w:jc w:val="both"/>
        <w:ind w:firstLine="656"/>
        <w:spacing w:after="0" w:line="256" w:lineRule="auto"/>
        <w:tabs>
          <w:tab w:leader="none" w:pos="1296"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Binding Effect and Assignability</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rights and obligations of both parties under this Agreement shall inure to</w:t>
      </w:r>
      <w:r>
        <w:rPr>
          <w:rFonts w:ascii="Arial" w:cs="Arial" w:eastAsia="Arial" w:hAnsi="Arial"/>
          <w:sz w:val="22"/>
          <w:szCs w:val="22"/>
          <w:b w:val="1"/>
          <w:bCs w:val="1"/>
          <w:color w:val="auto"/>
        </w:rPr>
        <w:t xml:space="preserve"> </w:t>
      </w:r>
      <w:r>
        <w:rPr>
          <w:rFonts w:ascii="Arial" w:cs="Arial" w:eastAsia="Arial" w:hAnsi="Arial"/>
          <w:sz w:val="22"/>
          <w:szCs w:val="22"/>
          <w:color w:val="auto"/>
        </w:rPr>
        <w:t>the benefit of and shall be binding upon their personal representatives, heirs, successors and assigns. This Agreement, or any part thereof, may not be assigned by Participant.</w:t>
      </w:r>
    </w:p>
    <w:p>
      <w:pPr>
        <w:spacing w:after="0" w:line="176" w:lineRule="exact"/>
        <w:rPr>
          <w:rFonts w:ascii="Arial" w:cs="Arial" w:eastAsia="Arial" w:hAnsi="Arial"/>
          <w:sz w:val="22"/>
          <w:szCs w:val="22"/>
          <w:color w:val="auto"/>
        </w:rPr>
      </w:pPr>
    </w:p>
    <w:p>
      <w:pPr>
        <w:jc w:val="both"/>
        <w:ind w:firstLine="656"/>
        <w:spacing w:after="0" w:line="290" w:lineRule="auto"/>
        <w:tabs>
          <w:tab w:leader="none" w:pos="1288" w:val="left"/>
        </w:tabs>
        <w:numPr>
          <w:ilvl w:val="0"/>
          <w:numId w:val="55"/>
        </w:numPr>
        <w:rPr>
          <w:rFonts w:ascii="Arial" w:cs="Arial" w:eastAsia="Arial" w:hAnsi="Arial"/>
          <w:sz w:val="19"/>
          <w:szCs w:val="19"/>
          <w:color w:val="auto"/>
        </w:rPr>
      </w:pPr>
      <w:r>
        <w:rPr>
          <w:rFonts w:ascii="Arial" w:cs="Arial" w:eastAsia="Arial" w:hAnsi="Arial"/>
          <w:sz w:val="19"/>
          <w:szCs w:val="19"/>
          <w:b w:val="1"/>
          <w:bCs w:val="1"/>
          <w:u w:val="single" w:color="auto"/>
          <w:color w:val="auto"/>
        </w:rPr>
        <w:t>Data Privacy Consent.</w:t>
      </w:r>
      <w:r>
        <w:rPr>
          <w:rFonts w:ascii="Arial" w:cs="Arial" w:eastAsia="Arial" w:hAnsi="Arial"/>
          <w:sz w:val="19"/>
          <w:szCs w:val="19"/>
          <w:b w:val="1"/>
          <w:bCs w:val="1"/>
          <w:color w:val="auto"/>
        </w:rPr>
        <w:t xml:space="preserve"> </w:t>
      </w:r>
      <w:r>
        <w:rPr>
          <w:rFonts w:ascii="Arial" w:cs="Arial" w:eastAsia="Arial" w:hAnsi="Arial"/>
          <w:sz w:val="19"/>
          <w:szCs w:val="19"/>
          <w:color w:val="auto"/>
        </w:rPr>
        <w:t>In order to administer the Plan and this Agreement and to implement or structure future</w:t>
      </w:r>
      <w:r>
        <w:rPr>
          <w:rFonts w:ascii="Arial" w:cs="Arial" w:eastAsia="Arial" w:hAnsi="Arial"/>
          <w:sz w:val="19"/>
          <w:szCs w:val="19"/>
          <w:b w:val="1"/>
          <w:bCs w:val="1"/>
          <w:color w:val="auto"/>
        </w:rPr>
        <w:t xml:space="preserve"> </w:t>
      </w:r>
      <w:r>
        <w:rPr>
          <w:rFonts w:ascii="Arial" w:cs="Arial" w:eastAsia="Arial" w:hAnsi="Arial"/>
          <w:sz w:val="19"/>
          <w:szCs w:val="19"/>
          <w:color w:val="auto"/>
        </w:rPr>
        <w:t>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or this Agreement (the “Relevant Information”). By entering into this Agreement, Participant: (i) authorizes the Company to collect, process, register, and transfer to the Relevant Companies all Relevant Information; (ii) waives any privacy rights that Participant may have with respect to the Relevant Information; and (iii) authorizes the Relevant Companies to store and transmit such information in electronic form. Participant shall have access to, and the right to change, the Relevant Information. Relevant Information will only be used in accordance with applicable law.</w:t>
      </w:r>
    </w:p>
    <w:p>
      <w:pPr>
        <w:spacing w:after="0" w:line="148" w:lineRule="exact"/>
        <w:rPr>
          <w:rFonts w:ascii="Arial" w:cs="Arial" w:eastAsia="Arial" w:hAnsi="Arial"/>
          <w:sz w:val="19"/>
          <w:szCs w:val="19"/>
          <w:color w:val="auto"/>
        </w:rPr>
      </w:pPr>
    </w:p>
    <w:p>
      <w:pPr>
        <w:jc w:val="both"/>
        <w:ind w:right="20" w:firstLine="656"/>
        <w:spacing w:after="0" w:line="256" w:lineRule="auto"/>
        <w:tabs>
          <w:tab w:leader="none" w:pos="1296"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The invalidity or unenforceability of any provision of the Plan or this Agreement shall not affect the</w:t>
      </w:r>
      <w:r>
        <w:rPr>
          <w:rFonts w:ascii="Arial" w:cs="Arial" w:eastAsia="Arial" w:hAnsi="Arial"/>
          <w:sz w:val="22"/>
          <w:szCs w:val="22"/>
          <w:b w:val="1"/>
          <w:bCs w:val="1"/>
          <w:color w:val="auto"/>
        </w:rPr>
        <w:t xml:space="preserve"> </w:t>
      </w:r>
      <w:r>
        <w:rPr>
          <w:rFonts w:ascii="Arial" w:cs="Arial" w:eastAsia="Arial" w:hAnsi="Arial"/>
          <w:sz w:val="22"/>
          <w:szCs w:val="22"/>
          <w:color w:val="auto"/>
        </w:rPr>
        <w:t>validity or enforceability of any other provision of the Plan or this Agreement, and each provision of the Plan and this Agreement shall be severable and enforceable to the extent permitted by law.</w:t>
      </w:r>
    </w:p>
    <w:p>
      <w:pPr>
        <w:spacing w:after="0" w:line="176" w:lineRule="exact"/>
        <w:rPr>
          <w:rFonts w:ascii="Arial" w:cs="Arial" w:eastAsia="Arial" w:hAnsi="Arial"/>
          <w:sz w:val="22"/>
          <w:szCs w:val="22"/>
          <w:color w:val="auto"/>
        </w:rPr>
      </w:pPr>
    </w:p>
    <w:p>
      <w:pPr>
        <w:jc w:val="both"/>
        <w:ind w:firstLine="656"/>
        <w:spacing w:after="0" w:line="249" w:lineRule="auto"/>
        <w:tabs>
          <w:tab w:leader="none" w:pos="1296"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and the Plan constitute the entire agreement with respect to the subject matter</w:t>
      </w:r>
      <w:r>
        <w:rPr>
          <w:rFonts w:ascii="Arial" w:cs="Arial" w:eastAsia="Arial" w:hAnsi="Arial"/>
          <w:sz w:val="22"/>
          <w:szCs w:val="22"/>
          <w:b w:val="1"/>
          <w:bCs w:val="1"/>
          <w:color w:val="auto"/>
        </w:rPr>
        <w:t xml:space="preserve"> </w:t>
      </w:r>
      <w:r>
        <w:rPr>
          <w:rFonts w:ascii="Arial" w:cs="Arial" w:eastAsia="Arial" w:hAnsi="Arial"/>
          <w:sz w:val="22"/>
          <w:szCs w:val="22"/>
          <w:color w:val="auto"/>
        </w:rPr>
        <w:t>hereof between the parties hereto and there are no other agreements between the parties relating to the subject matter hereof. The Company and Participant have made no promises, agreements, conditions, or understandings relating to the RSUs, either orally or in writing, that are not included in this Agreement or the Plan. This Agreement may only be modified by an agreement in writing executed by both the Company and</w:t>
      </w:r>
    </w:p>
    <w:p>
      <w:pPr>
        <w:sectPr>
          <w:pgSz w:w="11900" w:h="16838" w:orient="portrait"/>
          <w:cols w:equalWidth="0" w:num="1">
            <w:col w:w="11240"/>
          </w:cols>
          <w:pgMar w:left="320" w:top="1428" w:right="339" w:bottom="1440" w:gutter="0" w:footer="0" w:header="0"/>
        </w:sectPr>
      </w:pPr>
    </w:p>
    <w:bookmarkStart w:id="113" w:name="page114"/>
    <w:bookmarkEnd w:id="113"/>
    <w:p>
      <w:pPr>
        <w:spacing w:after="0"/>
        <w:rPr>
          <w:sz w:val="20"/>
          <w:szCs w:val="20"/>
          <w:color w:val="auto"/>
        </w:rPr>
      </w:pPr>
      <w:r>
        <w:rPr>
          <w:rFonts w:ascii="Arial" w:cs="Arial" w:eastAsia="Arial" w:hAnsi="Arial"/>
          <w:sz w:val="19"/>
          <w:szCs w:val="19"/>
          <w:color w:val="auto"/>
        </w:rPr>
        <w:t>Participant. Emailed copies (pdf format) of any party’s signature hereto will have the same effect as an original signature.</w:t>
      </w:r>
    </w:p>
    <w:p>
      <w:pPr>
        <w:sectPr>
          <w:pgSz w:w="11900" w:h="16838" w:orient="portrait"/>
          <w:cols w:equalWidth="0" w:num="1">
            <w:col w:w="10500"/>
          </w:cols>
          <w:pgMar w:left="320" w:top="1428" w:right="1079" w:bottom="1440" w:gutter="0" w:footer="0" w:header="0"/>
        </w:sectPr>
      </w:pPr>
    </w:p>
    <w:p>
      <w:pPr>
        <w:spacing w:after="0" w:line="254" w:lineRule="exact"/>
        <w:rPr>
          <w:sz w:val="20"/>
          <w:szCs w:val="20"/>
          <w:color w:val="auto"/>
        </w:rPr>
      </w:pPr>
    </w:p>
    <w:p>
      <w:pPr>
        <w:ind w:left="3540"/>
        <w:spacing w:after="0"/>
        <w:rPr>
          <w:sz w:val="20"/>
          <w:szCs w:val="20"/>
          <w:color w:val="auto"/>
        </w:rPr>
      </w:pPr>
      <w:r>
        <w:rPr>
          <w:rFonts w:ascii="Arial" w:cs="Arial" w:eastAsia="Arial" w:hAnsi="Arial"/>
          <w:sz w:val="19"/>
          <w:szCs w:val="19"/>
          <w:i w:val="1"/>
          <w:iCs w:val="1"/>
          <w:color w:val="auto"/>
        </w:rPr>
        <w:t>[Notice of Restricted Stock Unit Grant Follows]</w:t>
      </w:r>
    </w:p>
    <w:p>
      <w:pPr>
        <w:sectPr>
          <w:pgSz w:w="11900" w:h="16838" w:orient="portrait"/>
          <w:cols w:equalWidth="0" w:num="1">
            <w:col w:w="10500"/>
          </w:cols>
          <w:pgMar w:left="320" w:top="1428" w:right="1079" w:bottom="1440" w:gutter="0" w:footer="0" w:header="0"/>
          <w:type w:val="continuous"/>
        </w:sectPr>
      </w:pPr>
    </w:p>
    <w:bookmarkStart w:id="114" w:name="page115"/>
    <w:bookmarkEnd w:id="114"/>
    <w:p>
      <w:pPr>
        <w:jc w:val="center"/>
        <w:ind w:right="-19"/>
        <w:spacing w:after="0"/>
        <w:rPr>
          <w:sz w:val="20"/>
          <w:szCs w:val="20"/>
          <w:color w:val="auto"/>
        </w:rPr>
      </w:pPr>
      <w:r>
        <w:rPr>
          <w:rFonts w:ascii="Arial" w:cs="Arial" w:eastAsia="Arial" w:hAnsi="Arial"/>
          <w:sz w:val="22"/>
          <w:szCs w:val="22"/>
          <w:b w:val="1"/>
          <w:bCs w:val="1"/>
          <w:color w:val="auto"/>
        </w:rPr>
        <w:t>CANTALOUPE,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2018 EQUITY INCENTIVE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RESTRICTED STOCK UNIT GRANT</w:t>
      </w:r>
    </w:p>
    <w:p>
      <w:pPr>
        <w:spacing w:after="0" w:line="229"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Cantaloupe, Inc., a Pennsylvania corporation, f/k/a USA Technologies, Inc. (the “Company”) has granted to you, the “Participant” named below, an award of restricted stock units (“RSUs”) under the Company’s 2018 Equity Incentive Plan (as amended from time to time, the “Plan”). The terms of the grant are set forth in the Restricted Stock Unit Award Agreement (together with this Notice of Restricted Stock Unit Grant, the “Agreement”) provided to you and which immediately precedes this Notice. The following provides a summary of the key terms of your award; however, you should read the entire Agreement, along with the terms of the Plan, to fully understand your award and the terms and conditions applicable to it.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RESTRICTED STOCK UNIT AWARD</w:t>
      </w:r>
    </w:p>
    <w:p>
      <w:pPr>
        <w:sectPr>
          <w:pgSz w:w="11900" w:h="16838" w:orient="portrait"/>
          <w:cols w:equalWidth="0" w:num="1">
            <w:col w:w="11240"/>
          </w:cols>
          <w:pgMar w:left="320" w:top="1422" w:right="339" w:bottom="1440" w:gutter="0" w:footer="0" w:header="0"/>
        </w:sect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Participant:</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200" w:lineRule="exact"/>
        <w:rPr>
          <w:sz w:val="20"/>
          <w:szCs w:val="20"/>
          <w:color w:val="auto"/>
        </w:rPr>
      </w:pPr>
    </w:p>
    <w:p>
      <w:pPr>
        <w:sectPr>
          <w:pgSz w:w="11900" w:h="16838" w:orient="portrait"/>
          <w:cols w:equalWidth="0" w:num="2">
            <w:col w:w="1140" w:space="720"/>
            <w:col w:w="9380"/>
          </w:cols>
          <w:pgMar w:left="320" w:top="1422" w:right="3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Grant Date: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200" w:lineRule="exact"/>
        <w:rPr>
          <w:sz w:val="20"/>
          <w:szCs w:val="20"/>
          <w:color w:val="auto"/>
        </w:rPr>
      </w:pPr>
    </w:p>
    <w:p>
      <w:pPr>
        <w:sectPr>
          <w:pgSz w:w="11900" w:h="16838" w:orient="portrait"/>
          <w:cols w:equalWidth="0" w:num="2">
            <w:col w:w="1160" w:space="720"/>
            <w:col w:w="9360"/>
          </w:cols>
          <w:pgMar w:left="320" w:top="1422" w:right="339" w:bottom="1440" w:gutter="0" w:footer="0" w:header="0"/>
          <w:type w:val="continuous"/>
        </w:sectPr>
      </w:pPr>
    </w:p>
    <w:p>
      <w:pPr>
        <w:spacing w:after="0" w:line="81" w:lineRule="exact"/>
        <w:rPr>
          <w:sz w:val="20"/>
          <w:szCs w:val="20"/>
          <w:color w:val="auto"/>
        </w:rPr>
      </w:pPr>
    </w:p>
    <w:p>
      <w:pPr>
        <w:spacing w:after="0"/>
        <w:tabs>
          <w:tab w:leader="none" w:pos="3000" w:val="left"/>
        </w:tabs>
        <w:rPr>
          <w:sz w:val="20"/>
          <w:szCs w:val="20"/>
          <w:color w:val="auto"/>
        </w:rPr>
      </w:pPr>
      <w:r>
        <w:rPr>
          <w:rFonts w:ascii="Arial" w:cs="Arial" w:eastAsia="Arial" w:hAnsi="Arial"/>
          <w:sz w:val="22"/>
          <w:szCs w:val="22"/>
          <w:color w:val="auto"/>
        </w:rPr>
        <w:t>Total Number of RSUs Granted:</w:t>
      </w:r>
      <w:r>
        <w:rPr>
          <w:sz w:val="20"/>
          <w:szCs w:val="20"/>
          <w:color w:val="auto"/>
        </w:rPr>
        <w:tab/>
      </w:r>
      <w:r>
        <w:rPr>
          <w:rFonts w:ascii="Arial" w:cs="Arial" w:eastAsia="Arial" w:hAnsi="Arial"/>
          <w:sz w:val="19"/>
          <w:szCs w:val="19"/>
          <w:color w:val="auto"/>
        </w:rPr>
        <w:t>_________________________________</w:t>
      </w:r>
    </w:p>
    <w:p>
      <w:pPr>
        <w:spacing w:after="0" w:line="247"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Vesting Commencement Date:</w:t>
      </w:r>
      <w:r>
        <w:rPr>
          <w:sz w:val="20"/>
          <w:szCs w:val="20"/>
          <w:color w:val="auto"/>
        </w:rPr>
        <w:tab/>
      </w:r>
      <w:r>
        <w:rPr>
          <w:rFonts w:ascii="Arial" w:cs="Arial" w:eastAsia="Arial" w:hAnsi="Arial"/>
          <w:sz w:val="19"/>
          <w:szCs w:val="19"/>
          <w:color w:val="auto"/>
        </w:rPr>
        <w:t>_________________________________</w:t>
      </w:r>
    </w:p>
    <w:p>
      <w:pPr>
        <w:spacing w:after="0" w:line="247" w:lineRule="exact"/>
        <w:rPr>
          <w:sz w:val="20"/>
          <w:szCs w:val="20"/>
          <w:color w:val="auto"/>
        </w:rPr>
      </w:pPr>
    </w:p>
    <w:p>
      <w:pPr>
        <w:ind w:left="1840" w:right="20" w:hanging="3239"/>
        <w:spacing w:after="0" w:line="263" w:lineRule="auto"/>
        <w:tabs>
          <w:tab w:leader="none" w:pos="1820" w:val="left"/>
        </w:tabs>
        <w:rPr>
          <w:sz w:val="20"/>
          <w:szCs w:val="20"/>
          <w:color w:val="auto"/>
        </w:rPr>
      </w:pPr>
      <w:r>
        <w:rPr>
          <w:rFonts w:ascii="Arial" w:cs="Arial" w:eastAsia="Arial" w:hAnsi="Arial"/>
          <w:sz w:val="22"/>
          <w:szCs w:val="22"/>
          <w:color w:val="auto"/>
        </w:rPr>
        <w:t>Vesting Schedule:</w:t>
        <w:tab/>
        <w:t>[One-third (1/3) of the RSUs shall vest [</w:t>
      </w:r>
      <w:r>
        <w:rPr>
          <w:rFonts w:ascii="Arial" w:cs="Arial" w:eastAsia="Arial" w:hAnsi="Arial"/>
          <w:sz w:val="22"/>
          <w:szCs w:val="22"/>
          <w:i w:val="1"/>
          <w:iCs w:val="1"/>
          <w:color w:val="auto"/>
        </w:rPr>
        <w:t>insert vesting schedule</w:t>
      </w:r>
      <w:r>
        <w:rPr>
          <w:rFonts w:ascii="Arial" w:cs="Arial" w:eastAsia="Arial" w:hAnsi="Arial"/>
          <w:sz w:val="22"/>
          <w:szCs w:val="22"/>
          <w:color w:val="auto"/>
        </w:rPr>
        <w:t>], subject to Participant’s continued Service through each such date*]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*Unless otherwise provided in the Agreement or the Plan.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[CTLP – Notice of Restricted Stock Unit Award – 2018 Equity Incentive Plan]</w:t>
      </w:r>
    </w:p>
    <w:p>
      <w:pPr>
        <w:sectPr>
          <w:pgSz w:w="11900" w:h="16838" w:orient="portrait"/>
          <w:cols w:equalWidth="0" w:num="1">
            <w:col w:w="11240"/>
          </w:cols>
          <w:pgMar w:left="320" w:top="1422" w:right="339" w:bottom="1440" w:gutter="0" w:footer="0" w:header="0"/>
          <w:type w:val="continuous"/>
        </w:sectPr>
      </w:pPr>
    </w:p>
    <w:bookmarkStart w:id="115" w:name="page116"/>
    <w:bookmarkEnd w:id="115"/>
    <w:p>
      <w:pPr>
        <w:ind w:left="652"/>
        <w:spacing w:after="0"/>
        <w:rPr>
          <w:sz w:val="20"/>
          <w:szCs w:val="20"/>
          <w:color w:val="auto"/>
        </w:rPr>
      </w:pPr>
      <w:r>
        <w:rPr>
          <w:rFonts w:ascii="Arial" w:cs="Arial" w:eastAsia="Arial" w:hAnsi="Arial"/>
          <w:sz w:val="22"/>
          <w:szCs w:val="22"/>
          <w:color w:val="auto"/>
        </w:rPr>
        <w:t>IN WITNESS WHEREOF, the parties hereto have executed this Agreement as of the Grant Date.</w:t>
      </w:r>
    </w:p>
    <w:p>
      <w:pPr>
        <w:spacing w:after="0" w:line="274" w:lineRule="exact"/>
        <w:rPr>
          <w:sz w:val="20"/>
          <w:szCs w:val="20"/>
          <w:color w:val="auto"/>
        </w:rPr>
      </w:pPr>
    </w:p>
    <w:p>
      <w:pPr>
        <w:ind w:left="4312"/>
        <w:spacing w:after="0"/>
        <w:rPr>
          <w:sz w:val="20"/>
          <w:szCs w:val="20"/>
          <w:color w:val="auto"/>
        </w:rPr>
      </w:pPr>
      <w:r>
        <w:rPr>
          <w:rFonts w:ascii="Arial" w:cs="Arial" w:eastAsia="Arial" w:hAnsi="Arial"/>
          <w:sz w:val="22"/>
          <w:szCs w:val="22"/>
          <w:color w:val="auto"/>
        </w:rPr>
        <w:t>CANTALOUPE, INC.</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312"/>
        <w:spacing w:after="0"/>
        <w:rPr>
          <w:sz w:val="20"/>
          <w:szCs w:val="20"/>
          <w:color w:val="auto"/>
        </w:rPr>
      </w:pPr>
      <w:r>
        <w:rPr>
          <w:rFonts w:ascii="Arial" w:cs="Arial" w:eastAsia="Arial" w:hAnsi="Arial"/>
          <w:sz w:val="22"/>
          <w:szCs w:val="22"/>
          <w:color w:val="auto"/>
        </w:rPr>
        <w:t>By:__________________________</w:t>
      </w:r>
    </w:p>
    <w:p>
      <w:pPr>
        <w:spacing w:after="0" w:line="21" w:lineRule="exact"/>
        <w:rPr>
          <w:sz w:val="20"/>
          <w:szCs w:val="20"/>
          <w:color w:val="auto"/>
        </w:rPr>
      </w:pPr>
    </w:p>
    <w:p>
      <w:pPr>
        <w:ind w:left="4472"/>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472"/>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72" w:right="40"/>
        <w:spacing w:after="0" w:line="246" w:lineRule="auto"/>
        <w:rPr>
          <w:sz w:val="20"/>
          <w:szCs w:val="20"/>
          <w:color w:val="auto"/>
        </w:rPr>
      </w:pPr>
      <w:r>
        <w:rPr>
          <w:rFonts w:ascii="Arial" w:cs="Arial" w:eastAsia="Arial" w:hAnsi="Arial"/>
          <w:sz w:val="20"/>
          <w:szCs w:val="20"/>
          <w:b w:val="1"/>
          <w:bCs w:val="1"/>
          <w:color w:val="auto"/>
        </w:rPr>
        <w:t>THE UNDERSIGNED PARTICIPANT ACKNOWLEDGES RECEIPT OF THIS NOTICE OF RESTRICTED STOCK UNIT GRANT, THE RESTRICTED STOCK UNIT AWARD AGREEMENT, ANY EXHIBIT ATTACHED THERETO, AND THE PLAN, AND, AS AN EXPRESS CONDITION TO THE GRANT OF RESTRICTED STOCK UNITS HEREUNDER, AGREES TO BE BOUND BY THE TERMS OF THIS NOTICE OF RESTRICTED STOCK UNIT GRANT, THE RESTRICTED STOCK UNIT AWARD AGREEMENT, ANY EXHIBIT ATTACHED THERETO, AND THE PLAN.</w:t>
      </w:r>
    </w:p>
    <w:p>
      <w:pPr>
        <w:spacing w:after="0" w:line="38" w:lineRule="exact"/>
        <w:rPr>
          <w:sz w:val="20"/>
          <w:szCs w:val="20"/>
          <w:color w:val="auto"/>
        </w:rPr>
      </w:pPr>
    </w:p>
    <w:p>
      <w:pPr>
        <w:ind w:left="4312"/>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90" w:lineRule="exact"/>
        <w:rPr>
          <w:sz w:val="20"/>
          <w:szCs w:val="20"/>
          <w:color w:val="auto"/>
        </w:rPr>
      </w:pPr>
    </w:p>
    <w:p>
      <w:pPr>
        <w:ind w:left="4312"/>
        <w:spacing w:after="0"/>
        <w:rPr>
          <w:sz w:val="20"/>
          <w:szCs w:val="20"/>
          <w:color w:val="auto"/>
        </w:rPr>
      </w:pPr>
      <w:r>
        <w:rPr>
          <w:rFonts w:ascii="Arial" w:cs="Arial" w:eastAsia="Arial" w:hAnsi="Arial"/>
          <w:sz w:val="22"/>
          <w:szCs w:val="22"/>
          <w:color w:val="auto"/>
        </w:rPr>
        <w:t>_____________________________</w:t>
      </w:r>
    </w:p>
    <w:p>
      <w:pPr>
        <w:spacing w:after="0" w:line="8" w:lineRule="exact"/>
        <w:rPr>
          <w:sz w:val="20"/>
          <w:szCs w:val="20"/>
          <w:color w:val="auto"/>
        </w:rPr>
      </w:pPr>
    </w:p>
    <w:p>
      <w:pPr>
        <w:ind w:left="4312"/>
        <w:spacing w:after="0"/>
        <w:rPr>
          <w:sz w:val="20"/>
          <w:szCs w:val="20"/>
          <w:color w:val="auto"/>
        </w:rPr>
      </w:pPr>
      <w:r>
        <w:rPr>
          <w:rFonts w:ascii="Arial" w:cs="Arial" w:eastAsia="Arial" w:hAnsi="Arial"/>
          <w:sz w:val="22"/>
          <w:szCs w:val="22"/>
          <w:color w:val="auto"/>
        </w:rPr>
        <w:t>___________________</w:t>
      </w:r>
      <w:r>
        <w:rPr>
          <w:rFonts w:ascii="Arial" w:cs="Arial" w:eastAsia="Arial" w:hAnsi="Arial"/>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663575</wp:posOffset>
            </wp:positionV>
            <wp:extent cx="1714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 w:firstLine="8"/>
        <w:spacing w:after="0" w:line="227" w:lineRule="auto"/>
        <w:tabs>
          <w:tab w:leader="none" w:pos="95"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ectPr>
          <w:pgSz w:w="11900" w:h="16838" w:orient="portrait"/>
          <w:cols w:equalWidth="0" w:num="1">
            <w:col w:w="11212"/>
          </w:cols>
          <w:pgMar w:left="328" w:top="1428" w:right="359"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b w:val="1"/>
          <w:bCs w:val="1"/>
          <w:color w:val="auto"/>
        </w:rPr>
        <w:t>Exhibit 21.1</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580" w:type="dxa"/>
            <w:vAlign w:val="bottom"/>
            <w:gridSpan w:val="3"/>
          </w:tcPr>
          <w:p>
            <w:pPr>
              <w:ind w:left="20"/>
              <w:spacing w:after="0"/>
              <w:rPr>
                <w:sz w:val="20"/>
                <w:szCs w:val="20"/>
                <w:color w:val="auto"/>
              </w:rPr>
            </w:pPr>
            <w:r>
              <w:rPr>
                <w:rFonts w:ascii="Arial" w:cs="Arial" w:eastAsia="Arial" w:hAnsi="Arial"/>
                <w:sz w:val="20"/>
                <w:szCs w:val="20"/>
                <w:b w:val="1"/>
                <w:bCs w:val="1"/>
                <w:color w:val="auto"/>
                <w:w w:val="99"/>
              </w:rPr>
              <w:t>SUBSIDIARIES OF THE REGISTRANT</w:t>
            </w:r>
          </w:p>
        </w:tc>
        <w:tc>
          <w:tcPr>
            <w:tcW w:w="2180" w:type="dxa"/>
            <w:vAlign w:val="bottom"/>
          </w:tcPr>
          <w:p>
            <w:pPr>
              <w:spacing w:after="0"/>
              <w:rPr>
                <w:sz w:val="22"/>
                <w:szCs w:val="22"/>
                <w:color w:val="auto"/>
              </w:rPr>
            </w:pPr>
          </w:p>
        </w:tc>
      </w:tr>
      <w:tr>
        <w:trPr>
          <w:trHeight w:val="428"/>
        </w:trPr>
        <w:tc>
          <w:tcPr>
            <w:tcW w:w="920" w:type="dxa"/>
            <w:vAlign w:val="bottom"/>
          </w:tcPr>
          <w:p>
            <w:pPr>
              <w:spacing w:after="0"/>
              <w:rPr>
                <w:sz w:val="20"/>
                <w:szCs w:val="20"/>
                <w:color w:val="auto"/>
              </w:rPr>
            </w:pPr>
            <w:r>
              <w:rPr>
                <w:rFonts w:ascii="Arial" w:cs="Arial" w:eastAsia="Arial" w:hAnsi="Arial"/>
                <w:sz w:val="20"/>
                <w:szCs w:val="20"/>
                <w:b w:val="1"/>
                <w:bCs w:val="1"/>
                <w:color w:val="auto"/>
                <w:w w:val="87"/>
              </w:rPr>
              <w:t>Subsidiary</w:t>
            </w: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Arial" w:cs="Arial" w:eastAsia="Arial" w:hAnsi="Arial"/>
                <w:sz w:val="20"/>
                <w:szCs w:val="20"/>
                <w:b w:val="1"/>
                <w:bCs w:val="1"/>
                <w:color w:val="auto"/>
                <w:w w:val="96"/>
              </w:rPr>
              <w:t>State or Province of Incorporation</w:t>
            </w:r>
          </w:p>
        </w:tc>
        <w:tc>
          <w:tcPr>
            <w:tcW w:w="2180" w:type="dxa"/>
            <w:vAlign w:val="bottom"/>
          </w:tcPr>
          <w:p>
            <w:pPr>
              <w:spacing w:after="0"/>
              <w:rPr>
                <w:sz w:val="20"/>
                <w:szCs w:val="20"/>
                <w:color w:val="auto"/>
              </w:rPr>
            </w:pPr>
            <w:r>
              <w:rPr>
                <w:rFonts w:ascii="Arial" w:cs="Arial" w:eastAsia="Arial" w:hAnsi="Arial"/>
                <w:sz w:val="20"/>
                <w:szCs w:val="20"/>
                <w:b w:val="1"/>
                <w:bCs w:val="1"/>
                <w:color w:val="auto"/>
                <w:w w:val="91"/>
              </w:rPr>
              <w:t>Country of Incorporation</w:t>
            </w:r>
          </w:p>
        </w:tc>
      </w:tr>
      <w:tr>
        <w:trPr>
          <w:trHeight w:val="20"/>
        </w:trPr>
        <w:tc>
          <w:tcPr>
            <w:tcW w:w="92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r>
        <w:trPr>
          <w:trHeight w:val="443"/>
        </w:trPr>
        <w:tc>
          <w:tcPr>
            <w:tcW w:w="5980" w:type="dxa"/>
            <w:vAlign w:val="bottom"/>
            <w:gridSpan w:val="5"/>
          </w:tcPr>
          <w:p>
            <w:pPr>
              <w:spacing w:after="0"/>
              <w:rPr>
                <w:sz w:val="20"/>
                <w:szCs w:val="20"/>
                <w:color w:val="auto"/>
              </w:rPr>
            </w:pPr>
            <w:r>
              <w:rPr>
                <w:rFonts w:ascii="Arial" w:cs="Arial" w:eastAsia="Arial" w:hAnsi="Arial"/>
                <w:sz w:val="20"/>
                <w:szCs w:val="20"/>
                <w:color w:val="auto"/>
              </w:rPr>
              <w:t>Cantaloupe Solutions Canada, Inc. British Columbia</w:t>
            </w:r>
          </w:p>
        </w:tc>
        <w:tc>
          <w:tcPr>
            <w:tcW w:w="2180" w:type="dxa"/>
            <w:vAlign w:val="bottom"/>
          </w:tcPr>
          <w:p>
            <w:pPr>
              <w:spacing w:after="0"/>
              <w:rPr>
                <w:sz w:val="20"/>
                <w:szCs w:val="20"/>
                <w:color w:val="auto"/>
              </w:rPr>
            </w:pPr>
            <w:r>
              <w:rPr>
                <w:rFonts w:ascii="Arial" w:cs="Arial" w:eastAsia="Arial" w:hAnsi="Arial"/>
                <w:sz w:val="20"/>
                <w:szCs w:val="20"/>
                <w:color w:val="auto"/>
              </w:rPr>
              <w:t>Canada</w:t>
            </w:r>
          </w:p>
        </w:tc>
      </w:tr>
      <w:tr>
        <w:trPr>
          <w:trHeight w:val="473"/>
        </w:trPr>
        <w:tc>
          <w:tcPr>
            <w:tcW w:w="2400" w:type="dxa"/>
            <w:vAlign w:val="bottom"/>
            <w:gridSpan w:val="2"/>
          </w:tcPr>
          <w:p>
            <w:pPr>
              <w:spacing w:after="0"/>
              <w:rPr>
                <w:sz w:val="20"/>
                <w:szCs w:val="20"/>
                <w:color w:val="auto"/>
              </w:rPr>
            </w:pPr>
            <w:r>
              <w:rPr>
                <w:rFonts w:ascii="Arial" w:cs="Arial" w:eastAsia="Arial" w:hAnsi="Arial"/>
                <w:sz w:val="20"/>
                <w:szCs w:val="20"/>
                <w:color w:val="auto"/>
                <w:w w:val="91"/>
              </w:rPr>
              <w:t>Cantaloupe International, Inc.</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Arial" w:cs="Arial" w:eastAsia="Arial" w:hAnsi="Arial"/>
                <w:sz w:val="20"/>
                <w:szCs w:val="20"/>
                <w:color w:val="auto"/>
              </w:rPr>
              <w:t>Delaware</w:t>
            </w:r>
          </w:p>
        </w:tc>
        <w:tc>
          <w:tcPr>
            <w:tcW w:w="2180" w:type="dxa"/>
            <w:vAlign w:val="bottom"/>
          </w:tcPr>
          <w:p>
            <w:pPr>
              <w:spacing w:after="0"/>
              <w:rPr>
                <w:sz w:val="20"/>
                <w:szCs w:val="20"/>
                <w:color w:val="auto"/>
              </w:rPr>
            </w:pPr>
            <w:r>
              <w:rPr>
                <w:rFonts w:ascii="Arial" w:cs="Arial" w:eastAsia="Arial" w:hAnsi="Arial"/>
                <w:sz w:val="20"/>
                <w:szCs w:val="20"/>
                <w:color w:val="auto"/>
              </w:rPr>
              <w:t>United States</w:t>
            </w:r>
          </w:p>
        </w:tc>
      </w:tr>
      <w:tr>
        <w:trPr>
          <w:trHeight w:val="473"/>
        </w:trPr>
        <w:tc>
          <w:tcPr>
            <w:tcW w:w="2400" w:type="dxa"/>
            <w:vAlign w:val="bottom"/>
            <w:gridSpan w:val="2"/>
          </w:tcPr>
          <w:p>
            <w:pPr>
              <w:spacing w:after="0"/>
              <w:rPr>
                <w:sz w:val="20"/>
                <w:szCs w:val="20"/>
                <w:color w:val="auto"/>
              </w:rPr>
            </w:pPr>
            <w:r>
              <w:rPr>
                <w:rFonts w:ascii="Arial" w:cs="Arial" w:eastAsia="Arial" w:hAnsi="Arial"/>
                <w:sz w:val="20"/>
                <w:szCs w:val="20"/>
                <w:color w:val="auto"/>
              </w:rPr>
              <w:t>Cantaloupe Systems, Inc.</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Arial" w:cs="Arial" w:eastAsia="Arial" w:hAnsi="Arial"/>
                <w:sz w:val="20"/>
                <w:szCs w:val="20"/>
                <w:color w:val="auto"/>
              </w:rPr>
              <w:t>Delaware</w:t>
            </w:r>
          </w:p>
        </w:tc>
        <w:tc>
          <w:tcPr>
            <w:tcW w:w="2180" w:type="dxa"/>
            <w:vAlign w:val="bottom"/>
          </w:tcPr>
          <w:p>
            <w:pPr>
              <w:spacing w:after="0"/>
              <w:rPr>
                <w:sz w:val="20"/>
                <w:szCs w:val="20"/>
                <w:color w:val="auto"/>
              </w:rPr>
            </w:pPr>
            <w:r>
              <w:rPr>
                <w:rFonts w:ascii="Arial" w:cs="Arial" w:eastAsia="Arial" w:hAnsi="Arial"/>
                <w:sz w:val="20"/>
                <w:szCs w:val="20"/>
                <w:color w:val="auto"/>
              </w:rPr>
              <w:t>United States</w:t>
            </w:r>
          </w:p>
        </w:tc>
      </w:tr>
      <w:tr>
        <w:trPr>
          <w:trHeight w:val="486"/>
        </w:trPr>
        <w:tc>
          <w:tcPr>
            <w:tcW w:w="2400" w:type="dxa"/>
            <w:vAlign w:val="bottom"/>
            <w:gridSpan w:val="2"/>
          </w:tcPr>
          <w:p>
            <w:pPr>
              <w:spacing w:after="0"/>
              <w:rPr>
                <w:sz w:val="20"/>
                <w:szCs w:val="20"/>
                <w:color w:val="auto"/>
              </w:rPr>
            </w:pPr>
            <w:r>
              <w:rPr>
                <w:rFonts w:ascii="Arial" w:cs="Arial" w:eastAsia="Arial" w:hAnsi="Arial"/>
                <w:sz w:val="20"/>
                <w:szCs w:val="20"/>
                <w:color w:val="auto"/>
                <w:w w:val="95"/>
              </w:rPr>
              <w:t>Stitch Networks Corporation</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Arial" w:cs="Arial" w:eastAsia="Arial" w:hAnsi="Arial"/>
                <w:sz w:val="20"/>
                <w:szCs w:val="20"/>
                <w:color w:val="auto"/>
              </w:rPr>
              <w:t>Delaware</w:t>
            </w:r>
          </w:p>
        </w:tc>
        <w:tc>
          <w:tcPr>
            <w:tcW w:w="2180" w:type="dxa"/>
            <w:vAlign w:val="bottom"/>
          </w:tcPr>
          <w:p>
            <w:pPr>
              <w:spacing w:after="0"/>
              <w:rPr>
                <w:sz w:val="20"/>
                <w:szCs w:val="20"/>
                <w:color w:val="auto"/>
              </w:rPr>
            </w:pPr>
            <w:r>
              <w:rPr>
                <w:rFonts w:ascii="Arial" w:cs="Arial" w:eastAsia="Arial" w:hAnsi="Arial"/>
                <w:sz w:val="20"/>
                <w:szCs w:val="20"/>
                <w:color w:val="auto"/>
              </w:rPr>
              <w:t>United States</w:t>
            </w:r>
          </w:p>
        </w:tc>
      </w:tr>
      <w:tr>
        <w:trPr>
          <w:trHeight w:val="432"/>
        </w:trPr>
        <w:tc>
          <w:tcPr>
            <w:tcW w:w="2400" w:type="dxa"/>
            <w:vAlign w:val="bottom"/>
            <w:gridSpan w:val="2"/>
          </w:tcPr>
          <w:p>
            <w:pPr>
              <w:spacing w:after="0"/>
              <w:rPr>
                <w:sz w:val="20"/>
                <w:szCs w:val="20"/>
                <w:color w:val="auto"/>
              </w:rPr>
            </w:pPr>
            <w:r>
              <w:rPr>
                <w:rFonts w:ascii="Arial" w:cs="Arial" w:eastAsia="Arial" w:hAnsi="Arial"/>
                <w:sz w:val="20"/>
                <w:szCs w:val="20"/>
                <w:color w:val="auto"/>
              </w:rPr>
              <w:t>USAT Capital Corp, LLC.</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Arial" w:cs="Arial" w:eastAsia="Arial" w:hAnsi="Arial"/>
                <w:sz w:val="20"/>
                <w:szCs w:val="20"/>
                <w:color w:val="auto"/>
              </w:rPr>
              <w:t>Pennsylvania</w:t>
            </w:r>
          </w:p>
        </w:tc>
        <w:tc>
          <w:tcPr>
            <w:tcW w:w="2180" w:type="dxa"/>
            <w:vAlign w:val="bottom"/>
          </w:tcPr>
          <w:p>
            <w:pPr>
              <w:spacing w:after="0"/>
              <w:rPr>
                <w:sz w:val="20"/>
                <w:szCs w:val="20"/>
                <w:color w:val="auto"/>
              </w:rPr>
            </w:pPr>
            <w:r>
              <w:rPr>
                <w:rFonts w:ascii="Arial" w:cs="Arial" w:eastAsia="Arial" w:hAnsi="Arial"/>
                <w:sz w:val="20"/>
                <w:szCs w:val="20"/>
                <w:color w:val="auto"/>
              </w:rPr>
              <w:t>United States</w:t>
            </w:r>
          </w:p>
        </w:tc>
      </w:tr>
    </w:tbl>
    <w:p>
      <w:pPr>
        <w:sectPr>
          <w:pgSz w:w="11900" w:h="16838" w:orient="portrait"/>
          <w:cols w:equalWidth="0" w:num="1">
            <w:col w:w="11220"/>
          </w:cols>
          <w:pgMar w:left="340" w:top="1426"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0"/>
          <w:szCs w:val="20"/>
          <w:b w:val="1"/>
          <w:bCs w:val="1"/>
          <w:color w:val="auto"/>
        </w:rPr>
        <w:t>Exhibit 23.1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Cantaloupe,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Malvern, Pennsylvania</w:t>
      </w:r>
    </w:p>
    <w:p>
      <w:pPr>
        <w:spacing w:after="0" w:line="26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hereby consent to the incorporation by reference in the Registration Statements on Forms S-8 (Nos. 333-248106, 333-248105, 333-217818, 333-234233, and 333-199009) of Cantaloupe, Inc. of our reports dated September 3, 2021, relating to the consolidated financial statements, and the effectiveness of Cantaloupe, Inc.’s internal control over financial reporting which appears in the Annual Report to Shareholders, which is incorporated by reference in this Annual Report on Form 10-K.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 2021</w:t>
      </w:r>
    </w:p>
    <w:p>
      <w:pPr>
        <w:sectPr>
          <w:pgSz w:w="11900" w:h="16838" w:orient="portrait"/>
          <w:cols w:equalWidth="0" w:num="1">
            <w:col w:w="11240"/>
          </w:cols>
          <w:pgMar w:left="320" w:top="900"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Sean Feeney, certify that:</w:t>
      </w:r>
    </w:p>
    <w:p>
      <w:pPr>
        <w:spacing w:after="0" w:line="185"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Cantaloupe, Inc.;</w:t>
      </w:r>
    </w:p>
    <w:p>
      <w:pPr>
        <w:spacing w:after="0" w:line="184"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660" w:right="680" w:hanging="328"/>
        <w:spacing w:after="0" w:line="342" w:lineRule="auto"/>
        <w:tabs>
          <w:tab w:leader="none" w:pos="65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83" w:lineRule="exact"/>
        <w:rPr>
          <w:rFonts w:ascii="Arial" w:cs="Arial" w:eastAsia="Arial" w:hAnsi="Arial"/>
          <w:sz w:val="16"/>
          <w:szCs w:val="16"/>
          <w:color w:val="auto"/>
        </w:rPr>
      </w:pPr>
    </w:p>
    <w:p>
      <w:pPr>
        <w:ind w:left="660" w:right="140" w:hanging="328"/>
        <w:spacing w:after="0" w:line="263"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660" w:right="260" w:hanging="328"/>
        <w:spacing w:after="0" w:line="277" w:lineRule="auto"/>
        <w:tabs>
          <w:tab w:leader="none" w:pos="65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280" w:hanging="328"/>
        <w:spacing w:after="0" w:line="277"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September 3, 2021</w:t>
      </w:r>
      <w:r>
        <w:rPr>
          <w:sz w:val="20"/>
          <w:szCs w:val="20"/>
          <w:color w:val="auto"/>
        </w:rPr>
        <w:tab/>
      </w:r>
      <w:r>
        <w:rPr>
          <w:rFonts w:ascii="Arial" w:cs="Arial" w:eastAsia="Arial" w:hAnsi="Arial"/>
          <w:sz w:val="15"/>
          <w:szCs w:val="15"/>
          <w:color w:val="auto"/>
        </w:rPr>
        <w:t>/s/ Sean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490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Sean Feeney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R. Wayne Jackson, certify that:</w:t>
      </w:r>
    </w:p>
    <w:p>
      <w:pPr>
        <w:spacing w:after="0" w:line="185"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Cantaloupe, Inc.;</w:t>
      </w:r>
    </w:p>
    <w:p>
      <w:pPr>
        <w:spacing w:after="0" w:line="184"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660" w:right="680" w:hanging="328"/>
        <w:spacing w:after="0" w:line="342" w:lineRule="auto"/>
        <w:tabs>
          <w:tab w:leader="none" w:pos="65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83" w:lineRule="exact"/>
        <w:rPr>
          <w:rFonts w:ascii="Arial" w:cs="Arial" w:eastAsia="Arial" w:hAnsi="Arial"/>
          <w:sz w:val="16"/>
          <w:szCs w:val="16"/>
          <w:color w:val="auto"/>
        </w:rPr>
      </w:pPr>
    </w:p>
    <w:p>
      <w:pPr>
        <w:ind w:left="660" w:right="140" w:hanging="328"/>
        <w:spacing w:after="0" w:line="263"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660" w:right="260" w:hanging="328"/>
        <w:spacing w:after="0" w:line="277" w:lineRule="auto"/>
        <w:tabs>
          <w:tab w:leader="none" w:pos="6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280" w:hanging="328"/>
        <w:spacing w:after="0" w:line="277"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Date: September 3, 2021</w:t>
      </w:r>
      <w:r>
        <w:rPr>
          <w:sz w:val="20"/>
          <w:szCs w:val="20"/>
          <w:color w:val="auto"/>
        </w:rPr>
        <w:tab/>
      </w:r>
      <w:r>
        <w:rPr>
          <w:rFonts w:ascii="Arial" w:cs="Arial" w:eastAsia="Arial" w:hAnsi="Arial"/>
          <w:sz w:val="15"/>
          <w:szCs w:val="15"/>
          <w:color w:val="auto"/>
        </w:rPr>
        <w:t>/s/ R. Wayne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14605</wp:posOffset>
            </wp:positionV>
            <wp:extent cx="35750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3575050" cy="8890"/>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 Wayne Jackson</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CERTIFICATIONS OF CHIEF EXECUTIVE OFFICER PURSUANT TO SECTION 906 OF THE SARBANES-OXLEY ACT OF 2002 (18 U.S.C. SECTION 1350)</w:t>
      </w:r>
    </w:p>
    <w:p>
      <w:pPr>
        <w:spacing w:after="0" w:line="153" w:lineRule="exact"/>
        <w:rPr>
          <w:sz w:val="20"/>
          <w:szCs w:val="20"/>
          <w:color w:val="auto"/>
        </w:rPr>
      </w:pPr>
    </w:p>
    <w:p>
      <w:pPr>
        <w:jc w:val="both"/>
        <w:ind w:right="80"/>
        <w:spacing w:after="0" w:line="220" w:lineRule="exact"/>
        <w:rPr>
          <w:sz w:val="20"/>
          <w:szCs w:val="20"/>
          <w:color w:val="auto"/>
        </w:rPr>
      </w:pPr>
      <w:r>
        <w:rPr>
          <w:rFonts w:ascii="Arial" w:cs="Arial" w:eastAsia="Arial" w:hAnsi="Arial"/>
          <w:sz w:val="18"/>
          <w:szCs w:val="18"/>
          <w:color w:val="auto"/>
        </w:rPr>
        <w:t>In connection with the Annual Report of Cantaloupe, Inc., a Pennsylvania corporation (the “Company”), on Form 10</w:t>
      </w:r>
      <w:r>
        <w:rPr>
          <w:rFonts w:ascii="MS PGothic" w:cs="MS PGothic" w:eastAsia="MS PGothic" w:hAnsi="MS PGothic"/>
          <w:sz w:val="18"/>
          <w:szCs w:val="18"/>
          <w:color w:val="auto"/>
        </w:rPr>
        <w:t>‑</w:t>
      </w:r>
      <w:r>
        <w:rPr>
          <w:rFonts w:ascii="Arial" w:cs="Arial" w:eastAsia="Arial" w:hAnsi="Arial"/>
          <w:sz w:val="18"/>
          <w:szCs w:val="18"/>
          <w:color w:val="auto"/>
        </w:rPr>
        <w:t>K for the period ended June 30, 2021 (the “Report”), I, Sean Feeney, Chief Executive Officer of the Company, hereby certify, pursuant to 18 U.S.C. § 1350, as adopted pursuant to § 906 of the Sarbanes-Oxley Act of 2002, that, to my knowledge:</w:t>
      </w:r>
    </w:p>
    <w:p>
      <w:pPr>
        <w:spacing w:after="0" w:line="164" w:lineRule="exact"/>
        <w:rPr>
          <w:sz w:val="20"/>
          <w:szCs w:val="20"/>
          <w:color w:val="auto"/>
        </w:rPr>
      </w:pPr>
    </w:p>
    <w:p>
      <w:pPr>
        <w:ind w:left="640" w:hanging="308"/>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Date: September 3, 2021</w:t>
      </w:r>
      <w:r>
        <w:rPr>
          <w:sz w:val="20"/>
          <w:szCs w:val="20"/>
          <w:color w:val="auto"/>
        </w:rPr>
        <w:tab/>
      </w:r>
      <w:r>
        <w:rPr>
          <w:rFonts w:ascii="Arial" w:cs="Arial" w:eastAsia="Arial" w:hAnsi="Arial"/>
          <w:sz w:val="15"/>
          <w:szCs w:val="15"/>
          <w:color w:val="auto"/>
        </w:rPr>
        <w:t>/s/ Sean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31750</wp:posOffset>
            </wp:positionV>
            <wp:extent cx="35750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Sean Feeney</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left="340" w:right="2760"/>
        <w:spacing w:after="0" w:line="266" w:lineRule="auto"/>
        <w:rPr>
          <w:sz w:val="20"/>
          <w:szCs w:val="20"/>
          <w:color w:val="auto"/>
        </w:rPr>
      </w:pPr>
      <w:r>
        <w:rPr>
          <w:rFonts w:ascii="Arial" w:cs="Arial" w:eastAsia="Arial" w:hAnsi="Arial"/>
          <w:sz w:val="18"/>
          <w:szCs w:val="18"/>
          <w:b w:val="1"/>
          <w:bCs w:val="1"/>
          <w:color w:val="auto"/>
        </w:rPr>
        <w:t>CERTIFICATIONS OF CHIEF FINANCIAL OFFICER PURSUANT TO SECTION 906 OF THE SARBANES OXLEY ACT OF 2002 (18 U.S.C. SECTION 1350)</w:t>
      </w:r>
    </w:p>
    <w:p>
      <w:pPr>
        <w:spacing w:after="0" w:line="15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connection with the Annual Report of Cantaloupe, Inc., a Pennsylvania corporation (the “Company”), on Form 10-K for the period ended June 30, 2021 (the “Report”), I, R. Wayne Jackson, Chief Financial Officer of the Company, hereby certify, pursuant to 18 U.S.C. § 1350, as adopted pursuant to § 906 of the Sarbanes-Oxley Act of 2002, that, to my knowledge:</w:t>
      </w:r>
    </w:p>
    <w:p>
      <w:pPr>
        <w:spacing w:after="0" w:line="143" w:lineRule="exact"/>
        <w:rPr>
          <w:sz w:val="20"/>
          <w:szCs w:val="20"/>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Date: September 3, 2021</w:t>
      </w:r>
      <w:r>
        <w:rPr>
          <w:sz w:val="20"/>
          <w:szCs w:val="20"/>
          <w:color w:val="auto"/>
        </w:rPr>
        <w:tab/>
      </w:r>
      <w:r>
        <w:rPr>
          <w:rFonts w:ascii="Arial" w:cs="Arial" w:eastAsia="Arial" w:hAnsi="Arial"/>
          <w:sz w:val="15"/>
          <w:szCs w:val="15"/>
          <w:color w:val="auto"/>
        </w:rPr>
        <w:t>/s/ R. Wayne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 Wayne Jackson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1"/>
      <w:numFmt w:val="upperLetter"/>
      <w:start w:val="68"/>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1)"/>
      <w:numFmt w:val="lowerLetter"/>
      <w:start w:val="1"/>
    </w:lvl>
  </w:abstractNum>
  <w:abstractNum w:abstractNumId="21">
    <w:nsid w:val="153EA438"/>
    <w:multiLevelType w:val="hybridMultilevel"/>
    <w:lvl w:ilvl="0">
      <w:lvlJc w:val="left"/>
      <w:lvlText w:val="(%1)"/>
      <w:numFmt w:val="lowerLetter"/>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1)"/>
      <w:numFmt w:val="lowerRoman"/>
      <w:start w:val="4"/>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1"/>
      <w:numFmt w:val="upperLetter"/>
      <w:start w:val="68"/>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1"/>
    </w:lvl>
    <w:lvl w:ilvl="1">
      <w:lvlJc w:val="left"/>
      <w:lvlText w:val="%2."/>
      <w:numFmt w:val="lowerLetter"/>
      <w:start w:val="1"/>
    </w:lvl>
  </w:abstractNum>
  <w:abstractNum w:abstractNumId="30">
    <w:nsid w:val="7A6D8D3C"/>
    <w:multiLevelType w:val="hybridMultilevel"/>
    <w:lvl w:ilvl="0">
      <w:lvlJc w:val="left"/>
      <w:lvlText w:val="%1."/>
      <w:numFmt w:val="decimal"/>
      <w:start w:val="4"/>
    </w:lvl>
    <w:lvl w:ilvl="1">
      <w:lvlJc w:val="left"/>
      <w:lvlText w:val="%2."/>
      <w:numFmt w:val="lowerLetter"/>
      <w:start w:val="1"/>
    </w:lvl>
  </w:abstractNum>
  <w:abstractNum w:abstractNumId="31">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
    <w:nsid w:val="542289E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3">
    <w:nsid w:val="6DE91B1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4">
    <w:nsid w:val="38437FDB"/>
    <w:multiLevelType w:val="hybridMultilevel"/>
    <w:lvl w:ilvl="0">
      <w:lvlJc w:val="left"/>
      <w:lvlText w:val="%1."/>
      <w:numFmt w:val="decimal"/>
      <w:start w:val="6"/>
    </w:lvl>
  </w:abstractNum>
  <w:abstractNum w:abstractNumId="35">
    <w:nsid w:val="7644A45C"/>
    <w:multiLevelType w:val="hybridMultilevel"/>
    <w:lvl w:ilvl="0">
      <w:lvlJc w:val="left"/>
      <w:lvlText w:val="%1."/>
      <w:numFmt w:val="decimal"/>
      <w:start w:val="7"/>
    </w:lvl>
  </w:abstractNum>
  <w:abstractNum w:abstractNumId="36">
    <w:nsid w:val="32FFF902"/>
    <w:multiLevelType w:val="hybridMultilevel"/>
    <w:lvl w:ilvl="0">
      <w:lvlJc w:val="left"/>
      <w:lvlText w:val="%1."/>
      <w:numFmt w:val="decimal"/>
      <w:start w:val="8"/>
    </w:lvl>
  </w:abstractNum>
  <w:abstractNum w:abstractNumId="37">
    <w:nsid w:val="684A481A"/>
    <w:multiLevelType w:val="hybridMultilevel"/>
    <w:lvl w:ilvl="0">
      <w:lvlJc w:val="left"/>
      <w:lvlText w:val="%1."/>
      <w:numFmt w:val="decimal"/>
      <w:start w:val="14"/>
    </w:lvl>
  </w:abstractNum>
  <w:abstractNum w:abstractNumId="38">
    <w:nsid w:val="579478FE"/>
    <w:multiLevelType w:val="hybridMultilevel"/>
    <w:lvl w:ilvl="0">
      <w:lvlJc w:val="left"/>
      <w:lvlText w:val="%1."/>
      <w:numFmt w:val="decimal"/>
      <w:start w:val="23"/>
    </w:lvl>
  </w:abstractNum>
  <w:abstractNum w:abstractNumId="39">
    <w:nsid w:val="749ABB43"/>
    <w:multiLevelType w:val="hybridMultilevel"/>
    <w:lvl w:ilvl="0">
      <w:lvlJc w:val="left"/>
      <w:lvlText w:val="%1."/>
      <w:numFmt w:val="decimal"/>
      <w:start w:val="1"/>
    </w:lvl>
    <w:lvl w:ilvl="1">
      <w:lvlJc w:val="left"/>
      <w:lvlText w:val="(%2)"/>
      <w:numFmt w:val="lowerLetter"/>
      <w:start w:val="1"/>
    </w:lvl>
  </w:abstractNum>
  <w:abstractNum w:abstractNumId="40">
    <w:nsid w:val="3DC240FB"/>
    <w:multiLevelType w:val="hybridMultilevel"/>
    <w:lvl w:ilvl="0">
      <w:lvlJc w:val="left"/>
      <w:lvlText w:val="%1."/>
      <w:numFmt w:val="decimal"/>
      <w:start w:val="3"/>
    </w:lvl>
  </w:abstractNum>
  <w:abstractNum w:abstractNumId="41">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42">
    <w:nsid w:val="79A1DEA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43">
    <w:nsid w:val="75C6C3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Letter"/>
      <w:start w:val="4"/>
    </w:lvl>
    <w:lvl w:ilvl="4">
      <w:lvlJc w:val="left"/>
      <w:lvlText w:val="%5"/>
      <w:numFmt w:val="lowerLetter"/>
      <w:start w:val="1"/>
    </w:lvl>
  </w:abstractNum>
  <w:abstractNum w:abstractNumId="44">
    <w:nsid w:val="12E685FB"/>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45">
    <w:nsid w:val="70C6A52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46">
    <w:nsid w:val="520EEDD1"/>
    <w:multiLevelType w:val="hybridMultilevel"/>
    <w:lvl w:ilvl="0">
      <w:lvlJc w:val="left"/>
      <w:lvlText w:val="%1."/>
      <w:numFmt w:val="decimal"/>
      <w:start w:val="7"/>
    </w:lvl>
    <w:lvl w:ilvl="1">
      <w:lvlJc w:val="left"/>
      <w:lvlText w:val="(%2)"/>
      <w:numFmt w:val="lowerLetter"/>
      <w:start w:val="1"/>
    </w:lvl>
  </w:abstractNum>
  <w:abstractNum w:abstractNumId="47">
    <w:nsid w:val="374A3FE6"/>
    <w:multiLevelType w:val="hybridMultilevel"/>
    <w:lvl w:ilvl="0">
      <w:lvlJc w:val="left"/>
      <w:lvlText w:val="%1"/>
      <w:numFmt w:val="decimal"/>
      <w:start w:val="1"/>
    </w:lvl>
    <w:lvl w:ilvl="1">
      <w:lvlJc w:val="left"/>
      <w:lvlText w:val="(%2)"/>
      <w:numFmt w:val="lowerLetter"/>
      <w:start w:val="5"/>
    </w:lvl>
  </w:abstractNum>
  <w:abstractNum w:abstractNumId="48">
    <w:nsid w:val="4F4EF005"/>
    <w:multiLevelType w:val="hybridMultilevel"/>
    <w:lvl w:ilvl="0">
      <w:lvlJc w:val="left"/>
      <w:lvlText w:val="%1."/>
      <w:numFmt w:val="decimal"/>
      <w:start w:val="10"/>
    </w:lvl>
    <w:lvl w:ilvl="1">
      <w:lvlJc w:val="left"/>
      <w:lvlText w:val="%2"/>
      <w:numFmt w:val="lowerLetter"/>
      <w:start w:val="1"/>
    </w:lvl>
  </w:abstractNum>
  <w:abstractNum w:abstractNumId="49">
    <w:nsid w:val="23F9C13C"/>
    <w:multiLevelType w:val="hybridMultilevel"/>
    <w:lvl w:ilvl="0">
      <w:lvlJc w:val="left"/>
      <w:lvlText w:val="%1."/>
      <w:numFmt w:val="decimal"/>
      <w:start w:val="12"/>
    </w:lvl>
  </w:abstractNum>
  <w:abstractNum w:abstractNumId="50">
    <w:nsid w:val="649BB77C"/>
    <w:multiLevelType w:val="hybridMultilevel"/>
    <w:lvl w:ilvl="0">
      <w:lvlJc w:val="left"/>
      <w:lvlText w:val="1"/>
      <w:numFmt w:val="bullet"/>
      <w:start w:val="1"/>
    </w:lvl>
  </w:abstractNum>
  <w:abstractNum w:abstractNumId="51">
    <w:nsid w:val="275AC794"/>
    <w:multiLevelType w:val="hybridMultilevel"/>
    <w:lvl w:ilvl="0">
      <w:lvlJc w:val="left"/>
      <w:lvlText w:val="%1"/>
      <w:numFmt w:val="decimal"/>
      <w:start w:val="1"/>
    </w:lvl>
    <w:lvl w:ilvl="1">
      <w:lvlJc w:val="left"/>
      <w:lvlText w:val="%2."/>
      <w:numFmt w:val="decimal"/>
      <w:start w:val="1"/>
    </w:lvl>
  </w:abstractNum>
  <w:abstractNum w:abstractNumId="52">
    <w:nsid w:val="39386575"/>
    <w:multiLevelType w:val="hybridMultilevel"/>
    <w:lvl w:ilvl="0">
      <w:lvlJc w:val="left"/>
      <w:lvlText w:val="(%1)"/>
      <w:numFmt w:val="decimal"/>
      <w:start w:val="30"/>
    </w:lvl>
    <w:lvl w:ilvl="1">
      <w:lvlJc w:val="left"/>
      <w:lvlText w:val="%2"/>
      <w:numFmt w:val="decimal"/>
      <w:start w:val="1"/>
    </w:lvl>
  </w:abstractNum>
  <w:abstractNum w:abstractNumId="53">
    <w:nsid w:val="1CF10FD8"/>
    <w:multiLevelType w:val="hybridMultilevel"/>
    <w:lvl w:ilvl="0">
      <w:lvlJc w:val="left"/>
      <w:lvlText w:val="%1."/>
      <w:numFmt w:val="decimal"/>
      <w:start w:val="4"/>
    </w:lvl>
  </w:abstractNum>
  <w:abstractNum w:abstractNumId="54">
    <w:nsid w:val="180115BE"/>
    <w:multiLevelType w:val="hybridMultilevel"/>
    <w:lvl w:ilvl="0">
      <w:lvlJc w:val="left"/>
      <w:lvlText w:val="%1."/>
      <w:numFmt w:val="decimal"/>
      <w:start w:val="8"/>
    </w:lvl>
  </w:abstractNum>
  <w:abstractNum w:abstractNumId="55">
    <w:nsid w:val="235BA861"/>
    <w:multiLevelType w:val="hybridMultilevel"/>
    <w:lvl w:ilvl="0">
      <w:lvlJc w:val="left"/>
      <w:lvlText w:val="1"/>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20" Type="http://schemas.openxmlformats.org/officeDocument/2006/relationships/hyperlink" Target="http://www.sec.gov/Archives/edgar/data/896429/000091412120002032/us55038679-ex3_1.htm" TargetMode="External"/><Relationship Id="rId121" Type="http://schemas.openxmlformats.org/officeDocument/2006/relationships/hyperlink" Target="https://www.sec.gov/ix?doc=/Archives/edgar/data/896429/000091412121002061/us56037089-8ki.htm" TargetMode="External"/><Relationship Id="rId122" Type="http://schemas.openxmlformats.org/officeDocument/2006/relationships/hyperlink" Target="https://www.sec.gov/Archives/edgar/data/896429/000091412121005445/ca56531664-ex3_1.htm" TargetMode="External"/><Relationship Id="rId123" Type="http://schemas.openxmlformats.org/officeDocument/2006/relationships/hyperlink" Target="https://www.sec.gov/Archives/edgar/data/896429/000089642907000033/ex10-1.htm" TargetMode="External"/><Relationship Id="rId124" Type="http://schemas.openxmlformats.org/officeDocument/2006/relationships/hyperlink" Target="https://www.sec.gov/Archives/edgar/data/896429/000157104915004372/t82294_ex10-2.htm" TargetMode="External"/><Relationship Id="rId125" Type="http://schemas.openxmlformats.org/officeDocument/2006/relationships/hyperlink" Target="https://www.sec.gov/Archives/edgar/data/896429/000157104915008057/t83198_ex10-45.htm" TargetMode="External"/><Relationship Id="rId126" Type="http://schemas.openxmlformats.org/officeDocument/2006/relationships/hyperlink" Target="https://www.sec.gov/Archives/edgar/data/896429/000162828019012238/usat-20190630xex10142.htm" TargetMode="External"/><Relationship Id="rId127" Type="http://schemas.openxmlformats.org/officeDocument/2006/relationships/hyperlink" Target="https://www.sec.gov/Archives/edgar/data/896429/000162828019012238/usat-20190630xex10143.htm" TargetMode="External"/><Relationship Id="rId128" Type="http://schemas.openxmlformats.org/officeDocument/2006/relationships/hyperlink" Target="https://www.sec.gov/Archives/edgar/data/896429/000157104915008057/t83198_ex10-46.htm" TargetMode="External"/><Relationship Id="rId129" Type="http://schemas.openxmlformats.org/officeDocument/2006/relationships/hyperlink" Target="https://www.sec.gov/Archives/edgar/data/896429/000162828019012238/usat-20190630xex10151.htm" TargetMode="External"/><Relationship Id="rId130" Type="http://schemas.openxmlformats.org/officeDocument/2006/relationships/hyperlink" Target="https://www.sec.gov/Archives/edgar/data/896429/000162828019012238/usat-20190630xex1016.htm" TargetMode="External"/><Relationship Id="rId131" Type="http://schemas.openxmlformats.org/officeDocument/2006/relationships/hyperlink" Target="https://www.sec.gov/Archives/edgar/data/0000896429/000162828020013493/usat-20200630xex107.htm" TargetMode="External"/><Relationship Id="rId132" Type="http://schemas.openxmlformats.org/officeDocument/2006/relationships/hyperlink" Target="https://www.sec.gov/Archives/edgar/data/896429/000091412121001425/us55810297-ex10_1.htm" TargetMode="External"/><Relationship Id="rId133" Type="http://schemas.openxmlformats.org/officeDocument/2006/relationships/hyperlink" Target="https://www.sec.gov/Archives/edgar/data/896429/000118811213002827/ex10-6.htm" TargetMode="External"/><Relationship Id="rId134" Type="http://schemas.openxmlformats.org/officeDocument/2006/relationships/hyperlink" Target="https://www.sec.gov/Archives/edgar/data/896429/000114036114021684/formdef14a.htm#APPENDIXA" TargetMode="External"/><Relationship Id="rId135" Type="http://schemas.openxmlformats.org/officeDocument/2006/relationships/hyperlink" Target="https://www.sec.gov/Archives/edgar/data/896429/000114036115020404/formdef14a.htm#APPENDIXA" TargetMode="External"/><Relationship Id="rId136" Type="http://schemas.openxmlformats.org/officeDocument/2006/relationships/hyperlink" Target="https://www.sec.gov/Archives/edgar/data/896429/000114036118016457/def14a.htm#ANNUALREPORTONFORM10-K" TargetMode="External"/><Relationship Id="rId137" Type="http://schemas.openxmlformats.org/officeDocument/2006/relationships/hyperlink" Target="https://www.sec.gov/Archives/edgar/data/896429/000119312520150781/d860114dex101.htm" TargetMode="External"/><Relationship Id="rId140" Type="http://schemas.openxmlformats.org/officeDocument/2006/relationships/hyperlink" Target="https://www.sec.gov/Archives/edgar/data/0000896429/000114036119001641/form8k.htm" TargetMode="External"/><Relationship Id="rId141" Type="http://schemas.openxmlformats.org/officeDocument/2006/relationships/hyperlink" Target="https://www.sec.gov/Archives/edgar/data/896429/000114036119009452/ex10_1.htm" TargetMode="External"/><Relationship Id="rId142" Type="http://schemas.openxmlformats.org/officeDocument/2006/relationships/hyperlink" Target="https://www.sec.gov/Archives/edgar/data/896429/000162828020009890/a20200331-exx103.htm" TargetMode="External"/><Relationship Id="rId143" Type="http://schemas.openxmlformats.org/officeDocument/2006/relationships/hyperlink" Target="https://www.sec.gov/Archives/edgar/data/896429/000114036119006418/ex10_1.htm" TargetMode="External"/><Relationship Id="rId144" Type="http://schemas.openxmlformats.org/officeDocument/2006/relationships/hyperlink" Target="https://www.sec.gov/Archives/edgar/data/896429/000119312520141608/d892616dex102.htm" TargetMode="External"/><Relationship Id="rId145" Type="http://schemas.openxmlformats.org/officeDocument/2006/relationships/hyperlink" Target="https://www.sec.gov/Archives/edgar/data/896429/000119312520141608/d892616dex103.htm" TargetMode="External"/><Relationship Id="rId146" Type="http://schemas.openxmlformats.org/officeDocument/2006/relationships/hyperlink" Target="https://www.sec.gov/Archives/edgar/data/896429/000162828019012238/usat-20190630xex109.htm" TargetMode="External"/><Relationship Id="rId147" Type="http://schemas.openxmlformats.org/officeDocument/2006/relationships/hyperlink" Target="https://www.sec.gov/Archives/edgar/data/896429/000162828019012238/usat-20190630xex1091.htm" TargetMode="External"/><Relationship Id="rId148" Type="http://schemas.openxmlformats.org/officeDocument/2006/relationships/hyperlink" Target="https://www.sec.gov/Archives/edgar/data/896429/000162828019012238/usat-20190630xex1092.htm" TargetMode="External"/><Relationship Id="rId149" Type="http://schemas.openxmlformats.org/officeDocument/2006/relationships/hyperlink" Target="https://www.sec.gov/Archives/edgar/data/896429/000091412120002032/us55038679-ex10_1.htm" TargetMode="External"/><Relationship Id="rId150" Type="http://schemas.openxmlformats.org/officeDocument/2006/relationships/hyperlink" Target="https://www.sec.gov/Archives/edgar/data/896429/000091412120002399/us55120170-ex10_1.htm" TargetMode="External"/><Relationship Id="rId151" Type="http://schemas.openxmlformats.org/officeDocument/2006/relationships/hyperlink" Target="https://www.sec.gov/Archives/edgar/data/896429/000091412120002858/us20200813-ex10_3.htm" TargetMode="External"/><Relationship Id="rId152" Type="http://schemas.openxmlformats.org/officeDocument/2006/relationships/hyperlink" Target="https://www.sec.gov/Archives/edgar/data/896429/000091412120002858/us20200813-ex10_1.htm" TargetMode="External"/><Relationship Id="rId153" Type="http://schemas.openxmlformats.org/officeDocument/2006/relationships/hyperlink" Target="https://www.sec.gov/Archives/edgar/data/896429/000091412120002858/us20200813-ex10_2.htm" TargetMode="External"/><Relationship Id="rId154" Type="http://schemas.openxmlformats.org/officeDocument/2006/relationships/hyperlink" Target="https://www.sec.gov/Archives/edgar/data/896429/000091412120002560/us55161242-ex10_1.htm" TargetMode="External"/><Relationship Id="rId155" Type="http://schemas.openxmlformats.org/officeDocument/2006/relationships/hyperlink" Target="https://www.sec.gov/Archives/edgar/data/896429/000162828020009890/a20200331-exx101.htm" TargetMode="External"/><Relationship Id="rId156" Type="http://schemas.openxmlformats.org/officeDocument/2006/relationships/hyperlink" Target="https://www.sec.gov/Archives/edgar/data/896429/000091412120003294/us55266284-8k.htm" TargetMode="External"/><Relationship Id="rId157" Type="http://schemas.openxmlformats.org/officeDocument/2006/relationships/hyperlink" Target="https://www.sec.gov/Archives/edgar/data/896429/000091412120003648/us55340850-8k.htm" TargetMode="External"/><Relationship Id="rId158" Type="http://schemas.openxmlformats.org/officeDocument/2006/relationships/hyperlink" Target="https://www.sec.gov/Archives/edgar/data/896429/000091412121000080/us55605435-8k.htm" TargetMode="External"/><Relationship Id="rId159" Type="http://schemas.openxmlformats.org/officeDocument/2006/relationships/hyperlink" Target="https://www.sec.gov/ix?doc=/Archives/edgar/data/896429/000091412121004093/an56269561-8ki.htm" TargetMode="External"/><Relationship Id="rId160" Type="http://schemas.openxmlformats.org/officeDocument/2006/relationships/hyperlink" Target="https://www.sec.gov/ix?doc=/Archives/edgar/data/896429/000091412121001126/us55716119-8k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2021-09-03T07:51:50Z</dcterms:created>
  <dcterms:modified xsi:type="dcterms:W3CDTF">2021-09-03T07:51:50Z</dcterms:modified>
</cp:coreProperties>
</file>