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4"/>
          <w:szCs w:val="24"/>
          <w:color w:val="auto"/>
        </w:rPr>
      </w:pPr>
    </w:p>
    <w:p>
      <w:pPr>
        <w:ind w:left="3780" w:right="1740" w:hanging="3617"/>
        <w:spacing w:after="0" w:line="393" w:lineRule="auto"/>
        <w:tabs>
          <w:tab w:leader="none" w:pos="503"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 (d) OF THE SECURITIES EXCHANGE ACT OF 1934 For the quarterly period ended December 31,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144"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to</w:t>
            </w:r>
          </w:p>
        </w:tc>
      </w:tr>
      <w:tr>
        <w:trPr>
          <w:trHeight w:val="324"/>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0"/>
              </w:rPr>
              <w:t>Commission file number 001-33365</w:t>
            </w:r>
          </w:p>
        </w:tc>
      </w:tr>
      <w:tr>
        <w:trPr>
          <w:trHeight w:val="301"/>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USA Technologies, Inc.</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76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38"/>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3460" w:type="dxa"/>
            <w:vAlign w:val="bottom"/>
            <w:gridSpan w:val="2"/>
          </w:tcPr>
          <w:p>
            <w:pPr>
              <w:spacing w:after="0"/>
              <w:rPr>
                <w:sz w:val="24"/>
                <w:szCs w:val="24"/>
                <w:color w:val="auto"/>
              </w:rPr>
            </w:pPr>
          </w:p>
        </w:tc>
        <w:tc>
          <w:tcPr>
            <w:tcW w:w="32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23-2679963</w:t>
            </w:r>
          </w:p>
        </w:tc>
      </w:tr>
      <w:tr>
        <w:trPr>
          <w:trHeight w:val="20"/>
        </w:trPr>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6120" w:type="dxa"/>
            <w:vAlign w:val="bottom"/>
            <w:gridSpan w:val="5"/>
          </w:tcPr>
          <w:p>
            <w:pPr>
              <w:jc w:val="center"/>
              <w:ind w:right="17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80" w:type="dxa"/>
            <w:vAlign w:val="bottom"/>
            <w:gridSpan w:val="5"/>
          </w:tcPr>
          <w:p>
            <w:pPr>
              <w:jc w:val="center"/>
              <w:ind w:left="570"/>
              <w:spacing w:after="0"/>
              <w:rPr>
                <w:sz w:val="20"/>
                <w:szCs w:val="20"/>
                <w:color w:val="auto"/>
              </w:rPr>
            </w:pPr>
            <w:r>
              <w:rPr>
                <w:rFonts w:ascii="Arial" w:cs="Arial" w:eastAsia="Arial" w:hAnsi="Arial"/>
                <w:sz w:val="18"/>
                <w:szCs w:val="18"/>
                <w:color w:val="auto"/>
                <w:w w:val="94"/>
              </w:rPr>
              <w:t>(I.R.S. Employer Identification No.)</w:t>
            </w:r>
          </w:p>
        </w:tc>
      </w:tr>
      <w:tr>
        <w:trPr>
          <w:trHeight w:val="365"/>
        </w:trPr>
        <w:tc>
          <w:tcPr>
            <w:tcW w:w="100" w:type="dxa"/>
            <w:vAlign w:val="bottom"/>
          </w:tcPr>
          <w:p>
            <w:pPr>
              <w:spacing w:after="0"/>
              <w:rPr>
                <w:sz w:val="24"/>
                <w:szCs w:val="24"/>
                <w:color w:val="auto"/>
              </w:rPr>
            </w:pPr>
          </w:p>
        </w:tc>
        <w:tc>
          <w:tcPr>
            <w:tcW w:w="6020" w:type="dxa"/>
            <w:vAlign w:val="bottom"/>
            <w:gridSpan w:val="4"/>
          </w:tcPr>
          <w:p>
            <w:pPr>
              <w:jc w:val="center"/>
              <w:ind w:right="1830"/>
              <w:spacing w:after="0"/>
              <w:rPr>
                <w:sz w:val="20"/>
                <w:szCs w:val="20"/>
                <w:color w:val="auto"/>
              </w:rPr>
            </w:pPr>
            <w:r>
              <w:rPr>
                <w:rFonts w:ascii="Arial" w:cs="Arial" w:eastAsia="Arial" w:hAnsi="Arial"/>
                <w:sz w:val="18"/>
                <w:szCs w:val="18"/>
                <w:b w:val="1"/>
                <w:bCs w:val="1"/>
                <w:color w:val="auto"/>
                <w:w w:val="90"/>
              </w:rPr>
              <w:t>100 Deerfield Lane, Suite 300, Malvern, Pennsylvania</w:t>
            </w:r>
          </w:p>
        </w:tc>
        <w:tc>
          <w:tcPr>
            <w:tcW w:w="2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91"/>
        </w:trPr>
        <w:tc>
          <w:tcPr>
            <w:tcW w:w="10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236"/>
        </w:trPr>
        <w:tc>
          <w:tcPr>
            <w:tcW w:w="61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(610) 989-0340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9"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3400" w:type="dxa"/>
            <w:vAlign w:val="bottom"/>
          </w:tcPr>
          <w:p>
            <w:pPr>
              <w:jc w:val="center"/>
              <w:ind w:right="670"/>
              <w:spacing w:after="0"/>
              <w:rPr>
                <w:sz w:val="20"/>
                <w:szCs w:val="20"/>
                <w:color w:val="auto"/>
              </w:rPr>
            </w:pPr>
            <w:r>
              <w:rPr>
                <w:rFonts w:ascii="Arial" w:cs="Arial" w:eastAsia="Arial" w:hAnsi="Arial"/>
                <w:sz w:val="18"/>
                <w:szCs w:val="18"/>
                <w:color w:val="auto"/>
                <w:w w:val="90"/>
              </w:rPr>
              <w:t>Title of Each Class</w:t>
            </w:r>
          </w:p>
        </w:tc>
        <w:tc>
          <w:tcPr>
            <w:tcW w:w="2280" w:type="dxa"/>
            <w:vAlign w:val="bottom"/>
          </w:tcPr>
          <w:p>
            <w:pPr>
              <w:jc w:val="center"/>
              <w:ind w:left="310"/>
              <w:spacing w:after="0"/>
              <w:rPr>
                <w:sz w:val="20"/>
                <w:szCs w:val="20"/>
                <w:color w:val="auto"/>
              </w:rPr>
            </w:pPr>
            <w:r>
              <w:rPr>
                <w:rFonts w:ascii="Arial" w:cs="Arial" w:eastAsia="Arial" w:hAnsi="Arial"/>
                <w:sz w:val="18"/>
                <w:szCs w:val="18"/>
                <w:color w:val="auto"/>
                <w:w w:val="91"/>
              </w:rPr>
              <w:t>Trading Symbol</w:t>
            </w:r>
          </w:p>
        </w:tc>
        <w:tc>
          <w:tcPr>
            <w:tcW w:w="4440" w:type="dxa"/>
            <w:vAlign w:val="bottom"/>
          </w:tcPr>
          <w:p>
            <w:pPr>
              <w:jc w:val="center"/>
              <w:ind w:left="270"/>
              <w:spacing w:after="0"/>
              <w:rPr>
                <w:sz w:val="20"/>
                <w:szCs w:val="20"/>
                <w:color w:val="auto"/>
              </w:rPr>
            </w:pPr>
            <w:r>
              <w:rPr>
                <w:rFonts w:ascii="Arial" w:cs="Arial" w:eastAsia="Arial" w:hAnsi="Arial"/>
                <w:sz w:val="18"/>
                <w:szCs w:val="18"/>
                <w:color w:val="auto"/>
                <w:w w:val="90"/>
              </w:rPr>
              <w:t>Name Of Each Exchange On Which Registered</w:t>
            </w:r>
          </w:p>
        </w:tc>
      </w:tr>
      <w:tr>
        <w:trPr>
          <w:trHeight w:val="256"/>
        </w:trPr>
        <w:tc>
          <w:tcPr>
            <w:tcW w:w="3400" w:type="dxa"/>
            <w:vAlign w:val="bottom"/>
          </w:tcPr>
          <w:p>
            <w:pPr>
              <w:jc w:val="center"/>
              <w:ind w:right="650"/>
              <w:spacing w:after="0"/>
              <w:rPr>
                <w:sz w:val="20"/>
                <w:szCs w:val="20"/>
                <w:color w:val="auto"/>
              </w:rPr>
            </w:pPr>
            <w:r>
              <w:rPr>
                <w:rFonts w:ascii="Arial" w:cs="Arial" w:eastAsia="Arial" w:hAnsi="Arial"/>
                <w:sz w:val="18"/>
                <w:szCs w:val="18"/>
                <w:color w:val="auto"/>
                <w:w w:val="90"/>
              </w:rPr>
              <w:t>Common Stock, no par value</w:t>
            </w:r>
          </w:p>
        </w:tc>
        <w:tc>
          <w:tcPr>
            <w:tcW w:w="2280" w:type="dxa"/>
            <w:vAlign w:val="bottom"/>
          </w:tcPr>
          <w:p>
            <w:pPr>
              <w:jc w:val="center"/>
              <w:ind w:left="290"/>
              <w:spacing w:after="0"/>
              <w:rPr>
                <w:sz w:val="20"/>
                <w:szCs w:val="20"/>
                <w:color w:val="auto"/>
              </w:rPr>
            </w:pPr>
            <w:r>
              <w:rPr>
                <w:rFonts w:ascii="Arial" w:cs="Arial" w:eastAsia="Arial" w:hAnsi="Arial"/>
                <w:sz w:val="18"/>
                <w:szCs w:val="18"/>
                <w:color w:val="auto"/>
                <w:w w:val="95"/>
              </w:rPr>
              <w:t>USAT</w:t>
            </w:r>
          </w:p>
        </w:tc>
        <w:tc>
          <w:tcPr>
            <w:tcW w:w="4440" w:type="dxa"/>
            <w:vAlign w:val="bottom"/>
          </w:tcPr>
          <w:p>
            <w:pPr>
              <w:jc w:val="center"/>
              <w:ind w:left="290"/>
              <w:spacing w:after="0"/>
              <w:rPr>
                <w:sz w:val="20"/>
                <w:szCs w:val="20"/>
                <w:color w:val="auto"/>
              </w:rPr>
            </w:pPr>
            <w:r>
              <w:rPr>
                <w:rFonts w:ascii="Arial" w:cs="Arial" w:eastAsia="Arial" w:hAnsi="Arial"/>
                <w:sz w:val="18"/>
                <w:szCs w:val="18"/>
                <w:color w:val="auto"/>
                <w:w w:val="95"/>
              </w:rPr>
              <w:t>The NASDAQ Stock Market LLC The NASDAQ Stock</w:t>
            </w:r>
          </w:p>
        </w:tc>
      </w:tr>
      <w:tr>
        <w:trPr>
          <w:trHeight w:val="230"/>
        </w:trPr>
        <w:tc>
          <w:tcPr>
            <w:tcW w:w="3400" w:type="dxa"/>
            <w:vAlign w:val="bottom"/>
          </w:tcPr>
          <w:p>
            <w:pPr>
              <w:jc w:val="center"/>
              <w:ind w:right="650"/>
              <w:spacing w:after="0"/>
              <w:rPr>
                <w:sz w:val="20"/>
                <w:szCs w:val="20"/>
                <w:color w:val="auto"/>
              </w:rPr>
            </w:pPr>
            <w:r>
              <w:rPr>
                <w:rFonts w:ascii="Arial" w:cs="Arial" w:eastAsia="Arial" w:hAnsi="Arial"/>
                <w:sz w:val="18"/>
                <w:szCs w:val="18"/>
                <w:color w:val="auto"/>
                <w:w w:val="90"/>
              </w:rPr>
              <w:t>Series A Convertible Preferred Stock</w:t>
            </w:r>
          </w:p>
        </w:tc>
        <w:tc>
          <w:tcPr>
            <w:tcW w:w="2280" w:type="dxa"/>
            <w:vAlign w:val="bottom"/>
          </w:tcPr>
          <w:p>
            <w:pPr>
              <w:jc w:val="center"/>
              <w:ind w:left="290"/>
              <w:spacing w:after="0"/>
              <w:rPr>
                <w:sz w:val="20"/>
                <w:szCs w:val="20"/>
                <w:color w:val="auto"/>
              </w:rPr>
            </w:pPr>
            <w:r>
              <w:rPr>
                <w:rFonts w:ascii="Arial" w:cs="Arial" w:eastAsia="Arial" w:hAnsi="Arial"/>
                <w:sz w:val="18"/>
                <w:szCs w:val="18"/>
                <w:color w:val="auto"/>
                <w:w w:val="89"/>
              </w:rPr>
              <w:t>USATP</w:t>
            </w:r>
          </w:p>
        </w:tc>
        <w:tc>
          <w:tcPr>
            <w:tcW w:w="4440" w:type="dxa"/>
            <w:vAlign w:val="bottom"/>
          </w:tcPr>
          <w:p>
            <w:pPr>
              <w:jc w:val="center"/>
              <w:ind w:left="290"/>
              <w:spacing w:after="0"/>
              <w:rPr>
                <w:sz w:val="20"/>
                <w:szCs w:val="20"/>
                <w:color w:val="auto"/>
              </w:rPr>
            </w:pPr>
            <w:r>
              <w:rPr>
                <w:rFonts w:ascii="Arial" w:cs="Arial" w:eastAsia="Arial" w:hAnsi="Arial"/>
                <w:sz w:val="18"/>
                <w:szCs w:val="18"/>
                <w:color w:val="auto"/>
                <w:w w:val="96"/>
              </w:rPr>
              <w:t>Market LLC</w:t>
            </w:r>
          </w:p>
        </w:tc>
      </w:tr>
    </w:tbl>
    <w:p>
      <w:pPr>
        <w:spacing w:after="0" w:line="200" w:lineRule="exact"/>
        <w:rPr>
          <w:sz w:val="24"/>
          <w:szCs w:val="24"/>
          <w:color w:val="auto"/>
        </w:rPr>
      </w:pPr>
    </w:p>
    <w:p>
      <w:pPr>
        <w:spacing w:after="0" w:line="24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78"/>
        </w:trPr>
        <w:tc>
          <w:tcPr>
            <w:tcW w:w="5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w w:val="95"/>
              </w:rPr>
              <w:t>Non-accelerated filer (Do not check if a smaller reporting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0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September 19, 2019 there were 60,008,481 outstanding shares of Common Stock, no par value.</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4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94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rPr>
              <w:t>USA TECHNOLOGIES, INC.</w:t>
            </w:r>
          </w:p>
        </w:tc>
        <w:tc>
          <w:tcPr>
            <w:tcW w:w="19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 - Financial Information</w:t>
              </w:r>
            </w:hyperlink>
          </w:p>
        </w:tc>
        <w:tc>
          <w:tcPr>
            <w:tcW w:w="7300" w:type="dxa"/>
            <w:vAlign w:val="bottom"/>
            <w:gridSpan w:val="11"/>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160" w:type="dxa"/>
            <w:vAlign w:val="bottom"/>
            <w:gridSpan w:val="14"/>
          </w:tcPr>
          <w:p>
            <w:pPr>
              <w:spacing w:after="0"/>
              <w:rPr>
                <w:sz w:val="20"/>
                <w:szCs w:val="20"/>
                <w:color w:val="auto"/>
              </w:rPr>
            </w:pPr>
            <w:r>
              <w:rPr>
                <w:rFonts w:ascii="Arial" w:cs="Arial" w:eastAsia="Arial" w:hAnsi="Arial"/>
                <w:sz w:val="18"/>
                <w:szCs w:val="18"/>
                <w:color w:val="0000EE"/>
              </w:rPr>
              <w:t>Condensed Consolidated Financial Statements</w:t>
            </w:r>
          </w:p>
        </w:tc>
        <w:tc>
          <w:tcPr>
            <w:tcW w:w="19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7"/>
              </w:rPr>
              <w:t>Condensed Consolidated Balance Sheets (unaudited)</w:t>
            </w:r>
          </w:p>
        </w:tc>
        <w:tc>
          <w:tcPr>
            <w:tcW w:w="4380" w:type="dxa"/>
            <w:vAlign w:val="bottom"/>
            <w:gridSpan w:val="7"/>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Condensed Consolidated Statements of Operations (unaudited)</w:t>
            </w:r>
          </w:p>
        </w:tc>
        <w:tc>
          <w:tcPr>
            <w:tcW w:w="3660" w:type="dxa"/>
            <w:vAlign w:val="bottom"/>
            <w:gridSpan w:val="4"/>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Condensed Consolidated Statements of Shareholders’ Equity (unaudited)</w:t>
            </w:r>
          </w:p>
        </w:tc>
        <w:tc>
          <w:tcPr>
            <w:tcW w:w="2920" w:type="dxa"/>
            <w:vAlign w:val="bottom"/>
            <w:gridSpan w:val="2"/>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8"/>
              </w:rPr>
              <w:t>Condensed Consolidated Statements of Cash Flows (unaudited)</w:t>
            </w:r>
          </w:p>
        </w:tc>
        <w:tc>
          <w:tcPr>
            <w:tcW w:w="3600" w:type="dxa"/>
            <w:vAlign w:val="bottom"/>
            <w:gridSpan w:val="3"/>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19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816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9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816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9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816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9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2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Part II - Other Information</w:t>
              </w:r>
            </w:hyperlink>
          </w:p>
        </w:tc>
        <w:tc>
          <w:tcPr>
            <w:tcW w:w="744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w:t>
              </w:r>
            </w:hyperlink>
          </w:p>
        </w:tc>
        <w:tc>
          <w:tcPr>
            <w:tcW w:w="816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94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w:t>
              </w:r>
            </w:hyperlink>
          </w:p>
        </w:tc>
        <w:tc>
          <w:tcPr>
            <w:tcW w:w="8160" w:type="dxa"/>
            <w:vAlign w:val="bottom"/>
            <w:gridSpan w:val="1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19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19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Quarterly Report on Form 10-Q of USA Technologies, Inc. (the “Company”, “we”, and “us”) for the three and six months ended December 31, 2018, includes restatement of the following previously filed condensed consolidated unaudited financial statements and data (and related disclosures): (1) the condensed consolidated statements of operations and cash flows for the three and six months ended December 31, 2017; and (2) our management’s discussion and analysis of financial condition and results of operations as of and for the three and six months ended December 31, 2017, located in Part I Item 2 of this Form 10-Q. The restatement results from the adjustments proposed as a result of the Audit Committee’s internal investigation. See Note 2, Restatement of Condensed Consolidated Financial Statements in Part I, Item 1 of this Form 10-Q for a detailed discussion of the review and effect of the restatement.</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Financial information included in the Quarterly Report on Form 10-Q for the fiscal quarter ended December 31, 2017, and any related press releases, earnings releases, management’s report on the effectiveness of internal control over financial reporting, or investor communications should no longer be relied upon.</w:t>
      </w:r>
    </w:p>
    <w:p>
      <w:pPr>
        <w:spacing w:after="0" w:line="191" w:lineRule="exact"/>
        <w:rPr>
          <w:sz w:val="20"/>
          <w:szCs w:val="20"/>
          <w:color w:val="auto"/>
        </w:rPr>
      </w:pPr>
    </w:p>
    <w:p>
      <w:pPr>
        <w:ind w:right="320"/>
        <w:spacing w:after="0" w:line="340" w:lineRule="auto"/>
        <w:rPr>
          <w:sz w:val="20"/>
          <w:szCs w:val="20"/>
          <w:color w:val="auto"/>
        </w:rPr>
      </w:pPr>
      <w:r>
        <w:rPr>
          <w:rFonts w:ascii="Arial" w:cs="Arial" w:eastAsia="Arial" w:hAnsi="Arial"/>
          <w:sz w:val="18"/>
          <w:szCs w:val="18"/>
          <w:color w:val="auto"/>
        </w:rPr>
        <w:t>For more information regarding the restatement and the basis therefore, see the “Explanatory Note” contained in our Annual Report on Form 10-K for the fiscal year ended June 30, 2019 which has been filed concurrently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 of $3,385 and $2,754, respectively</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115,248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118,713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204,378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231,995</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Liabilities, convertible preferred stock and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17,570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30,468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34,639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84,909</w:t>
            </w: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obligations and long-term debt,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86,169</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preferences of $19,777 and $19,443 at December 31, 2018 and June 30, 2018,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Common stock, no par value, 640,000,000 shares authorized, 60,013,718 and 59,998,811 shares issued and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2018 and June 30, 2018,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(232,748)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142,688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204,378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231,995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62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624"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29,837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23,514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42,911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67,928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56,791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10,456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of sales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41,438</w:t>
            </w:r>
          </w:p>
        </w:tc>
        <w:tc>
          <w:tcPr>
            <w:tcW w:w="0" w:type="dxa"/>
            <w:vAlign w:val="bottom"/>
          </w:tcPr>
          <w:p>
            <w:pPr>
              <w:spacing w:after="0"/>
              <w:rPr>
                <w:sz w:val="1"/>
                <w:szCs w:val="1"/>
                <w:color w:val="auto"/>
              </w:rPr>
            </w:pPr>
          </w:p>
        </w:tc>
      </w:tr>
      <w:tr>
        <w:trPr>
          <w:trHeight w:val="3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15,353</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10,931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20,381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15,929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19,443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3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60,059,936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52,150,106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60,056,924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49,861,735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60,059,936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0"/>
              </w:rPr>
              <w:t>52,150,106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60,056,924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49,861,735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 Period Ended December 31,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gridSpan w:val="2"/>
            <w:vMerge w:val="restart"/>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2017</w:t>
            </w:r>
          </w:p>
        </w:tc>
        <w:tc>
          <w:tcPr>
            <w:tcW w:w="30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40,331,645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40" w:type="dxa"/>
            <w:vAlign w:val="bottom"/>
            <w:gridSpan w:val="6"/>
          </w:tcPr>
          <w:p>
            <w:pPr>
              <w:ind w:left="20"/>
              <w:spacing w:after="0"/>
              <w:rPr>
                <w:sz w:val="20"/>
                <w:szCs w:val="20"/>
                <w:color w:val="auto"/>
              </w:rPr>
            </w:pPr>
            <w:r>
              <w:rPr>
                <w:rFonts w:ascii="Arial" w:cs="Arial" w:eastAsia="Arial" w:hAnsi="Arial"/>
                <w:sz w:val="18"/>
                <w:szCs w:val="18"/>
                <w:color w:val="auto"/>
              </w:rPr>
              <w:t>Issuance of common stock in relation to public offering, net of offering</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costs incurred of $3,237</w:t>
            </w:r>
          </w:p>
        </w:tc>
        <w:tc>
          <w:tcPr>
            <w:tcW w:w="3080" w:type="dxa"/>
            <w:vAlign w:val="bottom"/>
            <w:gridSpan w:val="3"/>
          </w:tcPr>
          <w:p>
            <w:pPr>
              <w:jc w:val="right"/>
              <w:ind w:right="36"/>
              <w:spacing w:after="0"/>
              <w:rPr>
                <w:sz w:val="20"/>
                <w:szCs w:val="20"/>
                <w:color w:val="auto"/>
              </w:rPr>
            </w:pPr>
            <w:r>
              <w:rPr>
                <w:rFonts w:ascii="Arial" w:cs="Arial" w:eastAsia="Arial" w:hAnsi="Arial"/>
                <w:sz w:val="18"/>
                <w:szCs w:val="18"/>
                <w:color w:val="auto"/>
              </w:rPr>
              <w:t>9,583,332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39,888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39,888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0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279,754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Excess tax benefit from stock plans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Balance, September 30, 2017</w:t>
            </w:r>
          </w:p>
        </w:tc>
        <w:tc>
          <w:tcPr>
            <w:tcW w:w="1720" w:type="dxa"/>
            <w:vAlign w:val="bottom"/>
            <w:gridSpan w:val="2"/>
          </w:tcPr>
          <w:p>
            <w:pPr>
              <w:spacing w:after="0"/>
              <w:rPr>
                <w:sz w:val="20"/>
                <w:szCs w:val="20"/>
                <w:color w:val="auto"/>
              </w:rPr>
            </w:pP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50,194,731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286,296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(223,635)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62,661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Issuance of common stock as merger consideration</w:t>
            </w:r>
          </w:p>
        </w:tc>
        <w:tc>
          <w:tcPr>
            <w:tcW w:w="30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3,423,367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3080" w:type="dxa"/>
            <w:vAlign w:val="bottom"/>
            <w:gridSpan w:val="3"/>
          </w:tcPr>
          <w:p>
            <w:pPr>
              <w:jc w:val="right"/>
              <w:ind w:right="36"/>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Balance, December 31, 2017</w:t>
            </w:r>
          </w:p>
        </w:tc>
        <w:tc>
          <w:tcPr>
            <w:tcW w:w="1720" w:type="dxa"/>
            <w:vAlign w:val="bottom"/>
            <w:gridSpan w:val="2"/>
          </w:tcPr>
          <w:p>
            <w:pPr>
              <w:spacing w:after="0"/>
              <w:rPr>
                <w:sz w:val="22"/>
                <w:szCs w:val="22"/>
                <w:color w:val="auto"/>
              </w:rPr>
            </w:pP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53,619,898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310,150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82,321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60" w:type="dxa"/>
            <w:vAlign w:val="bottom"/>
            <w:gridSpan w:val="7"/>
          </w:tcPr>
          <w:p>
            <w:pPr>
              <w:jc w:val="right"/>
              <w:spacing w:after="0"/>
              <w:rPr>
                <w:sz w:val="20"/>
                <w:szCs w:val="20"/>
                <w:color w:val="auto"/>
              </w:rPr>
            </w:pPr>
            <w:r>
              <w:rPr>
                <w:rFonts w:ascii="Arial" w:cs="Arial" w:eastAsia="Arial" w:hAnsi="Arial"/>
                <w:sz w:val="18"/>
                <w:szCs w:val="18"/>
                <w:b w:val="1"/>
                <w:bCs w:val="1"/>
                <w:color w:val="auto"/>
                <w:w w:val="93"/>
              </w:rPr>
              <w:t>Six Month Period Ended December 31, 2018</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gridSpan w:val="2"/>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30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59,998,811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w w:val="93"/>
              </w:rPr>
              <w:t>Cumulative effect adjustment for ASC 606 adoption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30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0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13,344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gridSpan w:val="2"/>
          </w:tcPr>
          <w:p>
            <w:pPr>
              <w:spacing w:after="0"/>
              <w:rPr>
                <w:sz w:val="2"/>
                <w:szCs w:val="2"/>
                <w:color w:val="auto"/>
              </w:rPr>
            </w:pPr>
          </w:p>
        </w:tc>
        <w:tc>
          <w:tcPr>
            <w:tcW w:w="17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30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60,012,155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080" w:type="dxa"/>
            <w:vAlign w:val="bottom"/>
            <w:gridSpan w:val="3"/>
          </w:tcPr>
          <w:p>
            <w:pPr>
              <w:jc w:val="right"/>
              <w:ind w:right="36"/>
              <w:spacing w:after="0"/>
              <w:rPr>
                <w:sz w:val="20"/>
                <w:szCs w:val="20"/>
                <w:color w:val="auto"/>
              </w:rPr>
            </w:pPr>
            <w:r>
              <w:rPr>
                <w:rFonts w:ascii="Arial" w:cs="Arial" w:eastAsia="Arial" w:hAnsi="Arial"/>
                <w:sz w:val="18"/>
                <w:szCs w:val="18"/>
                <w:color w:val="auto"/>
              </w:rPr>
              <w:t>1,563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Balance, December 31, 2018</w:t>
            </w:r>
          </w:p>
        </w:tc>
        <w:tc>
          <w:tcPr>
            <w:tcW w:w="1720" w:type="dxa"/>
            <w:vAlign w:val="bottom"/>
            <w:gridSpan w:val="2"/>
          </w:tcPr>
          <w:p>
            <w:pPr>
              <w:spacing w:after="0"/>
              <w:rPr>
                <w:sz w:val="22"/>
                <w:szCs w:val="22"/>
                <w:color w:val="auto"/>
              </w:rPr>
            </w:pP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60,013,718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376,363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(249,349)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127,014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(16,977)</w:t>
            </w:r>
          </w:p>
        </w:tc>
        <w:tc>
          <w:tcPr>
            <w:tcW w:w="100" w:type="dxa"/>
            <w:vAlign w:val="bottom"/>
          </w:tcPr>
          <w:p>
            <w:pPr>
              <w:spacing w:after="0"/>
              <w:rPr>
                <w:sz w:val="22"/>
                <w:szCs w:val="22"/>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(6,365)</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stock based compensation</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interest and amortization of debt discount</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Provision for inventory reserve</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Excess tax benefits</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Finance receivables, net</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(7,615)</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49"/>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(65,181)</w:t>
            </w:r>
          </w:p>
        </w:tc>
        <w:tc>
          <w:tcPr>
            <w:tcW w:w="0" w:type="dxa"/>
            <w:vAlign w:val="bottom"/>
          </w:tcPr>
          <w:p>
            <w:pPr>
              <w:spacing w:after="0"/>
              <w:rPr>
                <w:sz w:val="1"/>
                <w:szCs w:val="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(66,758)</w:t>
            </w:r>
          </w:p>
        </w:tc>
        <w:tc>
          <w:tcPr>
            <w:tcW w:w="0" w:type="dxa"/>
            <w:vAlign w:val="bottom"/>
          </w:tcPr>
          <w:p>
            <w:pPr>
              <w:spacing w:after="0"/>
              <w:rPr>
                <w:sz w:val="1"/>
                <w:szCs w:val="1"/>
                <w:color w:val="auto"/>
              </w:rPr>
            </w:pPr>
          </w:p>
        </w:tc>
      </w:tr>
      <w:tr>
        <w:trPr>
          <w:trHeight w:val="249"/>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collateralized borrowing from the transfer of finance receivables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Payment of debt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25,100</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67,464</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83,964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paid in cash</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Income taxes paid in cash</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i w:val="1"/>
                <w:iCs w:val="1"/>
                <w:color w:val="auto"/>
              </w:rPr>
              <w:t>Supplemental disclosures of noncash financing and investing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Equity issued in connection with Cantaloupe Acquisition, net of post-working capital adjustment for retired shares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23,279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Equipment and software acquired under capital lease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6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638"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2018 Annual Report on Form 10-K, which has been filed concurrently with this Form 10-Q. In the opinion of management, all adjustments considered necessary for a fair presentation, consisting of normal recurring adjustments, have been included. Operating results for the three and six months ended December 31, 2018 are not necessarily indicative of the results that may be expected for the year ending June 30, 2019. The balance sheet at June 30, 2018 has been derived from the audited consolidated financial statements at that date, but does not include all disclosures required by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Concurrently with the filing of this Form 10-Q, the Company filed its Annual Report on Form 10-K for the fiscal year ended June 30, 2019 containing our audited consolidated financial statements for the fiscal years ended June 30, 2019 and 2018, which have not previously been filed, as well as restatements of the following previously filed consolidated financial statements: (i) our audited consolidated financial statements for the fiscal year ended June 30, 2017; (ii) our selected financial data as of and for the fiscal years ended June 30, 2017, 2016 and 2015 contained in Item 6 of the Form 10-K; and (iii) our unaudited condensed consolidated financial statements for the fiscal quarters ended September 30, 2017 and 2016, December 31, 2017 and 2016, and March 31, 2018 and 2017, in Note 20, “Unaudited Quarterly Data” of the Notes to Consolidated Financial Statements.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filed and do not intend to file amendments to any of our previously filed Annual Reports on Form 10-K or Quarterly Reports on Form 10-Q for the periods affected by the restatements of our consolidated financial statements. In addition, we have not filed and do not intend to file a separate Annual Report on Form 10-K for the fiscal year ended June 30, 2018. Concurrent with this filing, we are filing our Quarterly Reports on Form 10-Q for each of the fiscal quarters ended September 30, 2018 and March 31, 2019 (together with this Form 10-Q, the “Fiscal Year 2019 Form 10-Qs”). We have not timely filed our Annual Report on Form 10-K for the fiscal year ended June 30, 2018 and the Fiscal Year 2019 Form 10-Qs as a result of the internal investigation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Audit Committee of the Company’s Board of Directors (the “Audit Committee”) and the subsequent restatement of certain of our prior period financial statements as more fully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found that, for certain of the customer transactions under review, the Company had prematurely recognized revenue. The Audit Committee proposed certain adjustments to previously reported revenues related to fiscal quarters occurring during the 2017 and 2018 fiscal years of the Company. In most cases, revenues that had been recognized prematurely were, or were expected to be, recognized in subsequent quarters, including quarters subsequent to the quarters impacted by the investigative findings. The investigation further found that certain items that had been recorded as expenses, such as the payment of marketing or servicing fees, were more appropriately treated as contra-revenue items in earlier fiscal quarters.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condensed consolidated financial statements for September 30, 2017, December 31, 2017, and March 31, 2018.</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7, 2019, the Board of Directors of the Company, upon the recommendation of the Audit Committee, and based upon the non-investigatory adjustments described below,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condensed consolidated financial statements for September 30, 2016, December 31, 2016, and March 31,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Audit Committee investigation matter described above, the Company also corrected for (i) out of period adjustments and errors related to the Company's acquisition and financial integration of Cantaloupe and (ii) out of period adjustments and errors identified during management's review of significant accounts and transactions.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and financial integration-related adjustments referred to in (i) above were made in the restatement and relate to errors in the purchase accounting for our acquisition of Cantaloupe and errors in periods subsequent to the acquisition resulting from an ineffective integration of the financial systems and processes of the acquired entity with those of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 and transaction review adjustments referred to in (ii) above were made in the restatement and relate to revenue recognition, deferred income tax accounting, sales-tax reserves, reserves for bad debts, inventory reserves, sale-leaseback accounting, balance sheet classification of preferred stock, and various other matters.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of Restatement on Previously Filed December 31, 2017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impact of these matters on income (loss) before taxes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402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4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Revenue</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Acquisition and Financial Integration-related Adjustments:</w:t>
            </w:r>
          </w:p>
        </w:tc>
        <w:tc>
          <w:tcPr>
            <w:tcW w:w="4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Costs of sales</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4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Revenue</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54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4"/>
                <w:szCs w:val="24"/>
                <w:color w:val="auto"/>
              </w:rPr>
            </w:pPr>
          </w:p>
        </w:tc>
        <w:tc>
          <w:tcPr>
            <w:tcW w:w="4020" w:type="dxa"/>
            <w:vAlign w:val="bottom"/>
          </w:tcPr>
          <w:p>
            <w:pPr>
              <w:jc w:val="right"/>
              <w:ind w:right="325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402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Pr>
          <w:p>
            <w:pPr>
              <w:jc w:val="center"/>
              <w:ind w:right="53"/>
              <w:spacing w:after="0" w:line="153" w:lineRule="exact"/>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4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Revenue</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Acquisition and Financial Integration-related Adjustments:</w:t>
            </w:r>
          </w:p>
        </w:tc>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Costs of sales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4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Revenue</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4"/>
                <w:szCs w:val="24"/>
                <w:color w:val="auto"/>
              </w:rPr>
            </w:pPr>
          </w:p>
        </w:tc>
        <w:tc>
          <w:tcPr>
            <w:tcW w:w="4020" w:type="dxa"/>
            <w:vAlign w:val="bottom"/>
          </w:tcPr>
          <w:p>
            <w:pPr>
              <w:jc w:val="right"/>
              <w:ind w:right="32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impact of these matters on the condensed consolidated balance sheet is presented below, excluding any tax effect from the restatement adjustments in the aggregate:</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908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2"/>
              </w:rPr>
              <w:t>As of December 31, 2017</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324"/>
        </w:trPr>
        <w:tc>
          <w:tcPr>
            <w:tcW w:w="9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and Financial Integration-related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Finance receivables,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324"/>
        </w:trPr>
        <w:tc>
          <w:tcPr>
            <w:tcW w:w="9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 and current obligations under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Capital lease obligation and long-term debt, less current portion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Deferred gain from sale-leaseback transactions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restatement adjustments were tax effected and any tax adjustments reflected in the condensed consolidated financial statements in this note relate entirely to the tax effect on the restatement adjustments.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present the effect of the financial statement adjustments related to the restatement discussed above of the Company's previously reported financial statements as of and for the three and six months ended December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condensed consolidated balance sheet as of December 31,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15,472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14,707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11,215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12,019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49,561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46,992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14,774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(14,774)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30,910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64,449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64,403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119,942</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184,651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166,934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23,908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6,798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16,623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current obligations under long-term debt, and collateralized borrowings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46,749</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Revolving credit facility</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long-term debt, and collateralized borrowings,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23,874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24,570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gain from sale-leaseback transactions, less current portion</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34,726</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70,481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81,475</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$19,109 at December 31, 2017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$19,109 at December 31, 2017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5"/>
              </w:rPr>
              <w:t>Common stock, no par value, 640,000,000 shares authorized, 53,619,898 shares issued and outstanding at December 31,</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307,053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310,150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(196,021)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(31,808)</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(227,829)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114,170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(31,849)</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82,321</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184,651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166,934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5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852"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 of the restatement on the previously filed condensed consolidated statement of operations for the three and six months ended December 31, 2017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4"/>
                <w:szCs w:val="14"/>
                <w:b w:val="1"/>
                <w:bCs w:val="1"/>
                <w:color w:val="auto"/>
                <w:w w:val="91"/>
              </w:rPr>
              <w:t>Three months ended December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transaction fees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costs of sales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applicable to common shares</w:t>
            </w:r>
          </w:p>
        </w:tc>
        <w:tc>
          <w:tcPr>
            <w:tcW w:w="25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52,150,106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52,150,106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52,150,106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52,150,106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51"/>
              <w:spacing w:after="0"/>
              <w:rPr>
                <w:sz w:val="20"/>
                <w:szCs w:val="20"/>
                <w:color w:val="auto"/>
              </w:rPr>
            </w:pPr>
            <w:r>
              <w:rPr>
                <w:rFonts w:ascii="Arial" w:cs="Arial" w:eastAsia="Arial" w:hAnsi="Arial"/>
                <w:sz w:val="14"/>
                <w:szCs w:val="14"/>
                <w:b w:val="1"/>
                <w:bCs w:val="1"/>
                <w:color w:val="auto"/>
                <w:w w:val="90"/>
              </w:rPr>
              <w:t>Six months ended December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9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transaction fees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27,603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costs of sales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41,721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applicable to common shares</w:t>
            </w:r>
          </w:p>
        </w:tc>
        <w:tc>
          <w:tcPr>
            <w:tcW w:w="25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49,861,735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49,861,735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49,861,735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49,861,735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7" w:name="page18"/>
    <w:bookmarkEnd w:id="17"/>
    <w:p>
      <w:pPr>
        <w:spacing w:after="0" w:line="2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the restatement on the previously filed condensed consolidated statement of cash flows for the six months ended December 31, 2017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0"/>
              </w:rPr>
              <w:t>Six months ended December 31, 2017</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(12,729)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6,364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(6,365)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Excess tax benefits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paid for acquisitions, net of cash acquired</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(65,181)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(65,181)</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(66,791)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(66,758)</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transfer of finance receivables</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issuance of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25,100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67,464</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12,745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Financial Accounting Standards Board (the "FASB") issued Accounting Standards Update No. 2017-04, Intangibles - Goodwill and Other (Topic 350) - Simplifying the Test for Goodwill Impairment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w:t>
      </w:r>
    </w:p>
    <w:p>
      <w:pPr>
        <w:sectPr>
          <w:pgSz w:w="11900" w:h="16864" w:orient="portrait"/>
          <w:cols w:equalWidth="0" w:num="1">
            <w:col w:w="11420"/>
          </w:cols>
          <w:pgMar w:left="240" w:top="125" w:right="239" w:bottom="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64" w:orient="portrait"/>
          <w:cols w:equalWidth="0" w:num="1">
            <w:col w:w="11420"/>
          </w:cols>
          <w:pgMar w:left="240" w:top="125" w:right="23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15, 2019. We early adopted ASU 2017-04 for impairment tests to be performed on testing dates after July 1, 2017, which did not impact our condensed consolidated financial statements.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$31 thousand of excess tax benefits in the Company's provision for income taxes for the year ended June 30, 2018.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 The adoption of ASU No. 2016-09 did not impact our statement of cash flows for the six months ended December 31, 2018 and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The standard adds guidance to ASC 740, Income Taxes, that contain SEC guidance related to SAB 118. The standard is effective upon issuance. Refer to Note 12 for further information regarding the impact of the standard.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The Company adopted this standard as of July 1, 2018, and its adoption did not have a material effect on the Company’s condensed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The Company adopted this standard as of July 1, 2018, and it will be applied prospectively to awards modified on or after the adoption date. Its adoption did not have a material effect on the Company's condensed consolidated financial statements.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The Company adopted this standard as of July 1, 2018 on a retrospective basis, and its adoption did not have a material effect on the Company’s condensed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(“the New Standard”). The New Standard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Company adopted the New Standard on July 1, 2018, using the modified retrospective method applied to those contracts which were not completed as of July 1, 2018. Results for reporting periods beginning after July 1, 2018 are presented under ASC 606, while prior period amounts are not adjusted and continue to be reported in accordance with the Company’s historic revenue recognition methodology under ASC 605. Refer to Note 5 for further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the FASB issued ASU 2016-02, "Leases (Topic 842)," which will require, among other items, lessees to recognize a right of use asset and a related lease liability for most leases on the balance sheet. Qualitative and quantitative disclosures will be enhanced to better understand the amount, timing and uncertainty of cash flows arising from leases. The Company adopted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new guidance on July 1, 2019, using the optional modified retrospective transition method. The Company expects the adoption to result in gross up on its consolidated balance sheets from the recognition of assets and liabilities arising out of operating leases. The Company will recognize assets for the right to use the underlying leased property during the lease term and will recognize liabilities for the corresponding financial obligation to make lease payments to the lessor.</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plans to elect the transition package of practical expedients permitted within the standard, which eliminates the requirements to reassess prior conclusions about lease identification, lease classification, and initial direct costs. The Company is substantially complete with the evaluation of the impact on the condensed consolidated financial statements of adopting the new lease standard and does not anticipate a material impact on the condensed consolidated statements of operations, shareholders’ equity, and cash flows or to retained earnings. Additionally, the Company does not anticipate the adoption of the standard will impact any debt covenants or result in significant changes to the internal processes, including the internal control over financial reporting. The Company’s operating leases primarily comprise of office facilities, with the most significant leases relating to corporate headquarters in Malvern, Pennsylvania and an office in San Francisco, California. The Company is in the process of finalizing changes to its systems and processes in conjunction with its review of lease agreements and will disclose the actual impact of adopting ASU 2016-02 in its interim report on Form 10-Q for the quarter ended September 30, 2019.</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majority of the amendments in ASU 2018-09 will be effective in annual periods beginning after December 15, 2018. The Company is currently evaluating and assessing the impact this guidance will have on its condensed consolidated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No. 2016-13, “Financial Instruments - 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2018.The Company is currently evaluating and assessing the impact this guidance will have on its condensed consolidated financial statements.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changes take effect for public companies for fiscal years starting after December 15, 2018, including interim periods within that fiscal year. The Company expects that the adoption of this ASU would not have a material impact on the Company’s condensed consolidated financial statements.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is currently evaluating and assessing the impact this guidance will have on its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CANTALOUPE SYSTEMS, INC.</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2017, the Company acquired all of the outstanding equity interests of Cantaloupe pursuant to the Merger Agreement, for approximately $88.2 million in aggregate consideration. Cantaloupe is a premier provider of cloud and mobile solutions for vending, micro markets, and office coffee service.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purchase price consideration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consideration, net of cash acquired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65,181</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USAT shares issued as stock consideration (As Restated)</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23,279</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Post-closing adjustment for working capital</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Total consideration (As Restated)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88,207</w:t>
            </w: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10 for additional details.</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finalized its valuation of certain assets and liabilities recorded in connection with this transaction as of June 30, 2018.</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total consideration transferred to the holders of all of the outstanding equity interests of Cantaloupe at the acquisition date of November 9, 2017:</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432"/>
              <w:spacing w:after="0"/>
              <w:rPr>
                <w:sz w:val="20"/>
                <w:szCs w:val="20"/>
                <w:color w:val="auto"/>
              </w:rPr>
            </w:pPr>
            <w:r>
              <w:rPr>
                <w:rFonts w:ascii="Arial" w:cs="Arial" w:eastAsia="Arial" w:hAnsi="Arial"/>
                <w:sz w:val="14"/>
                <w:szCs w:val="14"/>
                <w:b w:val="1"/>
                <w:bCs w:val="1"/>
                <w:color w:val="auto"/>
              </w:rPr>
              <w:t>November 9, 2017</w:t>
            </w:r>
          </w:p>
        </w:tc>
        <w:tc>
          <w:tcPr>
            <w:tcW w:w="0" w:type="dxa"/>
            <w:vAlign w:val="bottom"/>
          </w:tcPr>
          <w:p>
            <w:pPr>
              <w:spacing w:after="0"/>
              <w:rPr>
                <w:sz w:val="1"/>
                <w:szCs w:val="1"/>
                <w:color w:val="auto"/>
              </w:rPr>
            </w:pPr>
          </w:p>
        </w:tc>
      </w:tr>
      <w:tr>
        <w:trPr>
          <w:trHeight w:val="192"/>
        </w:trPr>
        <w:tc>
          <w:tcPr>
            <w:tcW w:w="9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Finance receivables</w:t>
            </w:r>
          </w:p>
        </w:tc>
        <w:tc>
          <w:tcPr>
            <w:tcW w:w="3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receivables due after one year</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Intangibles</w:t>
            </w:r>
          </w:p>
        </w:tc>
        <w:tc>
          <w:tcPr>
            <w:tcW w:w="320" w:type="dxa"/>
            <w:vAlign w:val="bottom"/>
          </w:tcPr>
          <w:p>
            <w:pPr>
              <w:spacing w:after="0"/>
              <w:rPr>
                <w:sz w:val="21"/>
                <w:szCs w:val="21"/>
                <w:color w:val="auto"/>
              </w:rPr>
            </w:pP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30,800</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42,016</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Capital lease obligations and long-term debt, less current portion</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9200" w:type="dxa"/>
            <w:vAlign w:val="bottom"/>
            <w:gridSpan w:val="2"/>
          </w:tcPr>
          <w:p>
            <w:pPr>
              <w:ind w:left="160"/>
              <w:spacing w:after="0"/>
              <w:rPr>
                <w:sz w:val="20"/>
                <w:szCs w:val="20"/>
                <w:color w:val="auto"/>
              </w:rPr>
            </w:pPr>
            <w:r>
              <w:rPr>
                <w:rFonts w:ascii="Arial" w:cs="Arial" w:eastAsia="Arial" w:hAnsi="Arial"/>
                <w:sz w:val="18"/>
                <w:szCs w:val="18"/>
                <w:color w:val="auto"/>
              </w:rPr>
              <w:t>Total identifiable net assets</w:t>
            </w:r>
          </w:p>
        </w:tc>
        <w:tc>
          <w:tcPr>
            <w:tcW w:w="3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35,549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57"/>
        </w:trPr>
        <w:tc>
          <w:tcPr>
            <w:tcW w:w="9200" w:type="dxa"/>
            <w:vAlign w:val="bottom"/>
            <w:gridSpan w:val="2"/>
          </w:tcPr>
          <w:p>
            <w:pPr>
              <w:ind w:left="160"/>
              <w:spacing w:after="0"/>
              <w:rPr>
                <w:sz w:val="20"/>
                <w:szCs w:val="20"/>
                <w:color w:val="auto"/>
              </w:rPr>
            </w:pPr>
            <w:r>
              <w:rPr>
                <w:rFonts w:ascii="Arial" w:cs="Arial" w:eastAsia="Arial" w:hAnsi="Arial"/>
                <w:sz w:val="18"/>
                <w:szCs w:val="18"/>
                <w:color w:val="auto"/>
              </w:rPr>
              <w:t>Total fair value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88,207</w:t>
            </w: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$52.7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Cantaloupe revenue included in the Company’s Condensed Consolidated Statements of Operations for the three and six months ended December 31, 2017 is $4.7 million. The amount of Cantaloupe earnings included in the Company’s Condensed Consolidated Statements of Operations for the three and six months ended December 31, 2017 is $1.5 million.</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pro forma information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 forma results include adjustments for the preliminary purchase accounting impact of the Cantaloupe acquisition (including, but not limited to, amortization associated with the acquired intangible assets, and the interest expense and amortization of deferred financing fees associated with the Term Loan and Revolving Credit Facility that were used to finance a portion of the purchase price, along with the related tax impacts) and the alignment of accounting policies. Other material non-recurring adjustments are reflected in the pro forma and described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Six months ended</w:t>
            </w:r>
          </w:p>
        </w:tc>
      </w:tr>
      <w:tr>
        <w:trPr>
          <w:trHeight w:val="250"/>
        </w:trPr>
        <w:tc>
          <w:tcPr>
            <w:tcW w:w="8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64,859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USAT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(4,359)</w:t>
            </w: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USAT common shares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304"/>
        </w:trPr>
        <w:tc>
          <w:tcPr>
            <w:tcW w:w="8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53,619,921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53,584,368</w:t>
            </w:r>
          </w:p>
        </w:tc>
      </w:tr>
      <w:tr>
        <w:trPr>
          <w:trHeight w:val="251"/>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53,619,921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53,584,368</w:t>
            </w: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supplemental unaudited pro forma earnings for the three and six months ended December 31, 2017 were adjusted to exclude $3.3 million and $4.1 million of integration and acquisition costs,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606, Revenue from Contracts with Customers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applying the new revenue guidance, the Company evaluated its population of open contracts with customers on July 1, 2018. The effect of adoption of this new guidance on the Condensed Consolidated Balance Sheet as of July 1, 2018 was to increase prepaid expenses and other current assets and other assets and to reduce deferred revenues, with an offsetting decrease in 2018 opening retained earnings (accumulated deficit),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July 1, 2018</w:t>
            </w:r>
          </w:p>
        </w:tc>
      </w:tr>
      <w:tr>
        <w:trPr>
          <w:trHeight w:val="250"/>
        </w:trPr>
        <w:tc>
          <w:tcPr>
            <w:tcW w:w="438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21"/>
                <w:szCs w:val="21"/>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Revised</w:t>
            </w:r>
          </w:p>
        </w:tc>
      </w:tr>
      <w:tr>
        <w:trPr>
          <w:trHeight w:val="121"/>
        </w:trPr>
        <w:tc>
          <w:tcPr>
            <w:tcW w:w="43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1,180</w:t>
            </w: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1,638</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(232,372)</w:t>
            </w:r>
          </w:p>
        </w:tc>
      </w:tr>
      <w:tr>
        <w:trPr>
          <w:trHeight w:val="459"/>
        </w:trPr>
        <w:tc>
          <w:tcPr>
            <w:tcW w:w="4380" w:type="dxa"/>
            <w:vAlign w:val="bottom"/>
          </w:tcPr>
          <w:p>
            <w:pPr>
              <w:spacing w:after="0"/>
              <w:rPr>
                <w:sz w:val="24"/>
                <w:szCs w:val="24"/>
                <w:color w:val="auto"/>
              </w:rPr>
            </w:pP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adoption of ASC 606 by financial statement line item within the Condensed Consolidated Balance Sheet as of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Operations for the six months ended December 31, 2018 is as follows: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December 31, 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As Reported</w:t>
            </w:r>
          </w:p>
        </w:tc>
        <w:tc>
          <w:tcPr>
            <w:tcW w:w="24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3"/>
                <w:szCs w:val="13"/>
                <w:color w:val="auto"/>
              </w:rPr>
            </w:pPr>
          </w:p>
        </w:tc>
        <w:tc>
          <w:tcPr>
            <w:tcW w:w="134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4"/>
              </w:rPr>
              <w:t>Under Legacy</w:t>
            </w:r>
          </w:p>
        </w:tc>
        <w:tc>
          <w:tcPr>
            <w:tcW w:w="0" w:type="dxa"/>
            <w:vAlign w:val="bottom"/>
          </w:tcPr>
          <w:p>
            <w:pPr>
              <w:spacing w:after="0"/>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Guidance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(249,787)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License and transaction fees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58,761</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ASC 606 by financial statement line item within the Condensed Consolidated Statement of Operations for the three months ended December 31, 2018 is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December 31, 2018</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 Reported</w:t>
            </w:r>
          </w:p>
        </w:tc>
        <w:tc>
          <w:tcPr>
            <w:tcW w:w="15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Adjustment</w:t>
            </w: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Under Legacy</w:t>
            </w:r>
          </w:p>
        </w:tc>
        <w:tc>
          <w:tcPr>
            <w:tcW w:w="0" w:type="dxa"/>
            <w:vAlign w:val="bottom"/>
          </w:tcPr>
          <w:p>
            <w:pPr>
              <w:spacing w:after="0"/>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Guidance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License and transaction fees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29,837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29,801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10,931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10,933</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500" w:type="dxa"/>
            <w:vAlign w:val="bottom"/>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ASC 606 had no effect on the cash flows from operating activities, investing activities or financing activities included in the Condensed Consolidated Statement of Cash Flows for the three and six months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Under ASC 606 (Periods commencing after July 1, 2018)</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provides an end-to-end payment solution which integrates hardware, software, and payment processing in the self-service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foundation of 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we sell cashless payment devices (e.g., e-Ports, Seed), which are either directly sold or leased through the Company’s QuickStart or JumpStart programs.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Cashless vending services represent a single performance obligation as the combination of the services provided gives the customer the ability to accept cashless payments. Certain services are distinct, but are not accounted for separately as the rights are conterminous,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Equipment sales represent a separate performance obligation, the majority of which is satisfied at a point in time through outright sales or sales-type leases (ASC 840) when the equipment is delivered to the customer. Revenues related to JumpStart equipment are recognized over time as the customer obtains the right to use the equipment through an operating leases, however these are not significant to the Company’s total revenue.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USAT will occasionally offer volume discounts, rebates or credits on certain contracts, which is considered variable consideration. USAT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constrained to prevent possible significant reversal of revenue, as applicable.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assesses the goods and/or services promised in each customer the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fees charged to our customers primarily on a gross basis as transaction revenue when we are the principal in respect of completing a payment transaction. As a principal to the transaction, we control the service of completing payments for our customers through the payment ecosystem. The fees paid to payment processors and other financial institutions are recognized as transaction expense. For certain transactions in which we act in the capacity as an agent, those transactions are recorded on a net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represents the level at which management makes operating decisions and assesses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As of December 31, 2018</w:t>
            </w:r>
          </w:p>
        </w:tc>
      </w:tr>
      <w:tr>
        <w:trPr>
          <w:trHeight w:val="121"/>
        </w:trPr>
        <w:tc>
          <w:tcPr>
            <w:tcW w:w="9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10,161</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6,754</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4,704</w:t>
            </w:r>
          </w:p>
        </w:tc>
      </w:tr>
      <w:tr>
        <w:trPr>
          <w:trHeight w:val="257"/>
        </w:trPr>
        <w:tc>
          <w:tcPr>
            <w:tcW w:w="926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35,409</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 and Returns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 The Company estimates an allowance for equipment returns at the date of sale on a monthly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w:t>
      </w:r>
      <w:r>
        <w:rPr>
          <w:rFonts w:ascii="Arial" w:cs="Arial" w:eastAsia="Arial" w:hAnsi="Arial"/>
          <w:sz w:val="18"/>
          <w:szCs w:val="18"/>
          <w:color w:val="auto"/>
        </w:rPr>
        <w: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contract with a customer creates legal rights and obligations. As the Company performs performance obligations under customer contracts, a right to unconditional consideration is recorded as an account receivable.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 The Company’s contract liability (i.e., deferred revenue) balances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1"/>
              </w:rPr>
              <w:t>Three months ended December</w:t>
            </w:r>
          </w:p>
        </w:tc>
        <w:tc>
          <w:tcPr>
            <w:tcW w:w="100" w:type="dxa"/>
            <w:vAlign w:val="bottom"/>
          </w:tcPr>
          <w:p>
            <w:pPr>
              <w:spacing w:after="0"/>
              <w:rPr>
                <w:sz w:val="14"/>
                <w:szCs w:val="14"/>
                <w:color w:val="auto"/>
              </w:rPr>
            </w:pP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Six months ended December 31,</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0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shd w:val="clear" w:color="auto" w:fill="CCEEFF"/>
              </w:rPr>
              <w:t>1,428</w:t>
            </w:r>
          </w:p>
        </w:tc>
        <w:tc>
          <w:tcPr>
            <w:tcW w:w="1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511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Plus: adjustment for adoption of ASC 606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 as adjusted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shd w:val="clear" w:color="auto" w:fill="CCEEFF"/>
              </w:rPr>
              <w:t>1,428</w:t>
            </w:r>
          </w:p>
        </w:tc>
        <w:tc>
          <w:tcPr>
            <w:tcW w:w="1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w:t>
            </w:r>
          </w:p>
        </w:tc>
        <w:tc>
          <w:tcPr>
            <w:tcW w:w="1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shd w:val="clear" w:color="auto" w:fill="CCEEFF"/>
              </w:rPr>
              <w:t>1,638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Deferred revenue, end of the period</w:t>
            </w:r>
          </w:p>
        </w:tc>
        <w:tc>
          <w:tcPr>
            <w:tcW w:w="100" w:type="dxa"/>
            <w:vAlign w:val="bottom"/>
          </w:tcPr>
          <w:p>
            <w:pPr>
              <w:spacing w:after="0"/>
              <w:rPr>
                <w:sz w:val="21"/>
                <w:szCs w:val="21"/>
                <w:color w:val="auto"/>
              </w:rPr>
            </w:pPr>
          </w:p>
        </w:tc>
        <w:tc>
          <w:tcPr>
            <w:tcW w:w="2060" w:type="dxa"/>
            <w:vAlign w:val="bottom"/>
            <w:gridSpan w:val="2"/>
          </w:tcPr>
          <w:p>
            <w:pPr>
              <w:jc w:val="right"/>
              <w:ind w:right="3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Revenue recognized in the period from amounts included in deferred revenue at the beginning</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 the period</w:t>
            </w:r>
          </w:p>
        </w:tc>
        <w:tc>
          <w:tcPr>
            <w:tcW w:w="1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change in the contract liabilities period-over-period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At December 31, 2018, the Company had net capitalized costs to obtain contracts of $0.3 million and $1.3 million included in prepaid expenses and other current assets and other noncurrent assets on the condensed consolidated balance sheet,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In addition, these contract costs are evaluated for impairment by comparing, on a pooled basis, the expected future net cash flows from underlying customer relationships to the carrying amount of the capitalized contract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to determine the appropriate amortization period for contract costs, the Company considers a number of factors, including expected early terminations, estimated terms of customer relationships, the useful lives of technology USAT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 During the three and six months ended December 31, 2018, amortization of capitalized contract costs was $0.1 million and $0.1 million,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RESTRUCTURING/INTEGRATION COSTS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Liabilities for severance will generally be paid during the next twelve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severance activity for the three and six months ended December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Workforce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5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reduction</w:t>
            </w:r>
          </w:p>
        </w:tc>
        <w:tc>
          <w:tcPr>
            <w:tcW w:w="20" w:type="dxa"/>
            <w:vAlign w:val="bottom"/>
            <w:tcBorders>
              <w:bottom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July 1, 2018</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D9D9D9"/>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Plus: additions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D9D9D9"/>
            </w:tcBorders>
          </w:tcPr>
          <w:p>
            <w:pPr>
              <w:spacing w:after="0"/>
              <w:rPr>
                <w:sz w:val="20"/>
                <w:szCs w:val="20"/>
                <w:color w:val="auto"/>
              </w:rPr>
            </w:pPr>
          </w:p>
        </w:tc>
        <w:tc>
          <w:tcPr>
            <w:tcW w:w="220" w:type="dxa"/>
            <w:vAlign w:val="bottom"/>
            <w:tcBorders>
              <w:top w:val="single" w:sz="8" w:color="D9D9D9"/>
            </w:tcBorders>
          </w:tcPr>
          <w:p>
            <w:pPr>
              <w:spacing w:after="0"/>
              <w:rPr>
                <w:sz w:val="20"/>
                <w:szCs w:val="20"/>
                <w:color w:val="auto"/>
              </w:rPr>
            </w:pPr>
          </w:p>
        </w:tc>
        <w:tc>
          <w:tcPr>
            <w:tcW w:w="1120" w:type="dxa"/>
            <w:vAlign w:val="bottom"/>
            <w:tcBorders>
              <w:top w:val="single" w:sz="8" w:color="D9D9D9"/>
            </w:tcBorders>
          </w:tcPr>
          <w:p>
            <w:pPr>
              <w:jc w:val="right"/>
              <w:ind w:right="35"/>
              <w:spacing w:after="0"/>
              <w:rPr>
                <w:sz w:val="20"/>
                <w:szCs w:val="20"/>
                <w:color w:val="auto"/>
              </w:rPr>
            </w:pPr>
            <w:r>
              <w:rPr>
                <w:rFonts w:ascii="Arial" w:cs="Arial" w:eastAsia="Arial" w:hAnsi="Arial"/>
                <w:sz w:val="18"/>
                <w:szCs w:val="18"/>
                <w:color w:val="auto"/>
              </w:rPr>
              <w:t>137</w:t>
            </w:r>
          </w:p>
        </w:tc>
        <w:tc>
          <w:tcPr>
            <w:tcW w:w="20" w:type="dxa"/>
            <w:vAlign w:val="bottom"/>
            <w:tcBorders>
              <w:top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D9D9D9"/>
            </w:tcBorders>
          </w:tcPr>
          <w:p>
            <w:pPr>
              <w:spacing w:after="0"/>
              <w:rPr>
                <w:sz w:val="2"/>
                <w:szCs w:val="2"/>
                <w:color w:val="auto"/>
              </w:rPr>
            </w:pPr>
          </w:p>
        </w:tc>
        <w:tc>
          <w:tcPr>
            <w:tcW w:w="220" w:type="dxa"/>
            <w:vAlign w:val="bottom"/>
            <w:tcBorders>
              <w:bottom w:val="single" w:sz="8" w:color="D9D9D9"/>
            </w:tcBorders>
          </w:tcPr>
          <w:p>
            <w:pPr>
              <w:spacing w:after="0"/>
              <w:rPr>
                <w:sz w:val="2"/>
                <w:szCs w:val="2"/>
                <w:color w:val="auto"/>
              </w:rPr>
            </w:pPr>
          </w:p>
        </w:tc>
        <w:tc>
          <w:tcPr>
            <w:tcW w:w="1120" w:type="dxa"/>
            <w:vAlign w:val="bottom"/>
            <w:tcBorders>
              <w:bottom w:val="single" w:sz="8" w:color="D9D9D9"/>
            </w:tcBorders>
          </w:tcPr>
          <w:p>
            <w:pPr>
              <w:spacing w:after="0"/>
              <w:rPr>
                <w:sz w:val="2"/>
                <w:szCs w:val="2"/>
                <w:color w:val="auto"/>
              </w:rPr>
            </w:pPr>
          </w:p>
        </w:tc>
        <w:tc>
          <w:tcPr>
            <w:tcW w:w="20" w:type="dxa"/>
            <w:vAlign w:val="bottom"/>
            <w:tcBorders>
              <w:bottom w:val="single" w:sz="8" w:color="D9D9D9"/>
            </w:tcBorders>
            <w:shd w:val="clear" w:color="auto" w:fill="D9D9D9"/>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cash payments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2018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855</w:t>
            </w:r>
          </w:p>
        </w:tc>
        <w:tc>
          <w:tcPr>
            <w:tcW w:w="20" w:type="dxa"/>
            <w:vAlign w:val="bottom"/>
            <w:tcBorders>
              <w:top w:val="single" w:sz="8" w:color="D9D9D9"/>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Plus: additions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60"/>
              <w:spacing w:after="0"/>
              <w:rPr>
                <w:sz w:val="20"/>
                <w:szCs w:val="20"/>
                <w:color w:val="auto"/>
              </w:rPr>
            </w:pPr>
            <w:r>
              <w:rPr>
                <w:rFonts w:ascii="Arial" w:cs="Arial" w:eastAsia="Arial" w:hAnsi="Arial"/>
                <w:sz w:val="18"/>
                <w:szCs w:val="18"/>
                <w:color w:val="auto"/>
              </w:rPr>
              <w:t>Less: cash payments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shd w:val="clear" w:color="auto" w:fill="D9D9D9"/>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7. FINANCE RECEIVABLES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D9D9D9"/>
            </w:tcBorders>
          </w:tcPr>
          <w:p>
            <w:pPr>
              <w:spacing w:after="0"/>
              <w:rPr>
                <w:sz w:val="24"/>
                <w:szCs w:val="24"/>
                <w:color w:val="auto"/>
              </w:rPr>
            </w:pPr>
          </w:p>
        </w:tc>
        <w:tc>
          <w:tcPr>
            <w:tcW w:w="220" w:type="dxa"/>
            <w:vAlign w:val="bottom"/>
            <w:tcBorders>
              <w:top w:val="single" w:sz="8" w:color="D9D9D9"/>
            </w:tcBorders>
          </w:tcPr>
          <w:p>
            <w:pPr>
              <w:spacing w:after="0"/>
              <w:rPr>
                <w:sz w:val="24"/>
                <w:szCs w:val="24"/>
                <w:color w:val="auto"/>
              </w:rPr>
            </w:pPr>
          </w:p>
        </w:tc>
        <w:tc>
          <w:tcPr>
            <w:tcW w:w="1120" w:type="dxa"/>
            <w:vAlign w:val="bottom"/>
            <w:tcBorders>
              <w:top w:val="single" w:sz="8" w:color="D9D9D9"/>
            </w:tcBorders>
          </w:tcPr>
          <w:p>
            <w:pPr>
              <w:spacing w:after="0"/>
              <w:rPr>
                <w:sz w:val="24"/>
                <w:szCs w:val="24"/>
                <w:color w:val="auto"/>
              </w:rPr>
            </w:pPr>
          </w:p>
        </w:tc>
        <w:tc>
          <w:tcPr>
            <w:tcW w:w="20" w:type="dxa"/>
            <w:vAlign w:val="bottom"/>
            <w:tcBorders>
              <w:top w:val="single" w:sz="8" w:color="D9D9D9"/>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3"/>
          </w:tcPr>
          <w:p>
            <w:pPr>
              <w:spacing w:after="0"/>
              <w:rPr>
                <w:sz w:val="20"/>
                <w:szCs w:val="20"/>
                <w:color w:val="auto"/>
              </w:rPr>
            </w:pPr>
            <w:r>
              <w:rPr>
                <w:rFonts w:ascii="Arial" w:cs="Arial" w:eastAsia="Arial" w:hAnsi="Arial"/>
                <w:sz w:val="18"/>
                <w:szCs w:val="18"/>
                <w:color w:val="auto"/>
              </w:rPr>
              <w:t>Finance receivables consist of the following:</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finance receivables, net of allowance of $601 and $12,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June 30, 2018, credit quality indicators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14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17,501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17,849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Nonperforming</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18,102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gridSpan w:val="9"/>
            <w:vMerge w:val="restart"/>
          </w:tcPr>
          <w:p>
            <w:pPr>
              <w:jc w:val="center"/>
              <w:spacing w:after="0"/>
              <w:rPr>
                <w:sz w:val="20"/>
                <w:szCs w:val="20"/>
                <w:color w:val="auto"/>
              </w:rPr>
            </w:pPr>
            <w:r>
              <w:rPr>
                <w:rFonts w:ascii="Arial" w:cs="Arial" w:eastAsia="Arial" w:hAnsi="Arial"/>
                <w:sz w:val="18"/>
                <w:szCs w:val="18"/>
                <w:color w:val="auto"/>
                <w:w w:val="90"/>
              </w:rPr>
              <w:t>Age Analysis of Past Due Finance Receivables</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9"/>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As of December 31, 2018</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30 and Under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31 – 60</w:t>
            </w:r>
          </w:p>
        </w:tc>
        <w:tc>
          <w:tcPr>
            <w:tcW w:w="34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61 – 90</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5"/>
                <w:szCs w:val="15"/>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Current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Days Past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Days Past</w:t>
            </w:r>
          </w:p>
        </w:tc>
        <w:tc>
          <w:tcPr>
            <w:tcW w:w="34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Days Past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220" w:type="dxa"/>
            <w:vAlign w:val="bottom"/>
          </w:tcPr>
          <w:p>
            <w:pPr>
              <w:spacing w:after="0"/>
              <w:rPr>
                <w:sz w:val="12"/>
                <w:szCs w:val="12"/>
                <w:color w:val="auto"/>
              </w:rPr>
            </w:pPr>
          </w:p>
        </w:tc>
        <w:tc>
          <w:tcPr>
            <w:tcW w:w="11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6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QuickStart Leases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18,102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June 30, 2018</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30 and Under</w:t>
            </w:r>
          </w:p>
        </w:tc>
        <w:tc>
          <w:tcPr>
            <w:tcW w:w="1080" w:type="dxa"/>
            <w:vAlign w:val="bottom"/>
          </w:tcPr>
          <w:p>
            <w:pPr>
              <w:jc w:val="center"/>
              <w:ind w:left="204"/>
              <w:spacing w:after="0"/>
              <w:rPr>
                <w:sz w:val="20"/>
                <w:szCs w:val="20"/>
                <w:color w:val="auto"/>
              </w:rPr>
            </w:pPr>
            <w:r>
              <w:rPr>
                <w:rFonts w:ascii="Arial" w:cs="Arial" w:eastAsia="Arial" w:hAnsi="Arial"/>
                <w:sz w:val="14"/>
                <w:szCs w:val="14"/>
                <w:b w:val="1"/>
                <w:bCs w:val="1"/>
                <w:color w:val="auto"/>
                <w:w w:val="94"/>
              </w:rPr>
              <w:t>31 – 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244"/>
              <w:spacing w:after="0"/>
              <w:rPr>
                <w:sz w:val="20"/>
                <w:szCs w:val="20"/>
                <w:color w:val="auto"/>
              </w:rPr>
            </w:pPr>
            <w:r>
              <w:rPr>
                <w:rFonts w:ascii="Arial" w:cs="Arial" w:eastAsia="Arial" w:hAnsi="Arial"/>
                <w:sz w:val="14"/>
                <w:szCs w:val="14"/>
                <w:b w:val="1"/>
                <w:bCs w:val="1"/>
                <w:color w:val="auto"/>
                <w:w w:val="89"/>
              </w:rPr>
              <w:t>61 – 90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4"/>
                <w:szCs w:val="14"/>
                <w:color w:val="auto"/>
              </w:rPr>
            </w:pPr>
          </w:p>
        </w:tc>
        <w:tc>
          <w:tcPr>
            <w:tcW w:w="1140" w:type="dxa"/>
            <w:vAlign w:val="bottom"/>
          </w:tcPr>
          <w:p>
            <w:pPr>
              <w:jc w:val="center"/>
              <w:ind w:right="14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Current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Days Past</w:t>
            </w:r>
          </w:p>
        </w:tc>
        <w:tc>
          <w:tcPr>
            <w:tcW w:w="108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89"/>
              </w:rPr>
              <w:t>Days Past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9"/>
              </w:rPr>
              <w:t>Days Past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22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0"/>
              </w:rPr>
              <w:t>Due</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w w:val="90"/>
              </w:rPr>
              <w:t>Due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QuickStart Leases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17,609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Finance Receivables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Transfers of finance receivables that do not qualify for sale accounting are reported as collateralized borrowings. Accordingly, the related assets remain on the Company’s balance sheet and continue to be reported and accounted for as if the transfer had not occurred. Cash proceeds from these transfers are reported as financing obligations (debt), with attributable interest expense recognized over the life of the related transactions. During December 2017, the Company transferred certain groups of finance receivables to third-party financing entities for approximately $1.1 million. Such transfers are subject to recourse provisions for the first 3 months after the date of transfer, after which the recourse provisions expire. Accordingly, the related finance receivables remained on the balance sheet at December 31, 2017 and the cash proceeds of approximately $1.1 million were reported as financing obligations at December 31, 2017. During March 2018, the recourse provisions expired resulting in the finance receivables and financing obligations being derecognized.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21"/>
        </w:trPr>
        <w:tc>
          <w:tcPr>
            <w:tcW w:w="8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available to common shareholders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60,059,936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52,150,106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60,059,936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52,150,106</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2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w w:val="98"/>
              </w:rPr>
              <w:t>Six months ended December 31,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21"/>
        </w:trPr>
        <w:tc>
          <w:tcPr>
            <w:tcW w:w="8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(16,977)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available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w:t>
            </w: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60,056,924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49,861,735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60,056,924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49,861,735</w:t>
            </w: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1,400,968 and 1,400,968 for the three and six months ended December 31, 2018 and 1,170,471 and 1,170,471 for the three and six months ended December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8,596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0" w:type="dxa"/>
            <w:vAlign w:val="bottom"/>
          </w:tcPr>
          <w:p>
            <w:pPr>
              <w:ind w:left="20"/>
              <w:spacing w:after="0"/>
              <w:rPr>
                <w:sz w:val="20"/>
                <w:szCs w:val="20"/>
                <w:color w:val="auto"/>
              </w:rPr>
            </w:pPr>
            <w:r>
              <w:rPr>
                <w:rFonts w:ascii="Arial" w:cs="Arial" w:eastAsia="Arial" w:hAnsi="Arial"/>
                <w:sz w:val="18"/>
                <w:szCs w:val="18"/>
                <w:color w:val="auto"/>
              </w:rPr>
              <w:t>- 6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17,806</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95,834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91,890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June 30, 2018</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0" w:type="dxa"/>
            <w:vAlign w:val="bottom"/>
          </w:tcPr>
          <w:p>
            <w:pPr>
              <w:ind w:left="20"/>
              <w:spacing w:after="0"/>
              <w:rPr>
                <w:sz w:val="20"/>
                <w:szCs w:val="20"/>
                <w:color w:val="auto"/>
              </w:rPr>
            </w:pPr>
            <w:r>
              <w:rPr>
                <w:rFonts w:ascii="Arial" w:cs="Arial" w:eastAsia="Arial" w:hAnsi="Arial"/>
                <w:sz w:val="18"/>
                <w:szCs w:val="18"/>
                <w:color w:val="auto"/>
              </w:rPr>
              <w:t>- 6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18,338</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95,834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93,474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and six months ended December 31, 2018 there was $0.8 million and $1.6 million in amortization expense related to intangible assets, respectively, as compared to the three and six months ended December 31, 2017, for which there was $0.5 million and $0.5 million in amortization expense related to intangible assets, respectively.</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set forth in the Merger Agreement, the Company finalized a post-working capital adjustment of $0.3 million during the quarter ended March 31, 2018. Accordingly, this post-working capital adjustment is reflected within goodwill as of June 30,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AND OTHER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December 31, 2018 and June 30, 2018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As of June 30,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Term Loan</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23,333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including capital lease obligations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Less: unamortized issuance costs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8000" w:type="dxa"/>
            <w:vAlign w:val="bottom"/>
            <w:gridSpan w:val="6"/>
            <w:vMerge w:val="restart"/>
          </w:tcPr>
          <w:p>
            <w:pPr>
              <w:jc w:val="right"/>
              <w:spacing w:after="0"/>
              <w:rPr>
                <w:sz w:val="20"/>
                <w:szCs w:val="20"/>
                <w:color w:val="auto"/>
              </w:rPr>
            </w:pPr>
            <w:r>
              <w:rPr>
                <w:rFonts w:ascii="Arial" w:cs="Arial" w:eastAsia="Arial" w:hAnsi="Arial"/>
                <w:sz w:val="18"/>
                <w:szCs w:val="18"/>
                <w:color w:val="auto"/>
                <w:w w:val="89"/>
              </w:rPr>
              <w:t>Details of interest expense presented on the Condensed Consolidated Statements of Operations are as follows:</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00" w:type="dxa"/>
            <w:vAlign w:val="bottom"/>
            <w:gridSpan w:val="6"/>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38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Heritage Line of Credit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Other interest expense</w:t>
            </w:r>
          </w:p>
        </w:tc>
        <w:tc>
          <w:tcPr>
            <w:tcW w:w="9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Avidbank Line of Credit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revolving line of credit facility (the “Avidbank Line of Credit”) of up to $7.0 million and a three-year term loan to the Company in the principal amount of $3.0 million (the “Avidbank Term Loan”). The Amendment increased the amount available under the Avidbank Line of Credit to $7.5 million less the amount then outstanding under the Avidbank Term Loan. The outstanding balance of the amounts advanced under the Avidbank Line of Credit bear interest at 2% above the prime rate as published in The Wall Street Journal or five percent (5%), whichever is higher. The Avidbank Term Loan was used by the Company to repay to Avidbank an advance that had been made to the Company under the Avidbank Line of Credit in December 2015, and which had been used by the Company to pay for the VendScreen business. The Avidbank Term Loan provides that interest only is payable monthly during year one, interest and principal is payable monthly during years two and three, and all outstanding principal and accrued interest is due and payable on the third anniversary of the Avidbank Term Loan. The Avidbank Term Loan bears interest at an annual rate equal to 1.75% above the prime rate as published from time to time by The Wall Street Journal, or five percent (5%), whichever is higher.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Heritage Line of Credit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2016, the Company entered into a Loan and Security Agreement with Heritage Bank of Commerce (“Heritage Bank”), providing for a secured revolving line of credit in an amount of up to $12.0 million (the “Heritage Line of Credit”) at an interest rate calculated based on the Federal Reserve’s Prime plus 2.25%. The Heritage Line of Credit and the Company’s obligations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Heritage Loan Documents were secured by substantially all of the Company’s assets, including its intellectual property. The Company utilized approximately $7.0 million under the Heritage Line of Credit to satisfy the existing Avidbank Line of Credit and related Avidbank Term Loan.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Line of Credit from March 29, 2017 to September 30,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2017, the Company paid all amounts due on the Loan and Security Agreement with Heritage Bank of Commerce. The Company recorded a charge of $0.1 million to write-off any remaining debt issuance costs related to the Line of Credit to interest expense in the quarter ending December 31, 2017. Pursuant to such payment, all commitments of Heritage Bank of Commerce were terminated, and the Heritage Loan and Security Agreement was terminated.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of Commerce ($7.2 million). Future borrowings under the Revolving Credit Facility may be used by the Company for working capital and general corporate purposes of the Company and its subsidiaries. The principal amount of the Term Loan is payable quarterly beginning on December 31, 2017 and the Term Loan, all advances under the Revolving Credit Facility, and all other obligations must be paid in full at maturity, on November 9, 2022.</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and six months ended December 31, 2018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June 30, 2019, the Company is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December 31, 2018 and June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Borrowings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of Cantaloupe, the Company assumed debt of $1.8 million with an outstanding balance of $1.1 million and $1.4 million as of December 31, 2018 and June 30, 2018, comprised of: (i) $0.3 million and $0.4 million of promissory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notes bearing an interest rate of 5% and maturing on April 5, 2020 with principal and interest payments due monthly; (ii) $0.6 million and $0.7 million of promissory notes bearing an interest rate of 10% and maturing on April 1, 2021 with principal and interest payments due quarterly; and (iii) $0.2 million and $0.3 million of promissory notes bearing an interest rate of 12% and maturing on December 15, 2019 with principal and interest payments due quarterly.</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periodically enters into capital lease obligations to finance certain office and network equipment for use in its daily operations. At December 31, 2018 and June 30, 2018, such capital lease obligations were $0.3 million and $0.4 million, respectively. The interest rates on these obligations range from approximately 5.6% to 9.0% and the lease terms range from 2 to 5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financial instruments, principally accounts receivable, cash equivalents, accounts payable, accrued expenses, and short-term finance receivables, are carried at cost which approximates fair value due to the short-term maturity of these instruments. The fair value of the Company’s obligations under its long-term debt agreements approximate their carrying value as such instruments are at market rates currently available to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 as well as the elimination of the corporate alternative minimum tax ("AMT") and changing how existing AMT credits can be realized, the creation of a new limitation on deductible interest expense, and the change in rules related to uses and limitations of net operating loss carryforwards created in tax years beginning after December 31, 2017.</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various provisions under the Act deemed most relevant to the Company have been considered in preparation of its condensed consolidated financial statements as of December 31, 2018. To the extent that clarifications or interpretations materialize in the future that would impact upon the effects of the Act incorporated into the December 31, 2018 financial statements, those effects will be reflected in the future as or if they materialize.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2018, the Company recorded an income tax provision of $19 thousand, which primarily relates to state income and franchise taxes. For the six months ended December 31, 2018 a tax provision of $37 thousand, which primarily relates to state income and franchise taxes. The provisions are based upon actual loss before income taxes for the six months ended December 31, 2018, as the use of an estimated annual effective income tax rate does not provide a reliable estimate of the income tax provision.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for deferred income taxes in the acquisition of Cantaloupe did not consider the potential effects of IRS Code Section 382 relating to the limitation on use of operating loss carryforwards created by Cantaloupe for its changes in ownership because the analysis required for such determination has not yet been completed. If upon completion of such analysis there are limitations on the use of operating loss carryforwards created by Cantaloupe totaling approximately $16.3 million. The potential impact is immaterial to the condensed consolidated financial statements due to the existing valuation allowance recorded against the Company’s deferred tax assets.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months ended December 31, 2017, income tax benefits of $157 thousand and $129 thousand, respectively, were recorded. The provisions are based upon actual loss before income taxes for the six months ended December 31, 2017, as the use of an estimated annual effective income tax rate does not provide a reliable estimate of the income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the Company entered into a Merger Agreement with Cantaloupe for cash and 3,423,367 shares of the company’s stock valued at $23.3 million. Refer to Note 4 for details on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23,978 warrants outstanding as of December 31, 2018 and June 30, 2018, all of which were exercisable at $5.00 per share. The warrants have an expiration date of March 29,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the Company awarded stock options to its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2018, the Company awarded stock options to 102 employees to purchase up to 400,000 shares of common stock at an exercise price of $8.75.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six months ended December 31, 2018 and 2017 was determined using the following assumptions:</w:t>
      </w:r>
    </w:p>
    <w:p>
      <w:pPr>
        <w:spacing w:after="0" w:line="163"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13335</wp:posOffset>
            </wp:positionV>
            <wp:extent cx="2195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(percent)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50.2 - 50.9%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0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4.0 - 4.5</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Risk-free interest rate (percent)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1.64 - 1.72%</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options granted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179,047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Weighted average exercise price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5.66</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2.42</w:t>
            </w:r>
          </w:p>
        </w:tc>
      </w:tr>
      <w:tr>
        <w:trPr>
          <w:trHeight w:val="27"/>
        </w:trPr>
        <w:tc>
          <w:tcPr>
            <w:tcW w:w="7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based compensation related to all stock options for the three and six months ended December 31, 2018 was $0.3 million and $0.4 million, respectively, and $0.1 million and $0.3 million for the three and six months ended December 31, 2017,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 2018, 6,677 shares were awarded to each non-employee director for a total of 40,062 shares. The shares vest on a monthly basis over the two year period following July 2, 2018. The total expense recognized for these grants for the six months ended December 31, 2018 was $0.3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approved the Fiscal Year 2018 Long-Term Stock Incentive Plan (the “2018 LTI Stock Plan”) which provides that executive officers would be awarded shares of common stock of the Company in the event that certain metrics relating to the Company’s 2018 fiscal year would result in specified ranges of year-over-year percentage growth. The metrics are total number of connections as of June 30, 2018 as compared to total number of connections as of June 30, 2017 (40% weighting) and adjusted EBITDA earned during the 2018 fiscal year as compared to the adjusted EBITDA earned during the 2018 fiscal year (60%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weighting). 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 $840,000 (160% of base salary), Chief Financial Officer - $300,000 (100% of base salary), Chief Services Officer - $275,000 (100% of base salary), and Chief Product Officer - $280,000 (100% of base salary and to be prorated to reflect the actual period of employment during the fiscal year). If all of the maximum distinguished year over year percentage target goals are achieved, the executive officers would be awarded shares having the following value: Chief Executive Officer - $1,260,000 (240% of base salary), Chief Financial Officer - $450,000 (150% of base salary), Chief Services Officer - $412,500 (150% of base salary), and Chief Product Officer - $420,000 (150% of base salary and to be prorated to reflect the actual period of employment during the fiscal year).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2018 LTI Stock Plan would vest as follows: one-third at the time of issuance; one-third on June 30, 2019; and one-third on June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award any long-term stock incentive compensation to its executive officers during the 2019 fiscal year.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long-term stock incentive plans (“LTI”) in prior fiscal years for its then executive officers. Stock based compensation related to the LTI plans was as follows in the three and six months ended December 31, 2018 and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Six months ended</w:t>
            </w:r>
          </w:p>
        </w:tc>
        <w:tc>
          <w:tcPr>
            <w:tcW w:w="840" w:type="dxa"/>
            <w:vAlign w:val="bottom"/>
          </w:tcPr>
          <w:p>
            <w:pPr>
              <w:spacing w:after="0"/>
              <w:rPr>
                <w:sz w:val="14"/>
                <w:szCs w:val="14"/>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FY18 LTI Plan</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FY17 LTI Plan</w:t>
            </w:r>
          </w:p>
        </w:tc>
        <w:tc>
          <w:tcPr>
            <w:tcW w:w="92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FY16 LTI Plan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265</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year 2018, the Company expanded the leased space for its headquarters in Malvern, Pennsylvania to a total of 23,138 square feet. The Company’s monthly base rent is approximately $48 thousand with a lease expiration date of November 30, 2023.</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the Cantaloupe acquisition, during fiscal year 2018, the Company acquired a noncancelable operating lease pertaining to Cantaloupe’s headquarters based in San Francisco, California. The leased premise consists of approximately 8,400 square feet and calls for rental payments of approximately $45 thousand due each month up to a maximum monthly base rent of approximately $47 thousand through its January 31, 2020 expiration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various legal proceedings which are described in Item 1 of Part II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of the Company's significant subsequent events, please refer to the Company's Annual Report on Form 10-K for the fiscal year ended June 30, 2019 which has been filed concurrently with this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000"/>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37" w:lineRule="exact"/>
        <w:rPr>
          <w:sz w:val="20"/>
          <w:szCs w:val="20"/>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29"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are derived;</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84"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left="500" w:hanging="316"/>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Annual Report on Form 10-K for the fiscal year ended June 30, 2019 which has been filed concurrently with this Form 10-Q.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generates revenue in multiple ways. During the three and six months ended December 31, 2018, we derived approximately 87% and 87% of our revenue from recurring license and transaction fees related to our ePort Connect service and approximately 13% and 13%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5" w:right="239" w:bottom="1440" w:gutter="0" w:footer="0" w:header="0"/>
        </w:sectPr>
      </w:pPr>
    </w:p>
    <w:p>
      <w:pPr>
        <w:spacing w:after="0" w:line="4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62" w:lineRule="exact"/>
        <w:rPr>
          <w:sz w:val="20"/>
          <w:szCs w:val="20"/>
          <w:color w:val="auto"/>
        </w:rPr>
      </w:pPr>
    </w:p>
    <w:p>
      <w:pPr>
        <w:sectPr>
          <w:pgSz w:w="11900" w:h="16838" w:orient="portrait"/>
          <w:cols w:equalWidth="0" w:num="2">
            <w:col w:w="420" w:space="240"/>
            <w:col w:w="10760"/>
          </w:cols>
          <w:pgMar w:left="240" w:top="125" w:right="239" w:bottom="1440" w:gutter="0" w:footer="0" w:header="0"/>
          <w:type w:val="continuous"/>
        </w:sectPr>
      </w:pPr>
    </w:p>
    <w:p>
      <w:pPr>
        <w:ind w:right="2460" w:firstLine="332"/>
        <w:spacing w:after="0" w:line="346" w:lineRule="auto"/>
        <w:tabs>
          <w:tab w:leader="none" w:pos="648" w:val="left"/>
        </w:tabs>
        <w:numPr>
          <w:ilvl w:val="0"/>
          <w:numId w:val="5"/>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 As of December 31, 2018, highlights of the Company are below:</w:t>
      </w:r>
    </w:p>
    <w:p>
      <w:pPr>
        <w:sectPr>
          <w:pgSz w:w="11900" w:h="16838" w:orient="portrait"/>
          <w:cols w:equalWidth="0" w:num="1">
            <w:col w:w="11420"/>
          </w:cols>
          <w:pgMar w:left="240" w:top="125" w:right="2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130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17,600 customers and 1,080,000 connections to our service;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Three direct sales teams at the national, regional, and local customer-level and a growing number of OEMs and national distribution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June 30th.</w:t>
      </w:r>
    </w:p>
    <w:p>
      <w:pPr>
        <w:spacing w:after="0" w:line="157" w:lineRule="exact"/>
        <w:rPr>
          <w:sz w:val="20"/>
          <w:szCs w:val="20"/>
          <w:color w:val="auto"/>
        </w:rPr>
      </w:pPr>
    </w:p>
    <w:p>
      <w:pPr>
        <w:sectPr>
          <w:pgSz w:w="11900" w:h="16838" w:orient="portrait"/>
          <w:cols w:equalWidth="0" w:num="2">
            <w:col w:w="420" w:space="240"/>
            <w:col w:w="10760"/>
          </w:cols>
          <w:pgMar w:left="240" w:top="125" w:right="239" w:bottom="1440" w:gutter="0" w:footer="0" w:header="0"/>
          <w:type w:val="continuous"/>
        </w:sectPr>
      </w:pPr>
    </w:p>
    <w:p>
      <w:pPr>
        <w:ind w:left="60"/>
        <w:spacing w:after="0" w:line="308" w:lineRule="auto"/>
        <w:rPr>
          <w:sz w:val="20"/>
          <w:szCs w:val="20"/>
          <w:color w:val="auto"/>
        </w:rPr>
      </w:pPr>
      <w:r>
        <w:rPr>
          <w:rFonts w:ascii="Arial" w:cs="Arial" w:eastAsia="Arial" w:hAnsi="Arial"/>
          <w:sz w:val="17"/>
          <w:szCs w:val="17"/>
          <w:color w:val="auto"/>
        </w:rPr>
        <w:t>As indicated in our Annual Report on Form 10-K for the fiscal year ended June 30, 2019, as a result of our failure to comply with our periodic report obligations, on September 26, 2019, our securities were suspended from trading on Nasdaq and are currently quoted on the OTC Markets.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Investigation and Subsequent Restatement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proposed certain adjustments to previously reported revenues related to fiscal quarters occurring during the 2017 and 2018 fiscal years of the Company.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 2019, the Company’s former independent auditor notified the Audit Committee of its resignation. The former auditor also indicated that reliance should not be placed on: (i) the Report of Independent Public Accounting Firm dated August 22, 2017 relating to the Company’s internal control over financial reporting and consolidated financial statements for the year ended June 30, 2017; and (ii) the completed interim reviews for the periods ended March 31, 2018. The auditor also recalled its previously issued audit report on the Company’s internal control over financial reporting and consolidated financial statements for the fiscal year ended June 30, 2017.</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consolidated financial statements for September 30, 2017, December 31, 2017, and March 31, 2018. The Board also determined that related press releases, earnings releases, management’s report on the effectiveness of internal control over financial reporting as of June 30, 2017, and investor communications describing the Company’s financial statements for these periods should no longer be relied upon.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8, 2019, the Audit Committee approved the engagement of BDO USA, LLP as the Company’s new independent registered public accounting firm effective as of the same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Non-Investigatory Adjustments Resulting From Financial Reporting Issues Identified During the Audit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audit process, significant financial reporting issues were identified by current management, including our new interim Chief Financial Officer (the “CFO”), and our new independent auditor, which were unrelated to the internal investigation and which resulted in further adjustments to the Company’s previously issued or prior fiscal years’ unissued financial statements. These issues were primarily due to the lack of supporting documentation for various historical accounting reserves and policies, failure to adequately and consistently complete the financial integration of Cantaloupe, and the inadequate performance of our internal controls during the 2019 fiscal year.</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upon these non-investigatory adjustments, on October 7, 2019, the Board of Directors of the Company, upon the recommendation of the Audit Committee,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consolidated financial statements for September 30, 2016, December 31, 2016, and March 31, 2017.</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more information regarding the aforementioned restatements and adjustments, refer to Note 2, “Restatement of Consolidated Financial Statements”, and Note 20, “Unaudited Quarterly Data” of the Notes to Consolidated Financial Statements in Item 8, and Item 9A. "Controls and Procedures", of our Annual Report on Form 10-K for the fiscal year ended June 30, 2019 which has been filed concurrently with this Form 10-Q (the “2019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Annual Report on Form 10-K for the fiscal year ended June 30, 2019 filed concurrently herewith.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interim Condensed Consolidated Financial Statements for a description of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show certain financial and non-financial data that management believes give readers insight into certain trends and relationships about the Company’s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center"/>
              <w:ind w:left="1033"/>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3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Pr>
          <w:p>
            <w:pPr>
              <w:spacing w:after="0"/>
              <w:rPr>
                <w:sz w:val="22"/>
                <w:szCs w:val="22"/>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2018</w:t>
            </w:r>
          </w:p>
        </w:tc>
        <w:tc>
          <w:tcPr>
            <w:tcW w:w="28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22"/>
                <w:szCs w:val="22"/>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Connections: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Gross new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36,000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333,000</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new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311,000</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1,080,000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1,047,000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1,028,000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969,000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905,000</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New customers added</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1,800</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15,050</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Volumes: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number of transactions (millions)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144.1</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volume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273.0</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structure of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JumpStart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5"/>
                <w:szCs w:val="25"/>
                <w:color w:val="auto"/>
                <w:vertAlign w:val="superscript"/>
              </w:rPr>
              <w:t>(b)</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December 31, 2018 include:</w:t>
      </w:r>
    </w:p>
    <w:p>
      <w:pPr>
        <w:spacing w:after="0" w:line="18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33,000 additional net new connections during the quarter;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1,080,000 total connections to our service compared to the same quarter last year of approximately 905,000 total connections to our service, an increase of 175,000 connections, or 19.3%.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040"/>
        <w:spacing w:after="0" w:line="482" w:lineRule="auto"/>
        <w:rPr>
          <w:sz w:val="20"/>
          <w:szCs w:val="20"/>
          <w:color w:val="auto"/>
        </w:rPr>
      </w:pPr>
      <w:r>
        <w:rPr>
          <w:rFonts w:ascii="Arial" w:cs="Arial" w:eastAsia="Arial" w:hAnsi="Arial"/>
          <w:sz w:val="18"/>
          <w:szCs w:val="18"/>
          <w:b w:val="1"/>
          <w:bCs w:val="1"/>
          <w:color w:val="auto"/>
        </w:rPr>
        <w:t>Three Months Ended December 31, 2018 Compared to Three Months Ended December 31, 2017 Revenue and Gross Profit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December 31,</w:t>
            </w:r>
          </w:p>
        </w:tc>
        <w:tc>
          <w:tcPr>
            <w:tcW w:w="16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29,837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23,514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34,406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31,532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19,575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14,356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costs of sales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25,163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22,360</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9,158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$2.9 million for the three months ended December 31, 2018 compared to the same period in 2017. The growth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resulted from a $6.3 million increase in license and transaction fee revenue, offset by a $3.4 million decrease in equipment sales. The increase in license and transaction fee revenue was due primarily to the increase in connections. The decrease in equipment sales was due to lower shipments compared to the same period last year.</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by $2.8 million for the three months ended December 31, 2018 compared to the same period 2017.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driven by a $5.2 million increase in license and transaction fee costs driven by increased license and transaction services resulting from increased connections, offset by a $2.4 million decrease in equipment costs driven by lower equipment shipments compared to the same period last year.</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The total gross margin decreased 2.2% from 29.1% for the three months ended December 31, 2017 to 26.9%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This decrease was driven by a decrease in the license fee and transaction margin from 38.9% for the three months ended December 31, 2017 to 34.4% for the three months ended December 31, 2018, which was driven by a product mix more weighted to transaction processing services that have a lower margin, and a decrease in the equipment margin, from 0.2% for the three months ended December 31, 2017 to (22.3)% for the three months ended December 31, 2018, reflecting our strategy of using equipment sales as an enabler for driving longer-term, higher margin license and transaction fees, and also increased reserves for slow moving inventory.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December 31,</w:t>
            </w:r>
          </w:p>
        </w:tc>
        <w:tc>
          <w:tcPr>
            <w:tcW w:w="16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20" w:type="dxa"/>
            <w:vAlign w:val="bottom"/>
            <w:vMerge w:val="restart"/>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7,188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55.1 %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19,443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13,077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$1.9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as compared to the same period in 2017. This change was primarily driven by increased professional services cost related to project consultants hired to assist on company growth initiatives.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$7.2 million for the three months ended December 31, 2018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expenses incurred by the Company in connection with the Audit Committee's investigation, the restatements of previously filed financial statements, bank consents, and the ongoing remediation of deficiencies in our internal control over financial reporting.</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decreased $3.2 million for the three months ended December 31,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due to the costs incurred in connection with the acquisition of Cantaloupe in 2017.</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$0.4 million for the three months ended December 31,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2017, due to increased depreciation on additional property added since the same period last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December 31,</w:t>
            </w:r>
          </w:p>
        </w:tc>
        <w:tc>
          <w:tcPr>
            <w:tcW w:w="16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57"/>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spacing w:after="0" w:line="480"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was approximately the same for the three months ended December 31, 2018 compared to the same period in 2017.</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4"/>
                <w:szCs w:val="14"/>
                <w:b w:val="1"/>
                <w:bCs w:val="1"/>
                <w:color w:val="auto"/>
                <w:w w:val="99"/>
              </w:rPr>
              <w:t>For the three months ended December 31,</w:t>
            </w:r>
          </w:p>
        </w:tc>
        <w:tc>
          <w:tcPr>
            <w:tcW w:w="100" w:type="dxa"/>
            <w:vAlign w:val="bottom"/>
          </w:tcPr>
          <w:p>
            <w:pPr>
              <w:spacing w:after="0"/>
              <w:rPr>
                <w:sz w:val="16"/>
                <w:szCs w:val="16"/>
                <w:color w:val="auto"/>
              </w:rPr>
            </w:pPr>
          </w:p>
        </w:tc>
        <w:tc>
          <w:tcPr>
            <w:tcW w:w="14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0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tcPr>
          <w:p>
            <w:pPr>
              <w:jc w:val="right"/>
              <w:ind w:right="82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80" w:type="dxa"/>
            <w:vAlign w:val="bottom"/>
          </w:tcPr>
          <w:p>
            <w:pPr>
              <w:ind w:left="1180"/>
              <w:spacing w:after="0"/>
              <w:rPr>
                <w:sz w:val="20"/>
                <w:szCs w:val="20"/>
                <w:color w:val="auto"/>
              </w:rPr>
            </w:pPr>
            <w:r>
              <w:rPr>
                <w:rFonts w:ascii="Arial" w:cs="Arial" w:eastAsia="Arial" w:hAnsi="Arial"/>
                <w:sz w:val="18"/>
                <w:szCs w:val="18"/>
                <w:i w:val="1"/>
                <w:iCs w:val="1"/>
                <w:color w:val="auto"/>
                <w:w w:val="99"/>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NM — not meaningful</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three months ended December 31, 2018, the Company recorded an income tax provision of $19 thousand which is primarily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state income and franchise tax. The provision is based upon actual income (loss) before income taxes for the three months ended December 31, 2018, as the use of an estimated annual effective income tax rate does not provide a reliable estimate of the income tax provision.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December 31, 2017, the Company recorded income tax benefit of $0.2 million which included a benefit of $107 thousand due to the ability to recognized additional deferred tax assets related to the Company’s alternative minimum tax credit as result of the Act. The benefit is based upon actual income (loss) before income taxes for the three months ended December 31,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2"/>
              </w:rPr>
              <w:t>For the three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(less): income tax provision (benefit)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3,335</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EBITDA</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Litigation related professional fees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3,335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herein, non-GAAP net loss represents GAAP net loss excluding costs or benefits relating to any non-cash portions of the Company’s income tax benefit (provision), amortization expense related to our acquisition-related intangibles, non-recurring fees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and charges that were incurred in connection with the acquisition and integration of businesses, non-recurring fees and charges that were incurred in connection with the Audit Committee investigation and financial statement restatement activities, and class-action litigation expenses. Management believes that non-GAAP net loss is an important measure of USAT’s business. 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130" w:lineRule="exact"/>
        <w:rPr>
          <w:sz w:val="20"/>
          <w:szCs w:val="20"/>
          <w:color w:val="auto"/>
        </w:rPr>
      </w:pPr>
    </w:p>
    <w:p>
      <w:pPr>
        <w:ind w:right="4480"/>
        <w:spacing w:after="0" w:line="482" w:lineRule="auto"/>
        <w:rPr>
          <w:sz w:val="20"/>
          <w:szCs w:val="20"/>
          <w:color w:val="auto"/>
        </w:rPr>
      </w:pPr>
      <w:r>
        <w:rPr>
          <w:rFonts w:ascii="Arial" w:cs="Arial" w:eastAsia="Arial" w:hAnsi="Arial"/>
          <w:sz w:val="18"/>
          <w:szCs w:val="18"/>
          <w:b w:val="1"/>
          <w:bCs w:val="1"/>
          <w:color w:val="auto"/>
        </w:rPr>
        <w:t>Six Months Ended December 31, 2018 Compared to Six Months Ended December 31, 2017 Revenue and Gross Profit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six months ended December 31,</w:t>
            </w:r>
          </w:p>
        </w:tc>
        <w:tc>
          <w:tcPr>
            <w:tcW w:w="16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42,911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37.0 %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67,928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56,791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13,835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costs of sales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41,438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20,689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15,308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19,353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increased $11.1 million for the six months ended December 31, 2018 compared to the same period in 2017. The growth in total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resulted from a $15.9 million increase in license and transaction fee revenue for the six months ended December 31, 2018 compared to the same period in 2017 driven primarily by the increase in connections year over year, partially offset by a $4.8 million decrease in equipment revenue for the six months ended December 31, 2018 compared to the same period last year; driven by lower equipment shipments year over year.</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$7.1 million for the six months ended December 31, 2018 compared to the same period in 2017.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$10.5 million increase in cost of services driven by increased license and transaction services costs compared to the same period in 2017 partially offset by a $3.4 million decrease in cost of equipment sales, arising from lower equipment sales.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1.5%, from 27.0% for the six months ended December 31, 2017 to 28.5%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six months ended December 31,</w:t>
            </w:r>
          </w:p>
        </w:tc>
        <w:tc>
          <w:tcPr>
            <w:tcW w:w="16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20" w:type="dxa"/>
            <w:vAlign w:val="bottom"/>
            <w:vMerge w:val="restart"/>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11,714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5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131.8 %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35,474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21,008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$4.5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as compared to the same period in 2017. This change was primarily driven by the higher employee cost due to the acquisition of Cantaloupe.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$11.7 million for the six months ended December 31, 2018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by the Company in connection with the Audit Committee's investigation, the restatements of previously filed financial statements, bank consents, and the ongoing remediation of deficiencies in our internal control over financial reporting.</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Integration and acquisition costs</w:t>
      </w:r>
      <w:r>
        <w:rPr>
          <w:rFonts w:ascii="Arial" w:cs="Arial" w:eastAsia="Arial" w:hAnsi="Arial"/>
          <w:sz w:val="17"/>
          <w:szCs w:val="17"/>
          <w:color w:val="auto"/>
        </w:rPr>
        <w:t>. Integration and acquisition costs decreased $3.0 million for six months ended December 31, 2018 as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due to decreasing integration cost compared to the same period in the prior year due to the Cantaloupe acquisition.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approximately $1.3 million for the six months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amortization of intangible assets related to the acquisition of Cantaloupe during fiscal year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six months ended December 31,</w:t>
            </w:r>
          </w:p>
        </w:tc>
        <w:tc>
          <w:tcPr>
            <w:tcW w:w="16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57"/>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580"/>
        <w:spacing w:after="0" w:line="480"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was substantially the same for the six months ended December 31, 2018 compared to the same period in 2017.</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six months ended December 31,</w:t>
            </w:r>
          </w:p>
        </w:tc>
        <w:tc>
          <w:tcPr>
            <w:tcW w:w="14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02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i w:val="1"/>
                <w:iCs w:val="1"/>
                <w:color w:val="auto"/>
                <w:w w:val="99"/>
              </w:rPr>
              <w:t>NM</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-79375</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i w:val="1"/>
          <w:iCs w:val="1"/>
          <w:color w:val="auto"/>
        </w:rPr>
        <w:t>NM — not meaningful</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six months ended December 31, 2018, a tax provision of $37 thousand was recorded which primarily relates to state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 taxes. The provision is based upon actual income (loss) before income taxes for the six months ended December 31, 2018, as the use of an estimated annual effective income tax rate does not provide a reliable estimate of the income tax provision.</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December 31, 2017, a tax benefit of $0.1 million was recorded, which included a benefit of $0.1 million due to the ability to recognize additional deferred tax assets related to the Company’s alternative minimum tax credit as result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 The benefit is based upon actual income (loss) before income taxes for the six months ended December 31, 2017 as the use of an estimated annual effective income tax rate does not provide a reliable estimate of the income tax provision.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4"/>
              </w:rPr>
              <w:t>For the six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(less): income tax provision (benefit)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EBITDA</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December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 (benefit)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Litigation related professional fees</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4,097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used herein, non-GAAP net loss represents GAAP net loss excluding costs or benefits relating to any non-cash portions of the Company’s income tax benefit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expenses. Management believes that non-GAAP net loss is an important measure of USAT’s business. 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was $17.1 million for the six months ended December 31, 2018 compared to cash provided of $1.9 million in the same period in fiscal year 2018. The change reflects an increase in net expense for non-cash operating activities of $2.1 million, and net cash used by the change in various operating assets and liabilities of $10.5 million. The change in non-cash expense is primarily due to an increase in bad debt expense and the amortization of intangibles related to our acquisition of Cantaloupe in fiscal year 2018. The change in operating assets and liabilities is primarily driven by a decrease in accounts payable of $18.9 million over the two six-month periods.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in investing activities was $1.7 million for the six months ended December 31, 2018 compared to cash used of $66.8 million in the same period in fiscal year 2018. The decrease is primarily related to net cash consideration paid for the acquisition of Cantaloupe in fiscal year 2018.</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financing activities was $1.9 million for the six months ended December 31, 2018 compared to cash provided of $67.5 million in the same period in fiscal year 2018. The change was primarily due to $39.9 million of cash proceeds from the issuance of common stock in a public offering and $35.1 million of net cash proceeds resulting from our term loan and line of credit issued under our November 2017 credit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and related compliance certificates required under the terms of the November 2017 credit agreement which are required to be delivered to the lender by no later than October 31, 2019. In connection with these agreements, the Company incurred extension fees due to the lender,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will be LIBOR plus 4% until such time as the Company delivers certain financial information required under the credit agreement.</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Although as of June 30, 2019 the Company was not in compliance with the fixed charge coverage ratio and the total leverage ratio financial covenants under the credit agreement, pursuant to the September 30, 2019 extension agreement, the lender agreed that any such failure would not constitute an event of default pending the delivery to the lender of our financial statements and related compliance certificates by no later than October 31, 2019. The Company has classified all amounts outstanding under the revolving credit facility and term loan as current liabilities as of December 31, 2018 and June 30, 2018.</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a Stock Purchase Agreement dated October 9, 2019 between the Company and Antara Capital Master Fund LP (“Antara”), on October 9, 2019, the Company sold to Antara 3,800,000 shares of the Company’s common stock at a price of $5.25 per share for gross proceeds of $19,950,000. On October 9, 2019, the Company entered into a commitment letter (“Commitment Letter”) with Antara, pursuant to which Antara has committed to extend to the Company a $30 million senior secured term loan facility (“Term Facility”). The Term Facility is subject to various closing conditions, including the execution and delivery of definitive loan documentation on or before October 31, 2019. Pursuant to the Commitment Letter, the Company would draw $15 million of the Term Facility concurrently with the execution of the definitive loan documentation, and subject to the terms of the definitive loan documentation, would draw an additional $15 million during the period commencing on the nine-month anniversary and terminating on the eighteen-month anniversary of the execution of the definitive loan documentation.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the following primary sources of capital available: (1) cash and cash equivalents on hand of $63.2 million as of December 31, 2018 which was $27.5 million as of June 30, 2019; (2) the cash which may be provided by operating activities in the 2020 fiscal year; (3) potential sales to third party lenders of all or a portion of our finance receivables; and (4) gross cash proceeds of $19,950,000 from the issuance of our shares to Antara as referred to above; and (5) an aggregate amount of $30 million under the Term Facility as described above.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more fully set forth in the 2019 Form 10-K that has been filed concurrently with this Form 10-Q, management anticipates that, during the 2020 fiscal year, the Company would have to satisfy its bank debt of $10.0 million, sales tax liability estimated to be no more than $16 million, and the additional costs of preparing the 2019 Form 10-K and related activities which will be incurred primarily during the first fiscal quarter of fiscal year 2020. In addition, management has recently implemented efficiencies in working capital that are designed to increase our cash balances.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quantitative and qualitative disclosures about market risk, refer to Part II, Item 7A. “Quantitative and Qualitative Disclosures about Market Risk,” contained in our 2019 Form 10-K filed concurrently herewith.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evaluated, with the participation of our chief executive officer and interim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summarized and reported within the time periods specified in Securities and Exchange Commission rules, and that such information is accumulated and communicated to our management, including our chief executive officer and interim chief financial officer, to allow timely decisions regarding required disclosure. Based on this evaluation, our management, including our chief executive officer and interim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the remediation actions disclosed in Item 9A. of the 2019 Form 10-K, there were no changes in our internal controls over financial reporting that occurred during the quarter ended December 31, 2018 that materially affected, or are reasonably likely to materially affect, our internal controls over financial reporting. As discussed in Item 9A. of our 2019 Form 10-K, we have undertaken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will continue through fiscal year 2020, with the goal to fully remediate all remaining material weaknesses by fiscal year end.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Actions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11, 2018, Stéphane Gouet filed a putative class action complaint against the Company, Stephen P. Herbert (“Herbert”), our Chief Executive Officer, and Priyanka Singh (“Singh”), our former Chief Financial Officer, in the United States District Court for the District of New Jersey, Docket No. 2:18-cv-13759. The class is defined as purchasers of USAT's publicly traded securities from November 9, 2017 through September 11, 2018 (“the Class Period”). It is alleged that the Company disclosed on September 11, 2018 that it was unable to timely file its Annual Report on Form 10-K with the Securities Exchange Commission for the fiscal year ended June 30, 2018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Gouet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Class Period. Gouet alleges that Herbert and Singh had actual knowledge of the material omissions and/or falsity of the material statements and intended to deceive the purported class members or acted with reckless disregard of the truth. It is further alleged that as a result of this conduct, the market price of the Company’s securities was artificially inflated during the Class Period. The Gouet complaint alleges violations of Sections 10(b) and 20(a) of the Securities Exchange Act and Rule 10b-5 promulgated thereunder.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2018, two additional class action complaints, containing substantially the same factual allegations and legal claims were filed against USAT, Herbert and Singh. On September 13, 2018, David Gray filed a putative class action complaint in the United States District Court for the District of New Jersey, Docket No. 2:18-cv-13860. On October 3, 2018, Anthony E. Phillips filed a putative class action complaint in the United States District Court for the District of New Jersey, Docket No. 2:18-cv-14590.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vigorously defend against these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 Demand Letters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in connection with the Company’s internal controls over financial reporting in connection with the Company’s 2018 fiscal year. The demand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annual report on Form 10-K for the fiscal year ending June 30, 2018, and that the Company failed to maintain adequate internal controls.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the issues stated asserted by Mr. D’Arcy.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response to the demand letters, the Board of Directors formed a special litigation committee (“the SLC”) consisting of Joel Brooks and William Reilly, Jr., in order to investigate and evaluate the demand letters. The SLC has retained counsel and the SLC and its counsel are currently investigating the claims.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81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Certifications of Chief Executive Officer pursuant to Rule 13a-14(a) under the Securities Exchange Act of 1934.</w:t>
              </w:r>
            </w:hyperlink>
          </w:p>
        </w:tc>
        <w:tc>
          <w:tcPr>
            <w:tcW w:w="2200" w:type="dxa"/>
            <w:vAlign w:val="bottom"/>
            <w:gridSpan w:val="2"/>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10300" w:type="dxa"/>
            <w:vAlign w:val="bottom"/>
            <w:gridSpan w:val="6"/>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101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Certification of the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of 2002.</w:t>
              </w:r>
            </w:hyperlink>
          </w:p>
        </w:tc>
        <w:tc>
          <w:tcPr>
            <w:tcW w:w="9700" w:type="dxa"/>
            <w:vAlign w:val="bottom"/>
            <w:gridSpan w:val="4"/>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10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of the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52">
              <w:r>
                <w:rPr>
                  <w:rFonts w:ascii="Arial" w:cs="Arial" w:eastAsia="Arial" w:hAnsi="Arial"/>
                  <w:sz w:val="18"/>
                  <w:szCs w:val="18"/>
                  <w:color w:val="0000FF"/>
                  <w:w w:val="84"/>
                </w:rPr>
                <w:t>2002.</w:t>
              </w:r>
            </w:hyperlink>
          </w:p>
        </w:tc>
        <w:tc>
          <w:tcPr>
            <w:tcW w:w="2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64" w:lineRule="exact"/>
        <w:rPr>
          <w:sz w:val="20"/>
          <w:szCs w:val="20"/>
          <w:color w:val="auto"/>
        </w:rPr>
      </w:pPr>
    </w:p>
    <w:p>
      <w:pPr>
        <w:ind w:left="1080" w:right="60" w:hanging="1045"/>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quarter ended December 31, 2018, filed with the SEC on October 9, 2019, formatted in Extensible Business Reporting Language (XBRL): (1) the Consolidated Balance Sheets as of December 31, 2018 and June 30, 2018, (2) the Consolidated Statements of Operations for the three-month and six-month periods ended December 31, 2018 and 2017, (3) the Consolidated Statements of Shareholders’ Equity for the six-month period ended December 31, 2018, (4) the Consolidated Statements of Cash Flows for the six-month period ended December 31, 2018 and 2017, and (5) the Notes to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567"/>
        </w:trPr>
        <w:tc>
          <w:tcPr>
            <w:tcW w:w="3560" w:type="dxa"/>
            <w:vAlign w:val="bottom"/>
          </w:tcPr>
          <w:p>
            <w:pPr>
              <w:spacing w:after="0"/>
              <w:rPr>
                <w:sz w:val="20"/>
                <w:szCs w:val="20"/>
                <w:color w:val="auto"/>
              </w:rPr>
            </w:pPr>
            <w:r>
              <w:rPr>
                <w:rFonts w:ascii="Arial" w:cs="Arial" w:eastAsia="Arial" w:hAnsi="Arial"/>
                <w:sz w:val="18"/>
                <w:szCs w:val="18"/>
                <w:color w:val="auto"/>
              </w:rPr>
              <w:t>Date:October 9, 2019</w:t>
            </w:r>
          </w:p>
        </w:tc>
        <w:tc>
          <w:tcPr>
            <w:tcW w:w="2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Stephen P. Herbert</w:t>
            </w:r>
          </w:p>
        </w:tc>
      </w:tr>
      <w:tr>
        <w:trPr>
          <w:trHeight w:val="27"/>
        </w:trPr>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Stephen P. Herbert,</w:t>
            </w:r>
          </w:p>
        </w:tc>
      </w:tr>
      <w:tr>
        <w:trPr>
          <w:trHeight w:val="270"/>
        </w:trPr>
        <w:tc>
          <w:tcPr>
            <w:tcW w:w="35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67"/>
        </w:trPr>
        <w:tc>
          <w:tcPr>
            <w:tcW w:w="3560" w:type="dxa"/>
            <w:vAlign w:val="bottom"/>
          </w:tcPr>
          <w:p>
            <w:pPr>
              <w:spacing w:after="0"/>
              <w:rPr>
                <w:sz w:val="20"/>
                <w:szCs w:val="20"/>
                <w:color w:val="auto"/>
              </w:rPr>
            </w:pPr>
            <w:r>
              <w:rPr>
                <w:rFonts w:ascii="Arial" w:cs="Arial" w:eastAsia="Arial" w:hAnsi="Arial"/>
                <w:sz w:val="18"/>
                <w:szCs w:val="18"/>
                <w:color w:val="auto"/>
              </w:rPr>
              <w:t>Date:October 9, 2019</w:t>
            </w:r>
          </w:p>
        </w:tc>
        <w:tc>
          <w:tcPr>
            <w:tcW w:w="2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Glen E. Goold</w:t>
            </w:r>
          </w:p>
        </w:tc>
      </w:tr>
      <w:tr>
        <w:trPr>
          <w:trHeight w:val="27"/>
        </w:trPr>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Glen Goold</w:t>
            </w:r>
          </w:p>
        </w:tc>
      </w:tr>
      <w:tr>
        <w:trPr>
          <w:trHeight w:val="270"/>
        </w:trPr>
        <w:tc>
          <w:tcPr>
            <w:tcW w:w="35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486"/>
        </w:trPr>
        <w:tc>
          <w:tcPr>
            <w:tcW w:w="3560" w:type="dxa"/>
            <w:vAlign w:val="bottom"/>
          </w:tcPr>
          <w:p>
            <w:pPr>
              <w:spacing w:after="0"/>
              <w:rPr>
                <w:sz w:val="24"/>
                <w:szCs w:val="24"/>
                <w:color w:val="auto"/>
              </w:rPr>
            </w:pPr>
          </w:p>
        </w:tc>
        <w:tc>
          <w:tcPr>
            <w:tcW w:w="7820" w:type="dxa"/>
            <w:vAlign w:val="bottom"/>
            <w:gridSpan w:val="2"/>
          </w:tcPr>
          <w:p>
            <w:pPr>
              <w:jc w:val="right"/>
              <w:ind w:right="553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w:t>
      </w:r>
      <w:r>
        <w:rPr>
          <w:rFonts w:ascii="Arial" w:cs="Arial" w:eastAsia="Arial" w:hAnsi="Arial"/>
          <w:sz w:val="18"/>
          <w:szCs w:val="18"/>
          <w:color w:val="auto"/>
        </w:rPr>
        <w:t>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Herbert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5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Glen E. Goold,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75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2018 (the “Report”), I, Stephen P. Herbert., Chief Executive Officer of the Company, hereby certify that to my knowledge:</w:t>
      </w:r>
    </w:p>
    <w:p>
      <w:pPr>
        <w:spacing w:after="0" w:line="16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Herbert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5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2018 (the “Report”), I, Glen E. Goold, Interim Chief Financial Officer of the Company, hereby certify that to my knowledge:</w:t>
      </w:r>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2019-12-28T05:44:11Z</dcterms:created>
  <dcterms:modified xsi:type="dcterms:W3CDTF">2019-12-28T05:44:11Z</dcterms:modified>
</cp:coreProperties>
</file>