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43180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310"/>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88"/>
        </w:trPr>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18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2640" w:type="dxa"/>
            <w:vAlign w:val="bottom"/>
          </w:tcPr>
          <w:p>
            <w:pPr>
              <w:jc w:val="center"/>
              <w:ind w:left="239"/>
              <w:spacing w:after="0"/>
              <w:rPr>
                <w:sz w:val="20"/>
                <w:szCs w:val="20"/>
                <w:color w:val="auto"/>
              </w:rPr>
            </w:pPr>
            <w:r>
              <w:rPr>
                <w:rFonts w:ascii="Arial" w:cs="Arial" w:eastAsia="Arial" w:hAnsi="Arial"/>
                <w:sz w:val="16"/>
                <w:szCs w:val="16"/>
                <w:color w:val="auto"/>
                <w:w w:val="97"/>
              </w:rPr>
              <w:t>CTLP</w:t>
            </w:r>
          </w:p>
        </w:tc>
        <w:tc>
          <w:tcPr>
            <w:tcW w:w="44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6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2021 there were 71,111,313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640" w:type="dxa"/>
            <w:vAlign w:val="bottom"/>
            <w:gridSpan w:val="2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auto"/>
                <w:w w:val="90"/>
              </w:rPr>
              <w:t>Cantaloupe, Inc.</w:t>
            </w:r>
          </w:p>
        </w:tc>
        <w:tc>
          <w:tcPr>
            <w:tcW w:w="36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TABLE OF CONTENTS</w:t>
            </w:r>
          </w:p>
        </w:tc>
        <w:tc>
          <w:tcPr>
            <w:tcW w:w="36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3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3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Shareholders’ Equity (unaudited)</w:t>
              </w:r>
            </w:hyperlink>
          </w:p>
        </w:tc>
        <w:tc>
          <w:tcPr>
            <w:tcW w:w="36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top w:val="single" w:sz="8" w:color="0000FF"/>
            </w:tcBorders>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1200" w:type="dxa"/>
            <w:vAlign w:val="bottom"/>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Consolidated Financial Statements (unaudited)</w:t>
              </w:r>
            </w:hyperlink>
          </w:p>
        </w:tc>
        <w:tc>
          <w:tcPr>
            <w:tcW w:w="560" w:type="dxa"/>
            <w:vAlign w:val="bottom"/>
            <w:tcBorders>
              <w:top w:val="single" w:sz="8" w:color="0000FF"/>
            </w:tcBorders>
            <w:gridSpan w:val="3"/>
          </w:tcPr>
          <w:p>
            <w:pPr>
              <w:spacing w:after="0"/>
              <w:rPr>
                <w:sz w:val="24"/>
                <w:szCs w:val="24"/>
                <w:color w:val="auto"/>
              </w:rPr>
            </w:pPr>
          </w:p>
        </w:tc>
        <w:tc>
          <w:tcPr>
            <w:tcW w:w="1880" w:type="dxa"/>
            <w:vAlign w:val="bottom"/>
            <w:gridSpan w:val="2"/>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6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6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6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1.</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3.</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4.</w:t>
              </w:r>
            </w:hyperlink>
          </w:p>
        </w:tc>
        <w:tc>
          <w:tcPr>
            <w:tcW w:w="600" w:type="dxa"/>
            <w:vAlign w:val="bottom"/>
            <w:gridSpan w:val="2"/>
          </w:tcPr>
          <w:p>
            <w:pPr>
              <w:spacing w:after="0"/>
              <w:rPr>
                <w:sz w:val="24"/>
                <w:szCs w:val="24"/>
                <w:color w:val="auto"/>
              </w:rPr>
            </w:pPr>
          </w:p>
        </w:tc>
        <w:tc>
          <w:tcPr>
            <w:tcW w:w="650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5.</w:t>
              </w:r>
            </w:hyperlink>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4700" w:type="dxa"/>
            <w:vAlign w:val="bottom"/>
            <w:gridSpan w:val="9"/>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140" w:type="dxa"/>
            <w:vAlign w:val="bottom"/>
            <w:gridSpan w:val="10"/>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36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43</w:t>
              </w:r>
            </w:hyperlink>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17,273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9,128</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67,364</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due after one year</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7,872</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23,033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113,659</w:t>
            </w:r>
          </w:p>
        </w:tc>
      </w:tr>
      <w:tr>
        <w:trPr>
          <w:trHeight w:val="54"/>
        </w:trPr>
        <w:tc>
          <w:tcPr>
            <w:tcW w:w="8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235,908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27,058</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30,265</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62,349</w:t>
            </w: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r>
      <w:tr>
        <w:trPr>
          <w:trHeight w:val="54"/>
        </w:trPr>
        <w:tc>
          <w:tcPr>
            <w:tcW w:w="8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79,670</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w w:val="91"/>
              </w:rPr>
              <w:t>Series A convertible preferred stock, 900,000 shares authorized, 445,063 issued and outstanding, with liquidation</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preferences of $21,446 and $20,779 at March 31, 2021 and June 30, 2020, respectively</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71,081,313 and 65,196,882 shares issued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March 31, 2021 and June 30, 2020,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(303,025)</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r>
      <w:tr>
        <w:trPr>
          <w:trHeight w:val="23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235,908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181,023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25" w:right="379" w:bottom="36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366"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Cantaloupe, Inc.</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8"/>
          </w:tcPr>
          <w:p>
            <w:pPr>
              <w:jc w:val="center"/>
              <w:ind w:left="2771"/>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140"/>
              <w:spacing w:after="0"/>
              <w:rPr>
                <w:sz w:val="20"/>
                <w:szCs w:val="20"/>
                <w:color w:val="auto"/>
              </w:rPr>
            </w:pPr>
            <w:r>
              <w:rPr>
                <w:rFonts w:ascii="Arial" w:cs="Arial" w:eastAsia="Arial" w:hAnsi="Arial"/>
                <w:sz w:val="18"/>
                <w:szCs w:val="18"/>
                <w:color w:val="auto"/>
              </w:rPr>
              <w:t>License and transaction fees</w:t>
            </w:r>
          </w:p>
        </w:tc>
        <w:tc>
          <w:tcPr>
            <w:tcW w:w="14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34,686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Equipment sales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43,098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140"/>
              <w:spacing w:after="0"/>
              <w:rPr>
                <w:sz w:val="20"/>
                <w:szCs w:val="20"/>
                <w:color w:val="auto"/>
              </w:rPr>
            </w:pPr>
            <w:r>
              <w:rPr>
                <w:rFonts w:ascii="Arial" w:cs="Arial" w:eastAsia="Arial" w:hAnsi="Arial"/>
                <w:sz w:val="18"/>
                <w:szCs w:val="18"/>
                <w:color w:val="auto"/>
              </w:rPr>
              <w:t>Cost of license and transaction fees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Cost of equipment sales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w w:val="97"/>
              </w:rPr>
              <w:t>Investigation, proxy solicitation and restatement expenses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Change in fair value of derivative</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6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(9,380)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0"/>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rPr>
              <w:t>Preferred dividends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Net loss applicable to common shares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220"/>
              <w:spacing w:after="0"/>
              <w:rPr>
                <w:sz w:val="20"/>
                <w:szCs w:val="20"/>
                <w:color w:val="auto"/>
              </w:rPr>
            </w:pPr>
            <w:r>
              <w:rPr>
                <w:rFonts w:ascii="Arial" w:cs="Arial" w:eastAsia="Arial" w:hAnsi="Arial"/>
                <w:sz w:val="18"/>
                <w:szCs w:val="18"/>
                <w:color w:val="auto"/>
              </w:rPr>
              <w:t>Basic</w:t>
            </w:r>
          </w:p>
        </w:tc>
        <w:tc>
          <w:tcPr>
            <w:tcW w:w="14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w w:val="99"/>
              </w:rPr>
              <w:t>Weighted average number of common shares outstanding</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22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67,112,511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64,096,778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2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67,112,511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64,096,778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-5828665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-4457065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-5142865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-6522720</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Nine months ended</w:t>
      </w:r>
    </w:p>
    <w:p>
      <w:pPr>
        <w:spacing w:after="0" w:line="5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32385</wp:posOffset>
            </wp:positionV>
            <wp:extent cx="1748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920" w:type="dxa"/>
            <w:vAlign w:val="bottom"/>
          </w:tcPr>
          <w:p>
            <w:pPr>
              <w:jc w:val="right"/>
              <w:ind w:right="532"/>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6"/>
        </w:trPr>
        <w:tc>
          <w:tcPr>
            <w:tcW w:w="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07"/>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101,008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105,324</w:t>
            </w:r>
          </w:p>
        </w:tc>
      </w:tr>
      <w:tr>
        <w:trPr>
          <w:trHeight w:val="270"/>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16,913</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25,184</w:t>
            </w:r>
          </w:p>
        </w:tc>
      </w:tr>
      <w:tr>
        <w:trPr>
          <w:trHeight w:val="27"/>
        </w:trPr>
        <w:tc>
          <w:tcPr>
            <w:tcW w:w="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117,921</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130,508</w:t>
            </w:r>
          </w:p>
        </w:tc>
      </w:tr>
      <w:tr>
        <w:trPr>
          <w:trHeight w:val="783"/>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60,415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66,912</w:t>
            </w:r>
          </w:p>
        </w:tc>
      </w:tr>
      <w:tr>
        <w:trPr>
          <w:trHeight w:val="270"/>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18,262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28,420</w:t>
            </w:r>
          </w:p>
        </w:tc>
      </w:tr>
      <w:tr>
        <w:trPr>
          <w:trHeight w:val="27"/>
        </w:trPr>
        <w:tc>
          <w:tcPr>
            <w:tcW w:w="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78,677</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95,332</w:t>
            </w:r>
          </w:p>
        </w:tc>
      </w:tr>
      <w:tr>
        <w:trPr>
          <w:trHeight w:val="520"/>
        </w:trPr>
        <w:tc>
          <w:tcPr>
            <w:tcW w:w="920" w:type="dxa"/>
            <w:vAlign w:val="bottom"/>
          </w:tcPr>
          <w:p>
            <w:pPr>
              <w:jc w:val="right"/>
              <w:ind w:right="92"/>
              <w:spacing w:after="0"/>
              <w:rPr>
                <w:sz w:val="20"/>
                <w:szCs w:val="20"/>
                <w:color w:val="auto"/>
              </w:rPr>
            </w:pPr>
            <w:r>
              <w:rPr>
                <w:rFonts w:ascii="Arial" w:cs="Arial" w:eastAsia="Arial" w:hAnsi="Arial"/>
                <w:sz w:val="18"/>
                <w:szCs w:val="18"/>
                <w:color w:val="auto"/>
              </w:rPr>
              <w:t>39,244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-7620</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-350520</wp:posOffset>
            </wp:positionV>
            <wp:extent cx="8401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-1379220</wp:posOffset>
            </wp:positionV>
            <wp:extent cx="840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20"/>
        <w:spacing w:after="0"/>
        <w:tabs>
          <w:tab w:leader="none" w:pos="1740" w:val="left"/>
        </w:tabs>
        <w:rPr>
          <w:sz w:val="20"/>
          <w:szCs w:val="20"/>
          <w:color w:val="auto"/>
        </w:rPr>
      </w:pPr>
      <w:r>
        <w:rPr>
          <w:rFonts w:ascii="Arial" w:cs="Arial" w:eastAsia="Arial" w:hAnsi="Arial"/>
          <w:sz w:val="18"/>
          <w:szCs w:val="18"/>
          <w:color w:val="auto"/>
        </w:rPr>
        <w:t>44,371</w:t>
      </w:r>
      <w:r>
        <w:rPr>
          <w:sz w:val="20"/>
          <w:szCs w:val="20"/>
          <w:color w:val="auto"/>
        </w:rPr>
        <w:tab/>
      </w:r>
      <w:r>
        <w:rPr>
          <w:rFonts w:ascii="Arial" w:cs="Arial" w:eastAsia="Arial" w:hAnsi="Arial"/>
          <w:sz w:val="18"/>
          <w:szCs w:val="18"/>
          <w:color w:val="auto"/>
        </w:rPr>
        <w:t>47,230</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13,949</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3,111</w:t>
      </w:r>
      <w:r>
        <w:rPr>
          <w:rFonts w:ascii="Arial" w:cs="Arial" w:eastAsia="Arial" w:hAnsi="Arial"/>
          <w:sz w:val="15"/>
          <w:szCs w:val="15"/>
          <w:color w:val="auto"/>
        </w:rPr>
        <w:t>3,209</w:t>
      </w:r>
    </w:p>
    <w:p>
      <w:pPr>
        <w:spacing w:after="0" w:line="90" w:lineRule="exact"/>
        <w:rPr>
          <w:sz w:val="20"/>
          <w:szCs w:val="20"/>
          <w:color w:val="auto"/>
        </w:rPr>
      </w:pPr>
    </w:p>
    <w:p>
      <w:pPr>
        <w:ind w:left="320"/>
        <w:spacing w:after="0"/>
        <w:tabs>
          <w:tab w:leader="none" w:pos="1740" w:val="left"/>
        </w:tabs>
        <w:rPr>
          <w:sz w:val="20"/>
          <w:szCs w:val="20"/>
          <w:color w:val="auto"/>
        </w:rPr>
      </w:pPr>
      <w:r>
        <w:rPr>
          <w:rFonts w:ascii="Arial" w:cs="Arial" w:eastAsia="Arial" w:hAnsi="Arial"/>
          <w:sz w:val="18"/>
          <w:szCs w:val="18"/>
          <w:color w:val="auto"/>
        </w:rPr>
        <w:t>47,482</w:t>
      </w:r>
      <w:r>
        <w:rPr>
          <w:sz w:val="20"/>
          <w:szCs w:val="20"/>
          <w:color w:val="auto"/>
        </w:rPr>
        <w:tab/>
      </w:r>
      <w:r>
        <w:rPr>
          <w:rFonts w:ascii="Arial" w:cs="Arial" w:eastAsia="Arial" w:hAnsi="Arial"/>
          <w:sz w:val="18"/>
          <w:szCs w:val="18"/>
          <w:color w:val="auto"/>
        </w:rPr>
        <w:t>64,388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1748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13"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17"/>
          <w:szCs w:val="17"/>
          <w:color w:val="auto"/>
        </w:rPr>
        <w:t>(8,238)</w:t>
      </w:r>
      <w:r>
        <w:rPr>
          <w:sz w:val="20"/>
          <w:szCs w:val="20"/>
          <w:color w:val="auto"/>
        </w:rPr>
        <w:tab/>
      </w:r>
      <w:r>
        <w:rPr>
          <w:rFonts w:ascii="Arial" w:cs="Arial" w:eastAsia="Arial" w:hAnsi="Arial"/>
          <w:sz w:val="17"/>
          <w:szCs w:val="17"/>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22225</wp:posOffset>
            </wp:positionV>
            <wp:extent cx="1748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80" w:type="dxa"/>
            <w:vAlign w:val="bottom"/>
          </w:tcPr>
          <w:p>
            <w:pPr>
              <w:jc w:val="right"/>
              <w:ind w:right="410"/>
              <w:spacing w:after="0"/>
              <w:rPr>
                <w:sz w:val="20"/>
                <w:szCs w:val="20"/>
                <w:color w:val="auto"/>
              </w:rPr>
            </w:pPr>
            <w:r>
              <w:rPr>
                <w:rFonts w:ascii="Arial" w:cs="Arial" w:eastAsia="Arial" w:hAnsi="Arial"/>
                <w:sz w:val="18"/>
                <w:szCs w:val="18"/>
                <w:color w:val="auto"/>
              </w:rPr>
              <w:t>978</w:t>
            </w:r>
          </w:p>
        </w:tc>
        <w:tc>
          <w:tcPr>
            <w:tcW w:w="98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97"/>
        </w:trPr>
        <w:tc>
          <w:tcPr>
            <w:tcW w:w="980" w:type="dxa"/>
            <w:vAlign w:val="bottom"/>
          </w:tcPr>
          <w:p>
            <w:pPr>
              <w:jc w:val="right"/>
              <w:ind w:right="370"/>
              <w:spacing w:after="0"/>
              <w:rPr>
                <w:sz w:val="20"/>
                <w:szCs w:val="20"/>
                <w:color w:val="auto"/>
              </w:rPr>
            </w:pPr>
            <w:r>
              <w:rPr>
                <w:rFonts w:ascii="Arial" w:cs="Arial" w:eastAsia="Arial" w:hAnsi="Arial"/>
                <w:sz w:val="18"/>
                <w:szCs w:val="18"/>
                <w:color w:val="auto"/>
                <w:w w:val="87"/>
              </w:rPr>
              <w:t>(3,970)</w:t>
            </w:r>
          </w:p>
        </w:tc>
        <w:tc>
          <w:tcPr>
            <w:tcW w:w="980" w:type="dxa"/>
            <w:vAlign w:val="bottom"/>
          </w:tcPr>
          <w:p>
            <w:pPr>
              <w:jc w:val="right"/>
              <w:spacing w:after="0"/>
              <w:rPr>
                <w:sz w:val="20"/>
                <w:szCs w:val="20"/>
                <w:color w:val="auto"/>
              </w:rPr>
            </w:pPr>
            <w:r>
              <w:rPr>
                <w:rFonts w:ascii="Arial" w:cs="Arial" w:eastAsia="Arial" w:hAnsi="Arial"/>
                <w:sz w:val="18"/>
                <w:szCs w:val="18"/>
                <w:color w:val="auto"/>
              </w:rPr>
              <w:t>(1,981)</w:t>
            </w:r>
          </w:p>
        </w:tc>
      </w:tr>
    </w:tbl>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1,070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(2,992)</w:t>
      </w: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1748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13" w:lineRule="exact"/>
        <w:rPr>
          <w:sz w:val="20"/>
          <w:szCs w:val="20"/>
          <w:color w:val="auto"/>
        </w:rPr>
      </w:pPr>
    </w:p>
    <w:p>
      <w:pPr>
        <w:ind w:left="260"/>
        <w:spacing w:after="0"/>
        <w:tabs>
          <w:tab w:leader="none" w:pos="1660" w:val="left"/>
        </w:tabs>
        <w:rPr>
          <w:sz w:val="20"/>
          <w:szCs w:val="20"/>
          <w:color w:val="auto"/>
        </w:rPr>
      </w:pPr>
      <w:r>
        <w:rPr>
          <w:rFonts w:ascii="Arial" w:cs="Arial" w:eastAsia="Arial" w:hAnsi="Arial"/>
          <w:sz w:val="17"/>
          <w:szCs w:val="17"/>
          <w:color w:val="auto"/>
        </w:rPr>
        <w:t>(11,230)</w:t>
      </w:r>
      <w:r>
        <w:rPr>
          <w:sz w:val="20"/>
          <w:szCs w:val="20"/>
          <w:color w:val="auto"/>
        </w:rPr>
        <w:tab/>
      </w:r>
      <w:r>
        <w:rPr>
          <w:rFonts w:ascii="Arial" w:cs="Arial" w:eastAsia="Arial" w:hAnsi="Arial"/>
          <w:sz w:val="17"/>
          <w:szCs w:val="17"/>
          <w:color w:val="auto"/>
        </w:rPr>
        <w:t>(29,135)</w:t>
      </w:r>
    </w:p>
    <w:p>
      <w:pPr>
        <w:spacing w:after="0" w:line="48" w:lineRule="exact"/>
        <w:rPr>
          <w:sz w:val="20"/>
          <w:szCs w:val="20"/>
          <w:color w:val="auto"/>
        </w:rPr>
      </w:pPr>
    </w:p>
    <w:p>
      <w:pPr>
        <w:ind w:left="2000" w:hanging="1528"/>
        <w:spacing w:after="0"/>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(46)</w:t>
      </w:r>
    </w:p>
    <w:p>
      <w:pPr>
        <w:spacing w:after="0" w:line="372" w:lineRule="exact"/>
        <w:rPr>
          <w:sz w:val="20"/>
          <w:szCs w:val="20"/>
          <w:color w:val="auto"/>
        </w:rPr>
      </w:pPr>
    </w:p>
    <w:p>
      <w:pPr>
        <w:ind w:left="260"/>
        <w:spacing w:after="0"/>
        <w:tabs>
          <w:tab w:leader="none" w:pos="1660" w:val="left"/>
        </w:tabs>
        <w:rPr>
          <w:sz w:val="20"/>
          <w:szCs w:val="20"/>
          <w:color w:val="auto"/>
        </w:rPr>
      </w:pPr>
      <w:r>
        <w:rPr>
          <w:rFonts w:ascii="Arial" w:cs="Arial" w:eastAsia="Arial" w:hAnsi="Arial"/>
          <w:sz w:val="17"/>
          <w:szCs w:val="17"/>
          <w:color w:val="auto"/>
        </w:rPr>
        <w:t>(11,363)</w:t>
      </w:r>
      <w:r>
        <w:rPr>
          <w:sz w:val="20"/>
          <w:szCs w:val="20"/>
          <w:color w:val="auto"/>
        </w:rPr>
        <w:tab/>
      </w:r>
      <w:r>
        <w:rPr>
          <w:rFonts w:ascii="Arial" w:cs="Arial" w:eastAsia="Arial" w:hAnsi="Arial"/>
          <w:sz w:val="17"/>
          <w:szCs w:val="17"/>
          <w:color w:val="auto"/>
        </w:rPr>
        <w:t>(29,181)</w:t>
      </w:r>
    </w:p>
    <w:p>
      <w:pPr>
        <w:spacing w:after="0" w:line="48" w:lineRule="exact"/>
        <w:rPr>
          <w:sz w:val="20"/>
          <w:szCs w:val="20"/>
          <w:color w:val="auto"/>
        </w:rPr>
      </w:pPr>
    </w:p>
    <w:p>
      <w:pPr>
        <w:ind w:left="1900" w:hanging="1428"/>
        <w:spacing w:after="0"/>
        <w:tabs>
          <w:tab w:leader="none" w:pos="1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39370</wp:posOffset>
            </wp:positionV>
            <wp:extent cx="8401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(12,031)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(29,849)</w:t>
            </w:r>
          </w:p>
        </w:tc>
      </w:tr>
      <w:tr>
        <w:trPr>
          <w:trHeight w:val="20"/>
        </w:trPr>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540"/>
        </w:trPr>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65,617,458</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62,591,947</w:t>
            </w:r>
          </w:p>
        </w:tc>
      </w:tr>
      <w:tr>
        <w:trPr>
          <w:trHeight w:val="270"/>
        </w:trPr>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65,617,458</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62,591,947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-1028065</wp:posOffset>
            </wp:positionV>
            <wp:extent cx="840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8600" w:space="320"/>
            <w:col w:w="2320"/>
          </w:cols>
          <w:pgMar w:left="320" w:top="125"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Nine Month Period Ended March 31, 2021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65,196,882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Impact of adoption of ASC 326</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65,252,965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93,452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32,709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Balance, December 31,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65,285,674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92,241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Issuance of common stock in relation to private placement, net of offering</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incurred of $2,598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Exercise of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12,154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71,081,313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460,059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(314,040)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340" w:type="dxa"/>
            <w:vAlign w:val="bottom"/>
            <w:gridSpan w:val="5"/>
          </w:tcPr>
          <w:p>
            <w:pPr>
              <w:ind w:left="4000"/>
              <w:spacing w:after="0"/>
              <w:rPr>
                <w:sz w:val="20"/>
                <w:szCs w:val="20"/>
                <w:color w:val="auto"/>
              </w:rPr>
            </w:pPr>
            <w:r>
              <w:rPr>
                <w:rFonts w:ascii="Arial" w:cs="Arial" w:eastAsia="Arial" w:hAnsi="Arial"/>
                <w:sz w:val="18"/>
                <w:szCs w:val="18"/>
                <w:b w:val="1"/>
                <w:bCs w:val="1"/>
                <w:color w:val="auto"/>
                <w:w w:val="94"/>
              </w:rPr>
              <w:t>Nine Month Period Ended March 31, 2020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60,008,481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Balance, September 30,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60,008,481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103,205</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Issuance of common stock in relation to private placement, net of offering</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incurred of $1,102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362,941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Balance, December 31,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64,171,422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395,662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(282,316)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113,346</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64,448,957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396,044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(11,363)</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(29,181)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Stock 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debt discount and issuance costs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Provision for expected losses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inventory reserve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 included in operating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Depreciation included in cost of sales for rental equipment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Change in fair value of derivative</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Property and equipment write-off</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Finance receivables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1"/>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90"/>
        </w:trPr>
        <w:tc>
          <w:tcPr>
            <w:tcW w:w="8440" w:type="dxa"/>
            <w:vAlign w:val="bottom"/>
            <w:gridSpan w:val="2"/>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(17,626)</w:t>
            </w:r>
          </w:p>
        </w:tc>
        <w:tc>
          <w:tcPr>
            <w:tcW w:w="0" w:type="dxa"/>
            <w:vAlign w:val="bottom"/>
          </w:tcPr>
          <w:p>
            <w:pPr>
              <w:spacing w:after="0"/>
              <w:rPr>
                <w:sz w:val="1"/>
                <w:szCs w:val="1"/>
                <w:color w:val="auto"/>
              </w:rPr>
            </w:pPr>
          </w:p>
        </w:tc>
      </w:tr>
      <w:tr>
        <w:trPr>
          <w:trHeight w:val="183"/>
        </w:trPr>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Purchase of 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4"/>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Proceeds from long-term debt issuance by Antara, net of issuance costs paid to Antara</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14,248</w:t>
            </w: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Payment of third-party debt issuance costs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Proceeds from (repayments of) Revolving Credit Facility</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1"/>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Proceeds from long-term debt issuance by JPMorgan Chase Bank, N.A., net of 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Repayment of long-term debt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(15,554)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0" w:type="dxa"/>
            <w:vAlign w:val="bottom"/>
          </w:tcPr>
          <w:p>
            <w:pPr>
              <w:spacing w:after="0"/>
              <w:rPr>
                <w:sz w:val="1"/>
                <w:szCs w:val="1"/>
                <w:color w:val="auto"/>
              </w:rPr>
            </w:pPr>
          </w:p>
        </w:tc>
      </w:tr>
      <w:tr>
        <w:trPr>
          <w:trHeight w:val="191"/>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Proceeds from equity issuance by Antara, net of issuance costs paid to Antara</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17,879</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Proceeds from private placement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Payment of equity issuance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options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Payment of Antara prepayment penalty and commitment termination fee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used provided by financing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50,283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062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increase (decrease) in cash and cash equivalents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56,849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ind w:left="400"/>
              <w:spacing w:after="0"/>
              <w:rPr>
                <w:sz w:val="20"/>
                <w:szCs w:val="20"/>
                <w:color w:val="auto"/>
              </w:rPr>
            </w:pPr>
            <w:r>
              <w:rPr>
                <w:rFonts w:ascii="Arial" w:cs="Arial" w:eastAsia="Arial" w:hAnsi="Arial"/>
                <w:sz w:val="14"/>
                <w:szCs w:val="14"/>
                <w:color w:val="auto"/>
                <w:w w:val="94"/>
              </w:rPr>
              <w:t>(1,570)</w:t>
            </w:r>
          </w:p>
        </w:tc>
      </w:tr>
      <w:tr>
        <w:trPr>
          <w:trHeight w:val="216"/>
        </w:trPr>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31,713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4"/>
                <w:szCs w:val="14"/>
                <w:color w:val="auto"/>
              </w:rPr>
              <w:t>27,464</w:t>
            </w:r>
          </w:p>
        </w:tc>
      </w:tr>
      <w:tr>
        <w:trPr>
          <w:trHeight w:val="25"/>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88,562</w:t>
            </w:r>
          </w:p>
        </w:tc>
        <w:tc>
          <w:tcPr>
            <w:tcW w:w="12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380"/>
              <w:spacing w:after="0"/>
              <w:rPr>
                <w:sz w:val="20"/>
                <w:szCs w:val="20"/>
                <w:color w:val="auto"/>
              </w:rPr>
            </w:pPr>
            <w:r>
              <w:rPr>
                <w:rFonts w:ascii="Arial" w:cs="Arial" w:eastAsia="Arial" w:hAnsi="Arial"/>
                <w:sz w:val="14"/>
                <w:szCs w:val="14"/>
                <w:color w:val="auto"/>
              </w:rPr>
              <w:t>25,894</w:t>
            </w:r>
          </w:p>
        </w:tc>
      </w:tr>
      <w:tr>
        <w:trPr>
          <w:trHeight w:val="25"/>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720" w:space="720"/>
            <w:col w:w="2760"/>
          </w:cols>
          <w:pgMar w:left="320" w:top="125" w:right="37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5700" w:type="dxa"/>
            <w:vAlign w:val="bottom"/>
          </w:tcPr>
          <w:p>
            <w:pPr>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4"/>
                <w:szCs w:val="14"/>
                <w:color w:val="auto"/>
              </w:rPr>
              <w:t>Interest paid in cash</w:t>
            </w:r>
          </w:p>
        </w:tc>
        <w:tc>
          <w:tcPr>
            <w:tcW w:w="33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940</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Cantaloupe, Inc. (“Cantaloupe” or the “Company”) was incorporated in the Commonwealth of Pennsylvania in January 1992. We are a software and payments company that provides end-to-end technology solutions for the unattended retail market. Cantaloupe is transforming the unattended retail community by offering one integrated solution for payments processing, logistics, and back-office management. The Company’s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gas and car charging stations, laundromats, metered parking terminals, kiosks, amusements and more, can run their businesses more proactively, predictably, and competitively.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middle of March 2020, when average daily processing volume decreased approximately 40%. By middle of April 2020, processing volumes began to recover and have improved through March 2021 and we are now approaching pre-pandemic levels of volumes. Continued COVID-19 recurrences could result in further reductions in foot traffic to distributed assets containing our electronic payment solutions and reduced discretionary spending by consumers.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response to the outbreak and business disruption, we implemented liquidity conservation and cost savings initiatives that included: a 20% salary reduction for the senior leadership team through December 2020; deferral of all cash-based director fees until calendar year 2021; a temporary furlough of approximately 10% of our employee base; negotiations with and concessions from vendors in regard to cost reductions and/or payment deferrals; an increased collection effort to reduce outstanding accounts receivables; and various supply chain/inventory improvements. During the summer of 2020 as restrictions lifted, our offices were opened with strict guidelines for social distancing and with adherence to state and local mandates. All of our furloughed employees returned to work by June 26, 2020. Most of our employees continue to work remotely as of March 31, 2021. To date, our supply chain network has not been significantly disrupted and we are continuously monitoring for the impact from COVID-19. In addition, the Company received loan proceeds from the Paycheck Protection Program in the fourth quarter of fiscal year 2020. See Note 8 for additional information.</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continue to monitor the continuously evolving situation and follow guidance from federal, state and local public health authorities. Given the continued uncertainty of the situation, the Company cannot, at this time, reasonably estimate the longer-term repercussions of COVID-19 on our financial condition, results of operations or cash flows in the future. If the pandemic is not substantially contained in the near future, COVID-19 may have a material adverse impact on our revenue growth as well as our overall profitability in fiscal year 2021, and may lead to higher sales-related, inventory-related, and operating reserves. As of March 31, 2021, we have evaluated the potential impact of the COVID-19 outbreak on our financial statements, including,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PREPARATION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2020 Annual Report on Form 10-K. In the opinion of management, all adjustments considered necessary for a fair presentation, consisting of normal recurring adjustments, have been included. Operating results for the three and nine months ended March 31, 2021 are not necessarily indicative of the results that may be expected for the full fiscal year ending June 30, 2021. Actual results could differ from estimates. The balance sheet at June 30, 2020 has been derived from the audited consolidated financial statements at that date, but does not include all disclosures required by accounting principles generally accepted in the United States of America.</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9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part of the Company’s financial statement close process for the quarter ended March 31, 2021, management identified a net adjustment totaling $1.3 million relating primarily to prior year activity. The error relates to the Company not derecognizing the carrying amount of the underlying assets for three finance receivables agreements that are classified as sales-type leases.</w:t>
      </w:r>
    </w:p>
    <w:p>
      <w:pPr>
        <w:spacing w:after="0" w:line="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analyzed the potential impact of the error in accordance with the appropriate guidance, from both a qualitative and quantitative perspective, and concluded that the error was not material to any individual interim or annual prior periods. Accordingly, during the three months ended March 31, 2021, the Company recorded $1.7 million in additional Cost of equipment sales offset by $0.4 million reversal of previously recognized depreciation expense resulting in a net carrying value reduction of $1.3 million of Property and equipment.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326 - 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July 1, 2020, we adopted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was primarily introduced under Accounting Standards Update (“ASU”) No. 2016-13, “Financial Instruments – Measurement of Credit Losses on Financial Instruments”. Topic 326 introduces a new credit loss impairment methodology for financial assets measured at amortized cost, requiring recognition of the full lifetime expected credit losses upon initial recognition of the financial asset and each reporting period, replacing current GAAP, which generally requires that a loss be incurred before it is recognized. The expected credit loss model is based on historical experience, current conditions, and reasonable and supportable economic forecasts of collectability.</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adopted Topic 326 on July 1, 2020 using the modified retrospective approach through an adjustment to retained earnings, and began calculating our allowance for accounts and finance receivables under an expected loss model rather than an incurred loss model. The comparative information has not been restated and continues to be reported under the accounting standards in effect for those periods.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our allowances using an aging analysis of the receivables balances, primarily based on historical loss experience, as there have been no significant changes in the mix or risk characteristics of the receivable revenue streams used to calculate 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 supportable economic expectations into our allowance estimate for the asset’s entire expected life, which is generally less than one year for accounts receivable and five years for finance receivables.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adoption of this pronouncement resulted in a net increase of $0.3 million in retained earnings, with an offsetting adjustment to the allowance for doubtful accounts and finance receivables as of July 1, 2020.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doubtful accounts for accounts and finance receivables for the nine months ending</w:t>
      </w:r>
    </w:p>
    <w:p>
      <w:pPr>
        <w:spacing w:after="0"/>
        <w:rPr>
          <w:sz w:val="20"/>
          <w:szCs w:val="20"/>
          <w:color w:val="auto"/>
        </w:rPr>
      </w:pPr>
      <w:r>
        <w:rPr>
          <w:rFonts w:ascii="Arial" w:cs="Arial" w:eastAsia="Arial" w:hAnsi="Arial"/>
          <w:sz w:val="18"/>
          <w:szCs w:val="18"/>
          <w:color w:val="auto"/>
        </w:rPr>
        <w:t>March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 March 31, 2021</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200" w:type="dxa"/>
            <w:vAlign w:val="bottom"/>
          </w:tcPr>
          <w:p>
            <w:pPr>
              <w:spacing w:after="0"/>
              <w:rPr>
                <w:sz w:val="16"/>
                <w:szCs w:val="16"/>
                <w:color w:val="auto"/>
              </w:rPr>
            </w:pPr>
          </w:p>
        </w:tc>
        <w:tc>
          <w:tcPr>
            <w:tcW w:w="156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Finance receivable</w:t>
            </w:r>
          </w:p>
        </w:tc>
        <w:tc>
          <w:tcPr>
            <w:tcW w:w="0" w:type="dxa"/>
            <w:vAlign w:val="bottom"/>
          </w:tcPr>
          <w:p>
            <w:pPr>
              <w:spacing w:after="0"/>
              <w:rPr>
                <w:sz w:val="1"/>
                <w:szCs w:val="1"/>
                <w:color w:val="auto"/>
              </w:rPr>
            </w:pPr>
          </w:p>
        </w:tc>
      </w:tr>
      <w:tr>
        <w:trPr>
          <w:trHeight w:val="26"/>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of allowance at June 30, 2020, prior to adopting ASC 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2018-15 - Intangibles—Goodwill and Other (Topic 350): Internal-Use Software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adoption of this ASU on July 1, 2020 did not have a material impact on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does not expect the changes to have a material impact on its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2020-04, Reference Rate Reform (Topic 848): Facilitation of the Effects of Reference Rate Reform on Financial Reporting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This standard provides practical expedients for contract modifications with the transition from reference rates, such as LIBOR, that are expected to be discontinued. This guidance is applicable for the Company's revolving credit facility and secured term facility with JPMorgan Chase Bank, N.A., which uses LIBOR as a reference rate. In addition, the facility provides for an alternative rate of interest if LIBOR is discontinued. The Company will continue to evaluate ASU 2020-04 to determine the timing and extent to which we will apply the provided accounting relief.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2020-10, Codification Improvements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the FASB issued ASU 2020-10, “Codification Improvements.” The purpose of the ASU is to update a variety of ASC Topics to make conforming amendments, clarifications to guidance, simplifications to wording or structure of guidance, and other minor improvements. The ASU is effective for fiscal years beginning after December 15, 2020 with early application permitted. The Company does not expect the changes to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The Company has operating leases for office space, warehouses, automobiles and office equipment.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Right-of-Use (“ROU”) assets represent the Company’s right to use an underlying asset for the lease term and lease liabilities represent the obligation to make lease payments arising from the lease.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received. The Company also has lease agreements with lease and non-lease components. The Company elected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the Company has the following balances recorded in the balance sheet related to its lease arrangements: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16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Pr>
          <w:p>
            <w:pPr>
              <w:spacing w:after="0"/>
              <w:rPr>
                <w:sz w:val="17"/>
                <w:szCs w:val="17"/>
                <w:color w:val="auto"/>
              </w:rPr>
            </w:pPr>
          </w:p>
        </w:tc>
        <w:tc>
          <w:tcPr>
            <w:tcW w:w="154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As of June 30, 2020</w:t>
            </w:r>
          </w:p>
        </w:tc>
      </w:tr>
      <w:tr>
        <w:trPr>
          <w:trHeight w:val="40"/>
        </w:trPr>
        <w:tc>
          <w:tcPr>
            <w:tcW w:w="2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70"/>
        </w:trPr>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w:t>
            </w:r>
          </w:p>
        </w:tc>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r>
      <w:tr>
        <w:trPr>
          <w:trHeight w:val="263"/>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Three months ended March 31,</w:t>
            </w:r>
          </w:p>
        </w:tc>
        <w:tc>
          <w:tcPr>
            <w:tcW w:w="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7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2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311"/>
        </w:trPr>
        <w:tc>
          <w:tcPr>
            <w:tcW w:w="6780" w:type="dxa"/>
            <w:vAlign w:val="bottom"/>
            <w:gridSpan w:val="2"/>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Nine months ended March 31,</w:t>
            </w:r>
          </w:p>
        </w:tc>
        <w:tc>
          <w:tcPr>
            <w:tcW w:w="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Nine months ended March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760" w:type="dxa"/>
            <w:vAlign w:val="bottom"/>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310"/>
        </w:trPr>
        <w:tc>
          <w:tcPr>
            <w:tcW w:w="6780" w:type="dxa"/>
            <w:vAlign w:val="bottom"/>
            <w:gridSpan w:val="2"/>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204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Nine months ended March 31,</w:t>
            </w:r>
          </w:p>
        </w:tc>
        <w:tc>
          <w:tcPr>
            <w:tcW w:w="100" w:type="dxa"/>
            <w:vAlign w:val="bottom"/>
          </w:tcPr>
          <w:p>
            <w:pPr>
              <w:spacing w:after="0"/>
              <w:rPr>
                <w:sz w:val="14"/>
                <w:szCs w:val="14"/>
                <w:color w:val="auto"/>
              </w:rPr>
            </w:pPr>
          </w:p>
        </w:tc>
        <w:tc>
          <w:tcPr>
            <w:tcW w:w="21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Nine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activity:</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6780" w:type="dxa"/>
            <w:vAlign w:val="bottom"/>
            <w:gridSpan w:val="2"/>
          </w:tcPr>
          <w:p>
            <w:pPr>
              <w:spacing w:after="0"/>
              <w:rPr>
                <w:sz w:val="20"/>
                <w:szCs w:val="20"/>
                <w:color w:val="auto"/>
              </w:rPr>
            </w:pPr>
            <w:r>
              <w:rPr>
                <w:rFonts w:ascii="Arial" w:cs="Arial" w:eastAsia="Arial" w:hAnsi="Arial"/>
                <w:sz w:val="18"/>
                <w:szCs w:val="18"/>
                <w:color w:val="auto"/>
                <w:w w:val="96"/>
              </w:rPr>
              <w:t>Weighted-average remaining lease term and discount rate for our leases are as follows:</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Nine months ended March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780" w:type="dxa"/>
            <w:vAlign w:val="bottom"/>
            <w:gridSpan w:val="2"/>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453"/>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Leases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offers its customers financing for the lease of our point of sale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which are typically our JumpStart program leases, which are agreements for renting POS electronic payment devices. JumpStart terms are typically 36 months and are cancellable with 30 to 60 days' written notice.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treats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842 depending on the predominant characteristic of the combined component, which was Topic 606 for the Company's operating leases. All QuickStart leases are sales-type and do not qualify for the election.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Condensed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Statements of Operations and a portion of the lease payments as interest income. Revenue from operating leases is recognized ratably over the applicable service period with service fee revenue related to the leases included in License and transaction fees in the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r>
      <w:tr>
        <w:trPr>
          <w:trHeight w:val="26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D9D9D9"/>
            </w:tcBorders>
            <w:shd w:val="clear" w:color="auto" w:fill="CCEEFF"/>
          </w:tcPr>
          <w:p>
            <w:pPr>
              <w:spacing w:after="0"/>
              <w:rPr>
                <w:sz w:val="22"/>
                <w:szCs w:val="22"/>
                <w:color w:val="auto"/>
              </w:rPr>
            </w:pPr>
          </w:p>
        </w:tc>
        <w:tc>
          <w:tcPr>
            <w:tcW w:w="10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(27,745)</w:t>
            </w:r>
          </w:p>
        </w:tc>
        <w:tc>
          <w:tcPr>
            <w:tcW w:w="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24"/>
                <w:szCs w:val="24"/>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March 31, 2021 are disclosed within Note 5 - Finance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the transaction price allocated to unsatisfied performance obligations, we do not include non-recurring charges. Further, we apply the practical expedient to not consider arrangements with an original expected duration of one year or less, which are primarily month-to-month rental agreements. The majority of our contracts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 for the services or products being delivered.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As of March 31, 2021</w:t>
            </w:r>
          </w:p>
        </w:tc>
      </w:tr>
      <w:tr>
        <w:trPr>
          <w:trHeight w:val="40"/>
        </w:trPr>
        <w:tc>
          <w:tcPr>
            <w:tcW w:w="9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11,581</w:t>
            </w:r>
          </w:p>
        </w:tc>
      </w:tr>
      <w:tr>
        <w:trPr>
          <w:trHeight w:val="22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5,731</w:t>
            </w: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r>
      <w:tr>
        <w:trPr>
          <w:trHeight w:val="223"/>
        </w:trPr>
        <w:tc>
          <w:tcPr>
            <w:tcW w:w="92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33,624</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10628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4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0628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62"/>
        </w:trPr>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r>
      <w:tr>
        <w:trPr>
          <w:trHeight w:val="186"/>
        </w:trPr>
        <w:tc>
          <w:tcPr>
            <w:tcW w:w="1780" w:type="dxa"/>
            <w:vAlign w:val="bottom"/>
          </w:tcPr>
          <w:p>
            <w:pPr>
              <w:jc w:val="right"/>
              <w:ind w:right="748"/>
              <w:spacing w:after="0"/>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r>
      <w:tr>
        <w:trPr>
          <w:trHeight w:val="26"/>
        </w:trPr>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4"/>
        </w:trPr>
        <w:tc>
          <w:tcPr>
            <w:tcW w:w="1780" w:type="dxa"/>
            <w:vAlign w:val="bottom"/>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0"/>
        </w:trPr>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1,670</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405"/>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01"/>
        </w:trPr>
        <w:tc>
          <w:tcPr>
            <w:tcW w:w="200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 March</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Nine months ended March</w:t>
            </w:r>
          </w:p>
        </w:tc>
      </w:tr>
      <w:tr>
        <w:trPr>
          <w:trHeight w:val="186"/>
        </w:trPr>
        <w:tc>
          <w:tcPr>
            <w:tcW w:w="440" w:type="dxa"/>
            <w:vAlign w:val="bottom"/>
          </w:tcPr>
          <w:p>
            <w:pPr>
              <w:spacing w:after="0"/>
              <w:rPr>
                <w:sz w:val="16"/>
                <w:szCs w:val="16"/>
                <w:color w:val="auto"/>
              </w:rPr>
            </w:pPr>
          </w:p>
        </w:tc>
        <w:tc>
          <w:tcPr>
            <w:tcW w:w="1340" w:type="dxa"/>
            <w:vAlign w:val="bottom"/>
          </w:tcPr>
          <w:p>
            <w:pPr>
              <w:jc w:val="right"/>
              <w:ind w:right="715"/>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95"/>
              <w:spacing w:after="0"/>
              <w:rPr>
                <w:sz w:val="20"/>
                <w:szCs w:val="20"/>
                <w:color w:val="auto"/>
              </w:rPr>
            </w:pPr>
            <w:r>
              <w:rPr>
                <w:rFonts w:ascii="Arial" w:cs="Arial" w:eastAsia="Arial" w:hAnsi="Arial"/>
                <w:sz w:val="14"/>
                <w:szCs w:val="14"/>
                <w:b w:val="1"/>
                <w:bCs w:val="1"/>
                <w:color w:val="auto"/>
              </w:rPr>
              <w:t>31,</w:t>
            </w:r>
          </w:p>
        </w:tc>
      </w:tr>
      <w:tr>
        <w:trPr>
          <w:trHeight w:val="26"/>
        </w:trPr>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4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6"/>
        </w:trPr>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1,698</w:t>
            </w:r>
          </w:p>
        </w:tc>
        <w:tc>
          <w:tcPr>
            <w:tcW w:w="22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70"/>
        </w:trPr>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1,670</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405"/>
        </w:trPr>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467</w:t>
            </w:r>
          </w:p>
        </w:tc>
      </w:tr>
    </w:tbl>
    <w:p>
      <w:pPr>
        <w:spacing w:after="0" w:line="225" w:lineRule="exact"/>
        <w:rPr>
          <w:sz w:val="20"/>
          <w:szCs w:val="20"/>
          <w:color w:val="auto"/>
        </w:rPr>
      </w:pPr>
    </w:p>
    <w:p>
      <w:pPr>
        <w:sectPr>
          <w:pgSz w:w="11900" w:h="16838" w:orient="portrait"/>
          <w:cols w:equalWidth="0" w:num="2">
            <w:col w:w="7280" w:space="200"/>
            <w:col w:w="3760"/>
          </w:cols>
          <w:pgMar w:left="320" w:top="125" w:right="339" w:bottom="1440" w:gutter="0" w:footer="0" w:header="0"/>
        </w:sectPr>
      </w:pP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2021, the Company had net capitalized costs to obtain contracts of $0.4 million included in Prepaid expenses and other current assets and $1.9 million included in Other noncurrent assets on the Condensed Consolidated Balance Sheet. At June 30, 2020, the Company had net capitalized costs to obtain contracts of $0.4 million included in Prepaid expenses and other current assets and $1.8 million included in Other noncurrent assets on the Condensed Consolidated Balance Sheet. None of these capitalized contract costs were impaired. During the three and nine months ended March 31, 2021, amortization of capitalized contract costs was $0.2 million and $0.4 million. During the three and nine months ended March 31, 2020, amortization of capitalized contract costs was $0.1 million and $0.4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March 31, 2021 and June 30, 2020, finance receivables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11,213</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allowance of $909 and $150, respectively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Customers are pooled based on their ratio of gross sales to required monthly lease obligations. We categorize outstanding receivables into two categories: high ratio customers (customers who have adequate transaction processing volumes to cover monthly fees) and low ratio customers (customers that do not consistently have adequate transaction processing volumes to cover monthly fees). Using these two categories, we performed an analysis of historical write-offs to calculate reserve percentages by aging buckets for each category of customer.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2021, the gross lease receivable by current payment performance on a contractual basis and year of origination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At June 30, 2020, the gross lease receivable by current payment performance on a contractual basis and year of origination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16,819</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the allowance for finance receivables for the nine months ending March 31, 2021 and 2020:</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196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 March</w:t>
            </w:r>
          </w:p>
        </w:tc>
        <w:tc>
          <w:tcPr>
            <w:tcW w:w="1720" w:type="dxa"/>
            <w:vAlign w:val="bottom"/>
          </w:tcPr>
          <w:p>
            <w:pPr>
              <w:ind w:left="40"/>
              <w:spacing w:after="0"/>
              <w:rPr>
                <w:sz w:val="20"/>
                <w:szCs w:val="20"/>
                <w:color w:val="auto"/>
              </w:rPr>
            </w:pPr>
            <w:r>
              <w:rPr>
                <w:rFonts w:ascii="Arial" w:cs="Arial" w:eastAsia="Arial" w:hAnsi="Arial"/>
                <w:sz w:val="14"/>
                <w:szCs w:val="14"/>
                <w:b w:val="1"/>
                <w:bCs w:val="1"/>
                <w:color w:val="auto"/>
                <w:w w:val="94"/>
              </w:rPr>
              <w:t>Nine months ended March</w:t>
            </w:r>
          </w:p>
        </w:tc>
        <w:tc>
          <w:tcPr>
            <w:tcW w:w="0" w:type="dxa"/>
            <w:vAlign w:val="bottom"/>
          </w:tcPr>
          <w:p>
            <w:pPr>
              <w:spacing w:after="0"/>
              <w:rPr>
                <w:sz w:val="1"/>
                <w:szCs w:val="1"/>
                <w:color w:val="auto"/>
              </w:rPr>
            </w:pPr>
          </w:p>
        </w:tc>
      </w:tr>
      <w:tr>
        <w:trPr>
          <w:trHeight w:val="186"/>
        </w:trPr>
        <w:tc>
          <w:tcPr>
            <w:tcW w:w="7500" w:type="dxa"/>
            <w:vAlign w:val="bottom"/>
          </w:tcPr>
          <w:p>
            <w:pPr>
              <w:spacing w:after="0"/>
              <w:rPr>
                <w:sz w:val="16"/>
                <w:szCs w:val="16"/>
                <w:color w:val="auto"/>
              </w:rPr>
            </w:pPr>
          </w:p>
        </w:tc>
        <w:tc>
          <w:tcPr>
            <w:tcW w:w="1760" w:type="dxa"/>
            <w:vAlign w:val="bottom"/>
          </w:tcPr>
          <w:p>
            <w:pPr>
              <w:jc w:val="right"/>
              <w:ind w:right="728"/>
              <w:spacing w:after="0"/>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6"/>
                <w:szCs w:val="16"/>
                <w:color w:val="auto"/>
              </w:rPr>
            </w:pPr>
          </w:p>
        </w:tc>
        <w:tc>
          <w:tcPr>
            <w:tcW w:w="1720" w:type="dxa"/>
            <w:vAlign w:val="bottom"/>
          </w:tcPr>
          <w:p>
            <w:pPr>
              <w:jc w:val="right"/>
              <w:ind w:right="68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6"/>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500" w:type="dxa"/>
            <w:vAlign w:val="bottom"/>
            <w:vMerge w:val="continue"/>
          </w:tcPr>
          <w:p>
            <w:pPr>
              <w:spacing w:after="0"/>
              <w:rPr>
                <w:sz w:val="16"/>
                <w:szCs w:val="16"/>
                <w:color w:val="auto"/>
              </w:rPr>
            </w:pPr>
          </w:p>
        </w:tc>
        <w:tc>
          <w:tcPr>
            <w:tcW w:w="1760" w:type="dxa"/>
            <w:vAlign w:val="bottom"/>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720" w:type="dxa"/>
            <w:vAlign w:val="bottom"/>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0628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Balance at June 30</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Impact of adoption of ASC 326*</w:t>
            </w:r>
          </w:p>
        </w:tc>
        <w:tc>
          <w:tcPr>
            <w:tcW w:w="2660" w:type="dxa"/>
            <w:vAlign w:val="bottom"/>
          </w:tcPr>
          <w:p>
            <w:pPr>
              <w:spacing w:after="0"/>
              <w:rPr>
                <w:sz w:val="23"/>
                <w:szCs w:val="23"/>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Provision for expected losses</w:t>
            </w:r>
          </w:p>
        </w:tc>
        <w:tc>
          <w:tcPr>
            <w:tcW w:w="2660" w:type="dxa"/>
            <w:vAlign w:val="bottom"/>
          </w:tcPr>
          <w:p>
            <w:pPr>
              <w:spacing w:after="0"/>
              <w:rPr>
                <w:sz w:val="23"/>
                <w:szCs w:val="23"/>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Write-offs</w:t>
            </w:r>
          </w:p>
        </w:tc>
        <w:tc>
          <w:tcPr>
            <w:tcW w:w="2660" w:type="dxa"/>
            <w:vAlign w:val="bottom"/>
          </w:tcPr>
          <w:p>
            <w:pPr>
              <w:spacing w:after="0"/>
              <w:rPr>
                <w:sz w:val="23"/>
                <w:szCs w:val="23"/>
                <w:color w:val="auto"/>
              </w:rPr>
            </w:pPr>
          </w:p>
        </w:tc>
      </w:tr>
      <w:tr>
        <w:trPr>
          <w:trHeight w:val="311"/>
        </w:trPr>
        <w:tc>
          <w:tcPr>
            <w:tcW w:w="4940" w:type="dxa"/>
            <w:vAlign w:val="bottom"/>
          </w:tcPr>
          <w:p>
            <w:pPr>
              <w:spacing w:after="0"/>
              <w:rPr>
                <w:sz w:val="20"/>
                <w:szCs w:val="20"/>
                <w:color w:val="auto"/>
              </w:rPr>
            </w:pPr>
            <w:r>
              <w:rPr>
                <w:rFonts w:ascii="Arial" w:cs="Arial" w:eastAsia="Arial" w:hAnsi="Arial"/>
                <w:sz w:val="18"/>
                <w:szCs w:val="18"/>
                <w:color w:val="auto"/>
              </w:rPr>
              <w:t>Balance at March 31</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0628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06285"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The Company adopted ASC 326 on July 1,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Cash to be collected on our performing finance receivables due for each of the fiscal years are as follows: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amounts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interest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allowance for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finance receivables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loss per share are presented below:</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150</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409</w:t>
            </w: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350</w:t>
            </w: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909</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-7620</wp:posOffset>
            </wp:positionV>
            <wp:extent cx="1122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20" w:hanging="825"/>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6,209</w:t>
      </w:r>
    </w:p>
    <w:p>
      <w:pPr>
        <w:spacing w:after="0" w:line="23"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6,086</w:t>
      </w:r>
    </w:p>
    <w:p>
      <w:pPr>
        <w:spacing w:after="0" w:line="22"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4,841</w:t>
      </w:r>
    </w:p>
    <w:p>
      <w:pPr>
        <w:spacing w:after="0" w:line="22"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3,399</w:t>
      </w:r>
    </w:p>
    <w:p>
      <w:pPr>
        <w:spacing w:after="0" w:line="22"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1,707</w:t>
      </w:r>
    </w:p>
    <w:p>
      <w:pPr>
        <w:spacing w:after="0" w:line="2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14605</wp:posOffset>
            </wp:positionV>
            <wp:extent cx="8401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22,621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(3,539)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14605</wp:posOffset>
            </wp:positionV>
            <wp:extent cx="8401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6" w:lineRule="exact"/>
        <w:rPr>
          <w:sz w:val="20"/>
          <w:szCs w:val="20"/>
          <w:color w:val="auto"/>
        </w:rPr>
      </w:pPr>
    </w:p>
    <w:p>
      <w:pPr>
        <w:ind w:left="1740" w:hanging="745"/>
        <w:spacing w:after="0"/>
        <w:tabs>
          <w:tab w:leader="none" w:pos="1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18,173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47625</wp:posOffset>
            </wp:positionV>
            <wp:extent cx="8401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22225</wp:posOffset>
            </wp:positionV>
            <wp:extent cx="1748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8220" w:space="720"/>
            <w:col w:w="23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67,112,511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64,096,778</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67,112,511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64,096,778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8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(11,363)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(29,181)</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65,617,458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62,591,947</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65,617,458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62,591,947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4,099,170 for the three and nine months ended March 31, 2021 and 1,625,414 for the three and nine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As of March 31, 2021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30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2020</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March 31, 2021 and 2020, there was $0.8 million and $2.4 million in amortization expense related to intangible assets, respectively, that was recognized.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and nine months ended March 31, 2021, the Company did not recognize any impairment charges related to goodwill.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March 31, 2021 and June 30, 2020 consisted of the following:</w:t>
      </w: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6"/>
                <w:szCs w:val="16"/>
                <w:color w:val="auto"/>
              </w:rPr>
            </w:pP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As of June 30,</w:t>
            </w:r>
          </w:p>
        </w:tc>
      </w:tr>
      <w:tr>
        <w:trPr>
          <w:trHeight w:val="195"/>
        </w:trPr>
        <w:tc>
          <w:tcPr>
            <w:tcW w:w="71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40"/>
        </w:trPr>
        <w:tc>
          <w:tcPr>
            <w:tcW w:w="400" w:type="dxa"/>
            <w:vAlign w:val="bottom"/>
            <w:tcBorders>
              <w:top w:val="single" w:sz="8" w:color="auto"/>
            </w:tcBorders>
          </w:tcPr>
          <w:p>
            <w:pPr>
              <w:spacing w:after="0"/>
              <w:rPr>
                <w:sz w:val="3"/>
                <w:szCs w:val="3"/>
                <w:color w:val="auto"/>
              </w:rPr>
            </w:pPr>
          </w:p>
        </w:tc>
        <w:tc>
          <w:tcPr>
            <w:tcW w:w="6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Antara Term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JPMorgan Credit Facility</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PPP and other loans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Total</w:t>
            </w:r>
          </w:p>
        </w:tc>
        <w:tc>
          <w:tcPr>
            <w:tcW w:w="6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r>
      <w:tr>
        <w:trPr>
          <w:trHeight w:val="230"/>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r>
      <w:tr>
        <w:trPr>
          <w:trHeight w:val="248"/>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16"/>
        </w:trPr>
        <w:tc>
          <w:tcPr>
            <w:tcW w:w="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8"/>
                <w:szCs w:val="18"/>
                <w:color w:val="auto"/>
              </w:rPr>
            </w:pPr>
          </w:p>
        </w:tc>
      </w:tr>
      <w:tr>
        <w:trPr>
          <w:trHeight w:val="26"/>
        </w:trPr>
        <w:tc>
          <w:tcPr>
            <w:tcW w:w="5580" w:type="dxa"/>
            <w:vAlign w:val="bottom"/>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3"/>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7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Antara Term Facility</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7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JPMorgan Credit Facility</w:t>
            </w:r>
          </w:p>
        </w:tc>
        <w:tc>
          <w:tcPr>
            <w:tcW w:w="8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Revolving Credit Facility</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2018 JPMorgan Term Loan</w:t>
            </w:r>
          </w:p>
        </w:tc>
        <w:tc>
          <w:tcPr>
            <w:tcW w:w="84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64"/>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r>
      <w:tr>
        <w:trPr>
          <w:trHeight w:val="20"/>
        </w:trPr>
        <w:tc>
          <w:tcPr>
            <w:tcW w:w="4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Chase Bank Credit Agreement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(the “2021 JPMorgan Credit Agreement”) with JPMorgan Chase Bank, N.A (“JPMorgan”).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the “2021 JPMorgan Credit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 The Company recognized $2.8 million of interest expense related to the 2020 Antara Term Facility during the fiscal quarter ended September 30, 2020, including the recognition of $2.6 million of unamortized issuance costs and debt discount as interest expense, reflecting the difference between the carrying value of the 2020 Antara Term Facility and the amount due upon repayment.</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will also carry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 As of March 31, 2021, the applicable interest rate for the 2021 JPMorgan Secured Term Facility is a base rate of 0.75% and a spread of 4.25% for a total applicable interest rate of 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payments are due in quarterly installments of $187,500 beginning December 31, 2020 through September 30, 2022 for a total annual repayment of $750,000 and total repayment over the period of $1,500,000. Beginning December 31, 2022 through June 30, 2023, principal payments are due in quarterly installments of $375,000 for a total repayment over the period of $1,125,000. The remaining unpaid principal amounts are due at the maturity date of the 2021 JPMorgan Credit Facility.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2.75 to 1.00 beginning January 1, 2021 not less than 3.00 to 1.00 beginning April 1, 2021, and a financial covenant requiring the Company to maintain, as of the end of each of its fiscal quarters commencing with the fiscal quarter ended December 31, 2021, a total leverage ratio of not greater than 3.00 to 1.00. The Company was in compliance with its financial covenants as of March 31,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Facility with Antara</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9, 2019, the Company entered into a commitment letter with Antara, pursuant to which Antara committed to extend to the Company a $30.0 million senior secured term loan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If the Company failed to make the subsequent draw on the 2020 Antara Term Facility by April 30, 2021, the Company would pay Antara a commitment termination fee equal to 3% of the subsequent draw commitment. The outstanding amount of the draws under the 2020 Antara Term Facility bore interest at 9.75% per annum, payable monthly in arrears. The proceeds of the initial draw were used to repay the outstanding balance of the 2018 JPMorgan Revolving Credit Facility (as defined below) due to JPMorgan in the amount of $10.1 million, including accrued interest, and to pay transaction expenses. The Company would also incur a prepayment premium of 5% of the principal balance if prepaid on or prior to December 31, 2020.</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of which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 which was de-recognized during the three months ended September 30,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2020 Antara Term Facility and entered into the 2021 JPMorgan Credit Agreement. The Company recorded a liability for the commitment termination fee and prepayment premium for $1.2 million as of June 30, 2020, which was paid during the three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with JPMorgan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9, 2017, in connection with an acquisition, the Company entered into a five year credit agreement among the Company, as the borrower, its subsidiaries, as guarantors, and JPMorgan, as the lender and administrative agent for the lender, pursuant to which JPMorgan (i) made a $25 million term loan (“2018 JPMorgan Term Loan”) to the Company and (ii) provided the Company with a line of credit (“2018 JPMorgan Revolving Credit Facility”) under which the Company may borrow revolving credit loans in an aggregate principal amount not to exceed $12.5 million at any time. All advances under the 2018 JPMorgan Revolving Credit Facility and all other obligations were required to be paid in full at maturity on November 9, 2022. The applicable interest rate on the loans for the year to date ended October 31, 2019 was LIBOR plus 4%. On September 30, 2019, the Company prepaid the remaining principal balance of the 2018 JPMorgan Term Loan, and on October 31, 2019, the Company repaid the outstanding balance on the 2018 JPMorgan Revolving Credit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Borrowings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used the PPP Loan in accordance with the provisions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 the CARES Act. The loan bears a fixed interest rate of 1% over a two-year term from the approval date of April 28, 2020. The application for these funds required the Company to, in good faith, certify that the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 As of March 31, 2021, the Company has filed the application for loan forgiveness with the lending institution through which the PPP Loan was originated.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March 31, 2021 and June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6"/>
                <w:szCs w:val="16"/>
                <w:color w:val="auto"/>
              </w:rPr>
            </w:pPr>
          </w:p>
        </w:tc>
        <w:tc>
          <w:tcPr>
            <w:tcW w:w="116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As of June 30,</w:t>
            </w:r>
          </w:p>
        </w:tc>
      </w:tr>
      <w:tr>
        <w:trPr>
          <w:trHeight w:val="195"/>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6"/>
                <w:szCs w:val="16"/>
                <w:color w:val="auto"/>
              </w:rPr>
            </w:pPr>
          </w:p>
        </w:tc>
        <w:tc>
          <w:tcPr>
            <w:tcW w:w="14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48"/>
        </w:trPr>
        <w:tc>
          <w:tcPr>
            <w:tcW w:w="8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sales tax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other taxes and filing fees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 including settlement of shareholder class action lawsuit</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w:t>
            </w:r>
          </w:p>
        </w:tc>
      </w:tr>
      <w:tr>
        <w:trPr>
          <w:trHeight w:val="21"/>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1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Level 1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30"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Level 2 </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31"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Level 3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assets and liabilities are initially recorded at fair value. The carrying amounts of certain of the Company’s financial instruments, including cash equivalents, accounts receivable, accounts payable and accrued expenses, are carried at cost which approximates fair value due to the short-term maturity of these instruments and are Level 1 assets or liabilities of the fair value hierarchy. We have not identified material impacts from COVID-19 on the fair value of our financial assets and liabilities.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obligations under its long-term debt agreements are carried at amortized cost, which approximates their fair value as of March 31, 2021. The fair value of the Company’s obligations under its long-term debt agreements with JPMorgan were considered Level 2 liabilities of the fair value hierarchy because these instruments have interest rates that reset frequently. The fair value of the Company's obligations under its long-term debt agreements with Antara as of June 30, 2020 was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$15.8 million and considered a Level 3 liability of the fair value hierarchy because this instrument used significant unobservable inputs consistent with those used in determining the embedded derivative liability values, as discussed below.</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in Note 8, the Company’s 2020 Antara Term Facility agreement contained a mandatory prepayment feature that was determined to be an embedded derivative, requiring bifurcation and fair value recognition. For the year ended June 30, 2020, the Company’s embedded derivative liability was measured at fair value using a probability-weighted discounted cash flow model including assumptions for (1) management's estimates of the probability and timing of future cash flows and related events; (2) the Company's risk-adjusted discount rate that includes a company-specific risk premium; and (3) the Company's cost of debt; and was classified as a Level 3 liability of the fair value hierarchy and included as a component of Accrued expenses on the consolidated balance sheets as of June 30, 2020. The Company paid the prepayment premium on the 2020 Antara Term Facility and derecognized the embedded derivative liability during the three months ended September 30,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21, 2020, Congress approved the Consolidated Appropriations Act, 2021 (the “Appropriations Act”), which was signed into law by the President on December 27, 2020. The Appropriations Act funds the federal government to the end of the fiscal year and provides further COVID-19 economic relief. Some of the business provisions included in the Appropriations Act are additional Paycheck Protection Program ("PPP") loans, clarification of the deductibility of business expenses that were paid for with PPP funds, expansion of the employee retention credit, and temporary full deduction for business expenses for food and beverages provided by a restaurant. The Appropriations Act did not have a material impact on the Company’s income taxes. The Company will continue to monitor for additional legislation related to COVID-19 and its impact on our results of operations.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2021, the Company recorded an income tax provision of $44 thousand. For the nine months ended March 31, 2021, the Company recorded an income tax provision of $133 thousand. As of March 31, 2021, the Company reviewed the existing deferred tax assets and continues to record a full valuation against its deferred tax assets. The income tax provisions primarily relate to the Company's uncertain tax positions, as well as state income and franchise taxes. As of March 31, 2021, the Company had a total unrecognized income tax benefit of $0.2 million. The provision is based upon actual loss before income taxes for the nine months ended March 31, 2021, as the use of an estimated annual effective income tax rate does not provide a reliable estimate of the income tax provision. The Company will continue to monitor the status of the COVID-19 pandemic and its impact on our results of operations.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three months ended March 31, 2020, the Company recorded an income tax benefit of $85 thousand. For the nine months ended March 31, 2020, an income tax provision of $46 thousand was recorded. As of March 31, 2020, the Company recorded a full valuation against its deferred tax assets. The income tax provision primarily relates to the Company’s uncertain tax positions, as well as state income and franchise taxes. As of March 31, 2020, the Company had a total unrecognized income tax benefit of $0.2 million. The provision is based upon actual loss before income taxes for the nine months ended March 31, 2020, as the use of an estimated annual effective income tax rate does not provide a reliable estimate of the income tax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 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 The syndicate for the Private Placement included affiliates of Hudson Executive Capital LP (“Hudson Executive”), a greater than 10% shareholder and a related party of the Company. Affiliates of Hudson Executive purchased 975,000 of the shares sold in the Private Placement for the same purchase price and on the same terms as the other purchasers.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Subscription Agreements, the Company agreed to file a registration statement with the U.S. Securities and Exchange Commission covering the resale of the Shares within 45 days following the date of the Subscription Agreements and 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had 23,978 warrants outstanding as of December 31, 2020 and June 30, 2020, all of which were exercisable at $5.00 per share and with an expiration date of March 29, 2021. These warrants were exercised in March 2021 and 12,154 shares were issued pursuant to a cashless exercise option election made by the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does not have any warrants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all options granted during the nine months ended March 31, 2021 and 2020 was determined using the following assumptions and includes only options with an established grant date under ASC 718:</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March 31,</w:t>
            </w:r>
          </w:p>
        </w:tc>
        <w:tc>
          <w:tcPr>
            <w:tcW w:w="1340" w:type="dxa"/>
            <w:vAlign w:val="bottom"/>
            <w:tcBorders>
              <w:bottom w:val="single" w:sz="8" w:color="auto"/>
            </w:tcBorders>
          </w:tcPr>
          <w:p>
            <w:pPr>
              <w:spacing w:after="0"/>
              <w:rPr>
                <w:sz w:val="16"/>
                <w:szCs w:val="16"/>
                <w:color w:val="auto"/>
              </w:rPr>
            </w:pPr>
          </w:p>
        </w:tc>
      </w:tr>
      <w:tr>
        <w:trPr>
          <w:trHeight w:val="187"/>
        </w:trPr>
        <w:tc>
          <w:tcPr>
            <w:tcW w:w="65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2020</w:t>
            </w:r>
          </w:p>
        </w:tc>
      </w:tr>
      <w:tr>
        <w:trPr>
          <w:trHeight w:val="22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 - 77.3%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- 90.1%</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expected life (years)</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3.5 - 4.5</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Risk-free interest rate (percent)</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 - 0.4%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 - 1.6%</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660,000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340,760</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6.85</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6.84</w:t>
            </w:r>
          </w:p>
        </w:tc>
      </w:tr>
    </w:tbl>
    <w:p>
      <w:pPr>
        <w:spacing w:after="0" w:line="3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Stock based compensation related to stock options with an established grant date for the three and nine months ended March 31, 2021 was $1.3 million and $3.8 million, respectively, and for the three and nine months ended March 31, 2020 was $0.1 million and $1.5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awarded stock options to certain executives which vest each year over a three to four year period. These stock options are also subject to the achievement of performance goals to be established by the Company's Board for each fiscal year. Because the performance conditions of those stock options granted had not yet been established as of December 31, 2020, a measurement date under ASC 718, Compensation - Stock Compensation, had not yet been established for those stock options and compensation cost was not measured and recorded.</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Arial" w:cs="Arial" w:eastAsia="Arial" w:hAnsi="Arial"/>
          <w:sz w:val="16"/>
          <w:szCs w:val="16"/>
          <w:i w:val="1"/>
          <w:iCs w:val="1"/>
          <w:color w:val="auto"/>
        </w:rPr>
        <w:t>ASC Topic 718 Compensation — Stock Compensation</w:t>
      </w:r>
      <w:r>
        <w:rPr>
          <w:rFonts w:ascii="Arial" w:cs="Arial" w:eastAsia="Arial" w:hAnsi="Arial"/>
          <w:sz w:val="16"/>
          <w:szCs w:val="16"/>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for the three and nine months ended March 31, 2021 for these awards was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employees of Hudson Executive, a greater than 10% shareholder and a related party of the Company, entered into consulting agreements with the Company in August and September of 2020, respectively, under which the consultants are to provide financial and strategic analysis and advisory services to the Company's CEO through July 31, 2021. As consideration for the services, in March 2021 the consultants were granted a total of 80,000 restricted stock units. The total expense recognized for the three and nine months ended March 31, 2021 for these agreements was $0.8 million. These restricted stock units had fully vested as of March 31, 2021.</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significant new common stock awards granted (excluding the consulting agreements described separately above) during the three and nine months ended March 31, 2021. The total expense recognized (excluding the consulting agreements described separately above) for common stock awards for the three and nine months ended March 31, 2021 was $0.3 million and $0.9 million respectively, and for the three and nine months ended March 31, 2020 was $0.4 million and 0.9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reported, on September 11, 2018, Stéphane Gouet filed a putative class action complaint against the Company, Stephen P. Herbert, the then-current Chief Executive Officer, and Priyanka Singh, the then-current Chief Financial Officer, in the United States District Court for the District of New Jersey. The class was defined as purchasers of the Company’s securities from November 9, 2017 through September 11, 2018. The complaint alleged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alleged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alleged violations of Sections 10(b) and 20(a) of the Securities Exchange Act of 1934 (the “1934 Act”) and Rule 10b-5 promulgated thereunder.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28, 2019, the Court approved a Stipulation agreed to by the parties in the Consolidated Action for the filing of an amended complaint within fourteen days after the Company filed its 2018 Form 10-K. On January 22, 2019, the Company and Herbert filed a motion to transfer the Consolidated Action to the United States District Court for the Eastern District of Pennsylvania. On February 5, 2019, the Lead Plaintiff filed its opposition to the Motion to Transfer. On August 12, 2019, the University of Puerto Rico Retirement System (“UPR”) filed a putative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“Underwriters”). The class was defined as purchasers of the Company’s shares pursuant to the registration statement and prospectus issued in connection with the Public Offering. Plaintiff sought to recover damages caused by Defendants’ alleged violations of the Securities Act of 1933 (as amended, the “1933 Act”), and specifically Sections 11, 12 and 15 thereof. The complaint generally sought compensatory damages, rescissory damages and attorneys’ fees and costs. The UPR complaint was consolidated into the Consolidated Action and the UPR docket was closed.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30, 2019, the Court granted the motion to transfer and transferred the Consolidated Action to the United States District Court for the Eastern District of Pennsylvania, Docket No. 19-cv-04565. On November 20, 2019, Plaintiff filed an amended complaint that asserted claims under both the 1933 Act and the 1934 Act. Defendants filed motions to dismiss on February 3, 2020. Before briefing on the motions was completed, the parties participated in a private mediation on February 27, 2020, which ultimately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that includes all administrative costs and plaintiffs’ attorneys’ fees and expenses. The Company’s insurance carriers paid approximately $12.7 million towards the settlement and the Company paid approximately $2.6 million towards the settlement. The settlement payments were deposited into an escrow account in July 2020. Only one putative class member submitted an objection to the settlement. On October 30, 2020, the Court held a hearing on the motion for final settlement approval and granted approval. Under the settlement, payment of plaintiffs’ counsel’s fees and expenses may be distributed within three business days of approval (subject to being returned if the settlement is reversed based on any appeal). Thirty days after the judgment, the remaining funds from the escrow account were released to the plaintiffs pursuant to the settlement. The deadline for filing an appeal has passed, so this case has been fully and finally resolved.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“State Securities Class Action”). The complaint alleged violations of the 1933 Act.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 This action has remained stayed pending final disposition of the Consolidated Action. After the final resolution of the Consolidated Action plaintiffs' counsel agreed that the State Securities Class Action could not proceed in light of the releases provided by the final judgment in the federal action. On February 17, 2021, the parties filed a joint motion seeking approval from the Court to allow plaintiff to discontinue the State Securities Class Action with prejudice. On March 10, 2021, the Court held a hearing on the motion and granted the relief requested. On March 19, 2021, plaintiff filed a praecipe to discontinue and end the action. This case has been fully and finally resolved.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Subpoena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Shareholder Demand Letters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letter dated October 12, 2018, Peter D’Arcy, a purported shareholder of the Company, demanded that the Board of Directors investigate, remedy and commence proceedings against certain of the Company’s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 Company failed to maintain adequate internal controls. By letter dated October 18, 2018, Chiu Jen-Ting, a purported shareholder of the Company, demanded that the Board of Directors investigate, remedy and commence proceedings against certain of the Company’s former officers and directors for breach of fiduciary duties in connection with issues similar to those asserted by Mr. D’Arcy. By letter dated August 2, 2019, Stan Emanuel, a purported shareholder of the Company, demanded that the Board of Directors investigate, remedy and commence proceedings against certain of the Company’s former officers and directors for breach of fiduciary duties in connection with issues similar to those asserted by Mr. D’Arcy. In accordance with Pennsylvania law, the Board of Directors formed a special litigation committee (the “SLC”), currently consisting of Lisa P. Baird, Douglas L. Braunstein and Michael K. Passilla, in order to, among other things, investigate and evaluate the demand letters. The SLC and its counsel investigated the matters raised in these letters. During the second fiscal quarter of 2021, the Company reached a settlement in principle with these shareholders. The settlement consists of a payment of $500,000 in attorneys' fees to the shareholders’ counsel and adoption of various corporate governance reforms.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16, 2021, the Court of Common Pleas of Chester County, Pennsylvania entered an order preliminarily approving the settlement and providing for notice to shareholders of the Company. As contemplated by the settlement agreement and ordered by the Court in the preliminary approval order, the Company gave notice to shareholders of the action (as filed in our Current Report on Form 8-K filed with the SEC on February 17, 2021), their right and timing to assert objections, and of the release of claims that would be effectuated if the settlement was finally approved. The Company also delivered the attorneys’ fees under the agreement to plaintiffs’ counsel to be held in escrow pending final approval of the settlement.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25, 2021, the Court, having received no objections, granted the motion for final approval and entered final judgment. This case has been fully and finally resolved.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various operating lease obligations. See Note 3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Cantaloupe, Inc. (“Cantaloupe”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6" w:lineRule="exact"/>
        <w:rPr>
          <w:sz w:val="20"/>
          <w:szCs w:val="20"/>
          <w:color w:val="auto"/>
        </w:rPr>
      </w:pPr>
    </w:p>
    <w:p>
      <w:pPr>
        <w:ind w:left="500" w:hanging="330"/>
        <w:spacing w:after="0" w:line="308"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market or business conditions unrelated to our operating performance, including the impact of the coronavirus disease 2019 (COVID-19) pandemic on the Company's operations, financial condition, and the demand for the Company’s products and services;</w:t>
      </w:r>
    </w:p>
    <w:p>
      <w:pPr>
        <w:spacing w:after="0" w:line="119" w:lineRule="exact"/>
        <w:rPr>
          <w:rFonts w:ascii="Arial" w:cs="Arial" w:eastAsia="Arial" w:hAnsi="Arial"/>
          <w:sz w:val="17"/>
          <w:szCs w:val="17"/>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the financial covenants of our credit agreement with JPMorgan Chase Bank, N.A. entered into on August 14, 2020, as amended;</w:t>
      </w:r>
    </w:p>
    <w:p>
      <w:pPr>
        <w:spacing w:after="0" w:line="62"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in the normal course of business or if an unexpected or unusual event would occur;</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Seed’s software solutions or our other products in the future at levels currently anticipated by our Company;</w:t>
      </w:r>
    </w:p>
    <w:p>
      <w:pPr>
        <w:spacing w:after="0" w:line="62"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cancellable by the customer on thirty to sixty days’ notice;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is derived;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17"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17" w:lineRule="exact"/>
        <w:rPr>
          <w:rFonts w:ascii="Arial" w:cs="Arial" w:eastAsia="Arial" w:hAnsi="Arial"/>
          <w:sz w:val="18"/>
          <w:szCs w:val="18"/>
          <w:color w:val="auto"/>
        </w:rPr>
      </w:pPr>
    </w:p>
    <w:p>
      <w:pPr>
        <w:ind w:left="500" w:right="26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maintain the resilience of our electronic platforms, soundness of our business continuity and disaster recovery plans and to avoid unauthorized hacking or credit card fraud;</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will experience material weaknesses in our internal controls over financial reporting in the future, and are not able to accurately or timely report our financial condition or results of operations;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17" w:lineRule="exact"/>
        <w:rPr>
          <w:rFonts w:ascii="Arial" w:cs="Arial" w:eastAsia="Arial" w:hAnsi="Arial"/>
          <w:sz w:val="18"/>
          <w:szCs w:val="18"/>
          <w:color w:val="auto"/>
        </w:rPr>
      </w:pPr>
    </w:p>
    <w:p>
      <w:pPr>
        <w:jc w:val="both"/>
        <w:ind w:left="500" w:hanging="330"/>
        <w:spacing w:after="0" w:line="25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the currently pending investigation, potential litigation or possible regulatory action arising from the internal investigation conducted by the Audit Committee in fiscal year 2019 and its findings (the “2019 Investigation”), from the failure to timely file our periodic reports with the Securities and Exchange Commission, from the restatement of the affected financial statements, from allegations related to the registration statement for the follow-on public offering, or from potential litigation from the subpoena the Company received from the U.S. Department of Justice.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Quarterly Reports on Form 10-Q for the fiscal quarters ended September 30, 2020 and December 31, 2020 and in our Annual Report on Form 10-K for the fiscal year ended June 30, 2020 (“2020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Cantaloupe, Inc. (“Cantaloupe” or the “Company”) is a software and payments company that provides end-to-end technology solutions for the unattended retail market. Cantaloupe is transforming the unattended retail community by offering one integrated solution for payments processing, logistics, and back-office management. The Company’s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gas and car charging stations, laundromats, metered parking terminals, kiosks, amusements and more, can run their businesses more proactively, predictably, and competitively.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have evolved from unlocking the potential of cashless payments in vending to transforming into the first platform as a service (PaaS) to power unattended retail operations, from hardware to software for a variety of brands. Today, the unattended retail experience is constantly expanding into new markets and enables brands and merchants to work in new ways. Cantaloupe’s mission is to deliver the best operational and payments platform for unattended retail that is quick to implement, easy to integrate, flexible to operate, and provides valuable, real-time customer insights and a rapid return on investment. The Company’s PaaS is transforming the unattended retail community by offering one cohesive, integrated solution for payments processing, logistics, and back-office management. It is intended to increase consumer engagement and sales revenue through contactless payments, digital advertising and customer loyalty programs, while providing retailers with control and visibility over their operations and inventory.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fiscal year ends June 30. The Company generates revenue in multiple ways. During the three and nine months ended March 31, 2021, we derived approximately 81% and 86%, respectively of our revenue from recurring license and transaction fees related to our ePort Connect service and approximately 19% and 14%, respectively, of our revenue from equipment sales. Active Devices on our service include point of sale ("POS") electronic payment devices, certified payment software, or the servicing of similar third-party installed POS terminals. Devices utilizing the ePort Connect service are the most significant drivers of the Company’s revenue, particularly the recurring revenue from license and transaction fees. Customers can obtain POS electronic payment devices from us in the following ways:</w:t>
      </w:r>
    </w:p>
    <w:p>
      <w:pPr>
        <w:sectPr>
          <w:pgSz w:w="11900" w:h="16838" w:orient="portrait"/>
          <w:cols w:equalWidth="0" w:num="1">
            <w:col w:w="11240"/>
          </w:cols>
          <w:pgMar w:left="320" w:top="125" w:right="339" w:bottom="1440" w:gutter="0" w:footer="0" w:header="0"/>
        </w:sectPr>
      </w:pPr>
    </w:p>
    <w:p>
      <w:pPr>
        <w:spacing w:after="0" w:line="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left="20" w:hanging="5"/>
        <w:spacing w:after="0" w:line="293" w:lineRule="auto"/>
        <w:rPr>
          <w:sz w:val="20"/>
          <w:szCs w:val="20"/>
          <w:color w:val="auto"/>
        </w:rPr>
      </w:pPr>
      <w:r>
        <w:rPr>
          <w:rFonts w:ascii="Arial" w:cs="Arial" w:eastAsia="Arial" w:hAnsi="Arial"/>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93" w:lineRule="exact"/>
        <w:rPr>
          <w:sz w:val="20"/>
          <w:szCs w:val="20"/>
          <w:color w:val="auto"/>
        </w:rPr>
      </w:pPr>
    </w:p>
    <w:p>
      <w:pPr>
        <w:sectPr>
          <w:pgSz w:w="11900" w:h="16838" w:orient="portrait"/>
          <w:cols w:equalWidth="0" w:num="2">
            <w:col w:w="420" w:space="220"/>
            <w:col w:w="10600"/>
          </w:cols>
          <w:pgMar w:left="320" w:top="125" w:right="339" w:bottom="1440" w:gutter="0" w:footer="0" w:header="0"/>
          <w:type w:val="continuous"/>
        </w:sectPr>
      </w:pPr>
    </w:p>
    <w:p>
      <w:pPr>
        <w:ind w:left="640" w:hanging="308"/>
        <w:spacing w:after="0"/>
        <w:tabs>
          <w:tab w:leader="none" w:pos="640" w:val="left"/>
        </w:tabs>
        <w:numPr>
          <w:ilvl w:val="0"/>
          <w:numId w:val="10"/>
        </w:numPr>
        <w:rPr>
          <w:rFonts w:ascii="Arial" w:cs="Arial" w:eastAsia="Arial" w:hAnsi="Arial"/>
          <w:sz w:val="22"/>
          <w:szCs w:val="22"/>
          <w:color w:val="auto"/>
        </w:rPr>
      </w:pPr>
      <w:r>
        <w:rPr>
          <w:rFonts w:ascii="Arial" w:cs="Arial" w:eastAsia="Arial" w:hAnsi="Arial"/>
          <w:sz w:val="16"/>
          <w:szCs w:val="16"/>
          <w:color w:val="auto"/>
        </w:rPr>
        <w:t>Renting devices under the Company’s JumpStart Program, which are cancellable month-to-month operating leases.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4"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highlights of the Company are below:</w:t>
      </w:r>
    </w:p>
    <w:p>
      <w:pPr>
        <w:spacing w:after="0" w:line="127" w:lineRule="exact"/>
        <w:rPr>
          <w:sz w:val="20"/>
          <w:szCs w:val="20"/>
          <w:color w:val="auto"/>
        </w:rPr>
      </w:pPr>
    </w:p>
    <w:p>
      <w:pPr>
        <w:ind w:left="700" w:hanging="368"/>
        <w:spacing w:after="0"/>
        <w:tabs>
          <w:tab w:leader="none" w:pos="700" w:val="left"/>
        </w:tabs>
        <w:numPr>
          <w:ilvl w:val="0"/>
          <w:numId w:val="11"/>
        </w:numPr>
        <w:rPr>
          <w:rFonts w:ascii="Arial" w:cs="Arial" w:eastAsia="Arial" w:hAnsi="Arial"/>
          <w:sz w:val="25"/>
          <w:szCs w:val="25"/>
          <w:color w:val="auto"/>
        </w:rPr>
      </w:pPr>
      <w:r>
        <w:rPr>
          <w:rFonts w:ascii="Arial" w:cs="Arial" w:eastAsia="Arial" w:hAnsi="Arial"/>
          <w:sz w:val="18"/>
          <w:szCs w:val="18"/>
          <w:color w:val="auto"/>
        </w:rPr>
        <w:t>18,763 Active Customers and 1.1 million Active Devices to our service;</w:t>
      </w:r>
    </w:p>
    <w:p>
      <w:pPr>
        <w:spacing w:after="0" w:line="174" w:lineRule="exact"/>
        <w:rPr>
          <w:rFonts w:ascii="Arial" w:cs="Arial" w:eastAsia="Arial" w:hAnsi="Arial"/>
          <w:sz w:val="25"/>
          <w:szCs w:val="25"/>
          <w:color w:val="auto"/>
        </w:rPr>
      </w:pPr>
    </w:p>
    <w:p>
      <w:pPr>
        <w:ind w:left="660" w:right="20" w:hanging="328"/>
        <w:spacing w:after="0" w:line="223" w:lineRule="auto"/>
        <w:tabs>
          <w:tab w:leader="none" w:pos="654" w:val="left"/>
        </w:tabs>
        <w:numPr>
          <w:ilvl w:val="0"/>
          <w:numId w:val="11"/>
        </w:numPr>
        <w:rPr>
          <w:rFonts w:ascii="Arial" w:cs="Arial" w:eastAsia="Arial" w:hAnsi="Arial"/>
          <w:sz w:val="25"/>
          <w:szCs w:val="25"/>
          <w:color w:val="auto"/>
        </w:rPr>
      </w:pPr>
      <w:r>
        <w:rPr>
          <w:rFonts w:ascii="Arial" w:cs="Arial" w:eastAsia="Arial" w:hAnsi="Arial"/>
          <w:sz w:val="18"/>
          <w:szCs w:val="18"/>
          <w:color w:val="auto"/>
        </w:rPr>
        <w:t>Three direct sales teams at the national, regional, and local customer-level and a growing number of original equipment manufacturers and national distribution partners;</w:t>
      </w:r>
    </w:p>
    <w:p>
      <w:pPr>
        <w:sectPr>
          <w:pgSz w:w="11900" w:h="16838" w:orient="portrait"/>
          <w:cols w:equalWidth="0" w:num="1">
            <w:col w:w="11240"/>
          </w:cols>
          <w:pgMar w:left="320" w:top="125" w:right="339" w:bottom="1440" w:gutter="0" w:footer="0" w:header="0"/>
        </w:sectPr>
      </w:pPr>
    </w:p>
    <w:p>
      <w:pPr>
        <w:spacing w:after="0" w:line="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Awarded a patent by the United States Patent and Trademark Office (USPTO), titled “Method and System of Personal Vending”;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Raised $55 million of aggregate gross proceeds from institutional accredited investors through a private placement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Continued strong progress towards achieving completion of the rebrand of the Company from USA Technologies to Cantaloupe;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Continued promotional upgrade program for 2G and 3G devices to 4G LTE;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Upgraded and expanded the ePort product family to accept EMV contact and contactless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Launched next generation of Seed Cashless+;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Announced eCommerce integration for office coffee service ("OCS") and Delivery Services; 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Released UR Tech Insiders podcast with Discover on the importance of EMV acceptance in the self-service market.</w:t>
      </w:r>
    </w:p>
    <w:p>
      <w:pPr>
        <w:spacing w:after="0" w:line="131" w:lineRule="exact"/>
        <w:rPr>
          <w:sz w:val="20"/>
          <w:szCs w:val="20"/>
          <w:color w:val="auto"/>
        </w:rPr>
      </w:pPr>
    </w:p>
    <w:p>
      <w:pPr>
        <w:sectPr>
          <w:pgSz w:w="11900" w:h="16838" w:orient="portrait"/>
          <w:cols w:equalWidth="0" w:num="2">
            <w:col w:w="420" w:space="220"/>
            <w:col w:w="106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As of March 31, 2021, we have over 160 employees and offices in Malvern, Pennsylvania, Denver, Colorado, and Atlanta, Georgia.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middle of March 2020, when average daily processing volume decreased approximately 40%. By middle of April 2020, processing volumes began to recover and have improved through March 2021 and we are now approaching pre-pandemic levels of volumes. Continued COVID-19 recurrences could result in further reductions in foot traffic to distributed assets containing our electronic payment solutions and reduced discretionary spending by consumers.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response to the outbreak and business disruption, first and foremost, we prioritized the health and safety of our employees while continuing to diligently serve our customers. An internal task force was created at the start of the pandemic to develop measures to protect the business in light of the volatility and uncertainty caused by the COVID-19 pandemic. This included such aspects as ensuring the safety of our employees and our community by implementing work from home policies, conserving liquidity, evaluating cost saving actions, partnering with customers to position Cantaloupe for renewed growth post crisis, and temporarily pausing plans for international expansion. The liquidity conservation and cost savings initiatives included: a 20% salary reduction for the senior leadership team through December 2020; deferral of all cash-based director fees until calendar year 2021; a temporary furlough of approximately 10% of our employee base; negotiations with and concessions from vendors in regard to cost reductions and/or payment deferrals; an increased collection effort to reduce outstanding accounts receivables; and various supply chain/inventory improvements. During the summer of 2020 as restrictions lifted, our offices were opened with strict guidelines for social distancing and with adherence to state and local mandates. All of our furloughed employees returned to work by June 26, 2020. Most of our employees continue to work remotely as of March 31, 2021. To date, our supply chain network has not been significantly disrupted and we are continuously monitoring for the impact from COVID-19. In addition, the Company received loan proceeds from the Paycheck Protection Program in the fourth quarter of fiscal year 2020. See Note 8 for additional information.</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continue to monitor the continuously evolving situation and follow guidance from federal, state and local public health authorities. Given the continued uncertainty of the situation, the Company cannot, at this time, reasonably estimate the longer-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term repercussions of COVID-19 on our financial condition, results of operations or cash flows in the future. If the pandemic is not substantially contained in the near future, COVID-19 may have a material adverse impact on our revenue growth as well as our overall profitability in fiscal year 2021, and may lead to higher sales-related, inventory-related, and operating reserves. As of March 31, 2021, we have evaluated the potential impact of the COVID-19 outbreak on our financial statements, including,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572125" cy="5357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2125" cy="535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580" w:type="dxa"/>
            <w:vAlign w:val="bottom"/>
          </w:tcPr>
          <w:p>
            <w:pPr>
              <w:jc w:val="right"/>
              <w:ind w:right="482"/>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30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82"/>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(73.2)%</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per common share - diluted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600" w:type="dxa"/>
            <w:vAlign w:val="bottom"/>
            <w:tcBorders>
              <w:bottom w:val="single" w:sz="8" w:color="auto"/>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156.5 %</w:t>
            </w:r>
          </w:p>
        </w:tc>
      </w:tr>
    </w:tbl>
    <w:p>
      <w:pPr>
        <w:spacing w:after="0" w:line="62"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Adjusted EBITDA is a non-GAAP measurement. See Reconciliations of Non-GAAP Measures for a reconciliation of Adjusted EBITDA to net loss.</w:t>
      </w:r>
    </w:p>
    <w:p>
      <w:pPr>
        <w:spacing w:after="0" w:line="2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slightly by $0.3 million for the three months ended March 31, 2021 compared to the same period in 2020.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earned between our various product and services revenue streams (License and transaction fees and Equipment sales) continue to be consistent across the same periods in both years and we are approaching pre-pandemic (COVID-19) levels of processing volumes as of March 31, 2021 as businesses, schools and other organizations across the country continue to re-open.</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$2.0 million for the three months ended March 31, 2021 compared to the same period in 2020.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primarily by a $1.8 million decrease in cost of license and transaction fees due to a decrease in network service fees and lower transaction volumes. See “Revenue and Gross Profit” below for a discussion on the significant changes in the cost of sales.</w:t>
      </w:r>
    </w:p>
    <w:p>
      <w:pPr>
        <w:spacing w:after="0" w:line="190"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decreased by $6.5 million for the three months ended March 31, 2021 from the comparable prior period. See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below for a discussion of the significant changes in our operating expenses.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Pr>
          <w:p>
            <w:pPr>
              <w:spacing w:after="0"/>
              <w:rPr>
                <w:sz w:val="16"/>
                <w:szCs w:val="16"/>
                <w:color w:val="auto"/>
              </w:rPr>
            </w:pPr>
          </w:p>
        </w:tc>
        <w:tc>
          <w:tcPr>
            <w:tcW w:w="1580" w:type="dxa"/>
            <w:vAlign w:val="bottom"/>
          </w:tcPr>
          <w:p>
            <w:pPr>
              <w:jc w:val="right"/>
              <w:ind w:right="479"/>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32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95,332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64,388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189.1 %</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(29,181)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per common share - 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6600" w:type="dxa"/>
            <w:vAlign w:val="bottom"/>
            <w:tcBorders>
              <w:bottom w:val="single" w:sz="8" w:color="auto"/>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134.5 %</w:t>
            </w:r>
          </w:p>
        </w:tc>
      </w:tr>
    </w:tbl>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NM — not meaningful</w:t>
      </w:r>
    </w:p>
    <w:p>
      <w:pPr>
        <w:spacing w:after="0" w:line="244"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Adjusted EBITDA is a non-GAAP measurement. See Reconciliations of Non-GAAP Measures for a reconciliation of Adjusted EBITDA to net loss.</w:t>
      </w:r>
    </w:p>
    <w:p>
      <w:pPr>
        <w:spacing w:after="0" w:line="24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$12.6 million for the nine months ended March 31, 2021 compared to the same period in 2020. Approximately $8.3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the decrease relates to fewer equipment shipments in the year-to-date as compared to the prior year-to-date driven primarily as customers continue to focus on liquidity during the COVID-19 pandemic with many committing to 4G device upgrades but holding off on delivery until closer to the discontinuation of 3G network support in 2022. Additionally, $4.3 million of the decrease relates to lower transaction volumes due to the impacts of COVID-19 in the current year-to-date compared to the prior year-to-date.</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$16.7 million for the nine months ended March 31, 2021 compared to the same period in 2020.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$10.2 million decrease in cost of equipment sales, including a $5.5 million sale of equipment to a strategic partner in the prior year period, and a $6.5 million decrease in cost of license and transaction fees due to a</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decrease in network service fees and lower transaction volumes. See “Revenue and Gross Profit” below for a discussion on the significant changes in the cost of sales.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decreased $16.9 million for the nine months ended March 31, 2021 from the comparable prior period. See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below for a discussion of the significant changes in our 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AND NON-FINANCIAL DATA</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 and the Financing Structure of Devices metric is useful in allowing management and readers to evaluate the growth of our QuickStart program and direct sales compared to the JumpStart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Active Devices is defined as a device that has communicated with us or has had a transaction in the last 12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234" w:lineRule="auto"/>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1"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Transactions are defined as electronic payment transactions that are processed by our technology-enabled solutions. Management uses Total Number and Dollar Volume of transactions to evaluate the effectiveness of our new customer strategy and ability to leverage existing customers and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Structure of Devices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Financing Structure of Devices is determined by identifying the gross new devices during the quarter and determining which devices were due to devices financed by the JumpStart program compared to devices financed by the QuickStart program or purchased outright. We monitor this metric as we are able to increase cash collections from direct sales to customers or under QuickStart sales by utilizing lease companies, which improves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As of and for the three months ended</w:t>
      </w:r>
    </w:p>
    <w:p>
      <w:pPr>
        <w:spacing w:after="0" w:line="25" w:lineRule="exact"/>
        <w:rPr>
          <w:sz w:val="20"/>
          <w:szCs w:val="20"/>
          <w:color w:val="auto"/>
        </w:rPr>
      </w:pPr>
    </w:p>
    <w:tbl>
      <w:tblPr>
        <w:tblLayout w:type="fixed"/>
        <w:tblInd w:w="3860" w:type="dxa"/>
        <w:tblCellMar>
          <w:top w:w="0" w:type="dxa"/>
          <w:left w:w="0" w:type="dxa"/>
          <w:bottom w:w="0" w:type="dxa"/>
          <w:right w:w="0" w:type="dxa"/>
        </w:tblCellMar>
      </w:tblPr>
      <w:tr>
        <w:trPr>
          <w:trHeight w:val="141"/>
        </w:trPr>
        <w:tc>
          <w:tcPr>
            <w:tcW w:w="134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March 31, 2021</w:t>
            </w:r>
          </w:p>
        </w:tc>
        <w:tc>
          <w:tcPr>
            <w:tcW w:w="150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December 31, 2020</w:t>
            </w:r>
          </w:p>
        </w:tc>
        <w:tc>
          <w:tcPr>
            <w:tcW w:w="16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September 30, 2020</w:t>
            </w:r>
          </w:p>
        </w:tc>
        <w:tc>
          <w:tcPr>
            <w:tcW w:w="1340" w:type="dxa"/>
            <w:vAlign w:val="bottom"/>
            <w:tcBorders>
              <w:top w:val="single" w:sz="8" w:color="auto"/>
            </w:tcBorders>
          </w:tcPr>
          <w:p>
            <w:pPr>
              <w:jc w:val="center"/>
              <w:ind w:right="68"/>
              <w:spacing w:after="0" w:line="141" w:lineRule="exact"/>
              <w:rPr>
                <w:sz w:val="20"/>
                <w:szCs w:val="20"/>
                <w:color w:val="auto"/>
              </w:rPr>
            </w:pPr>
            <w:r>
              <w:rPr>
                <w:rFonts w:ascii="Arial" w:cs="Arial" w:eastAsia="Arial" w:hAnsi="Arial"/>
                <w:sz w:val="14"/>
                <w:szCs w:val="14"/>
                <w:b w:val="1"/>
                <w:bCs w:val="1"/>
                <w:color w:val="auto"/>
                <w:w w:val="92"/>
              </w:rPr>
              <w:t>June 30,</w:t>
            </w:r>
          </w:p>
        </w:tc>
        <w:tc>
          <w:tcPr>
            <w:tcW w:w="1500" w:type="dxa"/>
            <w:vAlign w:val="bottom"/>
            <w:tcBorders>
              <w:top w:val="single" w:sz="8" w:color="auto"/>
            </w:tcBorders>
          </w:tcPr>
          <w:p>
            <w:pPr>
              <w:jc w:val="center"/>
              <w:ind w:left="48"/>
              <w:spacing w:after="0" w:line="141"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13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5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Active Devices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(thousands)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Customers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Dollar Volume of Transactions (millions)</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Financing structure of Devices: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JumpStart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3"/>
          <w:szCs w:val="23"/>
          <w:color w:val="auto"/>
          <w:vertAlign w:val="superscript"/>
        </w:rPr>
        <w:t>(b)</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jc w:val="right"/>
              <w:ind w:right="490"/>
              <w:spacing w:after="0"/>
              <w:rPr>
                <w:sz w:val="20"/>
                <w:szCs w:val="20"/>
                <w:color w:val="auto"/>
              </w:rPr>
            </w:pPr>
            <w:r>
              <w:rPr>
                <w:rFonts w:ascii="Arial" w:cs="Arial" w:eastAsia="Arial" w:hAnsi="Arial"/>
                <w:sz w:val="18"/>
                <w:szCs w:val="18"/>
                <w:color w:val="auto"/>
              </w:rPr>
              <w:t>1,085</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1,083</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1,083</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1,079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1,054</w:t>
            </w:r>
          </w:p>
        </w:tc>
      </w:tr>
      <w:tr>
        <w:trPr>
          <w:trHeight w:val="769"/>
        </w:trPr>
        <w:tc>
          <w:tcPr>
            <w:tcW w:w="1680" w:type="dxa"/>
            <w:vAlign w:val="bottom"/>
          </w:tcPr>
          <w:p>
            <w:pPr>
              <w:jc w:val="right"/>
              <w:ind w:right="490"/>
              <w:spacing w:after="0"/>
              <w:rPr>
                <w:sz w:val="20"/>
                <w:szCs w:val="20"/>
                <w:color w:val="auto"/>
              </w:rPr>
            </w:pPr>
            <w:r>
              <w:rPr>
                <w:rFonts w:ascii="Arial" w:cs="Arial" w:eastAsia="Arial" w:hAnsi="Arial"/>
                <w:sz w:val="18"/>
                <w:szCs w:val="18"/>
                <w:color w:val="auto"/>
              </w:rPr>
              <w:t>18,763</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18,304</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17,760</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17,249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16,808</w:t>
            </w:r>
          </w:p>
        </w:tc>
      </w:tr>
      <w:tr>
        <w:trPr>
          <w:trHeight w:val="769"/>
        </w:trPr>
        <w:tc>
          <w:tcPr>
            <w:tcW w:w="1680" w:type="dxa"/>
            <w:vAlign w:val="bottom"/>
          </w:tcPr>
          <w:p>
            <w:pPr>
              <w:jc w:val="right"/>
              <w:ind w:right="490"/>
              <w:spacing w:after="0"/>
              <w:rPr>
                <w:sz w:val="20"/>
                <w:szCs w:val="20"/>
                <w:color w:val="auto"/>
              </w:rPr>
            </w:pPr>
            <w:r>
              <w:rPr>
                <w:rFonts w:ascii="Arial" w:cs="Arial" w:eastAsia="Arial" w:hAnsi="Arial"/>
                <w:sz w:val="18"/>
                <w:szCs w:val="18"/>
                <w:color w:val="auto"/>
              </w:rPr>
              <w:t>213.4</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211.8</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167.7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237.3</w:t>
            </w:r>
          </w:p>
        </w:tc>
      </w:tr>
      <w:tr>
        <w:trPr>
          <w:trHeight w:val="270"/>
        </w:trPr>
        <w:tc>
          <w:tcPr>
            <w:tcW w:w="1680" w:type="dxa"/>
            <w:vAlign w:val="bottom"/>
          </w:tcPr>
          <w:p>
            <w:pPr>
              <w:jc w:val="right"/>
              <w:ind w:right="490"/>
              <w:spacing w:after="0"/>
              <w:rPr>
                <w:sz w:val="20"/>
                <w:szCs w:val="20"/>
                <w:color w:val="auto"/>
              </w:rPr>
            </w:pPr>
            <w:r>
              <w:rPr>
                <w:rFonts w:ascii="Arial" w:cs="Arial" w:eastAsia="Arial" w:hAnsi="Arial"/>
                <w:sz w:val="18"/>
                <w:szCs w:val="18"/>
                <w:color w:val="auto"/>
              </w:rPr>
              <w:t>412.7</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422.6</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406.3</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329.1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462.7</w:t>
            </w:r>
          </w:p>
        </w:tc>
      </w:tr>
      <w:tr>
        <w:trPr>
          <w:trHeight w:val="756"/>
        </w:trPr>
        <w:tc>
          <w:tcPr>
            <w:tcW w:w="1680" w:type="dxa"/>
            <w:vAlign w:val="bottom"/>
          </w:tcPr>
          <w:p>
            <w:pPr>
              <w:jc w:val="right"/>
              <w:ind w:right="290"/>
              <w:spacing w:after="0"/>
              <w:rPr>
                <w:sz w:val="20"/>
                <w:szCs w:val="20"/>
                <w:color w:val="auto"/>
              </w:rPr>
            </w:pPr>
            <w:r>
              <w:rPr>
                <w:rFonts w:ascii="Arial" w:cs="Arial" w:eastAsia="Arial" w:hAnsi="Arial"/>
                <w:sz w:val="18"/>
                <w:szCs w:val="18"/>
                <w:color w:val="auto"/>
              </w:rPr>
              <w:t>2.1 %</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4.3 %</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3.0 %</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6.2 %</w:t>
            </w:r>
          </w:p>
        </w:tc>
        <w:tc>
          <w:tcPr>
            <w:tcW w:w="11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1680" w:type="dxa"/>
            <w:vAlign w:val="bottom"/>
          </w:tcPr>
          <w:p>
            <w:pPr>
              <w:jc w:val="right"/>
              <w:ind w:right="290"/>
              <w:spacing w:after="0"/>
              <w:rPr>
                <w:sz w:val="20"/>
                <w:szCs w:val="20"/>
                <w:color w:val="auto"/>
              </w:rPr>
            </w:pPr>
            <w:r>
              <w:rPr>
                <w:rFonts w:ascii="Arial" w:cs="Arial" w:eastAsia="Arial" w:hAnsi="Arial"/>
                <w:sz w:val="18"/>
                <w:szCs w:val="18"/>
                <w:color w:val="auto"/>
              </w:rPr>
              <w:t>97.9 %</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95.7 %</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97.0 %</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93.8 %</w:t>
            </w:r>
          </w:p>
        </w:tc>
        <w:tc>
          <w:tcPr>
            <w:tcW w:w="1120" w:type="dxa"/>
            <w:vAlign w:val="bottom"/>
          </w:tcPr>
          <w:p>
            <w:pPr>
              <w:jc w:val="right"/>
              <w:spacing w:after="0"/>
              <w:rPr>
                <w:sz w:val="20"/>
                <w:szCs w:val="20"/>
                <w:color w:val="auto"/>
              </w:rPr>
            </w:pPr>
            <w:r>
              <w:rPr>
                <w:rFonts w:ascii="Arial" w:cs="Arial" w:eastAsia="Arial" w:hAnsi="Arial"/>
                <w:sz w:val="18"/>
                <w:szCs w:val="18"/>
                <w:color w:val="auto"/>
              </w:rPr>
              <w:t>98.6 %</w:t>
            </w:r>
          </w:p>
        </w:tc>
      </w:tr>
      <w:tr>
        <w:trPr>
          <w:trHeight w:val="27"/>
        </w:trPr>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jc w:val="right"/>
              <w:ind w:right="290"/>
              <w:spacing w:after="0"/>
              <w:rPr>
                <w:sz w:val="20"/>
                <w:szCs w:val="20"/>
                <w:color w:val="auto"/>
              </w:rPr>
            </w:pPr>
            <w:r>
              <w:rPr>
                <w:rFonts w:ascii="Arial" w:cs="Arial" w:eastAsia="Arial" w:hAnsi="Arial"/>
                <w:sz w:val="18"/>
                <w:szCs w:val="18"/>
                <w:color w:val="auto"/>
              </w:rPr>
              <w:t>100.0 %</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100.0 %</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100.0 %</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100.0 %</w:t>
            </w:r>
          </w:p>
        </w:tc>
        <w:tc>
          <w:tcPr>
            <w:tcW w:w="11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-2014220</wp:posOffset>
            </wp:positionV>
            <wp:extent cx="71151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-1696720</wp:posOffset>
            </wp:positionV>
            <wp:extent cx="71151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-1353820</wp:posOffset>
            </wp:positionV>
            <wp:extent cx="711517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-1036320</wp:posOffset>
            </wp:positionV>
            <wp:extent cx="71151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-702310</wp:posOffset>
            </wp:positionV>
            <wp:extent cx="711517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-385445</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460"/>
            <w:col w:w="7380"/>
          </w:cols>
          <w:pgMar w:left="320" w:top="125" w:right="339" w:bottom="1440" w:gutter="0" w:footer="0" w:header="0"/>
          <w:type w:val="continuous"/>
        </w:sectPr>
      </w:pPr>
    </w:p>
    <w:p>
      <w:pPr>
        <w:spacing w:after="0" w:line="105" w:lineRule="exact"/>
        <w:rPr>
          <w:sz w:val="20"/>
          <w:szCs w:val="20"/>
          <w:color w:val="auto"/>
        </w:rPr>
      </w:pPr>
    </w:p>
    <w:p>
      <w:pPr>
        <w:ind w:left="340" w:right="2140" w:hanging="8"/>
        <w:spacing w:after="0" w:line="257" w:lineRule="auto"/>
        <w:tabs>
          <w:tab w:leader="none" w:pos="488"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revised the previously disclosed Active Devices (in thousands) amounts of 1,155 (December 31, 2020), 1,134 (September 30, 2020), 1,118 (June 30, 2020) and 1,103 (March 31, 2020) in the December 31, 2020 Quarterly Report on Form 10-Q to the amounts included in the above table as we have refined our methodology of tracking and reporting Active Devices.</w:t>
      </w:r>
    </w:p>
    <w:p>
      <w:pPr>
        <w:spacing w:after="0" w:line="211" w:lineRule="exact"/>
        <w:rPr>
          <w:rFonts w:ascii="Arial" w:cs="Arial" w:eastAsia="Arial" w:hAnsi="Arial"/>
          <w:sz w:val="14"/>
          <w:szCs w:val="14"/>
          <w:color w:val="auto"/>
        </w:rPr>
      </w:pPr>
    </w:p>
    <w:p>
      <w:pPr>
        <w:ind w:left="480" w:hanging="148"/>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ended March 31, 2021 include:</w:t>
      </w:r>
    </w:p>
    <w:p>
      <w:pPr>
        <w:spacing w:after="0" w:line="23" w:lineRule="exact"/>
        <w:rPr>
          <w:sz w:val="20"/>
          <w:szCs w:val="20"/>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1.08 million Active Devices compared to the same quarter last year of 1.05 million, an increase of approximately 30 thousand Active Devices, or 3%;</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18,763 Active Customers to our service compared to the same quarter last year of 16,808, an increase of 1,955 Active Customers, or 12%.</w:t>
      </w:r>
    </w:p>
    <w:p>
      <w:pPr>
        <w:spacing w:after="0" w:line="20" w:lineRule="exact"/>
        <w:rPr>
          <w:rFonts w:ascii="Arial" w:cs="Arial" w:eastAsia="Arial" w:hAnsi="Arial"/>
          <w:sz w:val="17"/>
          <w:szCs w:val="17"/>
          <w:color w:val="auto"/>
        </w:rPr>
      </w:pPr>
    </w:p>
    <w:p>
      <w:pPr>
        <w:jc w:val="both"/>
        <w:ind w:left="660" w:hanging="328"/>
        <w:spacing w:after="0" w:line="277"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Volumes for the quarter ended March 31, 2021 remain consistent with the prior quarter ended December 31, 2020, but are 11% lower compared to the average processing volumes for the quarter ended March 31, 2020 due to the impact of COVID-19. See "COVID-19 Update</w:t>
      </w:r>
      <w:r>
        <w:rPr>
          <w:rFonts w:ascii="Arial" w:cs="Arial" w:eastAsia="Arial" w:hAnsi="Arial"/>
          <w:sz w:val="17"/>
          <w:szCs w:val="17"/>
          <w:i w:val="1"/>
          <w:iCs w:val="1"/>
          <w:color w:val="auto"/>
        </w:rPr>
        <w:t>"</w:t>
      </w:r>
      <w:r>
        <w:rPr>
          <w:rFonts w:ascii="Arial" w:cs="Arial" w:eastAsia="Arial" w:hAnsi="Arial"/>
          <w:sz w:val="17"/>
          <w:szCs w:val="17"/>
          <w:color w:val="auto"/>
        </w:rPr>
        <w:t xml:space="preserve"> in Management’s Discussion and Analysis of Financial Condition and Results of Operations above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Incident</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2020, the Company experienced a network incident on its ePort transaction processing platform, resulting in certain devices being unable to process payment transactions during the outage. The Company has remediated the incident. For the six month period ending December 31, 2020, we accrued approximately $2 million of costs associated with the event. As of March 31, 2021, we have finalized the economic impact of the network incident with the vast majority of our customers. We estimate the final impact of the incident to be approximately $1.6 million, of which $1.2 million has been settled resulting in an outstanding accrual amount of $0.4 million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7"/>
                <w:szCs w:val="17"/>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34,686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34,961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8,137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42,760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43,098</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license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9,593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9,856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sales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30,056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32,100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12,717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slightly by $0.3 million for the three months ended March 31, 2021 compared to the same period in 2020.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earned between our various product and services revenue streams (License and transaction fees and Equipment sales) continue to be consistent across the same periods in both years and we are approaching pre-pandemic (COVID-19) levels of processing volumes as of March 31, 2021 as businesses, schools and other organizations across the country continue to re-open.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decreased $2.0 million for the three months ended March 31, 2021 compared to the same period in 2020. The change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primarily by a $1.8 million decrease in cost of license and transaction fees due to a decrease in network service fees and lower transaction volumes.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from 25.5% for the three months ended March 31, 2020 to 29.7%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change was driven primarily by a reduction in cost of license and transaction fees due to a decrease in network service fees and lower transaction volumes.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21,176</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Total operating expenses. </w:t>
      </w:r>
      <w:r>
        <w:rPr>
          <w:rFonts w:ascii="Arial" w:cs="Arial" w:eastAsia="Arial" w:hAnsi="Arial"/>
          <w:sz w:val="18"/>
          <w:szCs w:val="18"/>
          <w:color w:val="auto"/>
        </w:rPr>
        <w:t>Total operating expenses decreased by $6.5 million for the three months ended March 31, 2021,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This change was primarily driven by a reduction in professional fees incurred by the Company relating to the investigation and the restatements of previously filed financial statements, a decrease in usage of external legal and accounting professional services firms and a decrease in legal contingency reserves and other accruals.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approximately $2.2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compared to the same period in 2020. This change was primarily driven by a $4.3 million decrease in legal contingency reserves and other accruals, $0.6 million decrease in lower compensation expense, $0.5 million of lower travel expenses as a result of COVID-19 offset by an increase of $2.8 million in stock compensation expense.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Investigation, proxy solicitation and restatement expenses were incurred in fiscal year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derivative</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decreased $0.6 million for the three months ended March 31, 2021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2020. The change was primarily related to a $1.1 million change in the fair value of the Company’s embedded derivative related to the 2020 Antara Term Facility that was bifurcated and recognized at fair value as of March 31, 2020. The embedded derivative was derecognized when the outstanding loan was repaid in August 2020 and was not outstanding as of March 31, 2021. The above change of $1.1 million in the fair value of derivative was offset by a $0.5 million interest expense reduction on an accrual resulting in the net decrease of $0.6 million in 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2021 Compared to Nine Months Ended March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March 31,</w:t>
            </w:r>
          </w:p>
        </w:tc>
        <w:tc>
          <w:tcPr>
            <w:tcW w:w="1540" w:type="dxa"/>
            <w:vAlign w:val="bottom"/>
          </w:tcPr>
          <w:p>
            <w:pPr>
              <w:jc w:val="right"/>
              <w:ind w:right="453"/>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4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101,008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105,324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16,913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25,184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117,921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130,508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license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66,912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18,262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28,420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95,332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40,593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38,412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39,244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 and transaction fees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Equipment sales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$12.6 million for the nine months ended March 31, 2021 compared to the same period in 2020. Approximately $8.3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the decrease relates to fewer equipment shipments in the year-to-date as compared to the prior year-to-date driven primarily as customers continue to focus on liquidity during the COVID-19 pandemic with many committing to 4G device upgrades but holding off on delivery until closer to the discontinuation of 3G network support in 2022. Additionally, $4.3 million of the decrease relates to lower transaction volumes due to the impacts of COVID-19 in the current year-to-date compared to the prior year-to-date.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decreased $16.7 million for the nine months ended March 31, 2021 compared to the same period in 2020. The change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a $10.2 million decrease in cost of equipment sales, including a $5.5 million sale of equipment to a strategic partner in the prior year period, and a $6.5 million decrease in cost of license and transaction fees due to a decrease in network service fees and lower transaction volumes.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from 27.0% for the nine months ended March 31, 2020 to 33.3% for the nine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change was driven primarily by a reduction in cost of license and transaction fees due to a decrease in network service fees and lower transaction volumes and a decrease in cost of equipment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March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64,388</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Total operating expenses. </w:t>
      </w:r>
      <w:r>
        <w:rPr>
          <w:rFonts w:ascii="Arial" w:cs="Arial" w:eastAsia="Arial" w:hAnsi="Arial"/>
          <w:sz w:val="18"/>
          <w:szCs w:val="18"/>
          <w:color w:val="auto"/>
        </w:rPr>
        <w:t>Total operating expenses decreased $16.9 million for the nine months ended March 31, 2021,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This change was primarily driven by a reduction in professional fees incurred by the Company relating to the investigation and the restatements of previously filed financial statements, a decrease in usage of external legal and accounting professional services firms and a decrease in legal contingency reserves and other accruals.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approximately $2.9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compared to the same period in 2020. This change was primarily driven by $4.3 million decrease in legal contingency reserves and other accruals, $1.5 million of lower travel expenses as a result of COVID-19, $0.7 million decrease in lower compensation expense offset by an increase of $3.9 million in stock compensation expense.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Investigation, proxy solicitation and restatement expenses were incurred in fiscal year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March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100.4 %</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derivative</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decreased approximately $3.1 million for the nine months ended March 31, 2021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2020. This change was primarily related to the recognition of the remaining balance of unamortized issuance costs and debt discount related to the senior secured term loan facility with Antara Capital Master Fund LP of $2.6 million into interest expense, related to the repayment of all amounts outstanding under the 2020 Antara Term Facility and a $1 million change in the fair value of the Company's embedded derivative related to the 2020 Antara Term Facility that was bifurcated and recognized at fair value as of March 31, 2020. The embedded derivative was derecognized when the outstanding loan was repaid in August 2020 and was not outstanding as of March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Measures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Adjusted earnings before income taxes, depreciation, and amortization (“Adjusted EBITDA”) is a non-GAAP financial measure which is not required by or defined under U.S.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U.S. GAAP, including our net income or net loss or net cash used in operating activities. Management recognizes that non-GAAP financial measures have limitations in that they do not reflect all of the items associated with our net income or net loss as determined in accordance with U.S.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U.S. GAAP net loss before (i) interest income, (ii) interest expense on debt and reserves, (iii) income taxes, (iv) depreciation, (v) amortization, (vi) stock-based compensation expense, and (vii) non-recurring fees and charges that were incurred in connection with the 2019 Investigation and financial statement restatement activities as well as proxy solicitation costs (viii) changes in the fair value of the embedded derivative relating to the 2020 Antara Term Facility that was bifurcated and recognized at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loss to Adjusted EBITDA: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 of sales for rentals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r>
      <w:tr>
        <w:trPr>
          <w:trHeight w:val="230"/>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29"/>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investigation, proxy solicitation and restatement expenses </w:t>
            </w:r>
            <w:r>
              <w:rPr>
                <w:rFonts w:ascii="Arial" w:cs="Arial" w:eastAsia="Arial" w:hAnsi="Arial"/>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r>
      <w:tr>
        <w:trPr>
          <w:trHeight w:val="230"/>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Less: change in fair value of derivative </w:t>
            </w:r>
            <w:r>
              <w:rPr>
                <w:rFonts w:ascii="Arial" w:cs="Arial" w:eastAsia="Arial" w:hAnsi="Arial"/>
                <w:sz w:val="23"/>
                <w:szCs w:val="23"/>
                <w:color w:val="auto"/>
                <w:vertAlign w:val="superscript"/>
              </w:rPr>
              <w:t>(c)</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EBITDA</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1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r>
    </w:tbl>
    <w:p>
      <w:pPr>
        <w:spacing w:after="0" w:line="76"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ind w:left="660" w:hanging="328"/>
        <w:spacing w:after="0" w:line="241" w:lineRule="auto"/>
        <w:tabs>
          <w:tab w:leader="none" w:pos="68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an adjustment to EBITDA, we have excluded the professional fees incurred in connection with the non-recurring costs and expenses related to the 2019 Investigation, financial statement restatement activities, and proxy solicitation costs.</w:t>
      </w:r>
    </w:p>
    <w:p>
      <w:pPr>
        <w:ind w:left="680" w:hanging="348"/>
        <w:spacing w:after="0"/>
        <w:tabs>
          <w:tab w:leader="none" w:pos="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Consistent with the exclusion of debt interest expense from EBITDA, the debt-related derivative gain recorded for the quarter ended March 31, 2020 was also excluded from adjusted</w:t>
      </w:r>
    </w:p>
    <w:p>
      <w:pPr>
        <w:spacing w:after="0" w:line="12"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March 31,</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 of sales for rentals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(22,949)</w:t>
            </w:r>
          </w:p>
        </w:tc>
      </w:tr>
      <w:tr>
        <w:trPr>
          <w:trHeight w:val="229"/>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investigation, proxy solicitation and restatement expenses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r>
      <w:tr>
        <w:trPr>
          <w:trHeight w:val="230"/>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Less: change in fair value of derivative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(b)</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Adjustments to EBITDA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15,332</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pacing w:after="0" w:line="62"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8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an adjustment to EBITDA, we have excluded the professional fees incurred in connection with the non-recurring costs and expenses related to the 2019 Investigation, financial statement restatement activities, and proxy solicitation costs, and non-cash impairment charges related to long-lived assets because we believe that they represent charges that are not related to our operations.</w:t>
      </w:r>
    </w:p>
    <w:p>
      <w:pPr>
        <w:spacing w:after="0" w:line="1" w:lineRule="exact"/>
        <w:rPr>
          <w:rFonts w:ascii="Arial" w:cs="Arial" w:eastAsia="Arial" w:hAnsi="Arial"/>
          <w:sz w:val="14"/>
          <w:szCs w:val="14"/>
          <w:color w:val="auto"/>
        </w:rPr>
      </w:pPr>
    </w:p>
    <w:p>
      <w:pPr>
        <w:ind w:left="660" w:hanging="328"/>
        <w:spacing w:after="0" w:line="255" w:lineRule="auto"/>
        <w:tabs>
          <w:tab w:leader="none" w:pos="723"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Consistent with the exclusion of debt interest expense from EBITDA, the debt-related derivative gain recorded for the nine months ended March 31, 2020 was also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was $7.8 million for the nine months ended March 31, 2021 compared to cash used of $17.6 million in the same period in the prior year. The change in cash provided by operating activities reflects net cash provided by a $17.8 million decrease in net loss, an increase in non-cash operating expenses of $7.2 million, an increase in net cash provided by the change in various operating assets and liabilities of $0.4 million. The change in operating assets and liabilities is primarily driven by the net cash used by the change of accounts receivable of $7.3 million offset by net cash provided by the change of accounts payable and accrued expenses of $7.7 million.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$1.3 million for the nine months ended March 31, 2021 compared to cash used of $1.7 million in the same period in the prior year, as purchases for equipment were relatively consistent compared to the same period last year.</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financing activities was $50.3 million for the nine months ended March 31, 2021 compared to cash provided of $17.7 million in the same period in the prior year. For the nine months ended March 31, 2021, the Company raised $52.4 million of proceeds (net of issuance costs) through a private placement transaction with respect to the sale of an aggregate of 5,730,000 shares of the Company’s common stock to accredited investors (described below). The Company paid $1.2 million as a prepayment penalty and commitment termination fee to Antara as part of the repayment of the 2020 Antara Term Facility and paid $0.5 million of debt issuance costs as a result of entering into the 2021 JPMorgan Credit Facility (as defined below). For the nine months ended March 31, 2020, the Company entered into a debt and equity financing with Antara and also repaid the outstanding balance on the 2018 JPMorgan Revolving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the following primary sources of capital available: (1) cash and cash equivalents on hand of $88.6 million as of March 31, 2021; (2) the cash that may be provided by operating activities; and (3) up to $5 million available to be drawn on the 2021 JPMorgan Revolving Facility (as defined below). In addition, management has recently implemented efficiencies in working capital that are designed to increase our cash balances.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 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nine months ended March 31, 2021, the Company entered into the 2021 JPMorgan Credit Agreement (as defined below) and repaid all amounts outstanding under the 2020 Antara Term Facility. The Company also paid $1.2 million to Antara for the commitment termination fee and prepayment premium, and paid $2.6 million towards the settlement of a shareholder class action lawsuit.</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$20.6 million in the aggregate as of March 31, 2021. The Company continues to evaluate these liabilities and the amount and timing of any such payments.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have used the PPP Loan in accordance with the provisions of the CARES Act. The loan bears a fixed interest rate of 1% over a two-year term from the approval date of April 28, 2020. The application for these funds required the Company to, in good faith, certify that the current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 As of March 31, 2021, the Company has filed the application for loan forgiveness with the lending institution through which the PPP Loan was originated.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condensed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July 1, 2020 adoption of Topic 326, the Company has updated the critical accounting policies disclosed in “Management’s Discussion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Analysis of Financial Condition and Results of Operations” in our 2020 Form 10-K as follows:</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Allowances for Doubtful Accounts and Finance Receivables. </w:t>
      </w:r>
      <w:r>
        <w:rPr>
          <w:rFonts w:ascii="Arial" w:cs="Arial" w:eastAsia="Arial" w:hAnsi="Arial"/>
          <w:sz w:val="17"/>
          <w:szCs w:val="17"/>
          <w:color w:val="auto"/>
        </w:rPr>
        <w:t>We maintain lifetime expected loss allowances for doubtful accounts and finance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historical 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 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2 - Accounting Policies to the condensed consolidated financial statements for a description of recent accounting pronouncements.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14, 2020, the Company repaid all amounts outstanding under the 2020 Antara Term Facility and entered into a credit agreement with JPMorgan Chase Bank, N.A (the “2021 JPMorgan Credit Agreement”) for a $5 million secured revolving credit facility (the “2021 JPMorgan Revolving Facility”) and a $15 million secured term facility (the “2021 JPMorgan Secured Term Facility” and together with the 2021 JPMorgan Revolving Facility, the “2021 JPMorgan Credit Facility”). The 2021 JPMorgan Credit Facility has a three-year maturity, with interest determined, at the Company’s option, on a base rate of LIBOR or Prime Rate plus an applicable spread tied to the Company’s total leverage ratio and having ranges between 2.75% and 3.75% for Prime rate loans and between 3.75% and 4.75% for LIBOR rate loans. Currently our borrowings are subject to a LIBOR based interest rate. An increase of 100 basis points in Prime Rate or LIBOR Rate would not have a material impact of on our interest expense or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other exposures to market risk have not changed materially since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Based on this evaluation, our management, including our chief executive officer and chief financial officer, has concluded that our disclosure controls and procedures are effective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our most recent fiscal quarter that have materially affected, or are reasonably likely to materially affect, our internal controls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Note 13 – Commitments and Contingencies 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For a discussion of the Company’s risk factors, see the information under the heading “Risk Factors” in the Company’s Annual Report on Form 10-K for the fiscal year ended June 30, 2020 and our Quarterly Reports on Form 10-Q for the quarters ended September 30, 2020 and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24, 2021, the Company entered into separate subscription agreements with institutional accredited investors (the “Purchasers”) relating to a private placement (the “Private Placement”) with respect to the sale of an aggregate of 5,730,000 shares of the Company’s common stock. The Private Placement closed on March 4, 2021 and the Company received aggregate gross proceeds of approximately $55 million based on the offering price of $9.60 per share. The Company intends to use the proceeds of the Private Placement for general corporate purposes.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shares were not registered under the Securities Act of 1933, as amended (the “Securities Act”). The issuances of the securities were undertaken in reliance upon exemptions from the registration requirements of the Securities Act pursuant to Section 4(a)(2) thereof to sophisticated and accredited recipients.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Subscription Agreements, the Company has agreed to file a registration statement with the U.S. Securities and Exchange Commission covering the resale of the Shares within 45 days following the date of the Subscription Agreements and 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defaults on any senior securities. The total accrued and unpaid dividends on our Series A Convertible Preferred Stock as of March 31, 2021 was $21.4 million. The dividend accrual dates for our Preferred Stock are February 1 and August 1. The annual cumulative dividend on our Preferred Stock is $1.50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00"/>
        <w:spacing w:after="0" w:line="261"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Amended and Restated Articles of Incorporation, as amended through May 29, 2020 (incorporated by reference to Exhibit 3.1 to Form 8-</w:t>
        </w:r>
      </w:hyperlink>
      <w:hyperlink r:id="rId112">
        <w:r>
          <w:rPr>
            <w:rFonts w:ascii="Arial" w:cs="Arial" w:eastAsia="Arial" w:hAnsi="Arial"/>
            <w:sz w:val="18"/>
            <w:szCs w:val="18"/>
            <w:u w:val="single" w:color="auto"/>
            <w:color w:val="0000FF"/>
          </w:rPr>
          <w:t>A12B filed on November 17, 2020).</w:t>
        </w:r>
      </w:hyperlink>
    </w:p>
    <w:p>
      <w:pPr>
        <w:spacing w:after="0" w:line="279" w:lineRule="exact"/>
        <w:rPr>
          <w:sz w:val="20"/>
          <w:szCs w:val="20"/>
          <w:color w:val="auto"/>
        </w:rPr>
      </w:pPr>
    </w:p>
    <w:p>
      <w:pPr>
        <w:ind w:right="100"/>
        <w:spacing w:after="0" w:line="261"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Articles of Amendment to the Amended and Restated Articles of Incorporation of the Company (incorporated by reference to Exhibit 3.1</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to Form 8-K filed on April 2, 2021).</w:t>
        </w:r>
      </w:hyperlink>
    </w:p>
    <w:p>
      <w:pPr>
        <w:spacing w:after="0" w:line="265"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Amended and Restated Bylaws, as amended through May 4, 2020 (incorporated by reference to Exhibit 3.2 to Form 8-A12B filed on</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November 17, 2020).</w:t>
        </w:r>
      </w:hyperlink>
    </w:p>
    <w:p>
      <w:pPr>
        <w:spacing w:after="0" w:line="283" w:lineRule="exact"/>
        <w:rPr>
          <w:sz w:val="20"/>
          <w:szCs w:val="20"/>
          <w:color w:val="auto"/>
        </w:rPr>
      </w:pPr>
    </w:p>
    <w:p>
      <w:pPr>
        <w:ind w:right="240"/>
        <w:spacing w:after="0" w:line="261"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Warrant dated March 29, 2016 in favor of Heritage Bank of Commerce (incorporated by reference to Exhibit 4.2 to Form 10-K filed on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September 13, 2016).</w:t>
        </w:r>
      </w:hyperlink>
    </w:p>
    <w:p>
      <w:pPr>
        <w:spacing w:after="0" w:line="279" w:lineRule="exact"/>
        <w:rPr>
          <w:sz w:val="20"/>
          <w:szCs w:val="20"/>
          <w:color w:val="auto"/>
        </w:rPr>
      </w:pPr>
    </w:p>
    <w:p>
      <w:pPr>
        <w:ind w:right="140"/>
        <w:spacing w:after="0" w:line="261"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Separation and Transition Agreement, by and between Jeff Vogt and USA Technologies, Inc., dated as of January 11, 2021 (incorporated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by reference to Exhibit 10.1 to Form 8-K filed January 12, 2021).</w:t>
        </w:r>
      </w:hyperlink>
    </w:p>
    <w:p>
      <w:pPr>
        <w:spacing w:after="0" w:line="200" w:lineRule="exact"/>
        <w:rPr>
          <w:sz w:val="20"/>
          <w:szCs w:val="20"/>
          <w:color w:val="auto"/>
        </w:rPr>
      </w:pPr>
    </w:p>
    <w:p>
      <w:pPr>
        <w:sectPr>
          <w:pgSz w:w="11900" w:h="16838" w:orient="portrait"/>
          <w:cols w:equalWidth="0" w:num="2">
            <w:col w:w="520" w:space="720"/>
            <w:col w:w="9980"/>
          </w:cols>
          <w:pgMar w:left="320" w:top="125" w:right="359" w:bottom="1440" w:gutter="0" w:footer="0" w:header="0"/>
          <w:type w:val="continuous"/>
        </w:sectPr>
      </w:pP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880" w:type="dxa"/>
            <w:vAlign w:val="bottom"/>
            <w:gridSpan w:val="9"/>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First Amendment to Credit Agreement by and among the Company, its subsidiaries, and JPMorgan Chase Bank, N.A., dated March 2,</w:t>
              </w:r>
            </w:hyperlink>
          </w:p>
        </w:tc>
      </w:tr>
      <w:tr>
        <w:trPr>
          <w:trHeight w:val="155"/>
        </w:trPr>
        <w:tc>
          <w:tcPr>
            <w:tcW w:w="12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2021 (incorporated by reference to Exhibit 10.1 to Form 8-K filed March 4, 2021).</w:t>
              </w:r>
            </w:hyperlink>
          </w:p>
        </w:tc>
        <w:tc>
          <w:tcPr>
            <w:tcW w:w="370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8260" w:type="dxa"/>
            <w:vAlign w:val="bottom"/>
            <w:tcBorders>
              <w:bottom w:val="single" w:sz="8" w:color="0000FF"/>
            </w:tcBorders>
            <w:gridSpan w:val="5"/>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Form of Subscription Agreement (incorporated by reference to Exhibit 10.1 to Form 8-K filed February 25, 2021).</w:t>
              </w:r>
            </w:hyperlink>
          </w:p>
        </w:tc>
        <w:tc>
          <w:tcPr>
            <w:tcW w:w="1620" w:type="dxa"/>
            <w:vAlign w:val="bottom"/>
            <w:gridSpan w:val="4"/>
          </w:tcPr>
          <w:p>
            <w:pPr>
              <w:spacing w:after="0"/>
              <w:rPr>
                <w:sz w:val="24"/>
                <w:szCs w:val="24"/>
                <w:color w:val="auto"/>
              </w:rPr>
            </w:pPr>
          </w:p>
        </w:tc>
      </w:tr>
      <w:tr>
        <w:trPr>
          <w:trHeight w:val="479"/>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Certifications of Chief Executive Officer pursuant to Rule 13a-14(a) under the Securities Exchange Act of 1934.</w:t>
              </w:r>
            </w:hyperlink>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Certifications of Chief Financial Officer pursuant to Rule 13a-14(a) under the Securities Exchange Act of 1934.</w:t>
              </w:r>
            </w:hyperlink>
          </w:p>
        </w:tc>
        <w:tc>
          <w:tcPr>
            <w:tcW w:w="40" w:type="dxa"/>
            <w:vAlign w:val="bottom"/>
            <w:tcBorders>
              <w:top w:val="single" w:sz="8" w:color="0000FF"/>
            </w:tcBorders>
          </w:tcPr>
          <w:p>
            <w:pPr>
              <w:spacing w:after="0"/>
              <w:rPr>
                <w:sz w:val="24"/>
                <w:szCs w:val="24"/>
                <w:color w:val="auto"/>
              </w:rPr>
            </w:pPr>
          </w:p>
        </w:tc>
        <w:tc>
          <w:tcPr>
            <w:tcW w:w="1780" w:type="dxa"/>
            <w:vAlign w:val="bottom"/>
            <w:gridSpan w:val="5"/>
          </w:tcPr>
          <w:p>
            <w:pPr>
              <w:spacing w:after="0"/>
              <w:rPr>
                <w:sz w:val="24"/>
                <w:szCs w:val="24"/>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9"/>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of the Chief Executive Officer pursuant to 18 USC Section 1350, as adopted pursuant to Section 906 of the Sarbanes-Oxley</w:t>
              </w:r>
            </w:hyperlink>
          </w:p>
        </w:tc>
      </w:tr>
      <w:tr>
        <w:trPr>
          <w:trHeight w:val="155"/>
        </w:trPr>
        <w:tc>
          <w:tcPr>
            <w:tcW w:w="1220" w:type="dxa"/>
            <w:vAlign w:val="bottom"/>
          </w:tcPr>
          <w:p>
            <w:pPr>
              <w:spacing w:after="0"/>
              <w:rPr>
                <w:sz w:val="13"/>
                <w:szCs w:val="13"/>
                <w:color w:val="auto"/>
              </w:rPr>
            </w:pPr>
          </w:p>
        </w:tc>
        <w:tc>
          <w:tcPr>
            <w:tcW w:w="98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Act of 2002.</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gridSpan w:val="9"/>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the Chief Financial Officer pursuant to 18 USC Section 1350, as adopted pursuant to Section 906 of the Sarbanes-Oxley</w:t>
              </w:r>
            </w:hyperlink>
          </w:p>
        </w:tc>
      </w:tr>
      <w:tr>
        <w:trPr>
          <w:trHeight w:val="155"/>
        </w:trPr>
        <w:tc>
          <w:tcPr>
            <w:tcW w:w="1220" w:type="dxa"/>
            <w:vAlign w:val="bottom"/>
          </w:tcPr>
          <w:p>
            <w:pPr>
              <w:spacing w:after="0"/>
              <w:rPr>
                <w:sz w:val="13"/>
                <w:szCs w:val="13"/>
                <w:color w:val="auto"/>
              </w:rPr>
            </w:pPr>
          </w:p>
        </w:tc>
        <w:tc>
          <w:tcPr>
            <w:tcW w:w="98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Act of 2002.</w:t>
              </w:r>
            </w:hyperlink>
          </w:p>
        </w:tc>
        <w:tc>
          <w:tcPr>
            <w:tcW w:w="8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1240" w:hanging="1214"/>
        <w:spacing w:after="0" w:line="226"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March 31, 2021, filed with the SEC on May 7, 2021, is formatted in Inline Extensible Business Reporting Language (“iXBRL”): (1) the Condensed Consolidated Balance Sheets as of March 31, 2021 and June 30, 2020, (2) the Condensed Consolidated Statements of Operations for the three-month and six-month periods ended March 31, 2021 and 2020, (3) the Condensed Consolidated Statements of Shareholders’ Equity for the three-month and six-month periods ended March 31, 2021 and 2020, (4) the Condensed Consolidated Statements of Cash Flows for the six-month periods ended March 31, 2021 and 2020, and (5) the Notes to Consolidated Financial Statements.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0920"/>
          </w:cols>
          <w:pgMar w:left="320" w:top="12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222" w:lineRule="exact"/>
        <w:rPr>
          <w:sz w:val="20"/>
          <w:szCs w:val="20"/>
          <w:color w:val="auto"/>
        </w:rPr>
      </w:pPr>
    </w:p>
    <w:p>
      <w:pPr>
        <w:sectPr>
          <w:pgSz w:w="11900" w:h="16838" w:orient="portrait"/>
          <w:cols w:equalWidth="0" w:num="2">
            <w:col w:w="800" w:space="440"/>
            <w:col w:w="9680"/>
          </w:cols>
          <w:pgMar w:left="320" w:top="125" w:right="65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Definition Linkbase</w:t>
      </w:r>
    </w:p>
    <w:p>
      <w:pPr>
        <w:spacing w:after="0" w:line="200" w:lineRule="exact"/>
        <w:rPr>
          <w:sz w:val="20"/>
          <w:szCs w:val="20"/>
          <w:color w:val="auto"/>
        </w:rPr>
      </w:pPr>
    </w:p>
    <w:p>
      <w:pPr>
        <w:sectPr>
          <w:pgSz w:w="11900" w:h="16838" w:orient="portrait"/>
          <w:cols w:equalWidth="0" w:num="2">
            <w:col w:w="780" w:space="460"/>
            <w:col w:w="9680"/>
          </w:cols>
          <w:pgMar w:left="320" w:top="125" w:right="659" w:bottom="1440" w:gutter="0" w:footer="0" w:header="0"/>
          <w:type w:val="continuous"/>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222" w:lineRule="exact"/>
        <w:rPr>
          <w:sz w:val="20"/>
          <w:szCs w:val="20"/>
          <w:color w:val="auto"/>
        </w:rPr>
      </w:pPr>
    </w:p>
    <w:p>
      <w:pPr>
        <w:sectPr>
          <w:pgSz w:w="11900" w:h="16838" w:orient="portrait"/>
          <w:cols w:equalWidth="0" w:num="2">
            <w:col w:w="800" w:space="440"/>
            <w:col w:w="9680"/>
          </w:cols>
          <w:pgMar w:left="320" w:top="125" w:right="65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200" w:lineRule="exact"/>
        <w:rPr>
          <w:sz w:val="20"/>
          <w:szCs w:val="20"/>
          <w:color w:val="auto"/>
        </w:rPr>
      </w:pPr>
    </w:p>
    <w:p>
      <w:pPr>
        <w:sectPr>
          <w:pgSz w:w="11900" w:h="16838" w:orient="portrait"/>
          <w:cols w:equalWidth="0" w:num="2">
            <w:col w:w="760" w:space="480"/>
            <w:col w:w="9680"/>
          </w:cols>
          <w:pgMar w:left="320" w:top="125" w:right="659" w:bottom="1440" w:gutter="0" w:footer="0" w:header="0"/>
          <w:type w:val="continuous"/>
        </w:sectPr>
      </w:pPr>
    </w:p>
    <w:p>
      <w:pPr>
        <w:spacing w:after="0" w:line="116" w:lineRule="exact"/>
        <w:rPr>
          <w:sz w:val="20"/>
          <w:szCs w:val="20"/>
          <w:color w:val="auto"/>
        </w:rPr>
      </w:pPr>
    </w:p>
    <w:p>
      <w:pPr>
        <w:ind w:left="1240" w:hanging="1214"/>
        <w:spacing w:after="0" w:line="235"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March 31, 2021, filed with the SEC on May 7, 2021, is formatted as Inline iXBRL and contained in Exhibit 101.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Cantaloupe,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May 7,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May 7,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8"/>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May 7,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 Wayne Jackson,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9"/>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May 7,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06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2021 (the “Report”), I, Sean Feeney, Chief Executive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May 7,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2021 (the “Report”), I, R. Wayne Jackson, Chief Financial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May 7,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emdash "/>
      <w:numFmt w:val="bullet"/>
      <w:start w:val="1"/>
    </w:lvl>
  </w:abstractNum>
  <w:abstractNum w:abstractNumId="3">
    <w:nsid w:val="140E0F76"/>
    <w:multiLevelType w:val="hybridMultilevel"/>
    <w:lvl w:ilvl="0">
      <w:lvlJc w:val="left"/>
      <w:lvlText w:val="\emdash "/>
      <w:numFmt w:val="bullet"/>
      <w:start w:val="1"/>
    </w:lvl>
  </w:abstractNum>
  <w:abstractNum w:abstractNumId="4">
    <w:nsid w:val="3352255A"/>
    <w:multiLevelType w:val="hybridMultilevel"/>
    <w:lvl w:ilvl="0">
      <w:lvlJc w:val="left"/>
      <w:lvlText w:val="(%1)"/>
      <w:numFmt w:val="decimal"/>
      <w:start w:val="133"/>
    </w:lvl>
  </w:abstractNum>
  <w:abstractNum w:abstractNumId="5">
    <w:nsid w:val="109CF92E"/>
    <w:multiLevelType w:val="hybridMultilevel"/>
    <w:lvl w:ilvl="0">
      <w:lvlJc w:val="left"/>
      <w:lvlText w:val="(%1)"/>
      <w:numFmt w:val="decimal"/>
      <w:start w:val="668"/>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12" Type="http://schemas.openxmlformats.org/officeDocument/2006/relationships/hyperlink" Target="https://www.sec.gov/Archives/edgar/data/896429/000091412120004117/us55454438-ex3_1.htm" TargetMode="External"/><Relationship Id="rId113" Type="http://schemas.openxmlformats.org/officeDocument/2006/relationships/hyperlink" Target="https://www.sec.gov/Archives/edgar/data/896429/000091412121002061/us56037089-ex3_1.htm" TargetMode="External"/><Relationship Id="rId114" Type="http://schemas.openxmlformats.org/officeDocument/2006/relationships/hyperlink" Target="https://www.sec.gov/Archives/edgar/data/896429/000091412120004117/us55454438-ex3_2.htm" TargetMode="External"/><Relationship Id="rId115" Type="http://schemas.openxmlformats.org/officeDocument/2006/relationships/hyperlink" Target="https://www.sec.gov/Archives/edgar/data/896429/000157104916018243/t1600567_ex4-2.htm" TargetMode="External"/><Relationship Id="rId116" Type="http://schemas.openxmlformats.org/officeDocument/2006/relationships/hyperlink" Target="https://www.sec.gov/Archives/edgar/data/896429/000091412121000080/us55605435-ex10_1.htm" TargetMode="External"/><Relationship Id="rId117" Type="http://schemas.openxmlformats.org/officeDocument/2006/relationships/hyperlink" Target="https://www.sec.gov/Archives/edgar/data/896429/000091412121001425/us55810297-ex10_1.htm" TargetMode="External"/><Relationship Id="rId118" Type="http://schemas.openxmlformats.org/officeDocument/2006/relationships/hyperlink" Target="https://www.sec.gov/Archives/edgar/data/896429/000091412121001126/us55716119-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2021-05-07T08:05:19Z</dcterms:created>
  <dcterms:modified xsi:type="dcterms:W3CDTF">2021-05-07T08:05:19Z</dcterms:modified>
</cp:coreProperties>
</file>