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 (d)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For the quarterly period ended March 31, 2024</w:t>
      </w:r>
      <w:r>
        <w:rPr>
          <w:color w:val="000000"/>
        </w:rPr>
        <w:t xml:space="preserve">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162" w:type="dxa"/>
        <w:jc w:val="left"/>
        <w:tblInd w:w="0" w:type="dxa"/>
        <w:tblLayout w:type="fixed"/>
        <w:tblCellMar>
          <w:top w:w="28" w:type="dxa"/>
          <w:left w:w="28" w:type="dxa"/>
          <w:bottom w:w="28" w:type="dxa"/>
          <w:right w:w="28" w:type="dxa"/>
        </w:tblCellMar>
      </w:tblPr>
      <w:tblGrid>
        <w:gridCol w:w="124"/>
        <w:gridCol w:w="109"/>
        <w:gridCol w:w="109"/>
        <w:gridCol w:w="2583"/>
        <w:gridCol w:w="2583"/>
        <w:gridCol w:w="36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 (d) OF THE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 to _________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001-33365 </w:t>
      </w:r>
    </w:p>
    <w:p>
      <w:pPr>
        <w:pStyle w:val="TextBody"/>
        <w:bidi w:val="0"/>
        <w:spacing w:before="40" w:after="283"/>
        <w:jc w:val="center"/>
        <w:rPr/>
      </w:pPr>
      <w:r>
        <w:rPr/>
        <w:drawing>
          <wp:inline distT="0" distB="0" distL="0" distR="0">
            <wp:extent cx="1905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42925"/>
                    </a:xfrm>
                    <a:prstGeom prst="rect">
                      <a:avLst/>
                    </a:prstGeom>
                  </pic:spPr>
                </pic:pic>
              </a:graphicData>
            </a:graphic>
          </wp:inline>
        </w:drawing>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Cantaloupe,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9"/>
        <w:gridCol w:w="1579"/>
        <w:gridCol w:w="1587"/>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23-2679963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589" w:type="dxa"/>
        <w:jc w:val="left"/>
        <w:tblInd w:w="0" w:type="dxa"/>
        <w:tblLayout w:type="fixed"/>
        <w:tblCellMar>
          <w:top w:w="28" w:type="dxa"/>
          <w:left w:w="28" w:type="dxa"/>
          <w:bottom w:w="28" w:type="dxa"/>
          <w:right w:w="28" w:type="dxa"/>
        </w:tblCellMar>
      </w:tblPr>
      <w:tblGrid>
        <w:gridCol w:w="389"/>
        <w:gridCol w:w="340"/>
        <w:gridCol w:w="340"/>
        <w:gridCol w:w="340"/>
        <w:gridCol w:w="340"/>
        <w:gridCol w:w="348"/>
        <w:gridCol w:w="294"/>
        <w:gridCol w:w="294"/>
        <w:gridCol w:w="296"/>
        <w:gridCol w:w="415"/>
        <w:gridCol w:w="415"/>
        <w:gridCol w:w="416"/>
        <w:gridCol w:w="109"/>
        <w:gridCol w:w="109"/>
        <w:gridCol w:w="109"/>
        <w:gridCol w:w="303"/>
        <w:gridCol w:w="303"/>
        <w:gridCol w:w="429"/>
      </w:tblGrid>
      <w:tr>
        <w:trPr/>
        <w:tc>
          <w:tcPr>
            <w:tcW w:w="3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101 Lindenwood Drive </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Malvern,</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19355</w:t>
            </w:r>
          </w:p>
        </w:tc>
      </w:tr>
      <w:tr>
        <w:trPr/>
        <w:tc>
          <w:tcPr>
            <w:tcW w:w="422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(610) 989-0340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958" w:type="dxa"/>
        <w:jc w:val="left"/>
        <w:tblInd w:w="0" w:type="dxa"/>
        <w:tblLayout w:type="fixed"/>
        <w:tblCellMar>
          <w:top w:w="28" w:type="dxa"/>
          <w:left w:w="28" w:type="dxa"/>
          <w:bottom w:w="28" w:type="dxa"/>
          <w:right w:w="28" w:type="dxa"/>
        </w:tblCellMar>
      </w:tblPr>
      <w:tblGrid>
        <w:gridCol w:w="793"/>
        <w:gridCol w:w="694"/>
        <w:gridCol w:w="703"/>
        <w:gridCol w:w="419"/>
        <w:gridCol w:w="419"/>
        <w:gridCol w:w="421"/>
        <w:gridCol w:w="1028"/>
        <w:gridCol w:w="1028"/>
        <w:gridCol w:w="1453"/>
      </w:tblGrid>
      <w:tr>
        <w:trPr/>
        <w:tc>
          <w:tcPr>
            <w:tcW w:w="7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no par value</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CTLP</w:t>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r>
        <w:rPr>
          <w:rFonts w:ascii="Arial Unicode MS;sans-serif" w:hAnsi="Arial Unicode MS;sans-serif"/>
          <w:b w:val="false"/>
          <w:color w:val="000000"/>
          <w:sz w:val="18"/>
        </w:rPr>
        <w:br/>
        <w:br/>
      </w:r>
      <w:r>
        <w:rPr>
          <w:rFonts w:ascii="Times New Roman;sans-serif" w:hAnsi="Times New Roman;sans-serif"/>
          <w:b w:val="false"/>
          <w:color w:val="000000"/>
          <w:sz w:val="20"/>
        </w:rPr>
        <w:t>As of May 6, 2024, there were 72,809,713 outstanding shares of Common Stock, no par value.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1260"/>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ind w:left="0" w:right="0" w:firstLine="126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357"/>
        <w:gridCol w:w="314"/>
        <w:gridCol w:w="314"/>
        <w:gridCol w:w="2990"/>
        <w:gridCol w:w="2921"/>
        <w:gridCol w:w="2934"/>
        <w:gridCol w:w="109"/>
        <w:gridCol w:w="109"/>
        <w:gridCol w:w="157"/>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0">
              <w:r>
                <w:rPr>
                  <w:rStyle w:val="InternetLink"/>
                  <w:rFonts w:ascii="Times New Roman;sans-serif" w:hAnsi="Times New Roman;sans-serif"/>
                  <w:b w:val="false"/>
                  <w:color w:val="0000EE"/>
                  <w:sz w:val="20"/>
                  <w:u w:val="single"/>
                </w:rPr>
                <w:t>Part I -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
              <w:r>
                <w:rPr>
                  <w:rStyle w:val="InternetLink"/>
                  <w:rFonts w:ascii="Times New Roman;sans-serif" w:hAnsi="Times New Roman;sans-serif"/>
                  <w:b w:val="false"/>
                  <w:color w:val="0000EE"/>
                  <w:sz w:val="20"/>
                  <w:u w:val="single"/>
                </w:rPr>
                <w:t>Item 1.</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
              <w:r>
                <w:rPr>
                  <w:rStyle w:val="InternetLink"/>
                  <w:rFonts w:ascii="Times New Roman;sans-serif" w:hAnsi="Times New Roman;sans-serif"/>
                  <w:b w:val="false"/>
                  <w:color w:val="0000FF"/>
                  <w:sz w:val="20"/>
                  <w:u w:val="single"/>
                </w:rPr>
                <w:t>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6">
              <w:r>
                <w:rPr>
                  <w:rStyle w:val="InternetLink"/>
                  <w:rFonts w:ascii="Times New Roman;sans-serif" w:hAnsi="Times New Roman;sans-serif"/>
                  <w:b w:val="false"/>
                  <w:color w:val="000080"/>
                  <w:sz w:val="20"/>
                  <w:u w:val="single"/>
                </w:rPr>
                <w:t xml:space="preserve">Condensed Consolidated Balance Sheets - </w:t>
              </w:r>
            </w:hyperlink>
            <w:hyperlink w:anchor="if6e5dde8762a42c6849744eec2a176f4_16">
              <w:r>
                <w:rPr>
                  <w:rStyle w:val="InternetLink"/>
                  <w:rFonts w:ascii="Times New Roman;sans-serif" w:hAnsi="Times New Roman;sans-serif"/>
                  <w:b w:val="false"/>
                  <w:color w:val="000080"/>
                  <w:sz w:val="20"/>
                  <w:u w:val="single"/>
                </w:rPr>
                <w:t>March</w:t>
              </w:r>
            </w:hyperlink>
            <w:hyperlink w:anchor="if6e5dde8762a42c6849744eec2a176f4_16">
              <w:r>
                <w:rPr>
                  <w:rStyle w:val="InternetLink"/>
                  <w:rFonts w:ascii="Times New Roman;sans-serif" w:hAnsi="Times New Roman;sans-serif"/>
                  <w:b w:val="false"/>
                  <w:color w:val="000080"/>
                  <w:sz w:val="20"/>
                  <w:u w:val="single"/>
                </w:rPr>
                <w:t xml:space="preserve"> 31, 202</w:t>
              </w:r>
            </w:hyperlink>
            <w:hyperlink w:anchor="if6e5dde8762a42c6849744eec2a176f4_16">
              <w:r>
                <w:rPr>
                  <w:rStyle w:val="InternetLink"/>
                  <w:rFonts w:ascii="Times New Roman;sans-serif" w:hAnsi="Times New Roman;sans-serif"/>
                  <w:b w:val="false"/>
                  <w:color w:val="000080"/>
                  <w:sz w:val="20"/>
                  <w:u w:val="single"/>
                </w:rPr>
                <w:t>4</w:t>
              </w:r>
            </w:hyperlink>
            <w:hyperlink w:anchor="if6e5dde8762a42c6849744eec2a176f4_16">
              <w:r>
                <w:rPr>
                  <w:rStyle w:val="InternetLink"/>
                  <w:rFonts w:ascii="Times New Roman;sans-serif" w:hAnsi="Times New Roman;sans-serif"/>
                  <w:b w:val="false"/>
                  <w:color w:val="000080"/>
                  <w:sz w:val="20"/>
                  <w:u w:val="single"/>
                </w:rPr>
                <w:t xml:space="preserve"> (unaudited) and June 30, 2023</w:t>
              </w:r>
            </w:hyperlink>
            <w:r>
              <w:rPr>
                <w:color w:val="000000"/>
              </w:rPr>
              <w:t xml:space="preserve"> </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6">
              <w:r>
                <w:rPr>
                  <w:rStyle w:val="InternetLink"/>
                  <w:rFonts w:ascii="Times New Roman;sans-serif" w:hAnsi="Times New Roman;sans-serif"/>
                  <w:b w:val="false"/>
                  <w:strike w:val="false"/>
                  <w:dstrike w:val="false"/>
                  <w:color w:val="000000"/>
                  <w:sz w:val="20"/>
                  <w:u w:val="none"/>
                  <w:effect w:val="none"/>
                </w:rPr>
                <w:t>3</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9">
              <w:r>
                <w:rPr>
                  <w:rStyle w:val="InternetLink"/>
                  <w:rFonts w:ascii="Times New Roman;sans-serif" w:hAnsi="Times New Roman;sans-serif"/>
                  <w:b w:val="false"/>
                  <w:color w:val="000080"/>
                  <w:sz w:val="20"/>
                  <w:u w:val="single"/>
                </w:rPr>
                <w:t xml:space="preserve">Condensed Consolidated Statements of Operations - Three and </w:t>
              </w:r>
            </w:hyperlink>
            <w:hyperlink w:anchor="if6e5dde8762a42c6849744eec2a176f4_19">
              <w:r>
                <w:rPr>
                  <w:rStyle w:val="InternetLink"/>
                  <w:rFonts w:ascii="Times New Roman;sans-serif" w:hAnsi="Times New Roman;sans-serif"/>
                  <w:b w:val="false"/>
                  <w:color w:val="000080"/>
                  <w:sz w:val="20"/>
                  <w:u w:val="single"/>
                </w:rPr>
                <w:t>Nine</w:t>
              </w:r>
            </w:hyperlink>
            <w:hyperlink w:anchor="if6e5dde8762a42c6849744eec2a176f4_19">
              <w:r>
                <w:rPr>
                  <w:rStyle w:val="InternetLink"/>
                  <w:rFonts w:ascii="Times New Roman;sans-serif" w:hAnsi="Times New Roman;sans-serif"/>
                  <w:b w:val="false"/>
                  <w:color w:val="000080"/>
                  <w:sz w:val="20"/>
                  <w:u w:val="single"/>
                </w:rPr>
                <w:t xml:space="preserve"> Months ended </w:t>
              </w:r>
            </w:hyperlink>
            <w:hyperlink w:anchor="if6e5dde8762a42c6849744eec2a176f4_19">
              <w:r>
                <w:rPr>
                  <w:rStyle w:val="InternetLink"/>
                  <w:rFonts w:ascii="Times New Roman;sans-serif" w:hAnsi="Times New Roman;sans-serif"/>
                  <w:b w:val="false"/>
                  <w:color w:val="000080"/>
                  <w:sz w:val="20"/>
                  <w:u w:val="single"/>
                </w:rPr>
                <w:t>Ma</w:t>
              </w:r>
            </w:hyperlink>
            <w:hyperlink w:anchor="if6e5dde8762a42c6849744eec2a176f4_19">
              <w:r>
                <w:rPr>
                  <w:rStyle w:val="InternetLink"/>
                  <w:rFonts w:ascii="Times New Roman;sans-serif" w:hAnsi="Times New Roman;sans-serif"/>
                  <w:b w:val="false"/>
                  <w:color w:val="000080"/>
                  <w:sz w:val="20"/>
                  <w:u w:val="single"/>
                </w:rPr>
                <w:t>r</w:t>
              </w:r>
            </w:hyperlink>
            <w:hyperlink w:anchor="if6e5dde8762a42c6849744eec2a176f4_19">
              <w:r>
                <w:rPr>
                  <w:rStyle w:val="InternetLink"/>
                  <w:rFonts w:ascii="Times New Roman;sans-serif" w:hAnsi="Times New Roman;sans-serif"/>
                  <w:b w:val="false"/>
                  <w:color w:val="000080"/>
                  <w:sz w:val="20"/>
                  <w:u w:val="single"/>
                </w:rPr>
                <w:t>ch</w:t>
              </w:r>
            </w:hyperlink>
            <w:hyperlink w:anchor="if6e5dde8762a42c6849744eec2a176f4_19">
              <w:r>
                <w:rPr>
                  <w:rStyle w:val="InternetLink"/>
                  <w:rFonts w:ascii="Times New Roman;sans-serif" w:hAnsi="Times New Roman;sans-serif"/>
                  <w:b w:val="false"/>
                  <w:color w:val="000080"/>
                  <w:sz w:val="20"/>
                  <w:u w:val="single"/>
                </w:rPr>
                <w:t xml:space="preserve"> 31, 202</w:t>
              </w:r>
            </w:hyperlink>
            <w:hyperlink w:anchor="if6e5dde8762a42c6849744eec2a176f4_19">
              <w:r>
                <w:rPr>
                  <w:rStyle w:val="InternetLink"/>
                  <w:rFonts w:ascii="Times New Roman;sans-serif" w:hAnsi="Times New Roman;sans-serif"/>
                  <w:b w:val="false"/>
                  <w:color w:val="000080"/>
                  <w:sz w:val="20"/>
                  <w:u w:val="single"/>
                </w:rPr>
                <w:t>4</w:t>
              </w:r>
            </w:hyperlink>
            <w:hyperlink w:anchor="if6e5dde8762a42c6849744eec2a176f4_19">
              <w:r>
                <w:rPr>
                  <w:rStyle w:val="InternetLink"/>
                  <w:rFonts w:ascii="Times New Roman;sans-serif" w:hAnsi="Times New Roman;sans-serif"/>
                  <w:b w:val="false"/>
                  <w:color w:val="000080"/>
                  <w:sz w:val="20"/>
                  <w:u w:val="single"/>
                </w:rPr>
                <w:t xml:space="preserve"> and 202</w:t>
              </w:r>
            </w:hyperlink>
            <w:hyperlink w:anchor="if6e5dde8762a42c6849744eec2a176f4_19">
              <w:r>
                <w:rPr>
                  <w:rStyle w:val="InternetLink"/>
                  <w:rFonts w:ascii="Times New Roman;sans-serif" w:hAnsi="Times New Roman;sans-serif"/>
                  <w:b w:val="false"/>
                  <w:color w:val="000080"/>
                  <w:sz w:val="20"/>
                  <w:u w:val="single"/>
                </w:rPr>
                <w:t>3</w:t>
              </w:r>
            </w:hyperlink>
            <w:hyperlink w:anchor="if6e5dde8762a42c6849744eec2a176f4_19">
              <w:r>
                <w:rPr>
                  <w:rStyle w:val="InternetLink"/>
                  <w:rFonts w:ascii="Times New Roman;sans-serif" w:hAnsi="Times New Roman;sans-serif"/>
                  <w:b w:val="false"/>
                  <w:color w:val="000080"/>
                  <w:sz w:val="20"/>
                  <w:u w:val="single"/>
                </w:rPr>
                <w:t xml:space="preserve">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9">
              <w:r>
                <w:rPr>
                  <w:rStyle w:val="InternetLink"/>
                  <w:rFonts w:ascii="Times New Roman;sans-serif" w:hAnsi="Times New Roman;sans-serif"/>
                  <w:b w:val="false"/>
                  <w:strike w:val="false"/>
                  <w:dstrike w:val="false"/>
                  <w:color w:val="000000"/>
                  <w:sz w:val="20"/>
                  <w:u w:val="none"/>
                  <w:effect w:val="none"/>
                </w:rPr>
                <w:t>4</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22">
              <w:r>
                <w:rPr>
                  <w:rStyle w:val="InternetLink"/>
                  <w:rFonts w:ascii="Times New Roman;sans-serif" w:hAnsi="Times New Roman;sans-serif"/>
                  <w:b w:val="false"/>
                  <w:color w:val="000080"/>
                  <w:sz w:val="20"/>
                  <w:u w:val="single"/>
                </w:rPr>
                <w:t xml:space="preserve">Condensed Consolidated Statements of Comprehensive Income (Loss) - Three and </w:t>
              </w:r>
            </w:hyperlink>
            <w:hyperlink w:anchor="if6e5dde8762a42c6849744eec2a176f4_22">
              <w:r>
                <w:rPr>
                  <w:rStyle w:val="InternetLink"/>
                  <w:rFonts w:ascii="Times New Roman;sans-serif" w:hAnsi="Times New Roman;sans-serif"/>
                  <w:b w:val="false"/>
                  <w:color w:val="000080"/>
                  <w:sz w:val="20"/>
                  <w:u w:val="single"/>
                </w:rPr>
                <w:t>Nine</w:t>
              </w:r>
            </w:hyperlink>
            <w:hyperlink w:anchor="if6e5dde8762a42c6849744eec2a176f4_22">
              <w:r>
                <w:rPr>
                  <w:rStyle w:val="InternetLink"/>
                  <w:rFonts w:ascii="Times New Roman;sans-serif" w:hAnsi="Times New Roman;sans-serif"/>
                  <w:b w:val="false"/>
                  <w:color w:val="000080"/>
                  <w:sz w:val="20"/>
                  <w:u w:val="single"/>
                </w:rPr>
                <w:t xml:space="preserve"> Months ended </w:t>
              </w:r>
            </w:hyperlink>
            <w:hyperlink w:anchor="if6e5dde8762a42c6849744eec2a176f4_22">
              <w:r>
                <w:rPr>
                  <w:rStyle w:val="InternetLink"/>
                  <w:rFonts w:ascii="Times New Roman;sans-serif" w:hAnsi="Times New Roman;sans-serif"/>
                  <w:b w:val="false"/>
                  <w:color w:val="000080"/>
                  <w:sz w:val="20"/>
                  <w:u w:val="single"/>
                </w:rPr>
                <w:t>March</w:t>
              </w:r>
            </w:hyperlink>
            <w:hyperlink w:anchor="if6e5dde8762a42c6849744eec2a176f4_22">
              <w:r>
                <w:rPr>
                  <w:rStyle w:val="InternetLink"/>
                  <w:rFonts w:ascii="Times New Roman;sans-serif" w:hAnsi="Times New Roman;sans-serif"/>
                  <w:b w:val="false"/>
                  <w:color w:val="000080"/>
                  <w:sz w:val="20"/>
                  <w:u w:val="single"/>
                </w:rPr>
                <w:t xml:space="preserve"> 31, 202</w:t>
              </w:r>
            </w:hyperlink>
            <w:hyperlink w:anchor="if6e5dde8762a42c6849744eec2a176f4_22">
              <w:r>
                <w:rPr>
                  <w:rStyle w:val="InternetLink"/>
                  <w:rFonts w:ascii="Times New Roman;sans-serif" w:hAnsi="Times New Roman;sans-serif"/>
                  <w:b w:val="false"/>
                  <w:color w:val="000080"/>
                  <w:sz w:val="20"/>
                  <w:u w:val="single"/>
                </w:rPr>
                <w:t>4</w:t>
              </w:r>
            </w:hyperlink>
            <w:hyperlink w:anchor="if6e5dde8762a42c6849744eec2a176f4_22">
              <w:r>
                <w:rPr>
                  <w:rStyle w:val="InternetLink"/>
                  <w:rFonts w:ascii="Times New Roman;sans-serif" w:hAnsi="Times New Roman;sans-serif"/>
                  <w:b w:val="false"/>
                  <w:color w:val="000080"/>
                  <w:sz w:val="20"/>
                  <w:u w:val="single"/>
                </w:rPr>
                <w:t xml:space="preserve"> and 202</w:t>
              </w:r>
            </w:hyperlink>
            <w:hyperlink w:anchor="if6e5dde8762a42c6849744eec2a176f4_22">
              <w:r>
                <w:rPr>
                  <w:rStyle w:val="InternetLink"/>
                  <w:rFonts w:ascii="Times New Roman;sans-serif" w:hAnsi="Times New Roman;sans-serif"/>
                  <w:b w:val="false"/>
                  <w:color w:val="000080"/>
                  <w:sz w:val="20"/>
                  <w:u w:val="single"/>
                </w:rPr>
                <w:t>3</w:t>
              </w:r>
            </w:hyperlink>
            <w:hyperlink w:anchor="if6e5dde8762a42c6849744eec2a176f4_22">
              <w:r>
                <w:rPr>
                  <w:rStyle w:val="InternetLink"/>
                  <w:rFonts w:ascii="Times New Roman;sans-serif" w:hAnsi="Times New Roman;sans-serif"/>
                  <w:b w:val="false"/>
                  <w:color w:val="000080"/>
                  <w:sz w:val="20"/>
                  <w:u w:val="single"/>
                </w:rPr>
                <w:t xml:space="preserve">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22">
              <w:r>
                <w:rPr>
                  <w:rStyle w:val="InternetLink"/>
                  <w:rFonts w:ascii="Times New Roman;sans-serif" w:hAnsi="Times New Roman;sans-serif"/>
                  <w:b w:val="false"/>
                  <w:strike w:val="false"/>
                  <w:dstrike w:val="false"/>
                  <w:color w:val="000000"/>
                  <w:sz w:val="20"/>
                  <w:u w:val="none"/>
                  <w:effect w:val="none"/>
                </w:rPr>
                <w:t>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25">
              <w:r>
                <w:rPr>
                  <w:rStyle w:val="InternetLink"/>
                  <w:rFonts w:ascii="Times New Roman;sans-serif" w:hAnsi="Times New Roman;sans-serif"/>
                  <w:b w:val="false"/>
                  <w:color w:val="000080"/>
                  <w:sz w:val="20"/>
                  <w:u w:val="single"/>
                </w:rPr>
                <w:t xml:space="preserve">Condensed Consolidated Statements of Convertible Preferred Stock and Shareholders’ Equity - Three and </w:t>
              </w:r>
            </w:hyperlink>
            <w:hyperlink w:anchor="if6e5dde8762a42c6849744eec2a176f4_25">
              <w:r>
                <w:rPr>
                  <w:rStyle w:val="InternetLink"/>
                  <w:rFonts w:ascii="Times New Roman;sans-serif" w:hAnsi="Times New Roman;sans-serif"/>
                  <w:b w:val="false"/>
                  <w:color w:val="000080"/>
                  <w:sz w:val="20"/>
                  <w:u w:val="single"/>
                </w:rPr>
                <w:t>Nine</w:t>
              </w:r>
            </w:hyperlink>
            <w:hyperlink w:anchor="if6e5dde8762a42c6849744eec2a176f4_25">
              <w:r>
                <w:rPr>
                  <w:rStyle w:val="InternetLink"/>
                  <w:rFonts w:ascii="Times New Roman;sans-serif" w:hAnsi="Times New Roman;sans-serif"/>
                  <w:b w:val="false"/>
                  <w:color w:val="000080"/>
                  <w:sz w:val="20"/>
                  <w:u w:val="single"/>
                </w:rPr>
                <w:t xml:space="preserve"> Months ended </w:t>
              </w:r>
            </w:hyperlink>
            <w:hyperlink w:anchor="if6e5dde8762a42c6849744eec2a176f4_25">
              <w:r>
                <w:rPr>
                  <w:rStyle w:val="InternetLink"/>
                  <w:rFonts w:ascii="Times New Roman;sans-serif" w:hAnsi="Times New Roman;sans-serif"/>
                  <w:b w:val="false"/>
                  <w:color w:val="000080"/>
                  <w:sz w:val="20"/>
                  <w:u w:val="single"/>
                </w:rPr>
                <w:t>March</w:t>
              </w:r>
            </w:hyperlink>
            <w:hyperlink w:anchor="if6e5dde8762a42c6849744eec2a176f4_25">
              <w:r>
                <w:rPr>
                  <w:rStyle w:val="InternetLink"/>
                  <w:rFonts w:ascii="Times New Roman;sans-serif" w:hAnsi="Times New Roman;sans-serif"/>
                  <w:b w:val="false"/>
                  <w:color w:val="000080"/>
                  <w:sz w:val="20"/>
                  <w:u w:val="single"/>
                </w:rPr>
                <w:t xml:space="preserve"> 31, 202</w:t>
              </w:r>
            </w:hyperlink>
            <w:hyperlink w:anchor="if6e5dde8762a42c6849744eec2a176f4_25">
              <w:r>
                <w:rPr>
                  <w:rStyle w:val="InternetLink"/>
                  <w:rFonts w:ascii="Times New Roman;sans-serif" w:hAnsi="Times New Roman;sans-serif"/>
                  <w:b w:val="false"/>
                  <w:color w:val="000080"/>
                  <w:sz w:val="20"/>
                  <w:u w:val="single"/>
                </w:rPr>
                <w:t>4</w:t>
              </w:r>
            </w:hyperlink>
            <w:hyperlink w:anchor="if6e5dde8762a42c6849744eec2a176f4_25">
              <w:r>
                <w:rPr>
                  <w:rStyle w:val="InternetLink"/>
                  <w:rFonts w:ascii="Times New Roman;sans-serif" w:hAnsi="Times New Roman;sans-serif"/>
                  <w:b w:val="false"/>
                  <w:color w:val="000080"/>
                  <w:sz w:val="20"/>
                  <w:u w:val="single"/>
                </w:rPr>
                <w:t xml:space="preserve"> and 202</w:t>
              </w:r>
            </w:hyperlink>
            <w:hyperlink w:anchor="if6e5dde8762a42c6849744eec2a176f4_25">
              <w:r>
                <w:rPr>
                  <w:rStyle w:val="InternetLink"/>
                  <w:rFonts w:ascii="Times New Roman;sans-serif" w:hAnsi="Times New Roman;sans-serif"/>
                  <w:b w:val="false"/>
                  <w:color w:val="000080"/>
                  <w:sz w:val="20"/>
                  <w:u w:val="single"/>
                </w:rPr>
                <w:t>3</w:t>
              </w:r>
            </w:hyperlink>
            <w:hyperlink w:anchor="if6e5dde8762a42c6849744eec2a176f4_25">
              <w:r>
                <w:rPr>
                  <w:rStyle w:val="InternetLink"/>
                  <w:rFonts w:ascii="Times New Roman;sans-serif" w:hAnsi="Times New Roman;sans-serif"/>
                  <w:b w:val="false"/>
                  <w:color w:val="000080"/>
                  <w:sz w:val="20"/>
                  <w:u w:val="single"/>
                </w:rPr>
                <w:t xml:space="preserve">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25">
              <w:r>
                <w:rPr>
                  <w:rStyle w:val="InternetLink"/>
                  <w:rFonts w:ascii="Times New Roman;sans-serif" w:hAnsi="Times New Roman;sans-serif"/>
                  <w:b w:val="false"/>
                  <w:strike w:val="false"/>
                  <w:dstrike w:val="false"/>
                  <w:color w:val="000000"/>
                  <w:sz w:val="20"/>
                  <w:u w:val="none"/>
                  <w:effect w:val="none"/>
                </w:rPr>
                <w:t>6</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28">
              <w:r>
                <w:rPr>
                  <w:rStyle w:val="InternetLink"/>
                  <w:rFonts w:ascii="Times New Roman;sans-serif" w:hAnsi="Times New Roman;sans-serif"/>
                  <w:b w:val="false"/>
                  <w:color w:val="000080"/>
                  <w:sz w:val="20"/>
                  <w:u w:val="single"/>
                </w:rPr>
                <w:t xml:space="preserve">Condensed Consolidated Statements of Cash Flows - </w:t>
              </w:r>
            </w:hyperlink>
            <w:hyperlink w:anchor="if6e5dde8762a42c6849744eec2a176f4_28">
              <w:r>
                <w:rPr>
                  <w:rStyle w:val="InternetLink"/>
                  <w:rFonts w:ascii="Times New Roman;sans-serif" w:hAnsi="Times New Roman;sans-serif"/>
                  <w:b w:val="false"/>
                  <w:color w:val="000080"/>
                  <w:sz w:val="20"/>
                  <w:u w:val="single"/>
                </w:rPr>
                <w:t>Nine</w:t>
              </w:r>
            </w:hyperlink>
            <w:hyperlink w:anchor="if6e5dde8762a42c6849744eec2a176f4_28">
              <w:r>
                <w:rPr>
                  <w:rStyle w:val="InternetLink"/>
                  <w:rFonts w:ascii="Times New Roman;sans-serif" w:hAnsi="Times New Roman;sans-serif"/>
                  <w:b w:val="false"/>
                  <w:color w:val="000080"/>
                  <w:sz w:val="20"/>
                  <w:u w:val="single"/>
                </w:rPr>
                <w:t xml:space="preserve"> Months ended </w:t>
              </w:r>
            </w:hyperlink>
            <w:hyperlink w:anchor="if6e5dde8762a42c6849744eec2a176f4_28">
              <w:r>
                <w:rPr>
                  <w:rStyle w:val="InternetLink"/>
                  <w:rFonts w:ascii="Times New Roman;sans-serif" w:hAnsi="Times New Roman;sans-serif"/>
                  <w:b w:val="false"/>
                  <w:color w:val="000080"/>
                  <w:sz w:val="20"/>
                  <w:u w:val="single"/>
                </w:rPr>
                <w:t>March</w:t>
              </w:r>
            </w:hyperlink>
            <w:hyperlink w:anchor="if6e5dde8762a42c6849744eec2a176f4_28">
              <w:r>
                <w:rPr>
                  <w:rStyle w:val="InternetLink"/>
                  <w:rFonts w:ascii="Times New Roman;sans-serif" w:hAnsi="Times New Roman;sans-serif"/>
                  <w:b w:val="false"/>
                  <w:color w:val="000080"/>
                  <w:sz w:val="20"/>
                  <w:u w:val="single"/>
                </w:rPr>
                <w:t xml:space="preserve"> 31, 202</w:t>
              </w:r>
            </w:hyperlink>
            <w:hyperlink w:anchor="if6e5dde8762a42c6849744eec2a176f4_28">
              <w:r>
                <w:rPr>
                  <w:rStyle w:val="InternetLink"/>
                  <w:rFonts w:ascii="Times New Roman;sans-serif" w:hAnsi="Times New Roman;sans-serif"/>
                  <w:b w:val="false"/>
                  <w:color w:val="000080"/>
                  <w:sz w:val="20"/>
                  <w:u w:val="single"/>
                </w:rPr>
                <w:t>4</w:t>
              </w:r>
            </w:hyperlink>
            <w:hyperlink w:anchor="if6e5dde8762a42c6849744eec2a176f4_28">
              <w:r>
                <w:rPr>
                  <w:rStyle w:val="InternetLink"/>
                  <w:rFonts w:ascii="Times New Roman;sans-serif" w:hAnsi="Times New Roman;sans-serif"/>
                  <w:b w:val="false"/>
                  <w:color w:val="000080"/>
                  <w:sz w:val="20"/>
                  <w:u w:val="single"/>
                </w:rPr>
                <w:t xml:space="preserve"> and 202</w:t>
              </w:r>
            </w:hyperlink>
            <w:hyperlink w:anchor="if6e5dde8762a42c6849744eec2a176f4_28">
              <w:r>
                <w:rPr>
                  <w:rStyle w:val="InternetLink"/>
                  <w:rFonts w:ascii="Times New Roman;sans-serif" w:hAnsi="Times New Roman;sans-serif"/>
                  <w:b w:val="false"/>
                  <w:color w:val="000080"/>
                  <w:sz w:val="20"/>
                  <w:u w:val="single"/>
                </w:rPr>
                <w:t>3</w:t>
              </w:r>
            </w:hyperlink>
            <w:hyperlink w:anchor="if6e5dde8762a42c6849744eec2a176f4_28">
              <w:r>
                <w:rPr>
                  <w:rStyle w:val="InternetLink"/>
                  <w:rFonts w:ascii="Times New Roman;sans-serif" w:hAnsi="Times New Roman;sans-serif"/>
                  <w:b w:val="false"/>
                  <w:color w:val="000080"/>
                  <w:sz w:val="20"/>
                  <w:u w:val="single"/>
                </w:rPr>
                <w:t xml:space="preserve">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28">
              <w:r>
                <w:rPr>
                  <w:rStyle w:val="InternetLink"/>
                  <w:rFonts w:ascii="Times New Roman;sans-serif" w:hAnsi="Times New Roman;sans-serif"/>
                  <w:b w:val="false"/>
                  <w:strike w:val="false"/>
                  <w:dstrike w:val="false"/>
                  <w:color w:val="000000"/>
                  <w:sz w:val="20"/>
                  <w:u w:val="none"/>
                  <w:effect w:val="none"/>
                </w:rPr>
                <w:t>7</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31">
              <w:r>
                <w:rPr>
                  <w:rStyle w:val="InternetLink"/>
                  <w:rFonts w:ascii="Times New Roman;sans-serif" w:hAnsi="Times New Roman;sans-serif"/>
                  <w:b w:val="false"/>
                  <w:color w:val="0000FF"/>
                  <w:sz w:val="20"/>
                  <w:u w:val="single"/>
                </w:rPr>
                <w:t>Notes to Condensed Consolidated 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31">
              <w:r>
                <w:rPr>
                  <w:rStyle w:val="InternetLink"/>
                  <w:rFonts w:ascii="Times New Roman;sans-serif" w:hAnsi="Times New Roman;sans-serif"/>
                  <w:b w:val="false"/>
                  <w:strike w:val="false"/>
                  <w:dstrike w:val="false"/>
                  <w:color w:val="000000"/>
                  <w:sz w:val="20"/>
                  <w:u w:val="none"/>
                  <w:effect w:val="none"/>
                </w:rPr>
                <w:t>8</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94">
              <w:r>
                <w:rPr>
                  <w:rStyle w:val="InternetLink"/>
                  <w:rFonts w:ascii="Times New Roman;sans-serif" w:hAnsi="Times New Roman;sans-serif"/>
                  <w:b w:val="false"/>
                  <w:color w:val="0000EE"/>
                  <w:sz w:val="20"/>
                  <w:u w:val="single"/>
                </w:rPr>
                <w:t>Item 2.</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94">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94">
              <w:r>
                <w:rPr>
                  <w:rStyle w:val="InternetLink"/>
                  <w:rFonts w:ascii="Times New Roman;sans-serif" w:hAnsi="Times New Roman;sans-serif"/>
                  <w:b w:val="false"/>
                  <w:strike w:val="false"/>
                  <w:dstrike w:val="false"/>
                  <w:color w:val="000000"/>
                  <w:sz w:val="20"/>
                  <w:u w:val="none"/>
                  <w:effect w:val="none"/>
                </w:rPr>
                <w:t>25</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12">
              <w:r>
                <w:rPr>
                  <w:rStyle w:val="InternetLink"/>
                  <w:rFonts w:ascii="Times New Roman;sans-serif" w:hAnsi="Times New Roman;sans-serif"/>
                  <w:b w:val="false"/>
                  <w:color w:val="0000EE"/>
                  <w:sz w:val="20"/>
                  <w:u w:val="single"/>
                </w:rPr>
                <w:t>Item 3.</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12">
              <w:r>
                <w:rPr>
                  <w:rStyle w:val="InternetLink"/>
                  <w:rFonts w:ascii="Times New Roman;sans-serif" w:hAnsi="Times New Roman;sans-serif"/>
                  <w:b w:val="false"/>
                  <w:color w:val="0000EE"/>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12">
              <w:r>
                <w:rPr>
                  <w:rStyle w:val="InternetLink"/>
                  <w:rFonts w:ascii="Times New Roman;sans-serif" w:hAnsi="Times New Roman;sans-serif"/>
                  <w:b w:val="false"/>
                  <w:strike w:val="false"/>
                  <w:dstrike w:val="false"/>
                  <w:color w:val="000000"/>
                  <w:sz w:val="20"/>
                  <w:u w:val="none"/>
                  <w:effect w:val="none"/>
                </w:rPr>
                <w:t>40</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15">
              <w:r>
                <w:rPr>
                  <w:rStyle w:val="InternetLink"/>
                  <w:rFonts w:ascii="Times New Roman;sans-serif" w:hAnsi="Times New Roman;sans-serif"/>
                  <w:b w:val="false"/>
                  <w:color w:val="0000EE"/>
                  <w:sz w:val="20"/>
                  <w:u w:val="single"/>
                </w:rPr>
                <w:t>Item 4.</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15">
              <w:r>
                <w:rPr>
                  <w:rStyle w:val="InternetLink"/>
                  <w:rFonts w:ascii="Times New Roman;sans-serif" w:hAnsi="Times New Roman;sans-serif"/>
                  <w:b w:val="false"/>
                  <w:color w:val="0000EE"/>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15">
              <w:r>
                <w:rPr>
                  <w:rStyle w:val="InternetLink"/>
                  <w:rFonts w:ascii="Times New Roman;sans-serif" w:hAnsi="Times New Roman;sans-serif"/>
                  <w:b w:val="false"/>
                  <w:strike w:val="false"/>
                  <w:dstrike w:val="false"/>
                  <w:color w:val="000000"/>
                  <w:sz w:val="20"/>
                  <w:u w:val="none"/>
                  <w:effect w:val="none"/>
                </w:rPr>
                <w:t>40</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if6e5dde8762a42c6849744eec2a176f4_118">
              <w:r>
                <w:rPr>
                  <w:rStyle w:val="InternetLink"/>
                  <w:rFonts w:ascii="Times New Roman;sans-serif" w:hAnsi="Times New Roman;sans-serif"/>
                  <w:b w:val="false"/>
                  <w:color w:val="0000EE"/>
                  <w:sz w:val="20"/>
                  <w:u w:val="single"/>
                </w:rPr>
                <w:t>Part II -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21">
              <w:r>
                <w:rPr>
                  <w:rStyle w:val="InternetLink"/>
                  <w:rFonts w:ascii="Times New Roman;sans-serif" w:hAnsi="Times New Roman;sans-serif"/>
                  <w:b w:val="false"/>
                  <w:color w:val="0000EE"/>
                  <w:sz w:val="20"/>
                  <w:u w:val="single"/>
                </w:rPr>
                <w:t>Item 1.</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21">
              <w:r>
                <w:rPr>
                  <w:rStyle w:val="InternetLink"/>
                  <w:rFonts w:ascii="Times New Roman;sans-serif" w:hAnsi="Times New Roman;sans-serif"/>
                  <w:b w:val="false"/>
                  <w:color w:val="0000EE"/>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21">
              <w:r>
                <w:rPr>
                  <w:rStyle w:val="InternetLink"/>
                  <w:rFonts w:ascii="Times New Roman;sans-serif" w:hAnsi="Times New Roman;sans-serif"/>
                  <w:b w:val="false"/>
                  <w:strike w:val="false"/>
                  <w:dstrike w:val="false"/>
                  <w:color w:val="000000"/>
                  <w:sz w:val="20"/>
                  <w:u w:val="none"/>
                  <w:effect w:val="none"/>
                </w:rPr>
                <w:t>42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24">
              <w:r>
                <w:rPr>
                  <w:rStyle w:val="InternetLink"/>
                  <w:rFonts w:ascii="Times New Roman;sans-serif" w:hAnsi="Times New Roman;sans-serif"/>
                  <w:b w:val="false"/>
                  <w:color w:val="0000EE"/>
                  <w:sz w:val="20"/>
                  <w:u w:val="single"/>
                </w:rPr>
                <w:t>Item 1A.</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24">
              <w:r>
                <w:rPr>
                  <w:rStyle w:val="InternetLink"/>
                  <w:rFonts w:ascii="Times New Roman;sans-serif" w:hAnsi="Times New Roman;sans-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24">
              <w:r>
                <w:rPr>
                  <w:rStyle w:val="InternetLink"/>
                  <w:rFonts w:ascii="Times New Roman;sans-serif" w:hAnsi="Times New Roman;sans-serif"/>
                  <w:b w:val="false"/>
                  <w:strike w:val="false"/>
                  <w:dstrike w:val="false"/>
                  <w:color w:val="000000"/>
                  <w:sz w:val="20"/>
                  <w:u w:val="none"/>
                  <w:effect w:val="none"/>
                </w:rPr>
                <w:t>42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27">
              <w:r>
                <w:rPr>
                  <w:rStyle w:val="InternetLink"/>
                  <w:rFonts w:ascii="Times New Roman;sans-serif" w:hAnsi="Times New Roman;sans-serif"/>
                  <w:b w:val="false"/>
                  <w:color w:val="0000FF"/>
                  <w:sz w:val="20"/>
                  <w:u w:val="single"/>
                </w:rPr>
                <w:t>Item 2.</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27">
              <w:r>
                <w:rPr>
                  <w:rStyle w:val="InternetLink"/>
                  <w:rFonts w:ascii="Times New Roman;sans-serif" w:hAnsi="Times New Roman;sans-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27">
              <w:r>
                <w:rPr>
                  <w:rStyle w:val="InternetLink"/>
                  <w:rFonts w:ascii="Times New Roman;sans-serif" w:hAnsi="Times New Roman;sans-serif"/>
                  <w:b w:val="false"/>
                  <w:strike w:val="false"/>
                  <w:dstrike w:val="false"/>
                  <w:color w:val="000000"/>
                  <w:sz w:val="20"/>
                  <w:u w:val="none"/>
                  <w:effect w:val="none"/>
                </w:rPr>
                <w:t>42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0">
              <w:r>
                <w:rPr>
                  <w:rStyle w:val="InternetLink"/>
                  <w:rFonts w:ascii="Times New Roman;sans-serif" w:hAnsi="Times New Roman;sans-serif"/>
                  <w:b w:val="false"/>
                  <w:color w:val="0000FF"/>
                  <w:sz w:val="20"/>
                  <w:u w:val="single"/>
                </w:rPr>
                <w:t>Item 3.</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0">
              <w:r>
                <w:rPr>
                  <w:rStyle w:val="InternetLink"/>
                  <w:rFonts w:ascii="Times New Roman;sans-serif" w:hAnsi="Times New Roman;sans-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30">
              <w:r>
                <w:rPr>
                  <w:rStyle w:val="InternetLink"/>
                  <w:rFonts w:ascii="Times New Roman;sans-serif" w:hAnsi="Times New Roman;sans-serif"/>
                  <w:b w:val="false"/>
                  <w:strike w:val="false"/>
                  <w:dstrike w:val="false"/>
                  <w:color w:val="000000"/>
                  <w:sz w:val="20"/>
                  <w:u w:val="none"/>
                  <w:effect w:val="none"/>
                </w:rPr>
                <w:t>42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3">
              <w:r>
                <w:rPr>
                  <w:rStyle w:val="InternetLink"/>
                  <w:rFonts w:ascii="Times New Roman;sans-serif" w:hAnsi="Times New Roman;sans-serif"/>
                  <w:b w:val="false"/>
                  <w:color w:val="0000FF"/>
                  <w:sz w:val="20"/>
                  <w:u w:val="single"/>
                </w:rPr>
                <w:t>Item 4.</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3">
              <w:r>
                <w:rPr>
                  <w:rStyle w:val="InternetLink"/>
                  <w:rFonts w:ascii="Times New Roman;sans-serif" w:hAnsi="Times New Roman;sans-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33">
              <w:r>
                <w:rPr>
                  <w:rStyle w:val="InternetLink"/>
                  <w:rFonts w:ascii="Times New Roman;sans-serif" w:hAnsi="Times New Roman;sans-serif"/>
                  <w:b w:val="false"/>
                  <w:strike w:val="false"/>
                  <w:dstrike w:val="false"/>
                  <w:color w:val="000000"/>
                  <w:sz w:val="20"/>
                  <w:u w:val="none"/>
                  <w:effect w:val="none"/>
                </w:rPr>
                <w:t>42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6">
              <w:r>
                <w:rPr>
                  <w:rStyle w:val="InternetLink"/>
                  <w:rFonts w:ascii="Times New Roman;sans-serif" w:hAnsi="Times New Roman;sans-serif"/>
                  <w:b w:val="false"/>
                  <w:color w:val="0000FF"/>
                  <w:sz w:val="20"/>
                  <w:u w:val="single"/>
                </w:rPr>
                <w:t>Item 5.</w:t>
              </w:r>
            </w:hyperlink>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36">
              <w:r>
                <w:rPr>
                  <w:rStyle w:val="InternetLink"/>
                  <w:rFonts w:ascii="Times New Roman;sans-serif" w:hAnsi="Times New Roman;sans-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36">
              <w:r>
                <w:rPr>
                  <w:rStyle w:val="InternetLink"/>
                  <w:rFonts w:ascii="Times New Roman;sans-serif" w:hAnsi="Times New Roman;sans-serif"/>
                  <w:b w:val="false"/>
                  <w:strike w:val="false"/>
                  <w:dstrike w:val="false"/>
                  <w:color w:val="000000"/>
                  <w:sz w:val="20"/>
                  <w:u w:val="none"/>
                  <w:effect w:val="none"/>
                </w:rPr>
                <w:t>42</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Item 6.</w:t>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Exhibits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39">
              <w:r>
                <w:rPr>
                  <w:rStyle w:val="InternetLink"/>
                  <w:rFonts w:ascii="Times New Roman;sans-serif" w:hAnsi="Times New Roman;sans-serif"/>
                  <w:b w:val="false"/>
                  <w:strike w:val="false"/>
                  <w:dstrike w:val="false"/>
                  <w:color w:val="000000"/>
                  <w:sz w:val="20"/>
                  <w:u w:val="none"/>
                  <w:effect w:val="none"/>
                </w:rPr>
                <w:t>43</w:t>
              </w:r>
            </w:hyperlink>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6e5dde8762a42c6849744eec2a176f4_142">
              <w:r>
                <w:rPr>
                  <w:rStyle w:val="InternetLink"/>
                  <w:rFonts w:ascii="Times New Roman;sans-serif" w:hAnsi="Times New Roman;sans-serif"/>
                  <w:b w:val="false"/>
                  <w:color w:val="0000EE"/>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5dde8762a42c6849744eec2a176f4_142">
              <w:r>
                <w:rPr>
                  <w:rStyle w:val="InternetLink"/>
                  <w:rFonts w:ascii="Times New Roman;sans-serif" w:hAnsi="Times New Roman;sans-serif"/>
                  <w:b w:val="false"/>
                  <w:strike w:val="false"/>
                  <w:dstrike w:val="false"/>
                  <w:color w:val="000000"/>
                  <w:sz w:val="20"/>
                  <w:u w:val="none"/>
                  <w:effect w:val="none"/>
                </w:rPr>
                <w:t>44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80"/>
        <w:gridCol w:w="2076"/>
        <w:gridCol w:w="2083"/>
        <w:gridCol w:w="109"/>
        <w:gridCol w:w="109"/>
        <w:gridCol w:w="109"/>
        <w:gridCol w:w="279"/>
        <w:gridCol w:w="1095"/>
        <w:gridCol w:w="144"/>
        <w:gridCol w:w="109"/>
        <w:gridCol w:w="109"/>
        <w:gridCol w:w="109"/>
        <w:gridCol w:w="211"/>
        <w:gridCol w:w="826"/>
        <w:gridCol w:w="157"/>
      </w:tblGrid>
      <w:tr>
        <w:trPr/>
        <w:tc>
          <w:tcPr>
            <w:tcW w:w="268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March 31,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6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144,993 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due after one year,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174,908 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319,901 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convertible preferred stock,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obligations under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900,000 shares authorized, 385,782 issued and outstanding, with liquidation preferences of $22,722 and $22,144 at March 31, 2024 and June 30,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640,000,000 shares authorized, 72,799,266 and 72,664,464 shares issued and outstanding at March 31, 2024 and June 30,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convertible preferred stock,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319,901 </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289,612 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83"/>
        <w:gridCol w:w="1303"/>
        <w:gridCol w:w="1305"/>
        <w:gridCol w:w="109"/>
        <w:gridCol w:w="109"/>
        <w:gridCol w:w="109"/>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5"/>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0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Costs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costs of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proxy solicitation and restatement expenses, net of insurance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cash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from debt and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applicable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used to compute net earnings (loss) per share applicable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8606" w:type="dxa"/>
        <w:jc w:val="center"/>
        <w:tblInd w:w="0" w:type="dxa"/>
        <w:tblLayout w:type="fixed"/>
        <w:tblCellMar>
          <w:top w:w="28" w:type="dxa"/>
          <w:left w:w="28" w:type="dxa"/>
          <w:bottom w:w="28" w:type="dxa"/>
          <w:right w:w="28" w:type="dxa"/>
        </w:tblCellMar>
      </w:tblPr>
      <w:tblGrid>
        <w:gridCol w:w="1242"/>
        <w:gridCol w:w="1094"/>
        <w:gridCol w:w="109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91"/>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Convertible Preferred Stock and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and Nine Months Ended March 31, 2024</w:t>
      </w:r>
    </w:p>
    <w:p>
      <w:pPr>
        <w:pStyle w:val="TextBody"/>
        <w:bidi w:val="0"/>
        <w:spacing w:before="0" w:after="0"/>
        <w:jc w:val="center"/>
        <w:rPr/>
      </w:pPr>
      <w:r>
        <w:rPr/>
      </w:r>
    </w:p>
    <w:tbl>
      <w:tblPr>
        <w:tblW w:w="12059" w:type="dxa"/>
        <w:jc w:val="left"/>
        <w:tblInd w:w="0" w:type="dxa"/>
        <w:tblLayout w:type="fixed"/>
        <w:tblCellMar>
          <w:top w:w="28" w:type="dxa"/>
          <w:left w:w="28" w:type="dxa"/>
          <w:bottom w:w="28" w:type="dxa"/>
          <w:right w:w="28" w:type="dxa"/>
        </w:tblCellMar>
      </w:tblPr>
      <w:tblGrid>
        <w:gridCol w:w="709"/>
        <w:gridCol w:w="320"/>
        <w:gridCol w:w="322"/>
        <w:gridCol w:w="109"/>
        <w:gridCol w:w="109"/>
        <w:gridCol w:w="109"/>
        <w:gridCol w:w="413"/>
        <w:gridCol w:w="413"/>
        <w:gridCol w:w="226"/>
        <w:gridCol w:w="109"/>
        <w:gridCol w:w="109"/>
        <w:gridCol w:w="109"/>
        <w:gridCol w:w="211"/>
        <w:gridCol w:w="616"/>
        <w:gridCol w:w="109"/>
        <w:gridCol w:w="109"/>
        <w:gridCol w:w="109"/>
        <w:gridCol w:w="109"/>
        <w:gridCol w:w="540"/>
        <w:gridCol w:w="541"/>
        <w:gridCol w:w="226"/>
        <w:gridCol w:w="109"/>
        <w:gridCol w:w="109"/>
        <w:gridCol w:w="109"/>
        <w:gridCol w:w="211"/>
        <w:gridCol w:w="826"/>
        <w:gridCol w:w="109"/>
        <w:gridCol w:w="109"/>
        <w:gridCol w:w="109"/>
        <w:gridCol w:w="109"/>
        <w:gridCol w:w="211"/>
        <w:gridCol w:w="896"/>
        <w:gridCol w:w="109"/>
        <w:gridCol w:w="109"/>
        <w:gridCol w:w="109"/>
        <w:gridCol w:w="109"/>
        <w:gridCol w:w="414"/>
        <w:gridCol w:w="797"/>
        <w:gridCol w:w="215"/>
        <w:gridCol w:w="109"/>
        <w:gridCol w:w="109"/>
        <w:gridCol w:w="109"/>
        <w:gridCol w:w="236"/>
        <w:gridCol w:w="926"/>
        <w:gridCol w:w="174"/>
      </w:tblGrid>
      <w:tr>
        <w:trPr/>
        <w:tc>
          <w:tcPr>
            <w:tcW w:w="7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72,664,464 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72,695,265 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72,739,058 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72,799,266 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178,795 </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and Nine Months Ended March 31, 2023</w:t>
      </w:r>
    </w:p>
    <w:p>
      <w:pPr>
        <w:pStyle w:val="TextBody"/>
        <w:bidi w:val="0"/>
        <w:spacing w:before="0" w:after="0"/>
        <w:jc w:val="left"/>
        <w:rPr/>
      </w:pPr>
      <w:r>
        <w:rPr/>
      </w:r>
    </w:p>
    <w:tbl>
      <w:tblPr>
        <w:tblW w:w="11969" w:type="dxa"/>
        <w:jc w:val="left"/>
        <w:tblInd w:w="0" w:type="dxa"/>
        <w:tblLayout w:type="fixed"/>
        <w:tblCellMar>
          <w:top w:w="28" w:type="dxa"/>
          <w:left w:w="28" w:type="dxa"/>
          <w:bottom w:w="28" w:type="dxa"/>
          <w:right w:w="28" w:type="dxa"/>
        </w:tblCellMar>
      </w:tblPr>
      <w:tblGrid>
        <w:gridCol w:w="619"/>
        <w:gridCol w:w="320"/>
        <w:gridCol w:w="322"/>
        <w:gridCol w:w="109"/>
        <w:gridCol w:w="109"/>
        <w:gridCol w:w="109"/>
        <w:gridCol w:w="413"/>
        <w:gridCol w:w="413"/>
        <w:gridCol w:w="226"/>
        <w:gridCol w:w="109"/>
        <w:gridCol w:w="109"/>
        <w:gridCol w:w="109"/>
        <w:gridCol w:w="211"/>
        <w:gridCol w:w="616"/>
        <w:gridCol w:w="109"/>
        <w:gridCol w:w="109"/>
        <w:gridCol w:w="109"/>
        <w:gridCol w:w="109"/>
        <w:gridCol w:w="540"/>
        <w:gridCol w:w="541"/>
        <w:gridCol w:w="226"/>
        <w:gridCol w:w="109"/>
        <w:gridCol w:w="109"/>
        <w:gridCol w:w="109"/>
        <w:gridCol w:w="211"/>
        <w:gridCol w:w="826"/>
        <w:gridCol w:w="109"/>
        <w:gridCol w:w="109"/>
        <w:gridCol w:w="109"/>
        <w:gridCol w:w="109"/>
        <w:gridCol w:w="211"/>
        <w:gridCol w:w="896"/>
        <w:gridCol w:w="109"/>
        <w:gridCol w:w="109"/>
        <w:gridCol w:w="109"/>
        <w:gridCol w:w="109"/>
        <w:gridCol w:w="414"/>
        <w:gridCol w:w="797"/>
        <w:gridCol w:w="215"/>
        <w:gridCol w:w="109"/>
        <w:gridCol w:w="109"/>
        <w:gridCol w:w="109"/>
        <w:gridCol w:w="236"/>
        <w:gridCol w:w="926"/>
        <w:gridCol w:w="174"/>
      </w:tblGrid>
      <w:tr>
        <w:trPr/>
        <w:tc>
          <w:tcPr>
            <w:tcW w:w="6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Preferred Stock</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Shareholders' Equity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445,063 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71,188,053 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156,833 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71,218,130 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72,462,969 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72,509,261 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159,731 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06" w:type="dxa"/>
        <w:jc w:val="left"/>
        <w:tblInd w:w="0" w:type="dxa"/>
        <w:tblLayout w:type="fixed"/>
        <w:tblCellMar>
          <w:top w:w="28" w:type="dxa"/>
          <w:left w:w="28" w:type="dxa"/>
          <w:bottom w:w="28" w:type="dxa"/>
          <w:right w:w="28" w:type="dxa"/>
        </w:tblCellMar>
      </w:tblPr>
      <w:tblGrid>
        <w:gridCol w:w="2579"/>
        <w:gridCol w:w="2267"/>
        <w:gridCol w:w="2279"/>
        <w:gridCol w:w="109"/>
        <w:gridCol w:w="109"/>
        <w:gridCol w:w="109"/>
        <w:gridCol w:w="211"/>
        <w:gridCol w:w="721"/>
        <w:gridCol w:w="109"/>
        <w:gridCol w:w="109"/>
        <w:gridCol w:w="109"/>
        <w:gridCol w:w="109"/>
        <w:gridCol w:w="211"/>
        <w:gridCol w:w="721"/>
        <w:gridCol w:w="154"/>
      </w:tblGrid>
      <w:tr>
        <w:trPr/>
        <w:tc>
          <w:tcPr>
            <w:tcW w:w="257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71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included in cost of subscription and transaction fees for 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paid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currency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0"/>
              </w:rPr>
              <w:t>Supplemental disclosures of cash flow information</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Cantaloupe,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and its consolidated subsidiaries are referred to herein collectively as "Cantaloupe," the "Company," "we," "our" or "us," unless the context requires otherwise.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 SUMMARY OF SIGNIFICANT ACCOUNTING POLICIES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Preparation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2023 Annual Report on Form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intercompany transactions and balances have been eliminated in consolidation. In the opinion of management, all adjustments considered necessary for a fair presentation, consisting of normal recurring adjustments, have been included. Operating results for the interim periods presented are not necessarily indicative of the results that may be expected for the entire fiscal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one operating segment because its chief operating decision maker, who is the Chief Executive Officer, reviews its financial information on a consolidated basis for purposes of making decisions regarding allocating resources and assessing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translate the result of operations of our foreign subsidiaries using average exchange rates for each period, whereas balance sheet accounts are translated using exchange rates at the end of each reporting period. The resulting translation adjustment is presented as a component of other comprehensive income (loss) and is included in accumulated comprehensive income (loss) within equity in our condensed consolidated balance sheets. Gains and losses on transactions denominated in currencies other than the functional currency are generally included in determining net income for the period. For the three and nine months ended March 31, 2024 and 2023, our transaction gains and losses were insignificant.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Reclassification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Beginning with the fourth quarter of fiscal year 2023, the Company presented convertible preferred stock on its</w:t>
      </w:r>
      <w:r>
        <w:rPr>
          <w:color w:val="000000"/>
        </w:rPr>
        <w:t xml:space="preserve"> </w:t>
      </w:r>
      <w:r>
        <w:rPr>
          <w:rFonts w:ascii="Times New Roman;sans-serif" w:hAnsi="Times New Roman;sans-serif"/>
          <w:b w:val="false"/>
          <w:color w:val="000000"/>
          <w:sz w:val="20"/>
        </w:rPr>
        <w:t>consolidated statements of shareholders’ equity and changed the name of the statement to consolidated statements of convertible preferred stock and shareholders’ equity accordingly.</w:t>
      </w:r>
      <w:r>
        <w:rPr>
          <w:color w:val="000000"/>
          <w:shd w:fill="FFFFFF" w:val="clear"/>
        </w:rPr>
        <w:t xml:space="preserve"> </w:t>
      </w:r>
      <w:r>
        <w:rPr>
          <w:rFonts w:ascii="Times New Roman;sans-serif" w:hAnsi="Times New Roman;sans-serif"/>
          <w:b w:val="false"/>
          <w:color w:val="000000"/>
          <w:sz w:val="20"/>
        </w:rPr>
        <w:t>Prior period amounts have been reclassified to conform to the current period presentation.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Issued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ASU 2023-09, Income Taxes (Topic 740): Improvements to Income Tax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December 2023, the FASB issued ASU 2023-09, which expands income tax disclosure requirements to include additional information related to the rate reconciliation of effective tax rates to statutory rates as well as additional disaggregation of taxes paid. The amendments in the ASU also remove disclosures related to certain unrecognized tax benefits and deferred taxes. ASU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2023-09 is effective for fiscal years beginning after December 15, 2024, which is the Company's fiscal year 2026 annual reporting period. The amendments may be applied prospectively or retrospectively, and early adoption is permitted. We are currently assessing the impact of the requirements on our consolidated financial statements and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ASU 2023-07 Segment Reporting (Topic 280): Improvements to Reportable Segment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which is the Company's fiscal year 2025 annual reporting period. Interim disclosures are required for periods within fiscal years beginning after December 15, 2024, which is the Company's fiscal year 2026 interim reporting periods. Retrospective application is required for all prior periods presented, and early adoption is permitted. We are currently assessing the impact of the requirements on our consolidated financial statements and disclosures.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 other new accounting pronouncements, issued or effective during the period ended March 31, 2024, have had or are expected to have a significant impact on the Company’s financial statements.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ACCOUNTS RECEIVABLE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for uncollectible accounts were $43.3 million as of March 31, 2024 and $30.2 million as of June 30, 2023. The increase in accounts receivable at March 31, 2024 compared to June 30, 2023 is primarily due to the timing of the settlement receivables due from third-party payment processors which varies depending on the timing of the last business day of each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June 30, 2023, no customer represented more than 10% of the Company's accounts receivable, net of allowance.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allowance for credit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(days past due status) of the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receivable balances against the allowance for credit losses when management determines the balance is uncollectible and the Company ceases collection efforts.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rollforward of the allowance for credit losses for the nine months ended March 31, 2024 and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6620" w:type="dxa"/>
        <w:jc w:val="left"/>
        <w:tblInd w:w="0" w:type="dxa"/>
        <w:tblLayout w:type="fixed"/>
        <w:tblCellMar>
          <w:top w:w="28" w:type="dxa"/>
          <w:left w:w="28" w:type="dxa"/>
          <w:bottom w:w="28" w:type="dxa"/>
          <w:right w:w="28" w:type="dxa"/>
        </w:tblCellMar>
      </w:tblPr>
      <w:tblGrid>
        <w:gridCol w:w="1390"/>
        <w:gridCol w:w="1222"/>
        <w:gridCol w:w="1227"/>
        <w:gridCol w:w="109"/>
        <w:gridCol w:w="109"/>
        <w:gridCol w:w="109"/>
        <w:gridCol w:w="211"/>
        <w:gridCol w:w="721"/>
        <w:gridCol w:w="109"/>
        <w:gridCol w:w="109"/>
        <w:gridCol w:w="109"/>
        <w:gridCol w:w="109"/>
        <w:gridCol w:w="211"/>
        <w:gridCol w:w="721"/>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ans-serif" w:hAnsi="Times New Roman;sans-serif"/>
                <w:b/>
                <w:color w:val="000000"/>
                <w:sz w:val="16"/>
              </w:rPr>
            </w:pPr>
            <w:r>
              <w:rPr>
                <w:rFonts w:ascii="Times New Roman;sans-serif" w:hAnsi="Times New Roman;sans-serif"/>
                <w:b/>
                <w:color w:val="000000"/>
                <w:sz w:val="16"/>
              </w:rPr>
              <w:t>Nine months ended</w:t>
              <w:br/>
              <w:t>March 31,</w:t>
            </w:r>
          </w:p>
        </w:tc>
      </w:tr>
      <w:tr>
        <w:trPr/>
        <w:tc>
          <w:tcPr>
            <w:tcW w:w="38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of allowance as of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FINANCE RECEIVABLES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finance receivables consist of financed devices under its financing program and devices contractually associated with the Seed platform. Predominately all of the Company’s finance receivables agreements are classified as non-cancellable sixty-month sales-type leases. As of March 31, 2024 and June 30, 2023, finance receivables consist of the following:</w:t>
      </w:r>
    </w:p>
    <w:tbl>
      <w:tblPr>
        <w:tblW w:w="9230" w:type="dxa"/>
        <w:jc w:val="left"/>
        <w:tblInd w:w="0" w:type="dxa"/>
        <w:tblLayout w:type="fixed"/>
        <w:tblCellMar>
          <w:top w:w="28" w:type="dxa"/>
          <w:left w:w="28" w:type="dxa"/>
          <w:bottom w:w="28" w:type="dxa"/>
          <w:right w:w="28" w:type="dxa"/>
        </w:tblCellMar>
      </w:tblPr>
      <w:tblGrid>
        <w:gridCol w:w="2332"/>
        <w:gridCol w:w="2054"/>
        <w:gridCol w:w="2063"/>
        <w:gridCol w:w="109"/>
        <w:gridCol w:w="109"/>
        <w:gridCol w:w="109"/>
        <w:gridCol w:w="211"/>
        <w:gridCol w:w="721"/>
        <w:gridCol w:w="10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6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finance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receivables due after one year,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 net of allowance of $2,212 and $2,098,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lease payments from customers primarily as part of the flow of funds from our transaction processing service. Balances are considered past due if customers do not have sufficient transaction revenue to cover the monthly lease payment by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end of the monthly billing period.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Credit risk for finance receivables is continuously monitored by management and reflected within the allowance for finance receivables. </w:t>
      </w:r>
      <w:r>
        <w:rPr>
          <w:rFonts w:ascii="Times New Roman;sans-serif" w:hAnsi="Times New Roman;sans-serif"/>
          <w:b w:val="false"/>
          <w:color w:val="000000"/>
          <w:sz w:val="20"/>
          <w:shd w:fill="FFFFFF" w:val="clear"/>
        </w:rPr>
        <w:t>As</w:t>
      </w:r>
      <w:r>
        <w:rPr>
          <w:color w:val="000000"/>
        </w:rPr>
        <w:t xml:space="preserve"> </w:t>
      </w:r>
      <w:r>
        <w:rPr>
          <w:rFonts w:ascii="Times New Roman;sans-serif" w:hAnsi="Times New Roman;sans-serif"/>
          <w:b w:val="false"/>
          <w:color w:val="000000"/>
          <w:sz w:val="20"/>
        </w:rPr>
        <w:t>our finance receivables generally have similar risk characteristics, our key credit quality indicator is the aging (days past due status) of our aggregated finance receivables balances. Specifically, we estimate our allowance by using an aging analysis of the aggregated finance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finance receivable balances against the allowance for credit losses when management determines the balance is uncollectible and the Company ceases collection efforts.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gross lease receivable by current payment performance on a contractual basis and year of origination consisted of the following: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11"/>
        <w:gridCol w:w="286"/>
        <w:gridCol w:w="288"/>
        <w:gridCol w:w="109"/>
        <w:gridCol w:w="109"/>
        <w:gridCol w:w="109"/>
        <w:gridCol w:w="215"/>
        <w:gridCol w:w="629"/>
        <w:gridCol w:w="111"/>
        <w:gridCol w:w="109"/>
        <w:gridCol w:w="109"/>
        <w:gridCol w:w="109"/>
        <w:gridCol w:w="222"/>
        <w:gridCol w:w="650"/>
        <w:gridCol w:w="115"/>
        <w:gridCol w:w="109"/>
        <w:gridCol w:w="109"/>
        <w:gridCol w:w="109"/>
        <w:gridCol w:w="222"/>
        <w:gridCol w:w="650"/>
        <w:gridCol w:w="115"/>
        <w:gridCol w:w="109"/>
        <w:gridCol w:w="109"/>
        <w:gridCol w:w="109"/>
        <w:gridCol w:w="222"/>
        <w:gridCol w:w="650"/>
        <w:gridCol w:w="115"/>
        <w:gridCol w:w="109"/>
        <w:gridCol w:w="109"/>
        <w:gridCol w:w="109"/>
        <w:gridCol w:w="226"/>
        <w:gridCol w:w="501"/>
        <w:gridCol w:w="117"/>
        <w:gridCol w:w="109"/>
        <w:gridCol w:w="109"/>
        <w:gridCol w:w="109"/>
        <w:gridCol w:w="219"/>
        <w:gridCol w:w="642"/>
        <w:gridCol w:w="113"/>
        <w:gridCol w:w="109"/>
        <w:gridCol w:w="109"/>
        <w:gridCol w:w="109"/>
        <w:gridCol w:w="211"/>
        <w:gridCol w:w="721"/>
        <w:gridCol w:w="165"/>
      </w:tblGrid>
      <w:tr>
        <w:trPr/>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Leases by Origination</w:t>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the gross lease receivable by current payment performance on a contractual basis and year of origination consisted of the following:</w:t>
      </w:r>
    </w:p>
    <w:tbl>
      <w:tblPr>
        <w:tblW w:w="10205" w:type="dxa"/>
        <w:jc w:val="left"/>
        <w:tblInd w:w="0" w:type="dxa"/>
        <w:tblLayout w:type="fixed"/>
        <w:tblCellMar>
          <w:top w:w="28" w:type="dxa"/>
          <w:left w:w="28" w:type="dxa"/>
          <w:bottom w:w="28" w:type="dxa"/>
          <w:right w:w="28" w:type="dxa"/>
        </w:tblCellMar>
      </w:tblPr>
      <w:tblGrid>
        <w:gridCol w:w="506"/>
        <w:gridCol w:w="278"/>
        <w:gridCol w:w="279"/>
        <w:gridCol w:w="109"/>
        <w:gridCol w:w="109"/>
        <w:gridCol w:w="109"/>
        <w:gridCol w:w="213"/>
        <w:gridCol w:w="623"/>
        <w:gridCol w:w="110"/>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7"/>
        <w:gridCol w:w="635"/>
        <w:gridCol w:w="112"/>
        <w:gridCol w:w="109"/>
        <w:gridCol w:w="109"/>
        <w:gridCol w:w="109"/>
        <w:gridCol w:w="215"/>
        <w:gridCol w:w="630"/>
        <w:gridCol w:w="111"/>
        <w:gridCol w:w="109"/>
        <w:gridCol w:w="109"/>
        <w:gridCol w:w="109"/>
        <w:gridCol w:w="211"/>
        <w:gridCol w:w="721"/>
        <w:gridCol w:w="163"/>
      </w:tblGrid>
      <w:tr>
        <w:trPr/>
        <w:tc>
          <w:tcPr>
            <w:tcW w:w="50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5"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Leases by Origination</w:t>
            </w:r>
          </w:p>
        </w:tc>
      </w:tr>
      <w:tr>
        <w:trPr/>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Up to 1 Year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1 and 2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2 and 3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3 and 4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Between 4 and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 Ago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 and 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represents a rollforward of the allowance for finance receivables for the nine months ended March 31, 2024 and 2023:</w:t>
      </w:r>
    </w:p>
    <w:p>
      <w:pPr>
        <w:pStyle w:val="TextBody"/>
        <w:bidi w:val="0"/>
        <w:spacing w:before="0" w:after="0"/>
        <w:jc w:val="both"/>
        <w:rPr/>
      </w:pPr>
      <w:r>
        <w:rPr/>
      </w:r>
    </w:p>
    <w:tbl>
      <w:tblPr>
        <w:tblW w:w="4895" w:type="dxa"/>
        <w:jc w:val="left"/>
        <w:tblInd w:w="0" w:type="dxa"/>
        <w:tblLayout w:type="fixed"/>
        <w:tblCellMar>
          <w:top w:w="28" w:type="dxa"/>
          <w:left w:w="28" w:type="dxa"/>
          <w:bottom w:w="28" w:type="dxa"/>
          <w:right w:w="28" w:type="dxa"/>
        </w:tblCellMar>
      </w:tblPr>
      <w:tblGrid>
        <w:gridCol w:w="894"/>
        <w:gridCol w:w="788"/>
        <w:gridCol w:w="792"/>
        <w:gridCol w:w="109"/>
        <w:gridCol w:w="109"/>
        <w:gridCol w:w="109"/>
        <w:gridCol w:w="211"/>
        <w:gridCol w:w="616"/>
        <w:gridCol w:w="109"/>
        <w:gridCol w:w="109"/>
        <w:gridCol w:w="109"/>
        <w:gridCol w:w="109"/>
        <w:gridCol w:w="211"/>
        <w:gridCol w:w="46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March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to be collected on our performing finance receivables due for each of the fiscal years is as follows:</w:t>
      </w:r>
    </w:p>
    <w:tbl>
      <w:tblPr>
        <w:tblW w:w="4851" w:type="dxa"/>
        <w:jc w:val="left"/>
        <w:tblInd w:w="0" w:type="dxa"/>
        <w:tblLayout w:type="fixed"/>
        <w:tblCellMar>
          <w:top w:w="28" w:type="dxa"/>
          <w:left w:w="28" w:type="dxa"/>
          <w:bottom w:w="28" w:type="dxa"/>
          <w:right w:w="28" w:type="dxa"/>
        </w:tblCellMar>
      </w:tblPr>
      <w:tblGrid>
        <w:gridCol w:w="1361"/>
        <w:gridCol w:w="1199"/>
        <w:gridCol w:w="1205"/>
        <w:gridCol w:w="211"/>
        <w:gridCol w:w="72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amounts to be collected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uncollectible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receivables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which are primarily real estate leases used for corporate functions, product development, sales, and other purposes. The following table provides supplemental balance sheet information related to the Company's operating leases:</w:t>
      </w:r>
    </w:p>
    <w:tbl>
      <w:tblPr>
        <w:tblW w:w="9305" w:type="dxa"/>
        <w:jc w:val="center"/>
        <w:tblInd w:w="0" w:type="dxa"/>
        <w:tblLayout w:type="fixed"/>
        <w:tblCellMar>
          <w:top w:w="28" w:type="dxa"/>
          <w:left w:w="28" w:type="dxa"/>
          <w:bottom w:w="28" w:type="dxa"/>
          <w:right w:w="28" w:type="dxa"/>
        </w:tblCellMar>
      </w:tblPr>
      <w:tblGrid>
        <w:gridCol w:w="662"/>
        <w:gridCol w:w="583"/>
        <w:gridCol w:w="585"/>
        <w:gridCol w:w="109"/>
        <w:gridCol w:w="109"/>
        <w:gridCol w:w="109"/>
        <w:gridCol w:w="1074"/>
        <w:gridCol w:w="1074"/>
        <w:gridCol w:w="1077"/>
        <w:gridCol w:w="109"/>
        <w:gridCol w:w="109"/>
        <w:gridCol w:w="109"/>
        <w:gridCol w:w="378"/>
        <w:gridCol w:w="1106"/>
        <w:gridCol w:w="195"/>
        <w:gridCol w:w="109"/>
        <w:gridCol w:w="109"/>
        <w:gridCol w:w="109"/>
        <w:gridCol w:w="342"/>
        <w:gridCol w:w="999"/>
        <w:gridCol w:w="249"/>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and non-cash activity related to our leases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6"/>
        <w:gridCol w:w="1696"/>
        <w:gridCol w:w="1710"/>
        <w:gridCol w:w="507"/>
        <w:gridCol w:w="1480"/>
        <w:gridCol w:w="262"/>
        <w:gridCol w:w="109"/>
        <w:gridCol w:w="109"/>
        <w:gridCol w:w="109"/>
        <w:gridCol w:w="493"/>
        <w:gridCol w:w="1441"/>
        <w:gridCol w:w="363"/>
      </w:tblGrid>
      <w:tr>
        <w:trPr/>
        <w:tc>
          <w:tcPr>
            <w:tcW w:w="192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 2023</w:t>
            </w:r>
          </w:p>
        </w:tc>
      </w:tr>
      <w:tr>
        <w:trPr/>
        <w:tc>
          <w:tcPr>
            <w:tcW w:w="5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activity:</w:t>
            </w:r>
          </w:p>
        </w:tc>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new operating lease liabilities</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by fiscal year for our leases as of March 31,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3771" w:type="dxa"/>
        <w:jc w:val="left"/>
        <w:tblInd w:w="0" w:type="dxa"/>
        <w:tblLayout w:type="fixed"/>
        <w:tblCellMar>
          <w:top w:w="28" w:type="dxa"/>
          <w:left w:w="28" w:type="dxa"/>
          <w:bottom w:w="28" w:type="dxa"/>
          <w:right w:w="28" w:type="dxa"/>
        </w:tblCellMar>
      </w:tblPr>
      <w:tblGrid>
        <w:gridCol w:w="970"/>
        <w:gridCol w:w="856"/>
        <w:gridCol w:w="859"/>
        <w:gridCol w:w="211"/>
        <w:gridCol w:w="721"/>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br/>
              <w:t>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February 2023, the Company extended the lease for its existing Atlanta, Georgia office for an additional 73-months period including rent-free periods. The lease commenced on July 1, 2023 and we recognized right-of-use operating lease assets of $1.8 million in exchange for operating lease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May 2023, the Company signed a new lease for its office in Malvern, Pennsylvania. The new lease has a 133-months term starting in March 2024. The Company determined the lease commenced on November 1, 2023 when the lessor granted early access to the Company to begin making leasehold improvements prior to start of the formal lease term. We recognized right-of-use operating lease assets of $4.9 million in exchange for operating lease liabilities on the commencement date. </w:t>
      </w:r>
    </w:p>
    <w:p>
      <w:pPr>
        <w:pStyle w:val="TextBody"/>
        <w:bidi w:val="0"/>
        <w:spacing w:before="100" w:after="283"/>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for the operating lease rental program consisted of the following:</w:t>
      </w:r>
    </w:p>
    <w:tbl>
      <w:tblPr>
        <w:tblW w:w="494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11"/>
        <w:gridCol w:w="721"/>
        <w:gridCol w:w="109"/>
        <w:gridCol w:w="109"/>
        <w:gridCol w:w="109"/>
        <w:gridCol w:w="109"/>
        <w:gridCol w:w="211"/>
        <w:gridCol w:w="61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28,398 </w:t>
            </w:r>
          </w:p>
        </w:tc>
        <w:tc>
          <w:tcPr>
            <w:tcW w:w="154" w:type="dxa"/>
            <w:tcBorders>
              <w:top w:val="single" w:sz="8" w:space="0" w:color="000000"/>
              <w:right w:val="single" w:sz="8" w:space="0" w:color="D9D9D9"/>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D9D9D9"/>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(23,221)</w:t>
            </w:r>
          </w:p>
        </w:tc>
        <w:tc>
          <w:tcPr>
            <w:tcW w:w="154" w:type="dxa"/>
            <w:tcBorders>
              <w:top w:val="single" w:sz="8" w:space="0" w:color="D9D9D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three months ended March 31, 2024 and 2023, the Company recognized </w:t>
      </w:r>
      <w:r>
        <w:rPr>
          <w:rFonts w:ascii="Times New Roman;sans-serif" w:hAnsi="Times New Roman;sans-serif"/>
          <w:b w:val="false"/>
          <w:color w:val="000000"/>
          <w:sz w:val="20"/>
          <w:shd w:fill="FFFFFF" w:val="clear"/>
        </w:rPr>
        <w:t>$2.1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$2.0 million</w:t>
      </w:r>
      <w:r>
        <w:rPr>
          <w:color w:val="000000"/>
        </w:rPr>
        <w:t xml:space="preserve"> </w:t>
      </w:r>
      <w:r>
        <w:rPr>
          <w:rFonts w:ascii="Times New Roman;sans-serif" w:hAnsi="Times New Roman;sans-serif"/>
          <w:b w:val="false"/>
          <w:color w:val="000000"/>
          <w:sz w:val="20"/>
        </w:rPr>
        <w:t xml:space="preserve">of revenue from its device rental program, respectively, included in the Subscription and Transaction fees on its Condensed Consolidated Statements of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nine months ended March 31, 2024 and 2023, the Company recognized </w:t>
      </w:r>
      <w:r>
        <w:rPr>
          <w:rFonts w:ascii="Times New Roman;sans-serif" w:hAnsi="Times New Roman;sans-serif"/>
          <w:b w:val="false"/>
          <w:color w:val="000000"/>
          <w:sz w:val="20"/>
          <w:shd w:fill="FFFFFF" w:val="clear"/>
        </w:rPr>
        <w:t xml:space="preserve">$6.1 million and $5.7 million </w:t>
      </w:r>
      <w:r>
        <w:rPr>
          <w:rFonts w:ascii="Times New Roman;sans-serif" w:hAnsi="Times New Roman;sans-serif"/>
          <w:b w:val="false"/>
          <w:color w:val="000000"/>
          <w:sz w:val="20"/>
        </w:rPr>
        <w:t xml:space="preserve">of revenue from its device rental program, respectively, included in the Subscription and Transaction fees on its Condensed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investment in sales-type leases (carrying value of lease receivables) and the future minimum amounts to be collected on these lease receivables as of March 31, 2024 are disclosed within Note 4 - Finance Receivables.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DEBT AND OTHER FINANCING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and other financing arrangements as of March 31, 2024 and June 30, 2023 consisted of the following:</w:t>
      </w:r>
    </w:p>
    <w:tbl>
      <w:tblPr>
        <w:tblW w:w="7477" w:type="dxa"/>
        <w:jc w:val="center"/>
        <w:tblInd w:w="0" w:type="dxa"/>
        <w:tblLayout w:type="fixed"/>
        <w:tblCellMar>
          <w:top w:w="28" w:type="dxa"/>
          <w:left w:w="28" w:type="dxa"/>
          <w:bottom w:w="28" w:type="dxa"/>
          <w:right w:w="28" w:type="dxa"/>
        </w:tblCellMar>
      </w:tblPr>
      <w:tblGrid>
        <w:gridCol w:w="1578"/>
        <w:gridCol w:w="1390"/>
        <w:gridCol w:w="1396"/>
        <w:gridCol w:w="109"/>
        <w:gridCol w:w="109"/>
        <w:gridCol w:w="109"/>
        <w:gridCol w:w="258"/>
        <w:gridCol w:w="883"/>
        <w:gridCol w:w="133"/>
        <w:gridCol w:w="109"/>
        <w:gridCol w:w="109"/>
        <w:gridCol w:w="109"/>
        <w:gridCol w:w="230"/>
        <w:gridCol w:w="787"/>
        <w:gridCol w:w="168"/>
      </w:tblGrid>
      <w:tr>
        <w:trPr/>
        <w:tc>
          <w:tcPr>
            <w:tcW w:w="15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issuance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and other financing arrangements,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and other financing arrangements,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See discussion below on amendment to the JPMorgan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Details of interest expense presented on the condensed consolidated statements of operations are as follows:</w:t>
      </w:r>
    </w:p>
    <w:tbl>
      <w:tblPr>
        <w:tblW w:w="10016" w:type="dxa"/>
        <w:jc w:val="center"/>
        <w:tblInd w:w="0" w:type="dxa"/>
        <w:tblLayout w:type="fixed"/>
        <w:tblCellMar>
          <w:top w:w="28" w:type="dxa"/>
          <w:left w:w="28" w:type="dxa"/>
          <w:bottom w:w="28" w:type="dxa"/>
          <w:right w:w="28" w:type="dxa"/>
        </w:tblCellMar>
      </w:tblPr>
      <w:tblGrid>
        <w:gridCol w:w="1860"/>
        <w:gridCol w:w="1639"/>
        <w:gridCol w:w="1645"/>
        <w:gridCol w:w="109"/>
        <w:gridCol w:w="109"/>
        <w:gridCol w:w="109"/>
        <w:gridCol w:w="211"/>
        <w:gridCol w:w="541"/>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 expense on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expense, net on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JPMorgan Chase Bank Credit Agreement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including $15 million from the revolving credit facility and $10 million from the term facility, to partially fund the cash consideration of the 32M acquisition as referenced in </w:t>
      </w:r>
      <w:r>
        <w:rPr>
          <w:rFonts w:ascii="Times New Roman;sans-serif" w:hAnsi="Times New Roman;sans-serif"/>
          <w:b w:val="false"/>
          <w:i/>
          <w:color w:val="000000"/>
          <w:sz w:val="20"/>
        </w:rPr>
        <w:t>Note 9 - Acquisition</w:t>
      </w:r>
      <w:r>
        <w:rPr>
          <w:rFonts w:ascii="Times New Roman;sans-serif" w:hAnsi="Times New Roman;sans-serif"/>
          <w:b w:val="false"/>
          <w:color w:val="000000"/>
          <w:sz w:val="20"/>
        </w:rPr>
        <w:t xml:space="preserve">. No issuance costs were capitalized in connection with this amendment.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JPMorgan Credit Facility matures on March 16, 2026. Interest on the Amended JPMorgan Credit Facility will be based, at the Company’s option, on a base rate or SOFR plus an applicable margin tied to the Company’s total leverage ratio and having ranges of between 2.50% and 3.00% for base rate loans and between 3.50% and 4.00%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March 31, 2024, the weighted-average interest rate for the Amended JPMorgan Credit Facility is approximately 9.0%.</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JPMorgan Credit Facility includes customary representations, warranties and covenants, and acceleration, indemnity and events of default provisions, including, among other things, two financial covenants. One financial covenant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obligations under its long-term debt agreements are carried at amortized cost, which approximates their fair value as of March 31, 2024, as the debt facility was amended in December 2022 and the interest rates applicable are variable in nature.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its financial covenants for the Amended JPMorgan Credit Facility as of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maturities associated with the Company’s outstanding debt and other financing arrangements as of March 31, 2024, were as follows:</w:t>
      </w:r>
    </w:p>
    <w:tbl>
      <w:tblPr>
        <w:tblW w:w="3441" w:type="dxa"/>
        <w:jc w:val="center"/>
        <w:tblInd w:w="0" w:type="dxa"/>
        <w:tblLayout w:type="fixed"/>
        <w:tblCellMar>
          <w:top w:w="28" w:type="dxa"/>
          <w:left w:w="28" w:type="dxa"/>
          <w:bottom w:w="28" w:type="dxa"/>
          <w:right w:w="28" w:type="dxa"/>
        </w:tblCellMar>
      </w:tblPr>
      <w:tblGrid>
        <w:gridCol w:w="853"/>
        <w:gridCol w:w="748"/>
        <w:gridCol w:w="754"/>
        <w:gridCol w:w="211"/>
        <w:gridCol w:w="72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amounts payable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as of March 31, 2024 and June 30, 2023:</w:t>
      </w:r>
    </w:p>
    <w:tbl>
      <w:tblPr>
        <w:tblW w:w="7568" w:type="dxa"/>
        <w:jc w:val="left"/>
        <w:tblInd w:w="0" w:type="dxa"/>
        <w:tblLayout w:type="fixed"/>
        <w:tblCellMar>
          <w:top w:w="28" w:type="dxa"/>
          <w:left w:w="28" w:type="dxa"/>
          <w:bottom w:w="28" w:type="dxa"/>
          <w:right w:w="28" w:type="dxa"/>
        </w:tblCellMar>
      </w:tblPr>
      <w:tblGrid>
        <w:gridCol w:w="1612"/>
        <w:gridCol w:w="1418"/>
        <w:gridCol w:w="1425"/>
        <w:gridCol w:w="109"/>
        <w:gridCol w:w="109"/>
        <w:gridCol w:w="109"/>
        <w:gridCol w:w="258"/>
        <w:gridCol w:w="883"/>
        <w:gridCol w:w="133"/>
        <w:gridCol w:w="109"/>
        <w:gridCol w:w="109"/>
        <w:gridCol w:w="109"/>
        <w:gridCol w:w="230"/>
        <w:gridCol w:w="787"/>
        <w:gridCol w:w="168"/>
      </w:tblGrid>
      <w:tr>
        <w:trPr/>
        <w:tc>
          <w:tcPr>
            <w:tcW w:w="161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 and filing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withheld for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556" w:before="100" w:after="283"/>
        <w:jc w:val="both"/>
        <w:rPr/>
      </w:pPr>
      <w:r>
        <w:rPr>
          <w:rFonts w:ascii="Times New Roman;sans-serif" w:hAnsi="Times New Roman;sans-serif"/>
          <w:b w:val="false"/>
          <w:i/>
          <w:color w:val="000000"/>
          <w:sz w:val="18"/>
        </w:rPr>
        <w:t xml:space="preserve">* </w:t>
      </w:r>
      <w:r>
        <w:rPr>
          <w:rFonts w:ascii="Times New Roman;sans-serif" w:hAnsi="Times New Roman;sans-serif"/>
          <w:b w:val="false"/>
          <w:color w:val="000000"/>
          <w:sz w:val="18"/>
        </w:rPr>
        <w:t>See</w:t>
      </w:r>
      <w:r>
        <w:rPr>
          <w:color w:val="000000"/>
        </w:rPr>
        <w:t xml:space="preserve"> </w:t>
      </w:r>
      <w:r>
        <w:rPr>
          <w:rFonts w:ascii="Times New Roman;sans-serif" w:hAnsi="Times New Roman;sans-serif"/>
          <w:b w:val="false"/>
          <w:i/>
          <w:color w:val="000000"/>
          <w:sz w:val="18"/>
        </w:rPr>
        <w:t>Note 9 - Acquisition</w:t>
      </w:r>
      <w:r>
        <w:rPr>
          <w:color w:val="000000"/>
        </w:rPr>
        <w:t xml:space="preserve"> </w:t>
      </w:r>
      <w:r>
        <w:rPr>
          <w:rFonts w:ascii="Times New Roman;sans-serif" w:hAnsi="Times New Roman;sans-serif"/>
          <w:b w:val="false"/>
          <w:color w:val="000000"/>
          <w:sz w:val="18"/>
        </w:rPr>
        <w:t>for description of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GOODWILL AND INTANGIBLES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 balances and goodwill consisted of the following:</w:t>
      </w:r>
    </w:p>
    <w:tbl>
      <w:tblPr>
        <w:tblW w:w="7627"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329"/>
        <w:gridCol w:w="329"/>
        <w:gridCol w:w="46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br/>
              <w:t>Period</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1 - 7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5 - 6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5 - 18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7627" w:type="dxa"/>
        <w:jc w:val="left"/>
        <w:tblInd w:w="0" w:type="dxa"/>
        <w:tblLayout w:type="fixed"/>
        <w:tblCellMar>
          <w:top w:w="28" w:type="dxa"/>
          <w:left w:w="28" w:type="dxa"/>
          <w:bottom w:w="28" w:type="dxa"/>
          <w:right w:w="28" w:type="dxa"/>
        </w:tblCellMar>
      </w:tblPr>
      <w:tblGrid>
        <w:gridCol w:w="722"/>
        <w:gridCol w:w="635"/>
        <w:gridCol w:w="638"/>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329"/>
        <w:gridCol w:w="329"/>
        <w:gridCol w:w="468"/>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w:t>
              <w:br/>
              <w:t>Period</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1 - 7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5 - 6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5 - 18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March 31, 2024, the Company recognized $1.3 million and $4.3 million, respectively, in amortization expense related to intangible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March 31, 2023, there was $1.7 million and $3.4 million for each respective period in amortization related to intangible assets that was recognized.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an annual goodwill impairment test on April 1 and more frequently if events and circumstances indicate that the asset might be impaired. The Company has determined that there is one single reporting unit for purposes of testing goodwill for impairment. During the three and nine months ended March 31, 2024 and March 31, 2023, the Company did not recognize any impairment charges related to goodwill.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9. ACQUISITIONS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CHEQ</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 2024, the Company acquired all of the equity interests of Cheq Lifestyle Technology, Inc. ("CHEQ"). Founded in 2021, CHEQ powers payments for numerous professional sports teams, entertainment venues and festival operators through its enterprise-grade payment devices and mobile ordering platform. The acquisition positions Cantaloupe for expansion into the large and rapidly growing sports, entertainment, and restaurant sectors with a comprehensive suite of self-service solutions.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CHEQ was accounted for as a business combination using the acquisition method of accounting. The purchase price of the acquired company was allocated between tangible and intangible assets acquired and liabilities assumed from the acquired business based on their estimated fair values using primarily Level 3 inputs under ASC Topic 820, Fair Value Measurement, with the residual of the purchase price recorded as goodwill.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an aggregate purchase price consideration of $4.8 million including $1.1 million cash held back by the Company for net working capital and other post-closing adjustments. The acquisition was funded by the Company's cash on hand.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preliminary fair value assigned to the assets acquired and liabilities assumed at the acquisition date of February 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4596" w:type="dxa"/>
        <w:jc w:val="left"/>
        <w:tblInd w:w="0" w:type="dxa"/>
        <w:tblLayout w:type="fixed"/>
        <w:tblCellMar>
          <w:top w:w="28" w:type="dxa"/>
          <w:left w:w="28" w:type="dxa"/>
          <w:bottom w:w="28" w:type="dxa"/>
          <w:right w:w="28" w:type="dxa"/>
        </w:tblCellMar>
      </w:tblPr>
      <w:tblGrid>
        <w:gridCol w:w="1310"/>
        <w:gridCol w:w="1151"/>
        <w:gridCol w:w="1154"/>
        <w:gridCol w:w="211"/>
        <w:gridCol w:w="61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Company determined the fair value of the identifiable intangible assets acquired with the assistance of third-party valuation consultants. Amounts allocated to identifiable intangible assets include</w:t>
      </w:r>
      <w:r>
        <w:rPr>
          <w:rFonts w:ascii="Times New Roman;sans-serif" w:hAnsi="Times New Roman;sans-serif"/>
          <w:b w:val="false"/>
          <w:color w:val="000000"/>
          <w:sz w:val="20"/>
        </w:rPr>
        <w:t xml:space="preserve">d $1.7 million related to developed technology, $0.4 million related to customer relationships, and $0.5 million related to trade names. The fair value of the acquired developed technology was determined using a multi-period excess earnings method. The fair value of the acquired customer relationships was determined using the distributor method which estimates the value using the cash flow impact in a scenario where the customer relationships are not in place. The fair value of the acquired trade names was determined using the relief from royalty method which estimates the value using the discounted value of the royalty that a company would pay to license the trade name. </w:t>
      </w:r>
      <w:r>
        <w:rPr>
          <w:rFonts w:ascii="Times New Roman;sans-serif" w:hAnsi="Times New Roman;sans-serif"/>
          <w:b w:val="false"/>
          <w:color w:val="000000"/>
          <w:sz w:val="20"/>
          <w:shd w:fill="FFFFFF" w:val="clear"/>
        </w:rPr>
        <w:t>The recognized intangible assets will be amortized on a straight-line basis over the estimated useful lives of the respective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Goodwill of $1.1 million ar</w:t>
      </w:r>
      <w:r>
        <w:rPr>
          <w:rFonts w:ascii="Times New Roman;sans-serif" w:hAnsi="Times New Roman;sans-serif"/>
          <w:b w:val="false"/>
          <w:color w:val="000000"/>
          <w:sz w:val="20"/>
          <w:shd w:fill="FFFFFF" w:val="clear"/>
        </w:rPr>
        <w:t xml:space="preserve">ising from the acquisition includes the expected synergies between CHEQ and the Company and intangible assets that do not qualify for separate recognition at the time of acquisition. The goodwill, which is deductible for income tax purposes, was assigned to the Company’s only reporting unit.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above allocation of the purchase price is provisional and is still subject to change within the measurement period. The final allocation of the purchase price is expected to be completed as soon as practicable, but no later than one year from the date of the acquisition.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The Company recognized $0.9 million and $1.0 million of integration and acquisition related costs that were expensed for the three and nine months ended March 31, 2024. These costs are recorded within integration and acquisition expenses in the Condensed Consolidated Statements of Operations. </w:t>
      </w:r>
      <w:r>
        <w:rPr>
          <w:rFonts w:ascii="Times New Roman;sans-serif" w:hAnsi="Times New Roman;sans-serif"/>
          <w:b w:val="false"/>
          <w:color w:val="000000"/>
          <w:sz w:val="20"/>
        </w:rPr>
        <w:t>Pro forma financial information of the acquisition is not presented due to the immaterial impact of the financial results of CHEQ in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Three Square Market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to the micro market industry and the acquisition expanded the Company's presence in that industry. In addition to new technology and services, due to 32M’s existing customer base, the acquisition expanded the Company’s footprint into new global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32M was accounted for as a business combination using the acquisition method of accounting. The purchase price of the acquired company was allocated between tangible and intangible assets acquired and liabilities assumed from the acquired business based on their estimated fair values using primarily Level 3 inputs under ASC Topic 820, Fair Value Measurement, with the residual of the purchase price recorded as 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paid an aggregate purchase price consideration of $41.1 million, which consisted of $36.6 million in cash and 1,240,920 shares of the Company's common stock (the "Stock Consideration") with an aggregate fair value of $4.5 million for the acquisition of 32M. The aggregate cash consideration includes $0.5 million of cash paid into an escrow account for net working capital and other post-closing adjustments. Additionally, the Stock Consideration of 1,240,920 shares ("Escrowed Shares") referred to above were placed into an escrow account to resolve indemnification claims for breach of certain representations and warranties. 50% of the Escrowed Shares were released as of the first anniversary of the acquisition date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50% will be released on the second anniversary of the acquisition date, less any shares that may be returned to the Company on account of any indemnity claims. The Escrowed Shares are considered to be issued and outstanding shares of the Company as of the acquisition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funded the cash consideration of the acquisition by borrowing $25 million of debt from the JPMorgan Credit Facility and the remaining consideration utilizing existing cash on hand.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purchase price consideration consisted of the following: </w:t>
      </w:r>
    </w:p>
    <w:p>
      <w:pPr>
        <w:pStyle w:val="TextBody"/>
        <w:bidi w:val="0"/>
        <w:spacing w:before="0" w:after="0"/>
        <w:jc w:val="both"/>
        <w:rPr/>
      </w:pPr>
      <w:r>
        <w:rPr/>
      </w:r>
    </w:p>
    <w:tbl>
      <w:tblPr>
        <w:tblW w:w="4700" w:type="dxa"/>
        <w:jc w:val="left"/>
        <w:tblInd w:w="0" w:type="dxa"/>
        <w:tblLayout w:type="fixed"/>
        <w:tblCellMar>
          <w:top w:w="28" w:type="dxa"/>
          <w:left w:w="28" w:type="dxa"/>
          <w:bottom w:w="28" w:type="dxa"/>
          <w:right w:w="28" w:type="dxa"/>
        </w:tblCellMar>
      </w:tblPr>
      <w:tblGrid>
        <w:gridCol w:w="1308"/>
        <w:gridCol w:w="1149"/>
        <w:gridCol w:w="1157"/>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cash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adjusted fair value assigned to the assets acquired and liabilities assumed as of December 1, 2023.</w:t>
      </w:r>
    </w:p>
    <w:p>
      <w:pPr>
        <w:pStyle w:val="TextBody"/>
        <w:bidi w:val="0"/>
        <w:spacing w:before="0" w:after="0"/>
        <w:jc w:val="both"/>
        <w:rPr/>
      </w:pPr>
      <w:r>
        <w:rPr/>
      </w:r>
    </w:p>
    <w:tbl>
      <w:tblPr>
        <w:tblW w:w="4701" w:type="dxa"/>
        <w:jc w:val="left"/>
        <w:tblInd w:w="0" w:type="dxa"/>
        <w:tblLayout w:type="fixed"/>
        <w:tblCellMar>
          <w:top w:w="28" w:type="dxa"/>
          <w:left w:w="28" w:type="dxa"/>
          <w:bottom w:w="28" w:type="dxa"/>
          <w:right w:w="28" w:type="dxa"/>
        </w:tblCellMar>
      </w:tblPr>
      <w:tblGrid>
        <w:gridCol w:w="1309"/>
        <w:gridCol w:w="1151"/>
        <w:gridCol w:w="1155"/>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determined the fair value of the identifiable intangible assets acquired with the assistance of third-party valuation consultants. </w:t>
      </w:r>
      <w:r>
        <w:rPr>
          <w:rFonts w:ascii="Times New Roman;sans-serif" w:hAnsi="Times New Roman;sans-serif"/>
          <w:b w:val="false"/>
          <w:color w:val="000000"/>
          <w:sz w:val="20"/>
          <w:shd w:fill="FFFFFF" w:val="clear"/>
        </w:rPr>
        <w:t>Amounts allocated to identifiable intangible assets included $7.5 million related to developed technology, $7.5 million related to customer relationships, and $0.5 million related to trade names. The fair value of the acquired developed technology was determined using a multi-period excess earnings method. The fair value of the acquired customer relationships was determined using the with-and-without method which estimates the value using the cash</w:t>
      </w:r>
      <w:r>
        <w:rPr>
          <w:color w:val="000000"/>
        </w:rPr>
        <w:t xml:space="preserve"> </w:t>
      </w:r>
      <w:r>
        <w:rPr>
          <w:rFonts w:ascii="Times New Roman;sans-serif" w:hAnsi="Times New Roman;sans-serif"/>
          <w:b w:val="false"/>
          <w:color w:val="000000"/>
          <w:sz w:val="20"/>
        </w:rPr>
        <w:t>flow impact in a scenario where the customer relationships are not in place. The significant unobservable inputs used in the valuation of the customer relationship asset and acquired developed technology asset are the revenue growth rates used in the development of the projected financial information used as an input to calculate those values and the discount rate applied. The recognized intangible assets will be amortized on a straight-line basis over the estimated useful lives of the respective assets. The estimated useful lives for developed technology, customer relationship, trade names were 5, 5 and 3 years,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Goodwill of </w:t>
      </w:r>
      <w:r>
        <w:rPr>
          <w:rFonts w:ascii="Times New Roman;sans-serif" w:hAnsi="Times New Roman;sans-serif"/>
          <w:b w:val="false"/>
          <w:color w:val="000000"/>
          <w:sz w:val="20"/>
          <w:shd w:fill="FFFFFF" w:val="clear"/>
        </w:rPr>
        <w:t>$26.2 million</w:t>
      </w:r>
      <w:r>
        <w:rPr>
          <w:color w:val="000000"/>
        </w:rPr>
        <w:t xml:space="preserve"> </w:t>
      </w:r>
      <w:r>
        <w:rPr>
          <w:rFonts w:ascii="Times New Roman;sans-serif" w:hAnsi="Times New Roman;sans-serif"/>
          <w:b w:val="false"/>
          <w:color w:val="000000"/>
          <w:sz w:val="20"/>
        </w:rPr>
        <w:t>arising from the acquisition includes the expected synergies between 32M and the Company and intangible assets that do not qualify for separate recognition at the time of acquisition. The goodwill, which is deductible for income tax purposes, was assigned to the Company’s only reporting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Subsequent to the acquisition closing date and within the one-year measurement period, the Company adjusted the purchase price allocation from what was initially recognized to reflect facts and circumstances in existence as of the acquisition close date. These adjustments included a net increase of $0.3 million to the overall purchase price consideration, a $2.3 million increase in intangible assets, a net decrease of $1.0 million in working capital, a $0.2 million increase in other assets, a $1.1 million increase in tax liabilities, and a $0.7 million decrease in accounts payable. Recognized goodwill increased by $0.6 million as a result of these adjustments. Furthermore, the Company recorded additional amortization expense of $0.5 million associated with the increase in fair value of the recognized intangible assets in its Consolidated Statement of Operations during the measurement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table represents the final allocation of the purchase price. </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Yoke Payments </w:t>
      </w:r>
    </w:p>
    <w:p>
      <w:pPr>
        <w:pStyle w:val="TextBody"/>
        <w:bidi w:val="0"/>
        <w:spacing w:lineRule="auto" w:line="288" w:before="240" w:after="283"/>
        <w:jc w:val="both"/>
        <w:rPr/>
      </w:pPr>
      <w:r>
        <w:rPr>
          <w:rFonts w:ascii="Times New Roman;sans-serif" w:hAnsi="Times New Roman;sans-serif"/>
          <w:b w:val="false"/>
          <w:color w:val="000000"/>
          <w:sz w:val="20"/>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with the residual of the purchase price recorded as goodwill.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the acquisition, Yoke’s point of sale platform extended its offering to provide self-checkout while seamlessly integrating with Cantaloupe’s inventory management and payment processing platforms.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consideration transferred for the acquisition included payments of $3 million in cash at the close of the transaction and $1 million in deferred cash payment due on or before July 30, 2022 based on the achievement of certain sales growth targets. On July 27, 2022, the Company made the cash payment of $1 million in accordance with the agreement consideration.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that requisite service period when it becomes probable that the performance condition would be satisfied. At each reporting date, we assess the probability of achieving the sales targets and fulfilling the performance condition. As of March 31, 2024, we determined that it is not probable that the performance condition would be satisfied and, accordingly, have not recognized compensation expense related to these awards.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consideration paid for Yoke, total net assets acquired, identifiable assets and goodwill recognized at the acquisition date:</w:t>
      </w:r>
    </w:p>
    <w:p>
      <w:pPr>
        <w:pStyle w:val="TextBody"/>
        <w:bidi w:val="0"/>
        <w:spacing w:before="0" w:after="0"/>
        <w:jc w:val="both"/>
        <w:rPr/>
      </w:pPr>
      <w:r>
        <w:rPr/>
      </w:r>
    </w:p>
    <w:tbl>
      <w:tblPr>
        <w:tblW w:w="4596" w:type="dxa"/>
        <w:jc w:val="center"/>
        <w:tblInd w:w="0" w:type="dxa"/>
        <w:tblLayout w:type="fixed"/>
        <w:tblCellMar>
          <w:top w:w="28" w:type="dxa"/>
          <w:left w:w="28" w:type="dxa"/>
          <w:bottom w:w="28" w:type="dxa"/>
          <w:right w:w="28" w:type="dxa"/>
        </w:tblCellMar>
      </w:tblPr>
      <w:tblGrid>
        <w:gridCol w:w="1309"/>
        <w:gridCol w:w="1152"/>
        <w:gridCol w:w="1154"/>
        <w:gridCol w:w="211"/>
        <w:gridCol w:w="61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arrangement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total consideration transferred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amounts of identifiable assets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assets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REVENUES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similar operational characteristics, the Company's revenues are disaggregated as follows: </w:t>
      </w:r>
    </w:p>
    <w:p>
      <w:pPr>
        <w:pStyle w:val="TextBody"/>
        <w:bidi w:val="0"/>
        <w:spacing w:before="0" w:after="0"/>
        <w:jc w:val="both"/>
        <w:rPr/>
      </w:pPr>
      <w:r>
        <w:rPr/>
      </w:r>
    </w:p>
    <w:tbl>
      <w:tblPr>
        <w:tblW w:w="9733" w:type="dxa"/>
        <w:jc w:val="left"/>
        <w:tblInd w:w="0" w:type="dxa"/>
        <w:tblLayout w:type="fixed"/>
        <w:tblCellMar>
          <w:top w:w="28" w:type="dxa"/>
          <w:left w:w="28" w:type="dxa"/>
          <w:bottom w:w="28" w:type="dxa"/>
          <w:right w:w="28" w:type="dxa"/>
        </w:tblCellMar>
      </w:tblPr>
      <w:tblGrid>
        <w:gridCol w:w="1014"/>
        <w:gridCol w:w="892"/>
        <w:gridCol w:w="898"/>
        <w:gridCol w:w="109"/>
        <w:gridCol w:w="109"/>
        <w:gridCol w:w="203"/>
        <w:gridCol w:w="203"/>
        <w:gridCol w:w="394"/>
        <w:gridCol w:w="1349"/>
        <w:gridCol w:w="203"/>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Liabilities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liability (i.e., deferred revenue) balances are as follows:</w:t>
      </w:r>
    </w:p>
    <w:tbl>
      <w:tblPr>
        <w:tblW w:w="10205" w:type="dxa"/>
        <w:jc w:val="center"/>
        <w:tblInd w:w="0" w:type="dxa"/>
        <w:tblLayout w:type="fixed"/>
        <w:tblCellMar>
          <w:top w:w="28" w:type="dxa"/>
          <w:left w:w="28" w:type="dxa"/>
          <w:bottom w:w="28" w:type="dxa"/>
          <w:right w:w="28" w:type="dxa"/>
        </w:tblCellMar>
      </w:tblPr>
      <w:tblGrid>
        <w:gridCol w:w="2714"/>
        <w:gridCol w:w="2391"/>
        <w:gridCol w:w="2402"/>
        <w:gridCol w:w="109"/>
        <w:gridCol w:w="109"/>
        <w:gridCol w:w="109"/>
        <w:gridCol w:w="222"/>
        <w:gridCol w:w="651"/>
        <w:gridCol w:w="114"/>
        <w:gridCol w:w="114"/>
        <w:gridCol w:w="114"/>
        <w:gridCol w:w="114"/>
        <w:gridCol w:w="222"/>
        <w:gridCol w:w="651"/>
        <w:gridCol w:w="169"/>
      </w:tblGrid>
      <w:tr>
        <w:trPr/>
        <w:tc>
          <w:tcPr>
            <w:tcW w:w="271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5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from amounts included in deferred revenue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740"/>
        <w:gridCol w:w="2414"/>
        <w:gridCol w:w="2425"/>
        <w:gridCol w:w="109"/>
        <w:gridCol w:w="109"/>
        <w:gridCol w:w="109"/>
        <w:gridCol w:w="216"/>
        <w:gridCol w:w="631"/>
        <w:gridCol w:w="111"/>
        <w:gridCol w:w="111"/>
        <w:gridCol w:w="111"/>
        <w:gridCol w:w="111"/>
        <w:gridCol w:w="216"/>
        <w:gridCol w:w="631"/>
        <w:gridCol w:w="161"/>
      </w:tblGrid>
      <w:tr>
        <w:trPr/>
        <w:tc>
          <w:tcPr>
            <w:tcW w:w="2740"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7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from amounts included in deferred revenue at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the contract liability balances period-over-period is primarily the result of timing difference between the Company’s satisfaction of a performance obligation and payment from the customer.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Future Performance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922"/>
        <w:gridCol w:w="812"/>
        <w:gridCol w:w="816"/>
        <w:gridCol w:w="335"/>
        <w:gridCol w:w="1145"/>
        <w:gridCol w:w="24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2024</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11,254 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Company had net capitalized costs to obtain contracts of $0.9 million included in Prepaid expenses and other current assets and $2.4 million included in Other noncurrent assets on the Condensed Consolidated Balance Sheet. At June 30, 2023, the Company had net capitalized costs to obtain contracts of $0.6 million included in Prepaid expenses and other current assets and $2.8 million included in Other noncurrent assets on the Condensed Consolidated Balance Sheet. None of these capitalized contract costs were impaired.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March 31, 2024, amortization of capitalized contract costs was $0.2 million and $0.7 million, respectively. During the three and nine months ended March 31, 2023, amortization of capitalized contract costs was $0.2 million and $0.6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SHARE BASED COMPENSATION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options granted during the nine months ended March 31, 2024 and 2023 were determined using the following assumptions and includes only options with an established grant date under ASC 718:</w:t>
      </w:r>
    </w:p>
    <w:tbl>
      <w:tblPr>
        <w:tblW w:w="6616" w:type="dxa"/>
        <w:jc w:val="left"/>
        <w:tblInd w:w="0" w:type="dxa"/>
        <w:tblLayout w:type="fixed"/>
        <w:tblCellMar>
          <w:top w:w="28" w:type="dxa"/>
          <w:left w:w="28" w:type="dxa"/>
          <w:bottom w:w="28" w:type="dxa"/>
          <w:right w:w="28" w:type="dxa"/>
        </w:tblCellMar>
      </w:tblPr>
      <w:tblGrid>
        <w:gridCol w:w="1184"/>
        <w:gridCol w:w="1041"/>
        <w:gridCol w:w="1045"/>
        <w:gridCol w:w="109"/>
        <w:gridCol w:w="109"/>
        <w:gridCol w:w="109"/>
        <w:gridCol w:w="277"/>
        <w:gridCol w:w="672"/>
        <w:gridCol w:w="356"/>
        <w:gridCol w:w="109"/>
        <w:gridCol w:w="109"/>
        <w:gridCol w:w="109"/>
        <w:gridCol w:w="285"/>
        <w:gridCol w:w="691"/>
        <w:gridCol w:w="411"/>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52.6% - 69.7%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74.6% - 77.6%</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expected 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4.2 - 4.5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4.4 - 4.6</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 (percent)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 - 4.3%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2.7% - 4.1%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options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related to stock options with an established grant date for the three and nine months ended March 31, 2024 was $0.6 million and $2.4 million, respectively, and for the three and nine months ended March 31, 2023 was $1.1 million and $2.7 million,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based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awarded stock options to certain executives which vest each year over a three to four year period. These stock options are subject to the achievement of performance goals to be established by the Company's Board for each fiscal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the Board of Directors has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 (iii) $16.50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these performance based awards that provide discretion to the Compensation Committee, a mutual understanding of the key terms and conditions between the Company and the employees have not yet been met and a "Grant Date" as defined in</w:t>
      </w:r>
      <w:r>
        <w:rPr>
          <w:color w:val="000000"/>
        </w:rPr>
        <w:t xml:space="preserve"> </w:t>
      </w:r>
      <w:r>
        <w:rPr>
          <w:rFonts w:ascii="Times New Roman;sans-serif" w:hAnsi="Times New Roman;sans-serif"/>
          <w:b w:val="false"/>
          <w:i/>
          <w:color w:val="000000"/>
          <w:sz w:val="20"/>
        </w:rPr>
        <w:t>ASC Topic 718 Compensation — Stock Compensation</w:t>
      </w:r>
      <w:r>
        <w:rPr>
          <w:rFonts w:ascii="Times New Roman;sans-serif" w:hAnsi="Times New Roman;sans-serif"/>
          <w:b w:val="false"/>
          <w:color w:val="000000"/>
          <w:sz w:val="20"/>
        </w:rPr>
        <w:t>, has not been established. When the service period begins prior to the grant date, the Company begins recognizing compensation cost before there is a grant date. The Company estimates the award's fair value at each reporting period for these equity-classified awards, until the grant date, utilizing a Monte Carlo simulation valuation model</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total expense recognized for the three ended March 31, 2024 was immaterial for these awards. Total expense recognized for the nine months ended March 31, 2024 was $0.1 million. We did not recognize any related expenses during the three months ended March 31, 2023. The total benefit recognized for the nine months ended March 31, 2023 for these awards was $1.1 million, as a result of reversing unvested grants for terminated executives during the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service based restricted stock awards to employees. The Company determines expense related to restricted stock awards using the closing stock price on the grant date and these awards are expensed under the accelerated method over the vesting period which is typically a three-year service period. The total expense recognized for restricted stock awards for the three and nine months ended March 31, 2024 was $0.5 million and $1.6 million, respectively. The total expense recognized for restricted stock awards for the three and nine months ended March 31, 2023 was $0.3 million and $1.3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March 31, 2024, the Company recorded an income tax provision of $0.1 million and $0.2 million, respectively. The income tax provision primarily relates to state income and franchise taxes and deferred taxes related to goodwill. As of March 31, 2024, the Company had a total unrecognized income tax benefit of $0.7 million. The provision is based upon actual income before income taxes for the three months ended March 31, 2024, as this provides a more reliable estimate of the income tax provision than an estimated annual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assessed its existing deferred tax assets and continues to record a full valuation allowance against its deferred tax assets. We considered both positive and negative evidence when evaluating the need for the valuation allowance on our deferred tax assets in accordance with ASC 740. Available evidence includes historical financial information supplemented by currently available information about future years. Generally, historical financial information is more objectively verifiable than projections of future income and is therefore given more weight in our assessment. In management’s judgement there is not enough objectively verifiable information to provide sufficient positive evidence to counteract the negative evidence of historic losses. However, given the Company’s current earnings and anticipated future earnings, the Company believes that there is a reasonable possibility that sufficient positive evidence may become available in future reporting periods to allow the Company to reach a conclusion that a portion of the valuation allowance will no longer be needed. Release of the valuation allowance would result in the recognition of certain deferred tax assets and a decrease to income tax expense for the period the release is recorded. The exact timing and amount of a potential valuation allowance release are subject to change on the basis of the level of profitability that the Company is able to actually achieve and limitations to the use of certain historical net operating losses.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recorded an income tax provision of $0.1 million. For the nine months ended March 31, 2023, the Company recorded an income tax provision of $0.1 million. As of March 31, 2023, the Company reviewed the existing deferred tax assets and continues to record a full valuation allowance against its deferred tax assets. The income tax provisions primarily relate to the Company's uncertain tax positions, as well as state income and franchise taxes. As of March 31, 2023, the Company had a total unrecognized income tax benefit of $0.7 million. The provision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 based upon actual loss before income taxes for the nine months ended March 31, 2023, as this provides a more reliable estimate of the income tax provision than an estimated annual effective income tax 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EARNINGS (LOSS) PER SHARE CALCULATION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computed by dividing net earnings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(loss) per share is presented below:</w:t>
      </w:r>
    </w:p>
    <w:tbl>
      <w:tblPr>
        <w:tblW w:w="10205" w:type="dxa"/>
        <w:jc w:val="left"/>
        <w:tblInd w:w="0" w:type="dxa"/>
        <w:tblLayout w:type="fixed"/>
        <w:tblCellMar>
          <w:top w:w="28" w:type="dxa"/>
          <w:left w:w="28" w:type="dxa"/>
          <w:bottom w:w="28" w:type="dxa"/>
          <w:right w:w="28" w:type="dxa"/>
        </w:tblCellMar>
      </w:tblPr>
      <w:tblGrid>
        <w:gridCol w:w="2563"/>
        <w:gridCol w:w="2249"/>
        <w:gridCol w:w="2262"/>
        <w:gridCol w:w="109"/>
        <w:gridCol w:w="109"/>
        <w:gridCol w:w="109"/>
        <w:gridCol w:w="275"/>
        <w:gridCol w:w="806"/>
        <w:gridCol w:w="118"/>
        <w:gridCol w:w="118"/>
        <w:gridCol w:w="118"/>
        <w:gridCol w:w="118"/>
        <w:gridCol w:w="315"/>
        <w:gridCol w:w="766"/>
        <w:gridCol w:w="170"/>
      </w:tblGrid>
      <w:tr>
        <w:trPr/>
        <w:tc>
          <w:tcPr>
            <w:tcW w:w="256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w:t>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Denominator for basic earnings (loss) per share</w:t>
            </w:r>
            <w:r>
              <w:rPr>
                <w:color w:val="000000"/>
              </w:rPr>
              <w:t xml:space="preserve"> </w:t>
            </w:r>
            <w:r>
              <w:rPr>
                <w:rFonts w:ascii="Times New Roman;sans-serif" w:hAnsi="Times New Roman;sans-serif"/>
                <w:b w:val="false"/>
                <w:color w:val="000000"/>
                <w:sz w:val="20"/>
              </w:rPr>
              <w:t>-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72,851,498 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72,491,373 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1,216,939 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Denominator for diluted earnings (loss) per share </w:t>
            </w:r>
            <w:r>
              <w:rPr>
                <w:rFonts w:ascii="Times New Roman;sans-serif" w:hAnsi="Times New Roman;sans-serif"/>
                <w:b w:val="false"/>
                <w:color w:val="000000"/>
                <w:sz w:val="20"/>
              </w:rPr>
              <w:t>-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74,068,437 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72,866,221 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75"/>
        <w:gridCol w:w="2260"/>
        <w:gridCol w:w="2272"/>
        <w:gridCol w:w="109"/>
        <w:gridCol w:w="109"/>
        <w:gridCol w:w="109"/>
        <w:gridCol w:w="315"/>
        <w:gridCol w:w="766"/>
        <w:gridCol w:w="112"/>
        <w:gridCol w:w="112"/>
        <w:gridCol w:w="112"/>
        <w:gridCol w:w="112"/>
        <w:gridCol w:w="270"/>
        <w:gridCol w:w="811"/>
        <w:gridCol w:w="161"/>
      </w:tblGrid>
      <w:tr>
        <w:trPr/>
        <w:tc>
          <w:tcPr>
            <w:tcW w:w="2575"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7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Denominator for basic earnings (loss) per share</w:t>
            </w:r>
            <w:r>
              <w:rPr>
                <w:color w:val="000000"/>
              </w:rPr>
              <w:t xml:space="preserve"> </w:t>
            </w:r>
            <w:r>
              <w:rPr>
                <w:rFonts w:ascii="Times New Roman;sans-serif" w:hAnsi="Times New Roman;sans-serif"/>
                <w:b w:val="false"/>
                <w:color w:val="000000"/>
                <w:sz w:val="20"/>
              </w:rPr>
              <w:t>-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72,770,582 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71,771,135 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1,284,238 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Denominator for diluted earnings (loss) per share </w:t>
            </w:r>
            <w:r>
              <w:rPr>
                <w:rFonts w:ascii="Times New Roman;sans-serif" w:hAnsi="Times New Roman;sans-serif"/>
                <w:b w:val="false"/>
                <w:color w:val="000000"/>
                <w:sz w:val="20"/>
              </w:rPr>
              <w:t>- Adjusted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74,054,820 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71,771,135 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anti-dilutive shares excluded from the calculation of diluted earnings per share were approximately 1 million for the three and nine months ended March 31, 2024. Potentially anti-dilutive shares excluded from the calculation of diluted earnings per share were approximately 4.5 million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14</w:t>
      </w:r>
      <w:r>
        <w:rPr>
          <w:rFonts w:ascii="Times New Roman;sans-serif" w:hAnsi="Times New Roman;sans-serif"/>
          <w:b w:val="false"/>
          <w:color w:val="000000"/>
          <w:sz w:val="20"/>
          <w:shd w:fill="FFFFFF" w:val="clear"/>
        </w:rPr>
        <w:t xml:space="preserve">. </w:t>
      </w:r>
      <w:r>
        <w:rPr>
          <w:rFonts w:ascii="Times New Roman;sans-serif" w:hAnsi="Times New Roman;sans-serif"/>
          <w:b/>
          <w:color w:val="000000"/>
          <w:sz w:val="20"/>
          <w:shd w:fill="FFFFFF" w:val="clear"/>
        </w:rPr>
        <w:t>SHAREHOLDERS' EQUITY AND PREFERRED STOCK</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March 31, 2023</w:t>
      </w:r>
      <w:r>
        <w:rPr>
          <w:rFonts w:ascii="Times New Roman;sans-serif" w:hAnsi="Times New Roman;sans-serif"/>
          <w:b w:val="false"/>
          <w:color w:val="000000"/>
          <w:sz w:val="20"/>
          <w:shd w:fill="FFFFFF" w:val="clear"/>
        </w:rPr>
        <w:t xml:space="preserve">, the Company retired 59,281 shares of its Series A convertible preferred stock that it purchased for an aggregate amount of approximately $2.45 million. The repurchase transaction was primarily accounted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condensed consolidated statements of cash flows. The remaining $0.3 million was deemed to be an amount in excess of the fair value of the preferred stock and was recorded within operating expenses in the condensed consolidated statements of operations and cash flows from operating activities in the condensed consolidated statements of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Leases</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has entered into various operating lease obligations. See </w:t>
      </w:r>
      <w:r>
        <w:rPr>
          <w:rFonts w:ascii="Times New Roman;sans-serif" w:hAnsi="Times New Roman;sans-serif"/>
          <w:b w:val="false"/>
          <w:i/>
          <w:color w:val="000000"/>
          <w:sz w:val="20"/>
        </w:rPr>
        <w:t>Note 5 - Leases</w:t>
      </w:r>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Outstanding Debt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has debt and other financing arrangements. See </w:t>
      </w:r>
      <w:r>
        <w:rPr>
          <w:rFonts w:ascii="Times New Roman;sans-serif" w:hAnsi="Times New Roman;sans-serif"/>
          <w:b w:val="false"/>
          <w:i/>
          <w:color w:val="000000"/>
          <w:sz w:val="20"/>
        </w:rPr>
        <w:t>Note 6 - Debt and other financing arrangements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Commitments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March 31, 2024, the Company had no material firm purchase commitments over the next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w:t>
      </w:r>
      <w:r>
        <w:rPr>
          <w:rFonts w:ascii="Times New Roman;sans-serif" w:hAnsi="Times New Roman;sans-serif"/>
          <w:b w:val="false"/>
          <w:color w:val="000000"/>
          <w:sz w:val="20"/>
          <w:shd w:fill="FFFFFF" w:val="clear"/>
        </w:rPr>
        <w:t>The total expense recognized within Cost of subscription and transaction fees for the three and nine months ended March 31, 2024 for these arrangements was</w:t>
      </w:r>
      <w:r>
        <w:rPr>
          <w:color w:val="000000"/>
        </w:rPr>
        <w:t xml:space="preserve"> </w:t>
      </w:r>
      <w:r>
        <w:rPr>
          <w:rFonts w:ascii="Times New Roman;sans-serif" w:hAnsi="Times New Roman;sans-serif"/>
          <w:b w:val="false"/>
          <w:color w:val="000000"/>
          <w:sz w:val="20"/>
        </w:rPr>
        <w:t>$0.1 million and $0.2 million, respectively</w:t>
      </w:r>
      <w:r>
        <w:rPr>
          <w:rFonts w:ascii="Times New Roman;sans-serif" w:hAnsi="Times New Roman;sans-serif"/>
          <w:b w:val="false"/>
          <w:color w:val="000000"/>
          <w:sz w:val="20"/>
          <w:shd w:fill="FFFFFF" w:val="clear"/>
        </w:rPr>
        <w:t>. The total expense recognized within Cost of subscription and transaction fees for the three and nine months ended March 31, 2023 for these arrangements was $0.1 million and $0.2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17.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11, 2024, the Company agreed to a net settlement of approximately $1.5 million with a third party insurance carrier related to the reimbursement of expenses associated with the closed SEC investigation of the Company's accounting practices from fiscal years 2017 and 2018. The settlement will be recognized as a gain in the Company's consolidated financial statements in the fourth quarter.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should be read in conjunction with the condensed consolidated financial statements and related notes included in this Form 10-Q.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w:t>
        <w:noBreakHyphen/>
        <w:t>Q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economic, market or business conditions unrelated to our operating performance, including inflation, rising interest rates, financial institution disruptions, public health emergencies and declines in consumer confidence and discretionary spending;</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compete with our competitors and increase market share;</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failure to comply with the financial covenants in the Amended JPMorgan Credit Facility;</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raise funds in the future through sales of securities or debt financing in order to sustain operations in the normal course of business or if an unexpected or unusual event were to occur;</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maintain compliance with rules and regulations applicable to our business operations and industry</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disruptions in or inefficiencies to our supply chain and/or operations;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risks related to the availability of, and cost inflation in, supply chain inputs, including labor, raw materials, packaging and transportation;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weather, climate conditions, natural disasters or other unexpected events;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current or future customers purchase, lease, rent or utilize our devices, software solutions or our other products in the future at levels currently anticipated;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customers continue to utilize the Company’s transaction processing and related services, as our customer agreements are generally cancellable by the customer on thirty to sixty days’ notice;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acquire and develop relevant technology offerings for current, new and potential customers and partners;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risks and uncertainties associated with our expansion into and our operations in Europe, Latin America and other foreign markets, including general economic conditions, policy changes affecting international trade, political instability, inflation rates, recessions, sanctions, foreign currency exchange rates and controls, foreign investment and repatriation restrictions, legal and regulatory constraints, civil unrest, armed conflict, war and other economic and political factors;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satisfy our trade obligations included in accounts payable and accrued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develop and retain key personnel, or our loss of the services of our key executives;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incurrence by us of any unanticipated or unusual non-operating expenses, which may require us to divert our cash resources from achieving our business plan;</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predict or estimate our future quarterly or annual revenue and expenses given the developing and unpredictable market for our products;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integrate acquired companies into our current products and services structure;</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add new customers and retain key existing customers from whom a significant portion of our revenue is derived;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of a key customer to reduce or delay purchasing products from us;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obtain widespread commercial acceptance of our products and service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any patents issued to us will provide any competitive advantages or adequate protection for our products, or would be challenged, invalidated or circumvented by others;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our ability to operate without infringing the intellectual property rights of others;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of our products and services to avoid disruptions to our systems or unauthorized hacking or credit card fraud;</w:t>
      </w:r>
    </w:p>
    <w:p>
      <w:pPr>
        <w:pStyle w:val="TextBody"/>
        <w:bidi w:val="0"/>
        <w:spacing w:lineRule="auto" w:line="288" w:before="120" w:after="283"/>
        <w:ind w:left="0" w:right="0" w:hanging="360"/>
        <w:jc w:val="both"/>
        <w:rPr/>
      </w:pPr>
      <w:r>
        <w:rPr>
          <w:color w:val="000000"/>
        </w:rPr>
        <w:t>•    </w:t>
      </w:r>
      <w:r>
        <w:rPr>
          <w:rFonts w:ascii="Times New Roman;sans-serif" w:hAnsi="Times New Roman;sans-serif"/>
          <w:b w:val="false"/>
          <w:color w:val="000000"/>
          <w:sz w:val="20"/>
        </w:rPr>
        <w:t>geopolitical conflicts, such as the ongoing conflict between Russia and Ukra</w:t>
      </w:r>
      <w:r>
        <w:rPr>
          <w:rFonts w:ascii="Times New Roman;sans-serif" w:hAnsi="Times New Roman;sans-serif"/>
          <w:b w:val="false"/>
          <w:color w:val="000000"/>
          <w:sz w:val="20"/>
          <w:shd w:fill="FFFFFF" w:val="clear"/>
        </w:rPr>
        <w:t>ine, and the conflict between Israel and Hamas;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ability to remain in compliance with the continued listing standards of the Nasdaq Global Select Market (“Nasdaq”) and continue to remain as a member of the US Small-Cap Russell 2000®;</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whether our suppliers would increase their prices, reduce their output or change their terms of sale; and</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the risks associated with cyber attacks and data breaches.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2023 (“2023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 OF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Cantaloupe, Inc. is a global technology leader powering self-service commerce. With over a million active locations across the globe processing more than a billion transactions every year, Cantaloupe is enabling businesses of all sizes to provide self-service experiences for consumers. The company's vertically integrated solutions fuel growth by offering micro-payments processing, enterprise cloud software, IoT technology, as well as kiosk and POS innovations. Cantaloupe’s end-to-end platform increases consumer engagement and sales revenue through digital payments, consumer promotions and loyalty programs, while providing business owners increased profitability by leveraging software to drive efficiencies across an entire operation. Cantaloupe’s solutions are used by a wide variety of consumer services in North America, Europe, Latin America, and Australia including vending machines, micro markets and smart retail, laundromats, metered parking terminals, amusement and entertainment venues, IoT services and more.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June 30. The Company generates revenues in multiple ways. During the three months ended March 31, 2024 and March 31, 2023, we derived approximately 87% and 85%, respectively, from subscription and transaction fees, and 13% and 15%, respectively, from equipment sales. During the nine months ended March 31, 2024 and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2023, we derived approximately 87% and 82%, respectively, from subscription and transaction fees and 13% and 18%, respectively, from equipment sales.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Purchasing hardware directly from the Company or one of its authorized resellers;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Financing hardware under the Company’s financing</w:t>
      </w:r>
      <w:r>
        <w:rPr>
          <w:color w:val="000000"/>
          <w:shd w:fill="FFFFFF" w:val="clear"/>
        </w:rPr>
        <w:t xml:space="preserve"> </w:t>
      </w:r>
      <w:r>
        <w:rPr>
          <w:rFonts w:ascii="Times New Roman;sans-serif" w:hAnsi="Times New Roman;sans-serif"/>
          <w:b w:val="false"/>
          <w:color w:val="000000"/>
          <w:sz w:val="20"/>
          <w:shd w:fill="FFFFFF" w:val="clear"/>
        </w:rPr>
        <w:t>p</w:t>
      </w:r>
      <w:r>
        <w:rPr>
          <w:rFonts w:ascii="Times New Roman;sans-serif" w:hAnsi="Times New Roman;sans-serif"/>
          <w:b w:val="false"/>
          <w:color w:val="000000"/>
          <w:sz w:val="20"/>
        </w:rPr>
        <w:t>rogram, which are non-cancellable 60-month sales-type leases, through an unrelated equipment financing company, if available, or directly from the Company;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Renting devices under the Company’s Cantaloupe One program, which are typically 36-months duration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Key Developments during the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Highlights of the Company for the fiscal quarter ended March 31, 2024 are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Approximately 30,670 Active Customers (as defined below) and 1.22 million Active Devices on our service;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Revenues of $67.9 million, an increase of 12.5% year over year. The increase was led by higher transaction fees and subscription fees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announced the acquisition of CHEQ Lifestyle Technology, Inc (“CHEQ”). This acquisition offers a portfolio of POS solutions that include both register and self-service kiosk ordering, handheld devices for taking payments on-the-go, and mobile app ordering for pick-up or in-seat delivery – serving the sports stadium, entertainment venues and festival industries;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We held our annual user conference, Cantaloupe University, in Las Vegas, NV, where we had 240+ attendees join us in viewing some of the latest technologies by Cantaloupe as well as getting access to 2 days of training and education around our entire platform and suite of products;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We partnered with Turbo Air and Imbera at Expo Antad, in Guadalajara, MX, to showcase our solutions for the Mexico market which include our cashless device the P30, the Seed platform, micro market technology and our smart coolers with age verification; </w:t>
      </w:r>
    </w:p>
    <w:p>
      <w:pPr>
        <w:pStyle w:val="TextBody"/>
        <w:bidi w:val="0"/>
        <w:spacing w:before="0" w:after="0"/>
        <w:jc w:val="both"/>
        <w:rPr/>
      </w:pPr>
      <w:r>
        <w:rPr/>
      </w:r>
    </w:p>
    <w:p>
      <w:pPr>
        <w:pStyle w:val="TextBody"/>
        <w:bidi w:val="0"/>
        <w:spacing w:lineRule="auto" w:line="288" w:before="180" w:after="283"/>
        <w:jc w:val="both"/>
        <w:rPr/>
      </w:pPr>
      <w:r>
        <w:rPr>
          <w:rFonts w:ascii="Times New Roman;sans-serif" w:hAnsi="Times New Roman;sans-serif"/>
          <w:b w:val="false"/>
          <w:color w:val="000000"/>
          <w:sz w:val="20"/>
        </w:rPr>
        <w:t>As of March 31, 2024, we have approxi</w:t>
      </w:r>
      <w:r>
        <w:rPr>
          <w:rFonts w:ascii="Times New Roman;sans-serif" w:hAnsi="Times New Roman;sans-serif"/>
          <w:b w:val="false"/>
          <w:color w:val="000000"/>
          <w:sz w:val="20"/>
          <w:shd w:fill="FFFFFF" w:val="clear"/>
        </w:rPr>
        <w:t>ma</w:t>
      </w:r>
      <w:r>
        <w:rPr>
          <w:rFonts w:ascii="Times New Roman;sans-serif" w:hAnsi="Times New Roman;sans-serif"/>
          <w:b w:val="false"/>
          <w:color w:val="000000"/>
          <w:sz w:val="20"/>
        </w:rPr>
        <w:t>tely 300 f</w:t>
      </w:r>
      <w:r>
        <w:rPr>
          <w:rFonts w:ascii="Times New Roman;sans-serif" w:hAnsi="Times New Roman;sans-serif"/>
          <w:b w:val="false"/>
          <w:color w:val="000000"/>
          <w:sz w:val="20"/>
          <w:shd w:fill="FFFFFF" w:val="clear"/>
        </w:rPr>
        <w:t>ull-time empl</w:t>
      </w:r>
      <w:r>
        <w:rPr>
          <w:rFonts w:ascii="Times New Roman;sans-serif" w:hAnsi="Times New Roman;sans-serif"/>
          <w:b w:val="false"/>
          <w:color w:val="000000"/>
          <w:sz w:val="20"/>
        </w:rPr>
        <w:t xml:space="preserve">oyees in the United States, United Kingdom, and Mexico and offices in Malvern, Pennsylvania; Atlanta, Georgia; River Falls, Wisconsin; Seattle, Washington; Birmingham, United Kingdom; and Mexico City, Mexico.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following discussion should be read in conjunction with the condensed consolidated financial statements and related notes included in this Form </w:t>
      </w:r>
      <w:r>
        <w:rPr>
          <w:rFonts w:ascii="Times New Roman;sans-serif" w:hAnsi="Times New Roman;sans-serif"/>
          <w:b w:val="false"/>
          <w:color w:val="000000"/>
          <w:sz w:val="20"/>
          <w:shd w:fill="FFFFFF" w:val="clear"/>
        </w:rPr>
        <w:t xml:space="preserve">10-Q.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Selected Operating Metrics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certain operating metrics (Active Devices, Active Customers, Total Number of Transactions and Total Dollar Volume, Average Revenue Per Unit) and certain non-GAAP financial measures (Adjusted EBITDA) which are defined below to evaluate our business and operations, measure our performance, identify trends affecting our business, project our future performance, and make strategic decisions. Additionally, refer to the non-GAAP Financial Measures section below for additional information and their reconciliation to the most comparable GAAP measure.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Active Devices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Active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Active Customers as all customers with at least one active device.</w:t>
      </w: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Total Number of Transactions and Total Dollar Volume of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are defined as electronic payment transactions that are processed by our technology-enabled solutions. Management uses Total Number and Dollar Volume of transactions to evaluate the effectiveness of our new customer strategy and our ability to leverage existing customers and partners.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Average Revenue Per Unit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defines average revenue per unit ("ARPU") as our total subscription and transaction fees for the trailing 12 months divided by average total active devices for the trailing 12 months.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Adjusted EBITDA (non-GAAP)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defines Adjusted EBITDA (non-GAAP) as U.S. GAAP net income (loss) before (i) interest income from cash and leases, (ii) interest (income) expense from debt and tax liabilities,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certain other significant infrequent or unusual losses and gains that are not indicative of our core operations such as integration and acquisition expenses, and (ix) severance expenses that are non-recurring and are not indicative of our core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represents our selected operating metrics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70"/>
        <w:gridCol w:w="860"/>
        <w:gridCol w:w="868"/>
        <w:gridCol w:w="218"/>
        <w:gridCol w:w="856"/>
        <w:gridCol w:w="112"/>
        <w:gridCol w:w="109"/>
        <w:gridCol w:w="109"/>
        <w:gridCol w:w="109"/>
        <w:gridCol w:w="235"/>
        <w:gridCol w:w="921"/>
        <w:gridCol w:w="121"/>
        <w:gridCol w:w="109"/>
        <w:gridCol w:w="109"/>
        <w:gridCol w:w="109"/>
        <w:gridCol w:w="238"/>
        <w:gridCol w:w="933"/>
        <w:gridCol w:w="123"/>
        <w:gridCol w:w="109"/>
        <w:gridCol w:w="109"/>
        <w:gridCol w:w="109"/>
        <w:gridCol w:w="211"/>
        <w:gridCol w:w="826"/>
        <w:gridCol w:w="109"/>
        <w:gridCol w:w="109"/>
        <w:gridCol w:w="109"/>
        <w:gridCol w:w="109"/>
        <w:gridCol w:w="211"/>
        <w:gridCol w:w="826"/>
        <w:gridCol w:w="159"/>
      </w:tblGrid>
      <w:tr>
        <w:trPr/>
        <w:tc>
          <w:tcPr>
            <w:tcW w:w="10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w:t>
            </w:r>
          </w:p>
        </w:tc>
      </w:tr>
      <w:tr>
        <w:trPr/>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2023</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Devices: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Devices (thousands)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Customers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Transactions (millions)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Dollar Volume of Transactions (millions)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and transaction fees - Trailing 12 months (thousands) </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revenue per unit (ARPU)</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Highlights for the quarter ended March 31, 2024 include: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1.22 million Active Devices compared to the same quarter last year of 1.15 million, an increase of approximately 67 thousand Active Devices, or 5.9%;</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30,670 Active Customers on our service compared to the same quarter last year of 27,598, an increase of 3,072 Active Customers, or 11.1%;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$767.4 million in Total Dollar Volume of Transactions for the quarter ended March 31, 2024 compared to $653.6 million for the quarter ended March 31, 2023, an increase of $113.8 million, or 17.4%. See "Revenues and </w:t>
      </w:r>
      <w:r>
        <w:rPr>
          <w:rFonts w:ascii="Times New Roman;sans-serif" w:hAnsi="Times New Roman;sans-serif"/>
          <w:b w:val="false"/>
          <w:color w:val="000000"/>
          <w:sz w:val="20"/>
          <w:shd w:fill="FFFFFF" w:val="clear"/>
        </w:rPr>
        <w:t>Gross Margin</w:t>
      </w:r>
      <w:r>
        <w:rPr>
          <w:rFonts w:ascii="Times New Roman;sans-serif" w:hAnsi="Times New Roman;sans-serif"/>
          <w:b w:val="false"/>
          <w:color w:val="000000"/>
          <w:sz w:val="20"/>
        </w:rPr>
        <w:t>" in Management’s Discussion and Analysis of Financial Condition and Results of Operations below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PERFORMANCE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our results of operations and significant changes in our financial performance for the periods presented:</w:t>
      </w:r>
    </w:p>
    <w:p>
      <w:pPr>
        <w:pStyle w:val="TextBody"/>
        <w:bidi w:val="0"/>
        <w:spacing w:before="0" w:after="0"/>
        <w:jc w:val="left"/>
        <w:rPr/>
      </w:pPr>
      <w:r>
        <w:rPr/>
      </w:r>
    </w:p>
    <w:p>
      <w:pPr>
        <w:pStyle w:val="TextBody"/>
        <w:bidi w:val="0"/>
        <w:spacing w:before="0" w:after="0"/>
        <w:jc w:val="left"/>
        <w:rPr/>
      </w:pPr>
      <w:r>
        <w:rPr/>
        <w:drawing>
          <wp:inline distT="0" distB="0" distL="0" distR="0">
            <wp:extent cx="3143250" cy="333375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3143250" cy="3333750"/>
                    </a:xfrm>
                    <a:prstGeom prst="rect">
                      <a:avLst/>
                    </a:prstGeom>
                  </pic:spPr>
                </pic:pic>
              </a:graphicData>
            </a:graphic>
          </wp:inline>
        </w:drawing>
      </w:r>
      <w:r>
        <w:rPr/>
        <w:drawing>
          <wp:inline distT="0" distB="0" distL="0" distR="0">
            <wp:extent cx="3143250" cy="3333750"/>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4"/>
                    <a:stretch>
                      <a:fillRect/>
                    </a:stretch>
                  </pic:blipFill>
                  <pic:spPr bwMode="auto">
                    <a:xfrm>
                      <a:off x="0" y="0"/>
                      <a:ext cx="3143250" cy="3333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drawing>
          <wp:inline distT="0" distB="0" distL="0" distR="0">
            <wp:extent cx="3143250" cy="3333750"/>
            <wp:effectExtent l="0" t="0" r="0" b="0"/>
            <wp:docPr id="3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 descr=""/>
                    <pic:cNvPicPr>
                      <a:picLocks noChangeAspect="1" noChangeArrowheads="1"/>
                    </pic:cNvPicPr>
                  </pic:nvPicPr>
                  <pic:blipFill>
                    <a:blip r:embed="rId5"/>
                    <a:stretch>
                      <a:fillRect/>
                    </a:stretch>
                  </pic:blipFill>
                  <pic:spPr bwMode="auto">
                    <a:xfrm>
                      <a:off x="0" y="0"/>
                      <a:ext cx="3143250" cy="3333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Three Months Ended March 31, 2024 Compared to Three Months Ended March 31, 2023 </w:t>
      </w:r>
    </w:p>
    <w:p>
      <w:pPr>
        <w:pStyle w:val="TextBody"/>
        <w:bidi w:val="0"/>
        <w:spacing w:before="0" w:after="0"/>
        <w:jc w:val="left"/>
        <w:rPr/>
      </w:pPr>
      <w:r>
        <w:rPr/>
      </w:r>
    </w:p>
    <w:tbl>
      <w:tblPr>
        <w:tblW w:w="9134" w:type="dxa"/>
        <w:jc w:val="left"/>
        <w:tblInd w:w="0" w:type="dxa"/>
        <w:tblLayout w:type="fixed"/>
        <w:tblCellMar>
          <w:top w:w="28" w:type="dxa"/>
          <w:left w:w="28" w:type="dxa"/>
          <w:bottom w:w="28" w:type="dxa"/>
          <w:right w:w="28" w:type="dxa"/>
        </w:tblCellMar>
      </w:tblPr>
      <w:tblGrid>
        <w:gridCol w:w="1231"/>
        <w:gridCol w:w="1084"/>
        <w:gridCol w:w="1089"/>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69"/>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Revenues.</w:t>
      </w:r>
      <w:r>
        <w:rPr>
          <w:color w:val="000000"/>
        </w:rPr>
        <w:t xml:space="preserve">  </w:t>
      </w:r>
      <w:r>
        <w:rPr>
          <w:rFonts w:ascii="Times New Roman;sans-serif" w:hAnsi="Times New Roman;sans-serif"/>
          <w:b w:val="false"/>
          <w:color w:val="000000"/>
          <w:sz w:val="20"/>
        </w:rPr>
        <w:t xml:space="preserve">Total revenues increased by $7.5 million for the three months ended March 31, 2024 compared to the same period in 2023. The increase in revenues is attributed to a $8.0 million increase in subscription and transaction fees, partially offset by a $0.4 million decrease in equipment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subscription and transaction fees was primarily driven by increased processing volumes with an approximately 17.4% increase in total dollar volumes of transactions for the current fiscal year quarter relative to the prior year quarter. There was an increase in the average revenue per unit and an increase in the total number of active devices relative to the same period in the prior year. Our subscription fees have increased 7.4% for the three months ended March 31, 2024 compared to the same period in 2023 which is attributed to a continued focus of management to grow our recurring subscription services to our customer base and an increase in our active devices compared to last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equipment sales in the current fiscal year quarter was due to the prior year still benefiting from the required upgrade to 4G compatible devices. Our equipment margin decreased during the current year quarter primarily driven by increased freight and supply chain costs associated with the anticipated ramp in international sales.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Costs of sales.</w:t>
      </w:r>
      <w:r>
        <w:rPr>
          <w:color w:val="000000"/>
        </w:rPr>
        <w:t xml:space="preserve"> </w:t>
      </w:r>
      <w:r>
        <w:rPr>
          <w:rFonts w:ascii="Times New Roman;sans-serif" w:hAnsi="Times New Roman;sans-serif"/>
          <w:b w:val="false"/>
          <w:color w:val="000000"/>
          <w:sz w:val="20"/>
        </w:rPr>
        <w:t xml:space="preserve">Costs of sales increased $3.5 million for the three months ended March 31, 2024 compared to the prior year period. The increase in costs of sales was primarily due to a $3.3 million increase in subscription and transaction costs as a direct result of increased transaction processing fees corresponding with an increase in processing volumes.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Gross margin. </w:t>
      </w:r>
      <w:r>
        <w:rPr>
          <w:rFonts w:ascii="Times New Roman;sans-serif" w:hAnsi="Times New Roman;sans-serif"/>
          <w:b w:val="false"/>
          <w:color w:val="000000"/>
          <w:sz w:val="20"/>
        </w:rPr>
        <w:t>Total gross margin increased to 39.6% for the three months ended March 31, 2024 from 37.9% for the three months ended March 31, 2023. The increase was primarily a result of an increase in subscription and transaction fees which yield higher margins compared to equipment fees.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700"/>
        <w:gridCol w:w="1468"/>
        <w:gridCol w:w="1475"/>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30"/>
        <w:gridCol w:w="334"/>
        <w:gridCol w:w="572"/>
      </w:tblGrid>
      <w:tr>
        <w:trPr/>
        <w:tc>
          <w:tcPr>
            <w:tcW w:w="170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4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proxy solicitation and restatement expenses, net of insurance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Total operating expenses.</w:t>
      </w:r>
      <w:r>
        <w:rPr>
          <w:color w:val="000000"/>
        </w:rPr>
        <w:t> </w:t>
      </w:r>
      <w:r>
        <w:rPr>
          <w:rFonts w:ascii="Times New Roman;sans-serif" w:hAnsi="Times New Roman;sans-serif"/>
          <w:b w:val="false"/>
          <w:color w:val="000000"/>
          <w:sz w:val="20"/>
        </w:rPr>
        <w:t>Operating expenses increased 40.0% for the three months ended March 31, 2024 compared to the same period in 2023. This is largely driven by increased operating expenses related to the Cheq acquisition and professional service fees related to SOX remediation work. Additionally, prior year had a net $1 million benefit related to insurance proceeds and expenses incurred in connection with the 2019 Investigation. See further details on individual categories below.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increased approximately $2.6 million for the three months ended March 31, 2024 compared to the same period in 2023 due to increased compensation costs of approximately $1.3 million, and increased infrastructure, travel and entertainment costs of approximately $0.7 million to support our expanding business and service offerings in the United States and internationally. Additionally, marketing expense increased $0.6 million related to international expansion and the acquisition of Cheq.</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Technology and product development. </w:t>
      </w:r>
      <w:r>
        <w:rPr>
          <w:rFonts w:ascii="Times New Roman;sans-serif" w:hAnsi="Times New Roman;sans-serif"/>
          <w:b w:val="false"/>
          <w:color w:val="000000"/>
          <w:sz w:val="20"/>
        </w:rPr>
        <w:t xml:space="preserve">Technology and product development expenses increased by $0.3 million for the three months ended March 31, 2024. The increase in the current year was driven by increased headcount partially offset by lower expensed personnel costs as we continued to invest in internal-use software which resulted in higher capitalized costs compared to the prior year.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General and administrative expenses. </w:t>
      </w:r>
      <w:r>
        <w:rPr>
          <w:rFonts w:ascii="Times New Roman;sans-serif" w:hAnsi="Times New Roman;sans-serif"/>
          <w:b w:val="false"/>
          <w:color w:val="000000"/>
          <w:sz w:val="20"/>
        </w:rPr>
        <w:t>General and administrative expenses increased by $1.5 million for the three months ended March 31, 2024 compared to the same period in 2023 primarily due to a $1.3 million increase</w:t>
      </w:r>
      <w:r>
        <w:rPr>
          <w:color w:val="000000"/>
          <w:shd w:fill="FFFFFF" w:val="clear"/>
        </w:rPr>
        <w:t xml:space="preserve"> </w:t>
      </w:r>
      <w:r>
        <w:rPr>
          <w:rFonts w:ascii="Times New Roman;sans-serif" w:hAnsi="Times New Roman;sans-serif"/>
          <w:b w:val="false"/>
          <w:color w:val="000000"/>
          <w:sz w:val="20"/>
          <w:shd w:fill="FFFFFF" w:val="clear"/>
        </w:rPr>
        <w:t>in connection with non-recurring project work related to remediating previously identified material weaknesses in our inter</w:t>
      </w:r>
      <w:r>
        <w:rPr>
          <w:rFonts w:ascii="Times New Roman;sans-serif" w:hAnsi="Times New Roman;sans-serif"/>
          <w:b w:val="false"/>
          <w:color w:val="000000"/>
          <w:sz w:val="20"/>
        </w:rPr>
        <w:t>nal controls over financial reporting, $0.6 million increase in bad debt expense, and a $0.4 million increase in compensation related expenses; partially offset by a reduction of $0.5 million to our sales tax liability and $0.2 million in other administrative expenses compared to the same period in the prior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Integration and acquisition expenses. </w:t>
      </w:r>
      <w:r>
        <w:rPr>
          <w:rFonts w:ascii="Times New Roman;sans-serif" w:hAnsi="Times New Roman;sans-serif"/>
          <w:b w:val="false"/>
          <w:color w:val="000000"/>
          <w:sz w:val="20"/>
        </w:rPr>
        <w:t xml:space="preserve">On February 1, 2024, the Company acquired all of the equity interests of Cheq Lifestyle Technology, Inc. ("Cheq"). For the three months ended March 31, 2024, the Company incurred integration and acquisition expenses of $0.9 million primarily due to professional services from accounting and legal advisors, as well as consulting services from Cheq predecessors. The Company did not incur integration and acquisition expenses during the three month period ended March 31,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expenses increased $0.1 million for the three </w:t>
      </w:r>
      <w:r>
        <w:rPr>
          <w:rFonts w:ascii="Times New Roman;sans-serif" w:hAnsi="Times New Roman;sans-serif"/>
          <w:b w:val="false"/>
          <w:color w:val="000000"/>
          <w:sz w:val="20"/>
          <w:shd w:fill="FFFFFF" w:val="clear"/>
        </w:rPr>
        <w:t xml:space="preserve">months ended March 31, 2024 compared to the same period in 2023. </w:t>
      </w:r>
      <w:r>
        <w:rPr>
          <w:rFonts w:ascii="Times New Roman;sans-serif" w:hAnsi="Times New Roman;sans-serif"/>
          <w:b w:val="false"/>
          <w:color w:val="000000"/>
          <w:sz w:val="20"/>
        </w:rPr>
        <w:t xml:space="preserve">The increase was primarily driven by the amortization of intangible assets associated with the acquisition of 32M in December 2022.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Other Income, Net</w:t>
      </w:r>
    </w:p>
    <w:tbl>
      <w:tblPr>
        <w:tblW w:w="10014" w:type="dxa"/>
        <w:jc w:val="left"/>
        <w:tblInd w:w="0" w:type="dxa"/>
        <w:tblLayout w:type="fixed"/>
        <w:tblCellMar>
          <w:top w:w="28" w:type="dxa"/>
          <w:left w:w="28" w:type="dxa"/>
          <w:bottom w:w="28" w:type="dxa"/>
          <w:right w:w="28" w:type="dxa"/>
        </w:tblCellMar>
      </w:tblPr>
      <w:tblGrid>
        <w:gridCol w:w="1621"/>
        <w:gridCol w:w="1429"/>
        <w:gridCol w:w="1435"/>
        <w:gridCol w:w="109"/>
        <w:gridCol w:w="109"/>
        <w:gridCol w:w="109"/>
        <w:gridCol w:w="261"/>
        <w:gridCol w:w="578"/>
        <w:gridCol w:w="135"/>
        <w:gridCol w:w="135"/>
        <w:gridCol w:w="135"/>
        <w:gridCol w:w="135"/>
        <w:gridCol w:w="261"/>
        <w:gridCol w:w="578"/>
        <w:gridCol w:w="135"/>
        <w:gridCol w:w="109"/>
        <w:gridCol w:w="109"/>
        <w:gridCol w:w="109"/>
        <w:gridCol w:w="211"/>
        <w:gridCol w:w="466"/>
        <w:gridCol w:w="109"/>
        <w:gridCol w:w="109"/>
        <w:gridCol w:w="109"/>
        <w:gridCol w:w="109"/>
        <w:gridCol w:w="418"/>
        <w:gridCol w:w="422"/>
        <w:gridCol w:w="569"/>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cash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from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(1,507.7)</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20"/>
        </w:rPr>
        <w:t>Other income, net</w:t>
      </w:r>
      <w:r>
        <w:rPr>
          <w:rFonts w:ascii="Times New Roman;sans-serif" w:hAnsi="Times New Roman;sans-serif"/>
          <w:b w:val="false"/>
          <w:color w:val="000000"/>
          <w:sz w:val="20"/>
        </w:rPr>
        <w:t xml:space="preserve">.  Other income increased $0.2 million for the three months ended March 31, 2024 as compared to the same period in 2023. </w:t>
      </w:r>
      <w:r>
        <w:rPr>
          <w:rFonts w:ascii="Times New Roman;sans-serif" w:hAnsi="Times New Roman;sans-serif"/>
          <w:b w:val="false"/>
          <w:color w:val="000000"/>
          <w:sz w:val="20"/>
          <w:shd w:fill="FFFFFF" w:val="clear"/>
        </w:rPr>
        <w:t>Our interest expense from debt and tax liabilities decreased $0.4 million primarily due to the reduction of the interest component of the sales tax liability offset by incurred interest expense related to our outstanding debt balances. Decrease in interest income from cash and leases is primarily due to lower outstanding balances for our finance receivables. Other expense, net increased primarily due to foreign currency transaction losses.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Nine Months Ended March 31, 2024 Compared to Nine Months Ended March 31, 2023</w:t>
      </w:r>
    </w:p>
    <w:p>
      <w:pPr>
        <w:pStyle w:val="TextBody"/>
        <w:bidi w:val="0"/>
        <w:spacing w:before="0" w:after="0"/>
        <w:jc w:val="both"/>
        <w:rPr/>
      </w:pPr>
      <w:r>
        <w:rPr/>
      </w:r>
    </w:p>
    <w:tbl>
      <w:tblPr>
        <w:tblW w:w="9477" w:type="dxa"/>
        <w:jc w:val="left"/>
        <w:tblInd w:w="0" w:type="dxa"/>
        <w:tblLayout w:type="fixed"/>
        <w:tblCellMar>
          <w:top w:w="28" w:type="dxa"/>
          <w:left w:w="28" w:type="dxa"/>
          <w:bottom w:w="28" w:type="dxa"/>
          <w:right w:w="28" w:type="dxa"/>
        </w:tblCellMar>
      </w:tblPr>
      <w:tblGrid>
        <w:gridCol w:w="1231"/>
        <w:gridCol w:w="1084"/>
        <w:gridCol w:w="1089"/>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43"/>
        <w:gridCol w:w="347"/>
        <w:gridCol w:w="418"/>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Costs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and transaction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Revenues. </w:t>
      </w:r>
      <w:r>
        <w:rPr>
          <w:color w:val="000000"/>
        </w:rPr>
        <w:t xml:space="preserve"> </w:t>
      </w:r>
      <w:r>
        <w:rPr>
          <w:rFonts w:ascii="Times New Roman;sans-serif" w:hAnsi="Times New Roman;sans-serif"/>
          <w:b w:val="false"/>
          <w:color w:val="000000"/>
          <w:sz w:val="20"/>
        </w:rPr>
        <w:t xml:space="preserve">Total revenues increased by $16.5 million for the nine months ended March 31, 2024 compared to the same period in 2023. The increase in revenues was attributed to a $23.1 million increase in subscription and transaction fees, and a $6.6 million decrease in equipment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subscription and transaction fees was primarily driven by increased processing volumes, with an approximately 14% increase in total dollar volumes for the nine months ended March 31, 2024 compared to the same period in 2023. Our transaction fees increased $17.9 million, or 18.4%, due to an increase in the average price per transaction and total number of transactions relative to the same period in the prior year. Our subscription fees increased approximately $5.2 million, or 10.4% for the nine months ended March 31, 2024 compared to the same period in 2023 which was attributed to a continued focus of management to grow our recurring subscription services, the successful expansion of the Cantaloupe One program to our customer base, and the acquisition of 32M.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equipment sales in the current fiscal year period was primarily driven by decreased equipment shipments compared to the prior year fiscal period. In the prior year, our customers continued upgrading their devices to ensure compatibility with the emerging 4G network, resulting in a surge in equipment shipments. As of December 31, 2022, the 3G to 4G network upgrade has been fully completed in the U.S. market.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Costs of sales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Costs of sales decreased $3.6 million for the nine months ended March 31, 2024 compared to the same period in 2023. The decrease was driven by a $10.0 million decrease in equipment costs partially offset by an increase of $6.4 million in subscription and transaction costs.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decrease in costs of sales for equipment was primarily driven by decreased equipment sale</w:t>
      </w:r>
      <w:r>
        <w:rPr>
          <w:rFonts w:ascii="Times New Roman;sans-serif" w:hAnsi="Times New Roman;sans-serif"/>
          <w:b w:val="false"/>
          <w:color w:val="000000"/>
          <w:sz w:val="20"/>
          <w:shd w:fill="FFFFFF" w:val="clear"/>
        </w:rPr>
        <w:t>s. T</w:t>
      </w:r>
      <w:r>
        <w:rPr>
          <w:rFonts w:ascii="Times New Roman;sans-serif" w:hAnsi="Times New Roman;sans-serif"/>
          <w:b w:val="false"/>
          <w:color w:val="000000"/>
          <w:sz w:val="20"/>
        </w:rPr>
        <w:t>he increased demand in the first half of the prior fiscal year was related to our customers upgrading their payment devices in anticipation of the 3G network discontinuation events described above (See 3G Network discontinuation and upgrade cycle section)</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subscription and transaction costs was primarily driven by an increase in transaction processing fees corresponding with an increase in processing volumes and total dollar volume of transactions.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shd w:fill="FFFFFF" w:val="clear"/>
        </w:rPr>
        <w:t xml:space="preserve">Gross margin. </w:t>
      </w:r>
      <w:r>
        <w:rPr>
          <w:rFonts w:ascii="Times New Roman;sans-serif" w:hAnsi="Times New Roman;sans-serif"/>
          <w:b w:val="false"/>
          <w:color w:val="000000"/>
          <w:sz w:val="20"/>
        </w:rPr>
        <w:t xml:space="preserve">Total gross margin increased to 38.6% for the nine months ended March 31, 2024 from 30.9% for the nine months ended March 31, 2023. The increase was primarily driven by improved gross margin on equipment sales. The prior year period experienced inflated cost within our supply chain due to unfavorable prices paid to secure certain key component parts to meet production and delivery timelines caused by a greater than anticipated surge in the demand for our ePort hardware products. The increased demand in the first half of fiscal year 2023 was related to our customers upgrading their payment devices in anticipation of the 3G to 4G network upgrade. This resulted in a negative 5% gross margin on equipment sales for the nine months ending March 31, 2023. Additionally, we had an increase in subscription and transaction fees which yield higher margins compared to equipment fees.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675"/>
        <w:gridCol w:w="1470"/>
        <w:gridCol w:w="1477"/>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1"/>
        <w:gridCol w:w="345"/>
        <w:gridCol w:w="571"/>
      </w:tblGrid>
      <w:tr>
        <w:trPr/>
        <w:tc>
          <w:tcPr>
            <w:tcW w:w="167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Category ($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Investigation, proxy solicitation and restatement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acquisition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both"/>
        <w:rPr/>
      </w:pPr>
      <w:r>
        <w:rPr>
          <w:rFonts w:ascii="Times New Roman;sans-serif" w:hAnsi="Times New Roman;sans-serif"/>
          <w:b w:val="false"/>
          <w:i/>
          <w:color w:val="000000"/>
          <w:sz w:val="20"/>
        </w:rPr>
        <w:t>Total operating expenses. </w:t>
      </w:r>
      <w:r>
        <w:rPr>
          <w:color w:val="000000"/>
        </w:rPr>
        <w:t xml:space="preserve"> </w:t>
      </w:r>
      <w:r>
        <w:rPr>
          <w:rFonts w:ascii="Times New Roman;sans-serif" w:hAnsi="Times New Roman;sans-serif"/>
          <w:b w:val="false"/>
          <w:color w:val="000000"/>
          <w:sz w:val="20"/>
        </w:rPr>
        <w:t>Operating expenses increased approximately $6.7 million for the nine months ended March 31, 2024 compared to the same period in 2023. The increase was attributed to a $5.4 million increase in sales and marketing expenses, a $4.3 million increase in general and administrative expenses, a $2.9 million increase in depreciation and amortization, partially offset by a $4.6 million decrease in technology and product development expenses. See further details on individual categories below.</w:t>
      </w:r>
    </w:p>
    <w:p>
      <w:pPr>
        <w:pStyle w:val="TextBody"/>
        <w:bidi w:val="0"/>
        <w:spacing w:lineRule="auto" w:line="288" w:before="100" w:after="283"/>
        <w:jc w:val="both"/>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increased approximately $5.4 million for the nine months ended March 31, 2024 compared to the same period in 2023 primarily due to higher sales and marketing employee headcount in the current year to support our expanding business in the United States and internationally, in addition to the execution of several marketing campaigns to introduce new product and service offerings leading to increased customer engagement.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Technology and product development. </w:t>
      </w:r>
      <w:r>
        <w:rPr>
          <w:rFonts w:ascii="Times New Roman;sans-serif" w:hAnsi="Times New Roman;sans-serif"/>
          <w:b w:val="false"/>
          <w:color w:val="000000"/>
          <w:sz w:val="20"/>
        </w:rPr>
        <w:t>Technology and product development decreased $4.6 million for the nine months ended March 31, 2024 compared to the same period in 2023. The decrease was driven by $2.6 million decrease in professional services related to expenses incurred in the prior year upgrading our network environment and platform. Decrease is also a result of $1 million in lower personnel costs as we continued to invest in internal-use software which resulted in higher capitalized costs compared to the prior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General and administrative expenses. </w:t>
      </w:r>
      <w:r>
        <w:rPr>
          <w:rFonts w:ascii="Times New Roman;sans-serif" w:hAnsi="Times New Roman;sans-serif"/>
          <w:b w:val="false"/>
          <w:color w:val="000000"/>
          <w:sz w:val="20"/>
        </w:rPr>
        <w:t>General and administrative expenses increased approximately $4.3 million for the nine months ended March 31, 2024, as compared to the same period in 2023.</w:t>
      </w:r>
      <w:r>
        <w:rPr>
          <w:color w:val="000000"/>
          <w:shd w:fill="FFFFFF" w:val="clear"/>
        </w:rPr>
        <w:t xml:space="preserve"> </w:t>
      </w:r>
      <w:r>
        <w:rPr>
          <w:rFonts w:ascii="Times New Roman;sans-serif" w:hAnsi="Times New Roman;sans-serif"/>
          <w:b w:val="false"/>
          <w:color w:val="000000"/>
          <w:sz w:val="20"/>
          <w:shd w:fill="FFFFFF" w:val="clear"/>
        </w:rPr>
        <w:t>The increase in general and administrative expenses was primarily driven by a $3.8 million increase in personnel compensation cost as a result of our growing business, $1.7 million related to professional services related to remediating previously identified material weaknesses in our inter</w:t>
      </w:r>
      <w:r>
        <w:rPr>
          <w:rFonts w:ascii="Times New Roman;sans-serif" w:hAnsi="Times New Roman;sans-serif"/>
          <w:b w:val="false"/>
          <w:color w:val="000000"/>
          <w:sz w:val="20"/>
        </w:rPr>
        <w:t xml:space="preserve">nal controls over financial reporting; partially offset by a $0.7 million decrease in administrative expenses and a $0.4 million reduction to our sales tax reserve compared to the same period in the prior year.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Integration and acquisition. </w:t>
      </w:r>
      <w:r>
        <w:rPr>
          <w:rFonts w:ascii="Times New Roman;sans-serif" w:hAnsi="Times New Roman;sans-serif"/>
          <w:b w:val="false"/>
          <w:color w:val="000000"/>
          <w:sz w:val="20"/>
        </w:rPr>
        <w:t>On February 1, 2024, the Company acquired Cheq Lifestyle Technology, Inc for $4.8 million in cash. During the nine months ended March 31, 2024, the Company incurred expenses of $1.0 million associated with both the closing of the acquisition and the initial integration of CHEQ operations. During the nine months ended March 31, 2023, the Company acquired Three Square Market Inc pursuant to the Purchase Agreement and incurred $2.8 million from accounting, legal and investing banking advisors related to the completion of the acquisition and post-acquisition integration.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During the nine months ended March 31, 2024, the Company had an increase in depreciation and amortization costs of $2.9 million compared to the same period in the prior year due to the acquisition of 32M in December 2022, increased depreciation from our Cantaloupe One program, and increased depreciation for our growing Internal-use software as various projects and initiatives are implemented. Our increase in internal-use software is attributable to management's focus on developing innovative technologies to further strengthen our network environment and platform.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Other Income (Expense), Net</w:t>
      </w:r>
    </w:p>
    <w:tbl>
      <w:tblPr>
        <w:tblW w:w="9908" w:type="dxa"/>
        <w:jc w:val="left"/>
        <w:tblInd w:w="0" w:type="dxa"/>
        <w:tblLayout w:type="fixed"/>
        <w:tblCellMar>
          <w:top w:w="28" w:type="dxa"/>
          <w:left w:w="28" w:type="dxa"/>
          <w:bottom w:w="28" w:type="dxa"/>
          <w:right w:w="28" w:type="dxa"/>
        </w:tblCellMar>
      </w:tblPr>
      <w:tblGrid>
        <w:gridCol w:w="1621"/>
        <w:gridCol w:w="1429"/>
        <w:gridCol w:w="1435"/>
        <w:gridCol w:w="109"/>
        <w:gridCol w:w="109"/>
        <w:gridCol w:w="109"/>
        <w:gridCol w:w="217"/>
        <w:gridCol w:w="634"/>
        <w:gridCol w:w="112"/>
        <w:gridCol w:w="112"/>
        <w:gridCol w:w="112"/>
        <w:gridCol w:w="112"/>
        <w:gridCol w:w="217"/>
        <w:gridCol w:w="634"/>
        <w:gridCol w:w="112"/>
        <w:gridCol w:w="109"/>
        <w:gridCol w:w="109"/>
        <w:gridCol w:w="109"/>
        <w:gridCol w:w="343"/>
        <w:gridCol w:w="347"/>
        <w:gridCol w:w="231"/>
        <w:gridCol w:w="109"/>
        <w:gridCol w:w="109"/>
        <w:gridCol w:w="109"/>
        <w:gridCol w:w="344"/>
        <w:gridCol w:w="346"/>
        <w:gridCol w:w="569"/>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cash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from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100" w:after="283"/>
        <w:jc w:val="both"/>
        <w:rPr/>
      </w:pPr>
      <w:r>
        <w:rPr>
          <w:rFonts w:ascii="Times New Roman;sans-serif" w:hAnsi="Times New Roman;sans-serif"/>
          <w:b w:val="false"/>
          <w:i/>
          <w:color w:val="000000"/>
          <w:sz w:val="20"/>
        </w:rPr>
        <w:t>Other income (expense), net</w:t>
      </w:r>
      <w:r>
        <w:rPr>
          <w:rFonts w:ascii="Times New Roman;sans-serif" w:hAnsi="Times New Roman;sans-serif"/>
          <w:b w:val="false"/>
          <w:color w:val="000000"/>
          <w:sz w:val="20"/>
        </w:rPr>
        <w:t xml:space="preserve">.  Other income (expense), net decreased $1.2 million for the nine months ended March 31, 2024 as compared to the same period in 2023 primarily driven by an increase in interest expense from debt and tax liabilities of $0.7 million due to the higher outstanding debt balance in the current year and a decrease in interest income of approximately $0.5 million due to lower outstanding balances on finance receivables.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certain financial measures internally to evaluate our performance and make financial and operational decisions that are presented in a manner that adjusts from their equivalent GAAP measures or that supplement the information provided by our GAAP measures. We use these adjusted results because we believe they more clearly highlight trends in our business that may not otherwise be apparent when relying solely on GAAP financial measures, since these measures eliminate from our results specific financial items that have less bearing on our core operating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these measures in communicating certain aspects of our results and performance, including in this Quarterly Report, and believe that these measures, when viewed in conjunction with our GAAP results and the accompanying reconciliations, can provide investors with greater transparency and a greater understanding of factors affecting our financial condition and results of operations than GAAP measures alone. In addition, we believe the presentation of these measures is useful to investors for making period-to-period comparisons of results because the adjustments to GAAP are not reflective of our core business performance. Furthermore, certain measures are utilized as metrics in our executive offer and management incentive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measures are not presented in accordance with, or as an alternative to, GAAP financial measures and may be different from non-GAAP measures used by other companies. We encourage investors to review the GAAP financial measures included in this Quarterly Report, including our condensed consolidated financial statements, to aid in their analysis and understanding of our performance and in making comparisons.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EBITDA (Non-GAAP)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before income taxes, depreciation, and amortization (“Adjusted EBITDA”) is a non-GAAP financial measure which is not required by or defined under GAAP. We define Adjusted EBITDA as U.S. GAAP net income (loss) before (i) interest income from cash and leases, (ii) interest (income) expense on debt and tax liabilities,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certain other significant infrequent or unusual losses and gains that are not indicative of our core operations such as integration and acquisition expenses, and (ix) severance expenses that are non-recurring and are not indicative of our core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reconciliation of U.S. GAAP net income (loss) to Adjusted EBITDA (non-GAAP): </w:t>
      </w:r>
    </w:p>
    <w:tbl>
      <w:tblPr>
        <w:tblW w:w="10205" w:type="dxa"/>
        <w:jc w:val="center"/>
        <w:tblInd w:w="0" w:type="dxa"/>
        <w:tblLayout w:type="fixed"/>
        <w:tblCellMar>
          <w:top w:w="28" w:type="dxa"/>
          <w:left w:w="28" w:type="dxa"/>
          <w:bottom w:w="28" w:type="dxa"/>
          <w:right w:w="28" w:type="dxa"/>
        </w:tblCellMar>
      </w:tblPr>
      <w:tblGrid>
        <w:gridCol w:w="1729"/>
        <w:gridCol w:w="1505"/>
        <w:gridCol w:w="151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63"/>
        <w:gridCol w:w="155"/>
      </w:tblGrid>
      <w:tr>
        <w:trPr/>
        <w:tc>
          <w:tcPr>
            <w:tcW w:w="172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March 31,</w:t>
            </w:r>
          </w:p>
        </w:tc>
      </w:tr>
      <w:tr>
        <w:trPr/>
        <w:tc>
          <w:tcPr>
            <w:tcW w:w="4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 from cash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interest (income) expense from debt and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Plus: income tax provision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depreciation included in cost of subscription and transaction fees for rental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Plus: depreciation and amortization in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stock-based compensation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integration and acquisition expenses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remediation expenses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investigation, proxy solicitation and restatement expenses, net of insurance recoveries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Plus: severance expenses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to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As an adjustment to EBITDA, we have excluded stock-based compensation, as it does not reflect our cash-based operations.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As an adjustment to EBITDA, we have excluded expenses incurred in connection with business acquisitions as it does not represent recurring costs or charges related to our core operations.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As an adjustment to EBITDA, we have excluded expense incurred in connection with non-recurring work related to remediating previously identified material weaknesses in our internal control over financial reporting.</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As an adjustment to EBITDA, we have excluded the costs and corresponding reimbursements related to the 2019 Investigation, because we believe that they represent charges that are not related to our core operations.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 As an adjustment to EBITDA, we have excluded expenses incurred in connection with severance related charges.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Sources and Uses of Cash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primarily through cash from operating activities, debt financings, and equity issuances. The Company's primary sources of capital available are cash and cash equivalents on hand of $50.2 million as of March 31, 2024 and the cash that we expect to be provided by operating activities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has estimated and recorded for potential sales tax and related interest and penalty liabilities of $10.8 million in the aggregate as of March 31, 2024. The Company continues to evaluate these liabilities and the amount and timing of any such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are charts that reflect our cash liquidity and outstanding debt as of March 31, 2024 and June 30, 2023: </w:t>
      </w:r>
    </w:p>
    <w:p>
      <w:pPr>
        <w:pStyle w:val="TextBody"/>
        <w:bidi w:val="0"/>
        <w:spacing w:before="0" w:after="0"/>
        <w:jc w:val="both"/>
        <w:rPr/>
      </w:pPr>
      <w:r>
        <w:rPr/>
      </w:r>
    </w:p>
    <w:p>
      <w:pPr>
        <w:pStyle w:val="TextBody"/>
        <w:bidi w:val="0"/>
        <w:spacing w:before="0" w:after="0"/>
        <w:jc w:val="center"/>
        <w:rPr/>
      </w:pPr>
      <w:r>
        <w:rPr/>
        <w:drawing>
          <wp:inline distT="0" distB="0" distL="0" distR="0">
            <wp:extent cx="3095625" cy="3095625"/>
            <wp:effectExtent l="0" t="0" r="0" b="0"/>
            <wp:docPr id="4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 descr=""/>
                    <pic:cNvPicPr>
                      <a:picLocks noChangeAspect="1" noChangeArrowheads="1"/>
                    </pic:cNvPicPr>
                  </pic:nvPicPr>
                  <pic:blipFill>
                    <a:blip r:embed="rId6"/>
                    <a:stretch>
                      <a:fillRect/>
                    </a:stretch>
                  </pic:blipFill>
                  <pic:spPr bwMode="auto">
                    <a:xfrm>
                      <a:off x="0" y="0"/>
                      <a:ext cx="3095625" cy="3095625"/>
                    </a:xfrm>
                    <a:prstGeom prst="rect">
                      <a:avLst/>
                    </a:prstGeom>
                  </pic:spPr>
                </pic:pic>
              </a:graphicData>
            </a:graphic>
          </wp:inline>
        </w:drawing>
      </w:r>
      <w:r>
        <w:rPr/>
        <w:drawing>
          <wp:inline distT="0" distB="0" distL="0" distR="0">
            <wp:extent cx="3095625" cy="3095625"/>
            <wp:effectExtent l="0" t="0" r="0" b="0"/>
            <wp:docPr id="4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6" descr=""/>
                    <pic:cNvPicPr>
                      <a:picLocks noChangeAspect="1" noChangeArrowheads="1"/>
                    </pic:cNvPicPr>
                  </pic:nvPicPr>
                  <pic:blipFill>
                    <a:blip r:embed="rId7"/>
                    <a:stretch>
                      <a:fillRect/>
                    </a:stretch>
                  </pic:blipFill>
                  <pic:spPr bwMode="auto">
                    <a:xfrm>
                      <a:off x="0" y="0"/>
                      <a:ext cx="3095625" cy="3095625"/>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Condensed Consolidated Statement of Cash Flows in Part I, Item 1 of this Quarterly Report for details on the changes in cash and cash equivalents classified by operating, investing and financing activities during our respective reporting periods.</w:t>
      </w:r>
    </w:p>
    <w:p>
      <w:pPr>
        <w:pStyle w:val="TextBody"/>
        <w:bidi w:val="0"/>
        <w:spacing w:before="0" w:after="0"/>
        <w:jc w:val="center"/>
        <w:rPr/>
      </w:pPr>
      <w:r>
        <w:rPr/>
        <w:drawing>
          <wp:inline distT="0" distB="0" distL="0" distR="0">
            <wp:extent cx="3095625" cy="2352675"/>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8"/>
                    <a:stretch>
                      <a:fillRect/>
                    </a:stretch>
                  </pic:blipFill>
                  <pic:spPr bwMode="auto">
                    <a:xfrm>
                      <a:off x="0" y="0"/>
                      <a:ext cx="3095625" cy="235267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used in operating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nine months ended March 31, 2024, net cash provided by operating activities was $13.5 million which reflects our net income of $9.8 million </w:t>
      </w:r>
      <w:r>
        <w:rPr>
          <w:rFonts w:ascii="Times New Roman;sans-serif" w:hAnsi="Times New Roman;sans-serif"/>
          <w:b w:val="false"/>
          <w:color w:val="000000"/>
          <w:sz w:val="20"/>
          <w:shd w:fill="FFFFFF" w:val="clear"/>
        </w:rPr>
        <w:t xml:space="preserve">and non-cash operating charges of $18.5 million, partially offset by $14.8 million of cash utilized by working capital accounts. The change in working capital accounts was primarily driven by a $16.5 million increase of accounts receivable and an increase in accounts payable and accrued expenses of $8.5 million in the period. </w:t>
      </w:r>
      <w:r>
        <w:rPr>
          <w:rFonts w:ascii="Times New Roman;sans-serif" w:hAnsi="Times New Roman;sans-serif"/>
          <w:b w:val="false"/>
          <w:color w:val="000000"/>
          <w:sz w:val="20"/>
        </w:rPr>
        <w:t xml:space="preserve">Increase in cash utilized by accounts receivable was a result of increased sales during the nine months ended March 31, 2024 compared to the prior year period as well as the timing of the cash receipts compared to the prior year period.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nine months ended March 31, 2023, net cash used in operating activities was $5.8 million, which reflected our net loss of $2.2 million adjusted by </w:t>
      </w:r>
      <w:r>
        <w:rPr>
          <w:rFonts w:ascii="Times New Roman;sans-serif" w:hAnsi="Times New Roman;sans-serif"/>
          <w:b w:val="false"/>
          <w:color w:val="000000"/>
          <w:sz w:val="20"/>
          <w:shd w:fill="FFFFFF" w:val="clear"/>
        </w:rPr>
        <w:t>$10.7 million</w:t>
      </w:r>
      <w:r>
        <w:rPr>
          <w:color w:val="000000"/>
        </w:rPr>
        <w:t xml:space="preserve"> </w:t>
      </w:r>
      <w:r>
        <w:rPr>
          <w:rFonts w:ascii="Times New Roman;sans-serif" w:hAnsi="Times New Roman;sans-serif"/>
          <w:b w:val="false"/>
          <w:color w:val="000000"/>
          <w:sz w:val="20"/>
        </w:rPr>
        <w:t>in non-cash operating charges and</w:t>
      </w:r>
      <w:r>
        <w:rPr>
          <w:color w:val="000000"/>
          <w:shd w:fill="FFFFFF" w:val="clear"/>
        </w:rPr>
        <w:t xml:space="preserve"> </w:t>
      </w:r>
      <w:r>
        <w:rPr>
          <w:rFonts w:ascii="Times New Roman;sans-serif" w:hAnsi="Times New Roman;sans-serif"/>
          <w:b w:val="false"/>
          <w:color w:val="000000"/>
          <w:sz w:val="20"/>
          <w:shd w:fill="FFFFFF" w:val="clear"/>
        </w:rPr>
        <w:t>$2.7 million of cash utilized by working capital accounts. The change in working capital accounts is primarily driven by cash used of $8.2 million to increase our inventory on hand and a decrease of accounts receivable of $9.6 million in the period. Increase in inventory was driven by increased equipment sales as well as strategic planning to mitigate potential supply chain disruptions. Increase in cash provided by accounts receivable was a result of increased sales during the nine months ended March 31, 2023 compared to the prior year period as well as the timing of the cash receipts compared to the prior year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operating charges primarily consisted of stock-based compensation, depreciation of property and equipment, amortization of our intangible assets, and provisions for expected losses for the nine months ended March 31, 2024 and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used in investing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cash used in investing activities was $13.9 million for the nine months ended March 31, 2024. We invested $9.2 million in property and equipment as the Company continued to focus on investing in innovative technologies and products, and increasing rental devices enrolled in the Company's Cantaloupe One program. Additionally, the Company invested </w:t>
      </w:r>
      <w:r>
        <w:rPr>
          <w:rFonts w:ascii="Times New Roman;sans-serif" w:hAnsi="Times New Roman;sans-serif"/>
          <w:b w:val="false"/>
          <w:color w:val="000000"/>
          <w:sz w:val="20"/>
        </w:rPr>
        <w:t>$4.8 million</w:t>
      </w:r>
      <w:r>
        <w:rPr>
          <w:color w:val="000000"/>
          <w:shd w:fill="FFFFFF" w:val="clear"/>
        </w:rPr>
        <w:t xml:space="preserve"> </w:t>
      </w:r>
      <w:r>
        <w:rPr>
          <w:rFonts w:ascii="Times New Roman;sans-serif" w:hAnsi="Times New Roman;sans-serif"/>
          <w:b w:val="false"/>
          <w:color w:val="000000"/>
          <w:sz w:val="20"/>
          <w:shd w:fill="FFFFFF" w:val="clear"/>
        </w:rPr>
        <w:t>through its CHEQ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Net cash used in investing activities was $48.5 million for the nine months ended March 31, 2023. Increase in cash used is due to the cash paid for the 32M acquisition of $35.9 million and $12.6 million for increased property and equipment balances driven primarily by the Company's continued focus on investing in technologies and products and increasing rental devices enrolled in the Company's Cantaloupe one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provided by 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$0.3 million for the nine months ended March 31, 2024, which is primarily driven by debt repayments on the JPMorgan Credit Facility.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of financing activities was $21.3 million for the nine months ended March 31, 2023 which was primarily due to the borrowing of $25 million from our Credit Facility to fund a portion of the cash consideration for the 32M acquisition offset by $2.2 million to repurchase our series A Convertible Stock and a $1 million payment for contingent consideration relating to the Yoke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March 31, 2024, there were no significant changes to our contractual obligations from those disclosed in the section “Management’s Discussion and Analysis of Financial Condition and Results of Operations” in our Annual Report on Form 10-K for the fiscal year ended June 30, 2023.</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There have been no material changes to our critical accounting estimates from those disclosed in our Annual Report on Form 10-K for the fiscal year ended June 30, 2023.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for a description of recent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pPr>
      <w:r>
        <w:rPr>
          <w:rFonts w:ascii="Times New Roman;sans-serif" w:hAnsi="Times New Roman;sans-serif"/>
          <w:b w:val="false"/>
          <w:color w:val="000000"/>
          <w:sz w:val="20"/>
        </w:rPr>
        <w:t>As of March 31, 2024, we are exposed to market risk related to changes in interest rates on our outstanding borrowings. Our Amended JPMorgan Credit Facility has a four-year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As of March 31, 2024, we have $38.2 million total outstanding borrowings, an increase of 100 basis points in SOFR Rate would result in a change in interest expen</w:t>
      </w:r>
      <w:r>
        <w:rPr>
          <w:rFonts w:ascii="Times New Roman;sans-serif" w:hAnsi="Times New Roman;sans-serif"/>
          <w:b w:val="false"/>
          <w:color w:val="000000"/>
          <w:sz w:val="20"/>
          <w:shd w:fill="FFFFFF" w:val="clear"/>
        </w:rPr>
        <w:t>se of $0.4 million p</w:t>
      </w:r>
      <w:r>
        <w:rPr>
          <w:rFonts w:ascii="Times New Roman;sans-serif" w:hAnsi="Times New Roman;sans-serif"/>
          <w:b w:val="false"/>
          <w:color w:val="000000"/>
          <w:sz w:val="20"/>
        </w:rPr>
        <w:t xml:space="preserve">er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w:t>
      </w:r>
      <w:r>
        <w:rPr>
          <w:rFonts w:ascii="Times New Roman;sans-serif" w:hAnsi="Times New Roman;sans-serif"/>
          <w:b w:val="false"/>
          <w:color w:val="000000"/>
          <w:sz w:val="20"/>
          <w:shd w:fill="FFFFFF" w:val="clear"/>
        </w:rPr>
        <w:t xml:space="preserve">s were not effective as of </w:t>
      </w:r>
      <w:r>
        <w:rPr>
          <w:rFonts w:ascii="Times New Roman;sans-serif" w:hAnsi="Times New Roman;sans-serif"/>
          <w:b w:val="false"/>
          <w:color w:val="000000"/>
          <w:sz w:val="20"/>
        </w:rPr>
        <w:t>March 31, 2024, as a result of the material weaknesses in our internal control over financial reporting, which are described in Item 9A. of our 2023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plan disclosed in Item 9A. of our 2023 Form 10-K, there have been no changes in the Company’s internal control over financial reporting that occurred during the fiscal quarter ended March 31, 2024 that have materially affected, or are reasonably likely to materially affect, our internal controls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executing remediation activities to alleviate the material weaknesses identified in the remediation plan disclosed in Item 9A. of our 2023 Form 10-K. The Company hired a public accounting firm to assist with the remediation efforts. As part of the remediation work performed specifically in the third quarter of fiscal year 2024, the Company implemented a series of control enhancements to remediate the material weaknesses for both business process and IT general controls. As of the filing date of our third quarter 2024 Form 10Q, the remediation of the prior year material weaknesses and overall operating effectiveness of our control environment remains subject to evaluation. The material weaknesses cannot be considered remediated until the related controls have operated for a sufficient period of time and until management has concluded, through testing, that the controls are operating effectively.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information required by this Item is incorporated herein by reference to the Notes to condensed consolidated financial statements, </w:t>
      </w:r>
      <w:r>
        <w:rPr>
          <w:rFonts w:ascii="Times New Roman;sans-serif" w:hAnsi="Times New Roman;sans-serif"/>
          <w:b w:val="false"/>
          <w:i/>
          <w:color w:val="000000"/>
          <w:sz w:val="20"/>
        </w:rPr>
        <w:t>Note 15 – Commitments and Contingencies</w:t>
      </w:r>
      <w:r>
        <w:rPr>
          <w:color w:val="000000"/>
        </w:rPr>
        <w:t xml:space="preserve"> </w:t>
      </w:r>
      <w:r>
        <w:rPr>
          <w:rFonts w:ascii="Times New Roman;sans-serif" w:hAnsi="Times New Roman;sans-serif"/>
          <w:b w:val="false"/>
          <w:color w:val="000000"/>
          <w:sz w:val="20"/>
        </w:rPr>
        <w:t>in Part I, Item 1, of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the Company’s risk factors, see the information under the heading “Risk Factors” in the Company’s Annual Report on Form 10-K for the fiscal year ended June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defaults on any senior securities. The total liquidation preference including accrued and unpaid dividends on our Series A Convertible Preferred Stock as of March 31, 2024 was $22.7 million. The dividend accrual dates for our Preferred Stock are February 1 and August 1. The annual cumulative dividend on our Preferred Stock is $1.50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 10b5-1 Trading Plans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During the fiscal quarter ended March 31, 2024,</w:t>
      </w:r>
      <w:r>
        <w:rPr>
          <w:color w:val="000000"/>
          <w:shd w:fill="FFFFFF" w:val="clear"/>
        </w:rPr>
        <w:t xml:space="preserve"> </w:t>
      </w:r>
      <w:r>
        <w:rPr>
          <w:rFonts w:ascii="Times New Roman;sans-serif" w:hAnsi="Times New Roman;sans-serif"/>
          <w:b w:val="false"/>
          <w:color w:val="000000"/>
          <w:sz w:val="20"/>
          <w:shd w:fill="FFFFFF" w:val="clear"/>
        </w:rPr>
        <w:t xml:space="preserve">none of the </w:t>
      </w:r>
      <w:r>
        <w:rPr>
          <w:rFonts w:ascii="Times New Roman;sans-serif" w:hAnsi="Times New Roman;sans-serif"/>
          <w:b w:val="false"/>
          <w:color w:val="000000"/>
          <w:sz w:val="20"/>
        </w:rPr>
        <w:t>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2774"/>
        <w:gridCol w:w="2625"/>
        <w:gridCol w:w="3748"/>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Amended and Restated Articles of Incorporation (incorporated by reference to Exhibit 3.1 to Form 10-Q filed on February 4, 2022).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20"/>
                  <w:u w:val="single"/>
                </w:rPr>
                <w:t>Second Amended and Restated Bylaws (incorporated by reference to Exhibit 3.1 to Form 8-K filed on August 10, 2021)</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exx311.htm">
              <w:r>
                <w:rPr>
                  <w:rStyle w:val="InternetLink"/>
                  <w:rFonts w:ascii="Times New Roman;sans-serif" w:hAnsi="Times New Roman;sans-serif"/>
                  <w:b w:val="false"/>
                  <w:color w:val="0000FF"/>
                  <w:sz w:val="20"/>
                  <w:u w:val="single"/>
                </w:rPr>
                <w:t>Certifications of Chief Executive Officer pursuant to Rule 13a-14(a) under the Securities Exchange Act of 1934.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exx312.htm">
              <w:r>
                <w:rPr>
                  <w:rStyle w:val="InternetLink"/>
                  <w:rFonts w:ascii="Times New Roman;sans-serif" w:hAnsi="Times New Roman;sans-serif"/>
                  <w:b w:val="false"/>
                  <w:color w:val="0000FF"/>
                  <w:sz w:val="20"/>
                  <w:u w:val="single"/>
                </w:rPr>
                <w:t>Certifications of Chief Financial Officer pursuant to Rule 13a-14(a) under the Securities Exchange Act of 1934.</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exx321.htm">
              <w:r>
                <w:rPr>
                  <w:rStyle w:val="InternetLink"/>
                  <w:rFonts w:ascii="Times New Roman;sans-serif" w:hAnsi="Times New Roman;sans-serif"/>
                  <w:b w:val="false"/>
                  <w:color w:val="0000FF"/>
                  <w:sz w:val="20"/>
                  <w:u w:val="single"/>
                </w:rPr>
                <w:t>Certification of the Chief Executive Officer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exx322.htm">
              <w:r>
                <w:rPr>
                  <w:rStyle w:val="InternetLink"/>
                  <w:rFonts w:ascii="Times New Roman;sans-serif" w:hAnsi="Times New Roman;sans-serif"/>
                  <w:b w:val="false"/>
                  <w:color w:val="0000FF"/>
                  <w:sz w:val="20"/>
                  <w:u w:val="single"/>
                </w:rPr>
                <w:t>Certification of the Chief Financial Officer pursuant to 18 USC Section 1350, as adopted pursuant to Section 906 of the Sarbanes-Oxley Act of 2002.</w:t>
              </w:r>
            </w:hyperlink>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our Quarterly Report on Form 10-Q for the quarter ended March 31, 2024, filed with the SEC on May 9, 2024, is formatted in Inline Extensible Business Reporting Language (“iXBRL”): (1) the Condensed Consolidated Balance Sheets as of March 31, 2024 and June 30, 2023, (2) the Condensed Consolidated Statements of Operations for the three-month and nine-month periods ended March 31, 2024 and 2023, (3) the Condensed Consolidated Statements of Other Comprehensive Income (Loss) for the three-month and nine-month periods ended March 31, 2024 and 2023, (4) the Condensed Consolidated Statements of Convertible Preferred Stock and Shareholders’ Equity for the three-month and nine-month periods ended March 31, 2024 and 2023, (5) the Condensed Consolidated Statements of Cash Flows for the nine-month periods ended March 31, 2024 and 2023, and (6) the Notes to Condensed Consolidated Financial Statements.</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our Quarterly Report on Form 10-Q for the quarter ended March 31, 2024, filed with the SEC on May 9, 2024, is formatted as Inline iXBRL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6e5dde8762a42c6849744eec2a176f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3704" w:type="dxa"/>
        <w:jc w:val="left"/>
        <w:tblInd w:w="0" w:type="dxa"/>
        <w:tblLayout w:type="fixed"/>
        <w:tblCellMar>
          <w:top w:w="28" w:type="dxa"/>
          <w:left w:w="28" w:type="dxa"/>
          <w:bottom w:w="28" w:type="dxa"/>
          <w:right w:w="28" w:type="dxa"/>
        </w:tblCellMar>
      </w:tblPr>
      <w:tblGrid>
        <w:gridCol w:w="591"/>
        <w:gridCol w:w="520"/>
        <w:gridCol w:w="523"/>
        <w:gridCol w:w="605"/>
        <w:gridCol w:w="605"/>
        <w:gridCol w:w="86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Cantaloupe,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Ravi Venkatesan,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Cantaloupe,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issuer’s internal control over financial reporting.</w:t>
      </w:r>
    </w:p>
    <w:p>
      <w:pPr>
        <w:pStyle w:val="TextBody"/>
        <w:bidi w:val="0"/>
        <w:spacing w:before="0" w:after="0"/>
        <w:ind w:left="0" w:right="0" w:hanging="360"/>
        <w:jc w:val="both"/>
        <w:rPr/>
      </w:pPr>
      <w:r>
        <w:rPr/>
      </w:r>
    </w:p>
    <w:tbl>
      <w:tblPr>
        <w:tblW w:w="3704" w:type="dxa"/>
        <w:jc w:val="left"/>
        <w:tblInd w:w="0" w:type="dxa"/>
        <w:tblLayout w:type="fixed"/>
        <w:tblCellMar>
          <w:top w:w="28" w:type="dxa"/>
          <w:left w:w="28" w:type="dxa"/>
          <w:bottom w:w="28" w:type="dxa"/>
          <w:right w:w="28" w:type="dxa"/>
        </w:tblCellMar>
      </w:tblPr>
      <w:tblGrid>
        <w:gridCol w:w="591"/>
        <w:gridCol w:w="520"/>
        <w:gridCol w:w="523"/>
        <w:gridCol w:w="606"/>
        <w:gridCol w:w="606"/>
        <w:gridCol w:w="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Scott Stewart,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w:t>
        <w:noBreakHyphen/>
        <w:t>Q of Cantaloupe, Inc.;</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issuer’s other certifying officer and I have disclosed, based on our most recent evaluation of internal control over financial reporting to the auditors and the audit committee of the issuer’s board of directors (or persons performing the equivalent functions):</w:t>
      </w:r>
    </w:p>
    <w:p>
      <w:pPr>
        <w:pStyle w:val="TextBody"/>
        <w:bidi w:val="0"/>
        <w:spacing w:lineRule="auto" w:line="288"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issuer’s ability to record, process, summarize and report financial information; and</w:t>
      </w:r>
    </w:p>
    <w:p>
      <w:pPr>
        <w:pStyle w:val="TextBody"/>
        <w:bidi w:val="0"/>
        <w:spacing w:lineRule="auto" w:line="288"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issuer’s internal control over financial reporting.</w:t>
      </w:r>
    </w:p>
    <w:p>
      <w:pPr>
        <w:pStyle w:val="TextBody"/>
        <w:bidi w:val="0"/>
        <w:spacing w:before="0" w:after="0"/>
        <w:ind w:left="0" w:right="0" w:hanging="360"/>
        <w:jc w:val="both"/>
        <w:rPr/>
      </w:pPr>
      <w:r>
        <w:rPr/>
      </w:r>
    </w:p>
    <w:tbl>
      <w:tblPr>
        <w:tblW w:w="3644" w:type="dxa"/>
        <w:jc w:val="left"/>
        <w:tblInd w:w="0" w:type="dxa"/>
        <w:tblLayout w:type="fixed"/>
        <w:tblCellMar>
          <w:top w:w="28" w:type="dxa"/>
          <w:left w:w="28" w:type="dxa"/>
          <w:bottom w:w="28" w:type="dxa"/>
          <w:right w:w="28" w:type="dxa"/>
        </w:tblCellMar>
      </w:tblPr>
      <w:tblGrid>
        <w:gridCol w:w="591"/>
        <w:gridCol w:w="520"/>
        <w:gridCol w:w="523"/>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Cantaloupe, Inc., (the “Company”) on Form 10</w:t>
        <w:noBreakHyphen/>
        <w:t>Q for the period ended March 31, 2024 (the “Report”), I, Ravi Venkatesan, Chief Executive Officer of the Company, hereby certify that to my knowledge:</w:t>
      </w:r>
    </w:p>
    <w:p>
      <w:pPr>
        <w:pStyle w:val="TextBody"/>
        <w:bidi w:val="0"/>
        <w:spacing w:lineRule="auto" w:line="333"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704" w:type="dxa"/>
        <w:jc w:val="left"/>
        <w:tblInd w:w="0" w:type="dxa"/>
        <w:tblLayout w:type="fixed"/>
        <w:tblCellMar>
          <w:top w:w="28" w:type="dxa"/>
          <w:left w:w="28" w:type="dxa"/>
          <w:bottom w:w="28" w:type="dxa"/>
          <w:right w:w="28" w:type="dxa"/>
        </w:tblCellMar>
      </w:tblPr>
      <w:tblGrid>
        <w:gridCol w:w="591"/>
        <w:gridCol w:w="520"/>
        <w:gridCol w:w="523"/>
        <w:gridCol w:w="606"/>
        <w:gridCol w:w="606"/>
        <w:gridCol w:w="8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Venkatesan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333"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Cantaloupe, Inc., (the “Company”) on Form 10</w:t>
        <w:noBreakHyphen/>
        <w:t>Q for the period ended March 31, 2024 (the “Report”), I, Scott Stewart, Chief Financial Officer of the Company, hereby certify that to my knowledge:</w:t>
      </w:r>
    </w:p>
    <w:p>
      <w:pPr>
        <w:pStyle w:val="TextBody"/>
        <w:bidi w:val="0"/>
        <w:spacing w:lineRule="auto" w:line="333" w:before="2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200" w:after="1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644" w:type="dxa"/>
        <w:jc w:val="left"/>
        <w:tblInd w:w="0" w:type="dxa"/>
        <w:tblLayout w:type="fixed"/>
        <w:tblCellMar>
          <w:top w:w="28" w:type="dxa"/>
          <w:left w:w="28" w:type="dxa"/>
          <w:bottom w:w="28" w:type="dxa"/>
          <w:right w:w="28" w:type="dxa"/>
        </w:tblCellMar>
      </w:tblPr>
      <w:tblGrid>
        <w:gridCol w:w="591"/>
        <w:gridCol w:w="520"/>
        <w:gridCol w:w="523"/>
        <w:gridCol w:w="589"/>
        <w:gridCol w:w="589"/>
        <w:gridCol w:w="8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Stewart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896429/000162828022001838/a31-amendedandrestatedarti.htm" TargetMode="External"/><Relationship Id="rId10" Type="http://schemas.openxmlformats.org/officeDocument/2006/relationships/hyperlink" Target="https://www.sec.gov/ix?doc=/Archives/edgar/data/0000896429/000091412121005445/p56531664-8ki.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18810</Words>
  <Characters>104485</Characters>
  <CharactersWithSpaces>121930</CharactersWithSpaces>
  <Paragraphs>2590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