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25" w:lineRule="exact"/>
        <w:rPr>
          <w:sz w:val="24"/>
          <w:szCs w:val="24"/>
          <w:color w:val="auto"/>
        </w:rPr>
      </w:pPr>
    </w:p>
    <w:p>
      <w:pPr>
        <w:ind w:left="3740" w:right="1860" w:hanging="3732"/>
        <w:spacing w:after="0" w:line="503"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2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4" w:lineRule="exact"/>
        <w:rPr>
          <w:sz w:val="24"/>
          <w:szCs w:val="24"/>
          <w:color w:val="auto"/>
        </w:rPr>
      </w:pPr>
    </w:p>
    <w:tbl>
      <w:tblPr>
        <w:tblLayout w:type="fixed"/>
        <w:tblInd w:w="58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14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23-2679963</w:t>
            </w:r>
          </w:p>
        </w:tc>
        <w:tc>
          <w:tcPr>
            <w:tcW w:w="740" w:type="dxa"/>
            <w:vAlign w:val="bottom"/>
          </w:tcPr>
          <w:p>
            <w:pPr>
              <w:spacing w:after="0"/>
              <w:rPr>
                <w:sz w:val="20"/>
                <w:szCs w:val="20"/>
                <w:color w:val="auto"/>
              </w:rPr>
            </w:pPr>
          </w:p>
        </w:tc>
      </w:tr>
      <w:tr>
        <w:trPr>
          <w:trHeight w:val="230"/>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060" w:type="dxa"/>
            <w:vAlign w:val="bottom"/>
            <w:gridSpan w:val="5"/>
          </w:tcPr>
          <w:p>
            <w:pPr>
              <w:jc w:val="center"/>
              <w:ind w:left="2350"/>
              <w:spacing w:after="0"/>
              <w:rPr>
                <w:sz w:val="20"/>
                <w:szCs w:val="20"/>
                <w:color w:val="auto"/>
              </w:rPr>
            </w:pPr>
            <w:r>
              <w:rPr>
                <w:rFonts w:ascii="Arial" w:cs="Arial" w:eastAsia="Arial" w:hAnsi="Arial"/>
                <w:sz w:val="18"/>
                <w:szCs w:val="18"/>
                <w:color w:val="auto"/>
                <w:w w:val="94"/>
              </w:rPr>
              <w:t>(I.R.S. Employer Identification No.)</w:t>
            </w:r>
          </w:p>
        </w:tc>
      </w:tr>
      <w:tr>
        <w:trPr>
          <w:trHeight w:val="411"/>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35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43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spacing w:after="0"/>
              <w:rPr>
                <w:sz w:val="20"/>
                <w:szCs w:val="20"/>
                <w:color w:val="auto"/>
              </w:rPr>
            </w:pPr>
          </w:p>
        </w:tc>
        <w:tc>
          <w:tcPr>
            <w:tcW w:w="1880" w:type="dxa"/>
            <w:vAlign w:val="bottom"/>
            <w:gridSpan w:val="4"/>
          </w:tcPr>
          <w:p>
            <w:pPr>
              <w:jc w:val="center"/>
              <w:ind w:right="740"/>
              <w:spacing w:after="0"/>
              <w:rPr>
                <w:sz w:val="20"/>
                <w:szCs w:val="20"/>
                <w:color w:val="auto"/>
              </w:rPr>
            </w:pPr>
            <w:r>
              <w:rPr>
                <w:rFonts w:ascii="Arial" w:cs="Arial" w:eastAsia="Arial" w:hAnsi="Arial"/>
                <w:sz w:val="18"/>
                <w:szCs w:val="18"/>
                <w:color w:val="auto"/>
                <w:w w:val="91"/>
              </w:rPr>
              <w:t>(Zip Code)</w:t>
            </w:r>
          </w:p>
        </w:tc>
      </w:tr>
    </w:tbl>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(610) 989-0340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040" w:right="239" w:bottom="1440" w:gutter="0" w:footer="0" w:header="0"/>
        </w:sectPr>
      </w:pPr>
    </w:p>
    <w:p>
      <w:pPr>
        <w:spacing w:after="0" w:line="114" w:lineRule="exact"/>
        <w:rPr>
          <w:sz w:val="24"/>
          <w:szCs w:val="24"/>
          <w:color w:val="auto"/>
        </w:rPr>
      </w:pPr>
    </w:p>
    <w:p>
      <w:pPr>
        <w:ind w:left="9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ind w:right="1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3">
            <w:col w:w="3920" w:space="720"/>
            <w:col w:w="2300" w:space="720"/>
            <w:col w:w="3760"/>
          </w:cols>
          <w:pgMar w:left="240" w:top="1040"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2015, there were 35,889,519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00" w:type="dxa"/>
            <w:vAlign w:val="bottom"/>
            <w:gridSpan w:val="7"/>
          </w:tcPr>
          <w:p>
            <w:pPr>
              <w:jc w:val="center"/>
              <w:ind w:right="2280"/>
              <w:spacing w:after="0"/>
              <w:rPr>
                <w:sz w:val="20"/>
                <w:szCs w:val="20"/>
                <w:color w:val="auto"/>
              </w:rPr>
            </w:pPr>
            <w:r>
              <w:rPr>
                <w:rFonts w:ascii="Arial" w:cs="Arial" w:eastAsia="Arial" w:hAnsi="Arial"/>
                <w:sz w:val="18"/>
                <w:szCs w:val="18"/>
                <w:color w:val="auto"/>
                <w:w w:val="96"/>
              </w:rPr>
              <w:t>USA TECHNOLOGIES, INC.</w:t>
            </w:r>
          </w:p>
        </w:tc>
        <w:tc>
          <w:tcPr>
            <w:tcW w:w="19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00" w:type="dxa"/>
            <w:vAlign w:val="bottom"/>
            <w:gridSpan w:val="7"/>
          </w:tcPr>
          <w:p>
            <w:pPr>
              <w:jc w:val="center"/>
              <w:ind w:right="2280"/>
              <w:spacing w:after="0"/>
              <w:rPr>
                <w:sz w:val="20"/>
                <w:szCs w:val="20"/>
                <w:color w:val="auto"/>
              </w:rPr>
            </w:pPr>
            <w:r>
              <w:rPr>
                <w:rFonts w:ascii="Arial" w:cs="Arial" w:eastAsia="Arial" w:hAnsi="Arial"/>
                <w:sz w:val="18"/>
                <w:szCs w:val="18"/>
                <w:color w:val="auto"/>
                <w:w w:val="95"/>
              </w:rPr>
              <w:t>TABLE OF CONTENTS</w:t>
            </w:r>
          </w:p>
        </w:tc>
        <w:tc>
          <w:tcPr>
            <w:tcW w:w="1920" w:type="dxa"/>
            <w:vAlign w:val="bottom"/>
          </w:tcPr>
          <w:p>
            <w:pPr>
              <w:spacing w:after="0"/>
              <w:rPr>
                <w:sz w:val="24"/>
                <w:szCs w:val="24"/>
                <w:color w:val="auto"/>
              </w:rPr>
            </w:pPr>
          </w:p>
        </w:tc>
      </w:tr>
      <w:tr>
        <w:trPr>
          <w:trHeight w:val="432"/>
        </w:trPr>
        <w:tc>
          <w:tcPr>
            <w:tcW w:w="9500" w:type="dxa"/>
            <w:vAlign w:val="bottom"/>
            <w:gridSpan w:val="16"/>
          </w:tcPr>
          <w:p>
            <w:pPr>
              <w:spacing w:after="0"/>
              <w:rPr>
                <w:sz w:val="20"/>
                <w:szCs w:val="20"/>
                <w:color w:val="auto"/>
              </w:rPr>
            </w:pPr>
            <w:r>
              <w:rPr>
                <w:rFonts w:ascii="Arial" w:cs="Arial" w:eastAsia="Arial" w:hAnsi="Arial"/>
                <w:sz w:val="18"/>
                <w:szCs w:val="18"/>
                <w:color w:val="auto"/>
              </w:rPr>
              <w:t>Part I - Financial Information</w:t>
            </w:r>
          </w:p>
        </w:tc>
        <w:tc>
          <w:tcPr>
            <w:tcW w:w="1920" w:type="dxa"/>
            <w:vAlign w:val="bottom"/>
          </w:tcPr>
          <w:p>
            <w:pPr>
              <w:spacing w:after="0"/>
              <w:rPr>
                <w:sz w:val="24"/>
                <w:szCs w:val="24"/>
                <w:color w:val="auto"/>
              </w:rPr>
            </w:pP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60" w:type="dxa"/>
            <w:vAlign w:val="bottom"/>
            <w:gridSpan w:val="14"/>
          </w:tcPr>
          <w:p>
            <w:pPr>
              <w:spacing w:after="0"/>
              <w:rPr>
                <w:sz w:val="20"/>
                <w:szCs w:val="20"/>
                <w:color w:val="auto"/>
              </w:rPr>
            </w:pPr>
            <w:r>
              <w:rPr>
                <w:rFonts w:ascii="Arial" w:cs="Arial" w:eastAsia="Arial" w:hAnsi="Arial"/>
                <w:sz w:val="18"/>
                <w:szCs w:val="18"/>
                <w:color w:val="auto"/>
              </w:rPr>
              <w:t>Consolidated Financial Statements (Unaudited)</w:t>
            </w:r>
          </w:p>
        </w:tc>
        <w:tc>
          <w:tcPr>
            <w:tcW w:w="192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September 30, 2015 and June 30, 2015</w:t>
              </w:r>
            </w:hyperlink>
          </w:p>
        </w:tc>
        <w:tc>
          <w:tcPr>
            <w:tcW w:w="338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 Three months ended September 30, 2015 and 2014</w:t>
              </w:r>
            </w:hyperlink>
          </w:p>
        </w:tc>
        <w:tc>
          <w:tcPr>
            <w:tcW w:w="178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Three months ended September 30, 2015</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September 30, 2015 and 2014</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3560" w:type="dxa"/>
            <w:vAlign w:val="bottom"/>
            <w:tcBorders>
              <w:top w:val="single" w:sz="8" w:color="0000EE"/>
            </w:tcBorders>
            <w:gridSpan w:val="6"/>
          </w:tcPr>
          <w:p>
            <w:pPr>
              <w:spacing w:after="0"/>
              <w:rPr>
                <w:sz w:val="24"/>
                <w:szCs w:val="24"/>
                <w:color w:val="auto"/>
              </w:rPr>
            </w:pPr>
          </w:p>
        </w:tc>
        <w:tc>
          <w:tcPr>
            <w:tcW w:w="17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520" w:type="dxa"/>
            <w:vAlign w:val="bottom"/>
          </w:tcPr>
          <w:p>
            <w:pPr>
              <w:spacing w:after="0"/>
              <w:rPr>
                <w:sz w:val="24"/>
                <w:szCs w:val="24"/>
                <w:color w:val="auto"/>
              </w:rPr>
            </w:pPr>
          </w:p>
        </w:tc>
        <w:tc>
          <w:tcPr>
            <w:tcW w:w="6460" w:type="dxa"/>
            <w:vAlign w:val="bottom"/>
            <w:tcBorders>
              <w:top w:val="single" w:sz="8" w:color="0000EE"/>
            </w:tcBorders>
            <w:gridSpan w:val="1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00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5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410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950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 - Other Information</w:t>
              </w:r>
            </w:hyperlink>
          </w:p>
        </w:tc>
        <w:tc>
          <w:tcPr>
            <w:tcW w:w="19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120" w:type="dxa"/>
            <w:vAlign w:val="bottom"/>
            <w:gridSpan w:val="8"/>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520" w:type="dxa"/>
            <w:vAlign w:val="bottom"/>
          </w:tcPr>
          <w:p>
            <w:pPr>
              <w:spacing w:after="0"/>
              <w:rPr>
                <w:sz w:val="24"/>
                <w:szCs w:val="24"/>
                <w:color w:val="auto"/>
              </w:rPr>
            </w:pPr>
          </w:p>
        </w:tc>
        <w:tc>
          <w:tcPr>
            <w:tcW w:w="2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612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520" w:type="dxa"/>
            <w:vAlign w:val="bottom"/>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00" w:type="dxa"/>
            <w:vAlign w:val="bottom"/>
            <w:gridSpan w:val="1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669"/>
        </w:trPr>
        <w:tc>
          <w:tcPr>
            <w:tcW w:w="52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760" w:type="dxa"/>
            <w:vAlign w:val="bottom"/>
            <w:tcBorders>
              <w:top w:val="single" w:sz="8" w:color="0000EE"/>
              <w:bottom w:val="single" w:sz="8" w:color="DCDCDC"/>
            </w:tcBorders>
            <w:gridSpan w:val="2"/>
          </w:tcPr>
          <w:p>
            <w:pPr>
              <w:spacing w:after="0"/>
              <w:rPr>
                <w:sz w:val="24"/>
                <w:szCs w:val="24"/>
                <w:color w:val="auto"/>
              </w:rPr>
            </w:pPr>
          </w:p>
        </w:tc>
        <w:tc>
          <w:tcPr>
            <w:tcW w:w="4320" w:type="dxa"/>
            <w:vAlign w:val="bottom"/>
            <w:tcBorders>
              <w:bottom w:val="single" w:sz="8" w:color="DCDCDC"/>
            </w:tcBorders>
            <w:gridSpan w:val="7"/>
          </w:tcPr>
          <w:p>
            <w:pPr>
              <w:jc w:val="center"/>
              <w:ind w:left="3410"/>
              <w:spacing w:after="0"/>
              <w:rPr>
                <w:sz w:val="20"/>
                <w:szCs w:val="20"/>
                <w:color w:val="auto"/>
              </w:rPr>
            </w:pPr>
            <w:r>
              <w:rPr>
                <w:rFonts w:ascii="Arial" w:cs="Arial" w:eastAsia="Arial" w:hAnsi="Arial"/>
                <w:sz w:val="18"/>
                <w:szCs w:val="18"/>
                <w:color w:val="auto"/>
                <w:w w:val="99"/>
              </w:rPr>
              <w:t>2</w:t>
            </w:r>
          </w:p>
        </w:tc>
        <w:tc>
          <w:tcPr>
            <w:tcW w:w="13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740" w:type="dxa"/>
            <w:vAlign w:val="bottom"/>
            <w:tcBorders>
              <w:bottom w:val="single" w:sz="8" w:color="DCDCDC"/>
            </w:tcBorders>
          </w:tcPr>
          <w:p>
            <w:pPr>
              <w:spacing w:after="0"/>
              <w:rPr>
                <w:sz w:val="24"/>
                <w:szCs w:val="24"/>
                <w:color w:val="auto"/>
              </w:rPr>
            </w:pPr>
          </w:p>
        </w:tc>
        <w:tc>
          <w:tcPr>
            <w:tcW w:w="19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11,592</w:t>
            </w:r>
          </w:p>
        </w:tc>
        <w:tc>
          <w:tcPr>
            <w:tcW w:w="20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11,374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uncollectible accounts of $1,512 and $1,309,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Finance receivables</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946</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941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625</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24,587</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F0FFFF"/>
          </w:tcPr>
          <w:p>
            <w:pPr>
              <w:spacing w:after="0"/>
              <w:rPr>
                <w:sz w:val="20"/>
                <w:szCs w:val="20"/>
                <w:color w:val="auto"/>
              </w:rPr>
            </w:pPr>
            <w:r>
              <w:rPr>
                <w:rFonts w:ascii="Arial" w:cs="Arial" w:eastAsia="Arial" w:hAnsi="Arial"/>
                <w:sz w:val="18"/>
                <w:szCs w:val="18"/>
                <w:color w:val="auto"/>
              </w:rPr>
              <w:t>Finance receivables, less current portion</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11,890</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12,869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25,761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60" w:type="dxa"/>
            <w:vAlign w:val="bottom"/>
            <w:shd w:val="clear" w:color="auto" w:fill="F0FFFF"/>
          </w:tcPr>
          <w:p>
            <w:pPr>
              <w:spacing w:after="0"/>
              <w:rPr>
                <w:sz w:val="20"/>
                <w:szCs w:val="20"/>
                <w:color w:val="auto"/>
              </w:rPr>
            </w:pPr>
            <w:r>
              <w:rPr>
                <w:rFonts w:ascii="Arial" w:cs="Arial" w:eastAsia="Arial" w:hAnsi="Arial"/>
                <w:sz w:val="18"/>
                <w:szCs w:val="18"/>
                <w:color w:val="auto"/>
              </w:rPr>
              <w:t>Goodwill and intangibles</w:t>
            </w: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8,095</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8,095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74,200</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9,498</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Line of credit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Deferred gain from sale-leaseback transactions</w:t>
            </w: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17,112</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18,042</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1,758</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Accrued expenses, less current portion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Warrant liabilities</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635</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3,116</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3,781</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20,228</w:t>
            </w:r>
          </w:p>
        </w:tc>
        <w:tc>
          <w:tcPr>
            <w:tcW w:w="200" w:type="dxa"/>
            <w:vAlign w:val="bottom"/>
            <w:tcBorders>
              <w:bottom w:val="single" w:sz="8" w:color="F0FFFF"/>
            </w:tcBorders>
          </w:tcPr>
          <w:p>
            <w:pPr>
              <w:spacing w:after="0"/>
              <w:rPr>
                <w:sz w:val="18"/>
                <w:szCs w:val="18"/>
                <w:color w:val="auto"/>
              </w:rPr>
            </w:pPr>
          </w:p>
        </w:tc>
        <w:tc>
          <w:tcPr>
            <w:tcW w:w="2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21,823</w:t>
            </w:r>
          </w:p>
        </w:tc>
        <w:tc>
          <w:tcPr>
            <w:tcW w:w="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no par value:</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Arial" w:cs="Arial" w:eastAsia="Arial" w:hAnsi="Arial"/>
                <w:sz w:val="18"/>
                <w:szCs w:val="18"/>
                <w:color w:val="auto"/>
                <w:w w:val="92"/>
              </w:rPr>
              <w:t>Authorized shares- 1,800,000 Series A convertible preferred- Authorized shares- 900,000 Issued and outstanding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shares- 442,968 (liquidation preference of $17,687 and $17,355,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4"/>
              </w:rPr>
              <w:t>Common stock, no par value: Authorized shares- 640,000,000 Issued and outstanding shares- 35,784,218 and</w:t>
            </w: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35,747,242, respectively</w:t>
            </w:r>
          </w:p>
        </w:tc>
        <w:tc>
          <w:tcPr>
            <w:tcW w:w="2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225,175</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224,874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(174,341)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(174,701)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53,972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53,311</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 in thousands, except per share data)</w:t>
            </w:r>
          </w:p>
        </w:tc>
        <w:tc>
          <w:tcPr>
            <w:tcW w:w="1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License and transaction fees</w:t>
            </w:r>
          </w:p>
        </w:tc>
        <w:tc>
          <w:tcPr>
            <w:tcW w:w="222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12,925</w:t>
            </w:r>
          </w:p>
        </w:tc>
        <w:tc>
          <w:tcPr>
            <w:tcW w:w="48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3,675</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revenues</w:t>
            </w:r>
          </w:p>
        </w:tc>
        <w:tc>
          <w:tcPr>
            <w:tcW w:w="19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16,600</w:t>
            </w: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12,252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Costs of sales/revenues: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Cost of equipment</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2,848</w:t>
            </w:r>
          </w:p>
        </w:tc>
        <w:tc>
          <w:tcPr>
            <w:tcW w:w="6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costs of sales/revenues</w:t>
            </w:r>
          </w:p>
        </w:tc>
        <w:tc>
          <w:tcPr>
            <w:tcW w:w="19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11,553</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9,117</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Gross profit</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5,047</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Depreciation</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9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4,935</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Operating income (loss)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other income, net</w:t>
            </w:r>
          </w:p>
        </w:tc>
        <w:tc>
          <w:tcPr>
            <w:tcW w:w="194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420" w:type="dxa"/>
            <w:vAlign w:val="bottom"/>
            <w:tcBorders>
              <w:top w:val="single" w:sz="8" w:color="auto"/>
              <w:bottom w:val="single" w:sz="8" w:color="auto"/>
            </w:tcBorders>
            <w:shd w:val="clear" w:color="auto" w:fill="F0FFFF"/>
          </w:tcPr>
          <w:p>
            <w:pPr>
              <w:spacing w:after="0"/>
              <w:rPr>
                <w:sz w:val="19"/>
                <w:szCs w:val="19"/>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19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F0FFFF"/>
            </w:tcBorders>
            <w:shd w:val="clear" w:color="auto" w:fill="F0FFFF"/>
          </w:tcPr>
          <w:p>
            <w:pPr>
              <w:spacing w:after="0"/>
              <w:rPr>
                <w:sz w:val="18"/>
                <w:szCs w:val="18"/>
                <w:color w:val="auto"/>
              </w:rPr>
            </w:pPr>
          </w:p>
        </w:tc>
        <w:tc>
          <w:tcPr>
            <w:tcW w:w="19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(loss)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income (loss) applicable to common shares</w:t>
            </w:r>
          </w:p>
        </w:tc>
        <w:tc>
          <w:tcPr>
            <w:tcW w:w="19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F0FFFF"/>
            </w:tcBorders>
          </w:tcPr>
          <w:p>
            <w:pPr>
              <w:spacing w:after="0" w:line="20" w:lineRule="exact"/>
              <w:rPr>
                <w:sz w:val="1"/>
                <w:szCs w:val="1"/>
                <w:color w:val="auto"/>
              </w:rPr>
            </w:pPr>
          </w:p>
        </w:tc>
        <w:tc>
          <w:tcPr>
            <w:tcW w:w="19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earnings (loss) per common share - basic</w:t>
            </w:r>
          </w:p>
        </w:tc>
        <w:tc>
          <w:tcPr>
            <w:tcW w:w="1940" w:type="dxa"/>
            <w:vAlign w:val="bottom"/>
            <w:tcBorders>
              <w:bottom w:val="single" w:sz="8" w:color="F0FFFF"/>
            </w:tcBorders>
            <w:shd w:val="clear" w:color="auto" w:fill="F0FFFF"/>
          </w:tcPr>
          <w:p>
            <w:pPr>
              <w:spacing w:after="0"/>
              <w:rPr>
                <w:sz w:val="18"/>
                <w:szCs w:val="18"/>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18"/>
                <w:szCs w:val="18"/>
                <w:color w:val="auto"/>
              </w:rPr>
            </w:pPr>
          </w:p>
        </w:tc>
        <w:tc>
          <w:tcPr>
            <w:tcW w:w="60" w:type="dxa"/>
            <w:vAlign w:val="bottom"/>
            <w:tcBorders>
              <w:bottom w:val="single" w:sz="8" w:color="F0FFFF"/>
            </w:tcBorders>
            <w:shd w:val="clear" w:color="auto" w:fill="F0FFFF"/>
          </w:tcPr>
          <w:p>
            <w:pPr>
              <w:spacing w:after="0"/>
              <w:rPr>
                <w:sz w:val="18"/>
                <w:szCs w:val="18"/>
                <w:color w:val="auto"/>
              </w:rPr>
            </w:pPr>
          </w:p>
        </w:tc>
        <w:tc>
          <w:tcPr>
            <w:tcW w:w="420" w:type="dxa"/>
            <w:vAlign w:val="bottom"/>
            <w:tcBorders>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F0FFFF"/>
          </w:tcPr>
          <w:p>
            <w:pPr>
              <w:spacing w:after="0" w:line="20" w:lineRule="exact"/>
              <w:rPr>
                <w:sz w:val="1"/>
                <w:szCs w:val="1"/>
                <w:color w:val="auto"/>
              </w:rPr>
            </w:pPr>
          </w:p>
        </w:tc>
        <w:tc>
          <w:tcPr>
            <w:tcW w:w="194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420" w:type="dxa"/>
            <w:vAlign w:val="bottom"/>
            <w:shd w:val="clear" w:color="auto" w:fill="F0FFFF"/>
          </w:tcPr>
          <w:p>
            <w:pPr>
              <w:spacing w:after="0" w:line="20" w:lineRule="exact"/>
              <w:rPr>
                <w:sz w:val="1"/>
                <w:szCs w:val="1"/>
                <w:color w:val="auto"/>
              </w:rPr>
            </w:pPr>
          </w:p>
        </w:tc>
        <w:tc>
          <w:tcPr>
            <w:tcW w:w="8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common shares outstanding</w:t>
            </w: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gridSpan w:val="2"/>
            <w:vMerge w:val="continue"/>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35,788,199</w:t>
            </w:r>
          </w:p>
        </w:tc>
        <w:tc>
          <w:tcPr>
            <w:tcW w:w="1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w w:val="90"/>
              </w:rPr>
              <w:t>35,586,455</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 diluted</w:t>
            </w:r>
          </w:p>
        </w:tc>
        <w:tc>
          <w:tcPr>
            <w:tcW w:w="1940" w:type="dxa"/>
            <w:vAlign w:val="bottom"/>
            <w:shd w:val="clear" w:color="auto" w:fill="F0FFFF"/>
          </w:tcPr>
          <w:p>
            <w:pPr>
              <w:spacing w:after="0"/>
              <w:rPr>
                <w:sz w:val="21"/>
                <w:szCs w:val="21"/>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F0FFFF"/>
            </w:tcBorders>
            <w:shd w:val="clear" w:color="auto" w:fill="F0FFFF"/>
          </w:tcPr>
          <w:p>
            <w:pPr>
              <w:spacing w:after="0" w:line="20" w:lineRule="exact"/>
              <w:rPr>
                <w:sz w:val="1"/>
                <w:szCs w:val="1"/>
                <w:color w:val="auto"/>
              </w:rPr>
            </w:pPr>
          </w:p>
        </w:tc>
        <w:tc>
          <w:tcPr>
            <w:tcW w:w="194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F0FFFF"/>
          </w:tcPr>
          <w:p>
            <w:pPr>
              <w:spacing w:after="0" w:line="20" w:lineRule="exact"/>
              <w:rPr>
                <w:sz w:val="1"/>
                <w:szCs w:val="1"/>
                <w:color w:val="auto"/>
              </w:rPr>
            </w:pPr>
          </w:p>
        </w:tc>
        <w:tc>
          <w:tcPr>
            <w:tcW w:w="100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420" w:type="dxa"/>
            <w:vAlign w:val="bottom"/>
            <w:tcBorders>
              <w:top w:val="single" w:sz="8" w:color="auto"/>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common shares outstanding</w:t>
            </w: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36,427,683</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w w:val="90"/>
              </w:rPr>
              <w:t>35,586,455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Series 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560" w:type="dxa"/>
            <w:vAlign w:val="bottom"/>
            <w:gridSpan w:val="6"/>
          </w:tcPr>
          <w:p>
            <w:pPr>
              <w:jc w:val="right"/>
              <w:ind w:right="1000"/>
              <w:spacing w:after="0"/>
              <w:rPr>
                <w:sz w:val="20"/>
                <w:szCs w:val="20"/>
                <w:color w:val="auto"/>
              </w:rPr>
            </w:pPr>
            <w:r>
              <w:rPr>
                <w:rFonts w:ascii="Arial" w:cs="Arial" w:eastAsia="Arial" w:hAnsi="Arial"/>
                <w:sz w:val="18"/>
                <w:szCs w:val="18"/>
                <w:color w:val="auto"/>
              </w:rPr>
              <w:t>Convertible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8"/>
                <w:szCs w:val="18"/>
                <w:color w:val="auto"/>
              </w:rPr>
              <w:t>Preferred Stock</w:t>
            </w:r>
          </w:p>
        </w:tc>
        <w:tc>
          <w:tcPr>
            <w:tcW w:w="2380" w:type="dxa"/>
            <w:vAlign w:val="bottom"/>
            <w:gridSpan w:val="6"/>
          </w:tcPr>
          <w:p>
            <w:pPr>
              <w:ind w:left="5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1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2015</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442,968</w:t>
            </w:r>
          </w:p>
        </w:tc>
        <w:tc>
          <w:tcPr>
            <w:tcW w:w="32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3,138</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35,747,242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224,874</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(174,701)</w:t>
            </w:r>
          </w:p>
        </w:tc>
        <w:tc>
          <w:tcPr>
            <w:tcW w:w="200" w:type="dxa"/>
            <w:vAlign w:val="bottom"/>
            <w:gridSpan w:val="2"/>
            <w:shd w:val="clear" w:color="auto" w:fill="F0FF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53,311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Exercise of warrants</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2013 Stock Incentive Plan</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25,976</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Arial" w:cs="Arial" w:eastAsia="Arial" w:hAnsi="Arial"/>
                <w:sz w:val="18"/>
                <w:szCs w:val="18"/>
                <w:color w:val="auto"/>
              </w:rPr>
              <w:t>2014 Stock Option Incentive Plan</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Balance, September 30, 2015</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442,968</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240" w:type="dxa"/>
            <w:vAlign w:val="bottom"/>
            <w:tcBorders>
              <w:top w:val="single" w:sz="8" w:color="F0FF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35,784,218</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225,175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(174,341</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53,972</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jc w:val="right"/>
              <w:ind w:right="7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826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360</w:t>
            </w:r>
          </w:p>
        </w:tc>
        <w:tc>
          <w:tcPr>
            <w:tcW w:w="420" w:type="dxa"/>
            <w:vAlign w:val="bottom"/>
            <w:gridSpan w:val="2"/>
            <w:shd w:val="clear" w:color="auto" w:fill="F0FFFF"/>
          </w:tcPr>
          <w:p>
            <w:pPr>
              <w:jc w:val="right"/>
              <w:ind w:right="245"/>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3"/>
              </w:rPr>
              <w:t>Charges incurred in connection with the vesting and issuance of common stock and common stock options for</w:t>
            </w:r>
          </w:p>
        </w:tc>
        <w:tc>
          <w:tcPr>
            <w:tcW w:w="3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employee and director compensation</w:t>
            </w:r>
          </w:p>
        </w:tc>
        <w:tc>
          <w:tcPr>
            <w:tcW w:w="3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Gain on disposal of property and equipment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(343)</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Finance receivables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(1,044)</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400" w:type="dxa"/>
            <w:vAlign w:val="bottom"/>
            <w:shd w:val="clear" w:color="auto" w:fill="F0FFFF"/>
          </w:tcPr>
          <w:p>
            <w:pPr>
              <w:spacing w:after="0"/>
              <w:rPr>
                <w:sz w:val="21"/>
                <w:szCs w:val="21"/>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362</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(1,405)</w:t>
            </w:r>
          </w:p>
        </w:tc>
        <w:tc>
          <w:tcPr>
            <w:tcW w:w="100" w:type="dxa"/>
            <w:vAlign w:val="bottom"/>
            <w:tcBorders>
              <w:top w:val="single" w:sz="8" w:color="F0FF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(49)</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4,994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4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(99)</w:t>
            </w:r>
          </w:p>
        </w:tc>
        <w:tc>
          <w:tcPr>
            <w:tcW w:w="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9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color w:val="auto"/>
              </w:rPr>
              <w:t>Net increase in cash</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218</w:t>
            </w: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11,374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2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at end of period</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11,592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400" w:type="dxa"/>
            <w:vAlign w:val="bottom"/>
            <w:tcBorders>
              <w:top w:val="single" w:sz="8" w:color="auto"/>
              <w:bottom w:val="single" w:sz="8" w:color="auto"/>
            </w:tcBorders>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10,916</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paid in cash</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Depreciation expense allocated to cost of services</w:t>
            </w: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Reclass of rental program property to (from) inventory, net</w:t>
            </w:r>
          </w:p>
        </w:tc>
        <w:tc>
          <w:tcPr>
            <w:tcW w:w="32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(279</w:t>
            </w: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Prepaid items financed with debt</w:t>
            </w: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Equipment and software acquired under capital lease</w:t>
            </w:r>
          </w:p>
        </w:tc>
        <w:tc>
          <w:tcPr>
            <w:tcW w:w="32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35</w:t>
            </w:r>
          </w:p>
        </w:tc>
        <w:tc>
          <w:tcPr>
            <w:tcW w:w="20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320" w:type="dxa"/>
            <w:vAlign w:val="bottom"/>
            <w:tcBorders>
              <w:top w:val="single" w:sz="8" w:color="F0FFFF"/>
              <w:bottom w:val="single" w:sz="8" w:color="F0FFFF"/>
            </w:tcBorders>
            <w:vMerge w:val="restart"/>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3,873</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2015. In the opinion of management, all adjustments considered necessary for a fair presentation, consisting of normal recurring adjustments, have been included. Operating results for the three-month period ended September 30, 2015 are not necessarily indicative of the results that may be expected for the year ending June 30, 2016. The balance sheet at June 30, 2015 has been derived from the audited consolidated financial statements at that date, but does not include all of the information and footnotes required by U.S. generally accepted accounting principles for complete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in bank deposit accounts, which may exceed federally insured limits at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UNCOLLECTIBLE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uncollectible accounts receivable is management’s best estimate as of the respective reporting date. If the factors described above were to deteriorate, additional amounts may need to be added to the allowance.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allowance are due to write-offs or collections of receivables. Other changes in the estimated allowance in the period are charged to bad debt expense and included in selling, general and administrative expenses on the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include goodwill, trademarks and patents.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 Under ASC 820 the Company uses inputs from the three levels of the fair value hierarchy to measure its financial assets and liabilities. The three levels are as follows: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accounts receivable, short-term finance receivables, prepaid expenses and other assets, accounts payable and accrued expenses, are carried at cost which approximates fair value due to the short-term maturity of these instruments. The fair value of the Company’s obligations under its long-term debt agreements and the long-term portion of its finance receivables approximates their carrying value as such instruments are at market rates currently available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subject the Company to a concentration of credit risk consist principally of cash and accounts and finance receivables. The Company maintains cash with various financial institutions where accounts may exceed federally insured limits at times. Approximately 25% and 35% of the Company’s trade accounts and finance receivables at September 30, 2015 and June 30, 2015, respectively, were concentrated with one customer.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Concentration of revenues with customers subject the Company to operating risks. Approximately 20% and 25% of the Company’s license and transaction processing revenues for the three months ended September 30, 2015 and September 30, 2014, respectively, were concentrated with one customer. There was a 15% concentration of equipment sales revenue with one customer for the three months ended September 30, 2015 with no concentrations for the three months ended September 30, 2014. The Company’s customers are principally located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is recorded on the balance sheet in the equity section at its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consolidated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that,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months ended September 30, 2015 and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effect of potential common shares unless such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changing the manner in which it presents certain uncollected customer accounts receivable and the related allowance in its consolidated balance sheets and the related statements of cash flows. These accounts receivable represent a large number of small balance amounts due from customers for processing and service fees which had not been billed to customers, and as to which, there had been no customer transaction proceeds from which the Company could collect the amounts due in accordance with its normal procedures. The previous accounting classification recorded these amounts as a reduction of its accounts payable in the consolidated balance sheets and the related statements of cash flows. The new accounting classification is more appropriate now, as the uncollected customer accounts have been outstanding for longer time periods and are larger in the aggregate than was anticipated when the accounting process was established many years ago.</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Accordingly, the respective balances for all prior periods presented in these financial statements were reclassified in order to be consistent with and comparable to the accounting classification of these items in our September 30, 2015 financial statements. The new accounting classification as well as the reclassification for prior periods had no effect on the consolidated statements of operations or the consolidated statements of shareholders’ equity. The details of the reclassification of the respective consolidated balance sheets and the consolidated statements of cash flows amounts are presented in the table below:</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1. ACCOUNTING POLICIES (CONTINUED)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Balance Sheet Line Items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20"/>
              <w:spacing w:after="0" w:line="201" w:lineRule="exact"/>
              <w:rPr>
                <w:sz w:val="20"/>
                <w:szCs w:val="20"/>
                <w:color w:val="auto"/>
              </w:rPr>
            </w:pPr>
            <w:r>
              <w:rPr>
                <w:rFonts w:ascii="Arial" w:cs="Arial" w:eastAsia="Arial" w:hAnsi="Arial"/>
                <w:sz w:val="18"/>
                <w:szCs w:val="18"/>
                <w:color w:val="auto"/>
                <w:w w:val="95"/>
              </w:rPr>
              <w:t>As previously</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reported</w:t>
            </w:r>
          </w:p>
        </w:tc>
        <w:tc>
          <w:tcPr>
            <w:tcW w:w="16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Reclassification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As reclassified</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 net of allowance for uncollectible accounts: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Reclassification of balances included in accounts payable to accounts receivable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2,114</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Reclassification of the allowance for uncollectible accounts in accounts payable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4,672</w:t>
            </w:r>
          </w:p>
        </w:tc>
        <w:tc>
          <w:tcPr>
            <w:tcW w:w="16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Reclassification of the allowance for uncollectible accounts in accounts payable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Reclassification of balances included in accounts payable to accounts receivable</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2,114</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Reclassification of the allowance for uncollectible accounts in accounts payable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top w:val="single" w:sz="8" w:color="F0FFFF"/>
            </w:tcBorders>
            <w:shd w:val="clear" w:color="auto" w:fill="F0FFFF"/>
          </w:tcPr>
          <w:p>
            <w:pPr>
              <w:spacing w:after="0"/>
              <w:rPr>
                <w:sz w:val="19"/>
                <w:szCs w:val="19"/>
                <w:color w:val="auto"/>
              </w:rPr>
            </w:pPr>
          </w:p>
        </w:tc>
        <w:tc>
          <w:tcPr>
            <w:tcW w:w="220" w:type="dxa"/>
            <w:vAlign w:val="bottom"/>
            <w:tcBorders>
              <w:top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9,243</w:t>
            </w:r>
          </w:p>
        </w:tc>
        <w:tc>
          <w:tcPr>
            <w:tcW w:w="160" w:type="dxa"/>
            <w:vAlign w:val="bottom"/>
            <w:tcBorders>
              <w:top w:val="single" w:sz="8" w:color="F0FFFF"/>
            </w:tcBorders>
            <w:shd w:val="clear" w:color="auto" w:fill="F0FFFF"/>
          </w:tcPr>
          <w:p>
            <w:pPr>
              <w:spacing w:after="0"/>
              <w:rPr>
                <w:sz w:val="19"/>
                <w:szCs w:val="19"/>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16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F0FFFF"/>
          </w:tcPr>
          <w:p>
            <w:pPr>
              <w:spacing w:after="0" w:line="20" w:lineRule="exact"/>
              <w:rPr>
                <w:sz w:val="1"/>
                <w:szCs w:val="1"/>
                <w:color w:val="auto"/>
              </w:rPr>
            </w:pPr>
          </w:p>
        </w:tc>
        <w:tc>
          <w:tcPr>
            <w:tcW w:w="1160" w:type="dxa"/>
            <w:vAlign w:val="bottom"/>
            <w:tcBorders>
              <w:top w:val="single" w:sz="8" w:color="auto"/>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F0FFFF"/>
          </w:tcPr>
          <w:p>
            <w:pPr>
              <w:spacing w:after="0" w:line="20" w:lineRule="exact"/>
              <w:rPr>
                <w:sz w:val="1"/>
                <w:szCs w:val="1"/>
                <w:color w:val="auto"/>
              </w:rPr>
            </w:pPr>
          </w:p>
        </w:tc>
        <w:tc>
          <w:tcPr>
            <w:tcW w:w="1160" w:type="dxa"/>
            <w:vAlign w:val="bottom"/>
            <w:tcBorders>
              <w:top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0"/>
          </w:tcPr>
          <w:p>
            <w:pPr>
              <w:jc w:val="center"/>
              <w:ind w:right="220"/>
              <w:spacing w:after="0"/>
              <w:rPr>
                <w:sz w:val="20"/>
                <w:szCs w:val="20"/>
                <w:color w:val="auto"/>
              </w:rPr>
            </w:pPr>
            <w:r>
              <w:rPr>
                <w:rFonts w:ascii="Arial" w:cs="Arial" w:eastAsia="Arial" w:hAnsi="Arial"/>
                <w:sz w:val="18"/>
                <w:szCs w:val="18"/>
                <w:color w:val="auto"/>
                <w:w w:val="88"/>
              </w:rPr>
              <w:t>For the three months ended</w:t>
            </w:r>
          </w:p>
        </w:tc>
        <w:tc>
          <w:tcPr>
            <w:tcW w:w="0" w:type="dxa"/>
            <w:vAlign w:val="bottom"/>
          </w:tcPr>
          <w:p>
            <w:pPr>
              <w:spacing w:after="0"/>
              <w:rPr>
                <w:sz w:val="1"/>
                <w:szCs w:val="1"/>
                <w:color w:val="auto"/>
              </w:rPr>
            </w:pPr>
          </w:p>
        </w:tc>
      </w:tr>
      <w:tr>
        <w:trPr>
          <w:trHeight w:val="237"/>
        </w:trPr>
        <w:tc>
          <w:tcPr>
            <w:tcW w:w="6980" w:type="dxa"/>
            <w:vAlign w:val="bottom"/>
            <w:gridSpan w:val="2"/>
          </w:tcPr>
          <w:p>
            <w:pPr>
              <w:spacing w:after="0"/>
              <w:rPr>
                <w:sz w:val="20"/>
                <w:szCs w:val="20"/>
                <w:color w:val="auto"/>
              </w:rPr>
            </w:pPr>
            <w:r>
              <w:rPr>
                <w:rFonts w:ascii="Arial" w:cs="Arial" w:eastAsia="Arial" w:hAnsi="Arial"/>
                <w:sz w:val="18"/>
                <w:szCs w:val="18"/>
                <w:color w:val="auto"/>
              </w:rPr>
              <w:t>Consolidated Statement of Cash Flow Line Items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September 30, 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240"/>
              <w:spacing w:after="0" w:line="201" w:lineRule="exact"/>
              <w:rPr>
                <w:sz w:val="20"/>
                <w:szCs w:val="20"/>
                <w:color w:val="auto"/>
              </w:rPr>
            </w:pPr>
            <w:r>
              <w:rPr>
                <w:rFonts w:ascii="Arial" w:cs="Arial" w:eastAsia="Arial" w:hAnsi="Arial"/>
                <w:sz w:val="18"/>
                <w:szCs w:val="18"/>
                <w:color w:val="auto"/>
                <w:w w:val="93"/>
              </w:rPr>
              <w:t>As previously</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reported</w:t>
            </w:r>
          </w:p>
        </w:tc>
        <w:tc>
          <w:tcPr>
            <w:tcW w:w="160" w:type="dxa"/>
            <w:vAlign w:val="bottom"/>
          </w:tcPr>
          <w:p>
            <w:pPr>
              <w:spacing w:after="0"/>
              <w:rPr>
                <w:sz w:val="20"/>
                <w:szCs w:val="20"/>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Reclassification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As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Accounts Receivable</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1"/>
              </w:rPr>
              <w:t>Reclassification of cash provided by and included in accounts payable to accounts receivable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shd w:val="clear" w:color="auto" w:fill="F0FFFF"/>
          </w:tcPr>
          <w:p>
            <w:pPr>
              <w:ind w:left="140"/>
              <w:spacing w:after="0"/>
              <w:rPr>
                <w:sz w:val="20"/>
                <w:szCs w:val="20"/>
                <w:color w:val="auto"/>
              </w:rPr>
            </w:pPr>
            <w:r>
              <w:rPr>
                <w:rFonts w:ascii="Arial" w:cs="Arial" w:eastAsia="Arial" w:hAnsi="Arial"/>
                <w:sz w:val="18"/>
                <w:szCs w:val="18"/>
                <w:color w:val="auto"/>
                <w:w w:val="96"/>
              </w:rPr>
              <w:t>Reclassification of cash used in and included in accounts payable to accounts receivable</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(121)</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75</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220, “Comprehensive Income”, prescribes the reporting required for comprehensive income and items of other comprehensive income. Entities having no items of other comprehensive income are not required to report on comprehensive income. The Company has no items of other comprehensive income for the three months ended September 30,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2014, the Financial Accounting Standards Board issued ASU 2014-09 Revenue from Contracts with Customers (Topic 606). This pronouncement will be effective for the Company beginning with the year ending June 30, 2020.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the Financial Accounting Standards Board issued ASU 2014-12 Compensation- Stock Compensation (Topic 718); Accounting for share-based payments when the terms of the award provide that a performance target could be achieved after the requisite service period. This pronouncement will be effective for the Company beginning with the year ending June 30,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2014, the Financial Accounting Standards Board issued ASU 2014-15 Presentation of Financial Statements- Going Concern (Subtopic 205-40): Disclosure of uncertainties about an entity’s ability to continue as a going concern. This pronouncement will be effective for the Company beginning with the year ending June 30,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the Financial Accounting Standards Board issued ASU 2015-03 Interest- Imputation of Interest (Subtopic 835-30): Simplifying the presentation of debt issuance costs. This pronouncement will be effective for the Company beginning with the year ending June 30,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2015, the Financial Accounting Standards Board issued ASU 2015-11 Inventory (Topic 330): Simplifying the measurement of inventory. This pronouncement will be effective for the Company beginning with the year ending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2. EARNINGS PER SHARE CALCULATION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w w:val="95"/>
              </w:rPr>
              <w:t>The calculation of basic earnings per share (“eps”) and diluted earnings per share is presented below:</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gridSpan w:val="2"/>
          </w:tcPr>
          <w:p>
            <w:pPr>
              <w:ind w:left="580"/>
              <w:spacing w:after="0"/>
              <w:rPr>
                <w:sz w:val="20"/>
                <w:szCs w:val="20"/>
                <w:color w:val="auto"/>
              </w:rPr>
            </w:pPr>
            <w:r>
              <w:rPr>
                <w:rFonts w:ascii="Arial" w:cs="Arial" w:eastAsia="Arial" w:hAnsi="Arial"/>
                <w:sz w:val="18"/>
                <w:szCs w:val="18"/>
                <w:color w:val="auto"/>
              </w:rPr>
              <w:t>($ in thousands, except per share data)</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w w:val="92"/>
              </w:rPr>
              <w:t xml:space="preserve">Numerator for basic earnings per share - </w:t>
            </w:r>
            <w:r>
              <w:rPr>
                <w:rFonts w:ascii="Arial" w:cs="Arial" w:eastAsia="Arial" w:hAnsi="Arial"/>
                <w:sz w:val="18"/>
                <w:szCs w:val="18"/>
                <w:color w:val="auto"/>
                <w:w w:val="92"/>
              </w:rPr>
              <w:t>Net income (loss) available to common shareholders</w:t>
            </w:r>
          </w:p>
        </w:tc>
        <w:tc>
          <w:tcPr>
            <w:tcW w:w="4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Gain recorded for reduction in fair value of warrants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72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 xml:space="preserve">Numerator for diluted earnings per share - </w:t>
            </w:r>
            <w:r>
              <w:rPr>
                <w:rFonts w:ascii="Arial" w:cs="Arial" w:eastAsia="Arial" w:hAnsi="Arial"/>
                <w:sz w:val="18"/>
                <w:szCs w:val="18"/>
                <w:color w:val="auto"/>
              </w:rPr>
              <w:t>Net loss available to common shareholders</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 xml:space="preserve">Denominator for basic earnings per share - </w:t>
            </w:r>
            <w:r>
              <w:rPr>
                <w:rFonts w:ascii="Arial" w:cs="Arial" w:eastAsia="Arial" w:hAnsi="Arial"/>
                <w:sz w:val="18"/>
                <w:szCs w:val="18"/>
                <w:color w:val="auto"/>
              </w:rPr>
              <w:t>Weighted average shares outstanding</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35,788,199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0"/>
              </w:rPr>
              <w:t>35,586,455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2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Effect of dilutive potential common shares</w:t>
            </w: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639,484</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7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w w:val="94"/>
              </w:rPr>
              <w:t xml:space="preserve">Denominator for diluted earnings per share - </w:t>
            </w:r>
            <w:r>
              <w:rPr>
                <w:rFonts w:ascii="Arial" w:cs="Arial" w:eastAsia="Arial" w:hAnsi="Arial"/>
                <w:sz w:val="18"/>
                <w:szCs w:val="18"/>
                <w:color w:val="auto"/>
                <w:w w:val="94"/>
              </w:rPr>
              <w:t>Adjusted weighted average shares outstanding</w:t>
            </w:r>
          </w:p>
        </w:tc>
        <w:tc>
          <w:tcPr>
            <w:tcW w:w="2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36,427,683</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0"/>
              </w:rPr>
              <w:t>35,586,455</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00" w:type="dxa"/>
            <w:vAlign w:val="bottom"/>
            <w:shd w:val="clear" w:color="auto" w:fill="F0FFFF"/>
          </w:tcPr>
          <w:p>
            <w:pPr>
              <w:spacing w:after="0"/>
              <w:rPr>
                <w:sz w:val="20"/>
                <w:szCs w:val="20"/>
                <w:color w:val="auto"/>
              </w:rPr>
            </w:pPr>
            <w:r>
              <w:rPr>
                <w:rFonts w:ascii="Arial" w:cs="Arial" w:eastAsia="Arial" w:hAnsi="Arial"/>
                <w:sz w:val="18"/>
                <w:szCs w:val="18"/>
                <w:color w:val="auto"/>
              </w:rPr>
              <w:t>Basic earnings (loss) per share</w:t>
            </w:r>
          </w:p>
        </w:tc>
        <w:tc>
          <w:tcPr>
            <w:tcW w:w="4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No adjustment necessary as the effects would be anti-dilutive.</w:t>
      </w:r>
    </w:p>
    <w:p>
      <w:pPr>
        <w:spacing w:after="0" w:line="225" w:lineRule="exact"/>
        <w:rPr>
          <w:sz w:val="20"/>
          <w:szCs w:val="20"/>
          <w:color w:val="auto"/>
        </w:rPr>
      </w:pPr>
    </w:p>
    <w:p>
      <w:pPr>
        <w:ind w:left="580" w:right="960"/>
        <w:spacing w:after="0" w:line="277" w:lineRule="auto"/>
        <w:rPr>
          <w:sz w:val="20"/>
          <w:szCs w:val="20"/>
          <w:color w:val="auto"/>
        </w:rPr>
      </w:pPr>
      <w:r>
        <w:rPr>
          <w:rFonts w:ascii="Arial" w:cs="Arial" w:eastAsia="Arial" w:hAnsi="Arial"/>
          <w:sz w:val="18"/>
          <w:szCs w:val="18"/>
          <w:color w:val="auto"/>
        </w:rPr>
        <w:t>Antidilutive shares excluded from the computation of average dilutive earnings per share were 341,240 and 141,997 for the three months ended September 30, 2015 and 2014,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3. FINANCE RECEIVABLES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582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660" w:type="dxa"/>
            <w:vAlign w:val="bottom"/>
            <w:shd w:val="clear" w:color="auto" w:fill="F0FFFF"/>
          </w:tcPr>
          <w:p>
            <w:pPr>
              <w:spacing w:after="0"/>
              <w:rPr>
                <w:sz w:val="18"/>
                <w:szCs w:val="18"/>
                <w:color w:val="auto"/>
              </w:rPr>
            </w:pPr>
          </w:p>
        </w:tc>
        <w:tc>
          <w:tcPr>
            <w:tcW w:w="16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finance receivables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4,471</w:t>
            </w:r>
          </w:p>
        </w:tc>
        <w:tc>
          <w:tcPr>
            <w:tcW w:w="18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6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Non-current portion of finance receivables</w:t>
            </w:r>
          </w:p>
        </w:tc>
        <w:tc>
          <w:tcPr>
            <w:tcW w:w="1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collects monthly payments of its finance receivables from the customers’ transaction fund flow. Accordingly, as the fund flow from these customers’ transactions is sufficient to satisfy the amount due to the company, the risk of loss is considered remote and the company has not provided for an allowance for credit losses for finance receivables as of September 30, 2015 and June 30,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Credit Quality Indicators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September 30,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877" w:right="239" w:bottom="1440" w:gutter="0" w:footer="0" w:header="0"/>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Credit risk profile based on payment activity:</w:t>
      </w:r>
    </w:p>
    <w:p>
      <w:pPr>
        <w:spacing w:after="0" w:line="2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Nonperforming</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90"/>
              <w:spacing w:after="0" w:line="201" w:lineRule="exact"/>
              <w:rPr>
                <w:sz w:val="20"/>
                <w:szCs w:val="20"/>
                <w:color w:val="auto"/>
              </w:rPr>
            </w:pPr>
            <w:r>
              <w:rPr>
                <w:rFonts w:ascii="Arial" w:cs="Arial" w:eastAsia="Arial" w:hAnsi="Arial"/>
                <w:sz w:val="18"/>
                <w:szCs w:val="18"/>
                <w:color w:val="auto"/>
                <w:w w:val="98"/>
              </w:rPr>
              <w:t>(unaudited)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4,445</w:t>
            </w:r>
          </w:p>
        </w:tc>
        <w:tc>
          <w:tcPr>
            <w:tcW w:w="18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37"/>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00" w:space="720"/>
            <w:col w:w="4000"/>
          </w:cols>
          <w:pgMar w:left="240" w:top="877"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31 – 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61 – 90</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90 Days Past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Finance</w:t>
            </w:r>
          </w:p>
        </w:tc>
      </w:tr>
      <w:tr>
        <w:trPr>
          <w:trHeight w:val="237"/>
        </w:trPr>
        <w:tc>
          <w:tcPr>
            <w:tcW w:w="2360" w:type="dxa"/>
            <w:vAlign w:val="bottom"/>
          </w:tcPr>
          <w:p>
            <w:pPr>
              <w:spacing w:after="0"/>
              <w:rPr>
                <w:sz w:val="20"/>
                <w:szCs w:val="20"/>
                <w:color w:val="auto"/>
              </w:rPr>
            </w:pPr>
            <w:r>
              <w:rPr>
                <w:rFonts w:ascii="Arial" w:cs="Arial" w:eastAsia="Arial" w:hAnsi="Arial"/>
                <w:sz w:val="18"/>
                <w:szCs w:val="18"/>
                <w:color w:val="auto"/>
              </w:rPr>
              <w:t>($ in thousands)</w:t>
            </w:r>
          </w:p>
        </w:tc>
        <w:tc>
          <w:tcPr>
            <w:tcW w:w="8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Days 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Days Past Due</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2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Current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Receivables</w:t>
            </w:r>
          </w:p>
        </w:tc>
      </w:t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QuickStart Leases</w:t>
            </w:r>
          </w:p>
        </w:tc>
        <w:tc>
          <w:tcPr>
            <w:tcW w:w="2040" w:type="dxa"/>
            <w:vAlign w:val="bottom"/>
            <w:gridSpan w:val="2"/>
            <w:shd w:val="clear" w:color="auto" w:fill="F0FFFF"/>
          </w:tcPr>
          <w:p>
            <w:pPr>
              <w:jc w:val="right"/>
              <w:ind w:right="9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4,445</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4,471</w:t>
            </w:r>
          </w:p>
        </w:tc>
      </w:tr>
      <w:tr>
        <w:trPr>
          <w:trHeight w:val="418"/>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40" w:type="dxa"/>
            <w:vAlign w:val="bottom"/>
            <w:gridSpan w:val="10"/>
          </w:tcPr>
          <w:p>
            <w:pPr>
              <w:jc w:val="center"/>
              <w:ind w:left="650"/>
              <w:spacing w:after="0"/>
              <w:rPr>
                <w:sz w:val="20"/>
                <w:szCs w:val="20"/>
                <w:color w:val="auto"/>
              </w:rPr>
            </w:pPr>
            <w:r>
              <w:rPr>
                <w:rFonts w:ascii="Arial" w:cs="Arial" w:eastAsia="Arial" w:hAnsi="Arial"/>
                <w:sz w:val="18"/>
                <w:szCs w:val="18"/>
                <w:color w:val="auto"/>
                <w:w w:val="90"/>
              </w:rPr>
              <w:t>Age Analysis of Past Due Finance Receivables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jc w:val="center"/>
              <w:ind w:right="640"/>
              <w:spacing w:after="0"/>
              <w:rPr>
                <w:sz w:val="20"/>
                <w:szCs w:val="20"/>
                <w:color w:val="auto"/>
              </w:rPr>
            </w:pPr>
            <w:r>
              <w:rPr>
                <w:rFonts w:ascii="Arial" w:cs="Arial" w:eastAsia="Arial" w:hAnsi="Arial"/>
                <w:sz w:val="18"/>
                <w:szCs w:val="18"/>
                <w:color w:val="auto"/>
                <w:w w:val="89"/>
              </w:rPr>
              <w:t>As of June 30, 2015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31 – 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61 – 90</w:t>
            </w: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90 Days Past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Finance</w:t>
            </w:r>
          </w:p>
        </w:tc>
      </w:tr>
      <w:tr>
        <w:trPr>
          <w:trHeight w:val="237"/>
        </w:trPr>
        <w:tc>
          <w:tcPr>
            <w:tcW w:w="2360" w:type="dxa"/>
            <w:vAlign w:val="bottom"/>
          </w:tcPr>
          <w:p>
            <w:pPr>
              <w:spacing w:after="0"/>
              <w:rPr>
                <w:sz w:val="20"/>
                <w:szCs w:val="20"/>
                <w:color w:val="auto"/>
              </w:rPr>
            </w:pPr>
            <w:r>
              <w:rPr>
                <w:rFonts w:ascii="Arial" w:cs="Arial" w:eastAsia="Arial" w:hAnsi="Arial"/>
                <w:sz w:val="18"/>
                <w:szCs w:val="18"/>
                <w:color w:val="auto"/>
              </w:rPr>
              <w:t>($ in thousands)</w:t>
            </w:r>
          </w:p>
        </w:tc>
        <w:tc>
          <w:tcPr>
            <w:tcW w:w="8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Days 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Days Past Due</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2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Current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Receivables</w:t>
            </w:r>
          </w:p>
        </w:tc>
      </w:tr>
      <w:tr>
        <w:trPr>
          <w:trHeight w:val="216"/>
        </w:trPr>
        <w:tc>
          <w:tcPr>
            <w:tcW w:w="2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QuickStart Leases</w:t>
            </w:r>
          </w:p>
        </w:tc>
        <w:tc>
          <w:tcPr>
            <w:tcW w:w="2040" w:type="dxa"/>
            <w:vAlign w:val="bottom"/>
            <w:gridSpan w:val="2"/>
            <w:shd w:val="clear" w:color="auto" w:fill="F0FFFF"/>
          </w:tcPr>
          <w:p>
            <w:pPr>
              <w:jc w:val="right"/>
              <w:ind w:right="99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4,619</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4,639</w:t>
            </w:r>
          </w:p>
        </w:tc>
      </w:tr>
      <w:tr>
        <w:trPr>
          <w:trHeight w:val="648"/>
        </w:trPr>
        <w:tc>
          <w:tcPr>
            <w:tcW w:w="23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jc w:val="center"/>
              <w:ind w:left="730"/>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Property and equipment, at cost, consist of the following:</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2015</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3"/>
              </w:rPr>
              <w:t>Useful</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(unaudited)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516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Lives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Depreciation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Net</w:t>
            </w:r>
          </w:p>
        </w:tc>
      </w:tr>
      <w:tr>
        <w:trPr>
          <w:trHeight w:val="216"/>
        </w:trPr>
        <w:tc>
          <w:tcPr>
            <w:tcW w:w="580" w:type="dxa"/>
            <w:vAlign w:val="bottom"/>
          </w:tcPr>
          <w:p>
            <w:pPr>
              <w:spacing w:after="0"/>
              <w:rPr>
                <w:sz w:val="18"/>
                <w:szCs w:val="18"/>
                <w:color w:val="auto"/>
              </w:rPr>
            </w:pPr>
          </w:p>
        </w:tc>
        <w:tc>
          <w:tcPr>
            <w:tcW w:w="45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2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4,740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top w:val="single" w:sz="8" w:color="F0FFFF"/>
            </w:tcBorders>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(15,616)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24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736</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(585)</w:t>
            </w:r>
          </w:p>
        </w:tc>
        <w:tc>
          <w:tcPr>
            <w:tcW w:w="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8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91"/>
              </w:rPr>
              <w:t>life or lease term</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r>
      <w:tr>
        <w:trPr>
          <w:trHeight w:val="217"/>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6"/>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Useful</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June 30, 2015</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Accumulated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5160" w:type="dxa"/>
            <w:vAlign w:val="bottom"/>
            <w:gridSpan w:val="2"/>
          </w:tcPr>
          <w:p>
            <w:pPr>
              <w:ind w:left="580"/>
              <w:spacing w:after="0"/>
              <w:rPr>
                <w:sz w:val="20"/>
                <w:szCs w:val="20"/>
                <w:color w:val="auto"/>
              </w:rPr>
            </w:pPr>
            <w:r>
              <w:rPr>
                <w:rFonts w:ascii="Arial" w:cs="Arial" w:eastAsia="Arial" w:hAnsi="Arial"/>
                <w:sz w:val="18"/>
                <w:szCs w:val="18"/>
                <w:color w:val="auto"/>
              </w:rPr>
              <w:t>($ in thousands)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Lives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Depreciation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Net</w:t>
            </w:r>
          </w:p>
        </w:tc>
      </w:tr>
      <w:tr>
        <w:trPr>
          <w:trHeight w:val="216"/>
        </w:trPr>
        <w:tc>
          <w:tcPr>
            <w:tcW w:w="580" w:type="dxa"/>
            <w:vAlign w:val="bottom"/>
          </w:tcPr>
          <w:p>
            <w:pPr>
              <w:spacing w:after="0"/>
              <w:rPr>
                <w:sz w:val="18"/>
                <w:szCs w:val="18"/>
                <w:color w:val="auto"/>
              </w:rPr>
            </w:pPr>
          </w:p>
        </w:tc>
        <w:tc>
          <w:tcPr>
            <w:tcW w:w="45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Computer equipment and purchased software</w:t>
            </w:r>
          </w:p>
        </w:tc>
        <w:tc>
          <w:tcPr>
            <w:tcW w:w="12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F0FFFF"/>
            </w:tcBorders>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used for rental program</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(14,476)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11,993</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240" w:type="dxa"/>
            <w:vAlign w:val="bottom"/>
            <w:shd w:val="clear" w:color="auto" w:fill="F0FFFF"/>
          </w:tcPr>
          <w:p>
            <w:pPr>
              <w:jc w:val="center"/>
              <w:spacing w:after="0"/>
              <w:rPr>
                <w:sz w:val="20"/>
                <w:szCs w:val="20"/>
                <w:color w:val="auto"/>
              </w:rPr>
            </w:pPr>
            <w:r>
              <w:rPr>
                <w:rFonts w:ascii="Arial" w:cs="Arial" w:eastAsia="Arial" w:hAnsi="Arial"/>
                <w:sz w:val="18"/>
                <w:szCs w:val="18"/>
                <w:color w:val="auto"/>
                <w:w w:val="87"/>
              </w:rPr>
              <w:t>3-7 years</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F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8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91"/>
              </w:rPr>
              <w:t>life or lease term</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r>
      <w:tr>
        <w:trPr>
          <w:trHeight w:val="217"/>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under capital leases totaled approximately $2.2 million and $2.1 million as of September 30, 2015 and June 30, 2015, respectively. Capital lease amortization of approximately $93 thousand and $107 thousand is included in depreciation expense for three months ended September 30,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was no amortization expense relating to acquired intangible assets during the three months ended September 30, 2015 and 2014,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2840" w:type="dxa"/>
            <w:vAlign w:val="bottom"/>
          </w:tcPr>
          <w:p>
            <w:pPr>
              <w:spacing w:after="0"/>
              <w:rPr>
                <w:sz w:val="18"/>
                <w:szCs w:val="18"/>
                <w:color w:val="auto"/>
              </w:rPr>
            </w:pPr>
          </w:p>
        </w:tc>
      </w:tr>
      <w:tr>
        <w:trPr>
          <w:trHeight w:val="237"/>
        </w:trPr>
        <w:tc>
          <w:tcPr>
            <w:tcW w:w="5160" w:type="dxa"/>
            <w:vAlign w:val="bottom"/>
            <w:gridSpan w:val="2"/>
          </w:tcPr>
          <w:p>
            <w:pPr>
              <w:ind w:left="2860"/>
              <w:spacing w:after="0"/>
              <w:rPr>
                <w:sz w:val="20"/>
                <w:szCs w:val="20"/>
                <w:color w:val="auto"/>
              </w:rPr>
            </w:pPr>
            <w:r>
              <w:rPr>
                <w:rFonts w:ascii="Arial" w:cs="Arial" w:eastAsia="Arial" w:hAnsi="Arial"/>
                <w:sz w:val="18"/>
                <w:szCs w:val="18"/>
                <w:color w:val="auto"/>
              </w:rPr>
              <w:t>($ in thousands)</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680" w:type="dxa"/>
            <w:vAlign w:val="bottom"/>
            <w:gridSpan w:val="2"/>
            <w:shd w:val="clear" w:color="auto" w:fill="F0FFFF"/>
          </w:tcPr>
          <w:p>
            <w:pPr>
              <w:jc w:val="right"/>
              <w:ind w:right="97"/>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4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7,663</w:t>
            </w:r>
          </w:p>
        </w:tc>
        <w:tc>
          <w:tcPr>
            <w:tcW w:w="120" w:type="dxa"/>
            <w:vAlign w:val="bottom"/>
            <w:shd w:val="clear" w:color="auto" w:fill="F0FFFF"/>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Trademarks - Indefinite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Trademarks - Amortizable</w:t>
            </w:r>
          </w:p>
        </w:tc>
        <w:tc>
          <w:tcPr>
            <w:tcW w:w="4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840" w:type="dxa"/>
            <w:vAlign w:val="bottom"/>
          </w:tcPr>
          <w:p>
            <w:pPr>
              <w:spacing w:after="0"/>
              <w:rPr>
                <w:sz w:val="18"/>
                <w:szCs w:val="18"/>
                <w:color w:val="auto"/>
              </w:rPr>
            </w:pPr>
          </w:p>
        </w:tc>
      </w:tr>
      <w:tr>
        <w:trPr>
          <w:trHeight w:val="237"/>
        </w:trPr>
        <w:tc>
          <w:tcPr>
            <w:tcW w:w="2880" w:type="dxa"/>
            <w:vAlign w:val="bottom"/>
          </w:tcPr>
          <w:p>
            <w:pPr>
              <w:spacing w:after="0"/>
              <w:rPr>
                <w:sz w:val="20"/>
                <w:szCs w:val="20"/>
                <w:color w:val="auto"/>
              </w:rPr>
            </w:pPr>
          </w:p>
        </w:tc>
        <w:tc>
          <w:tcPr>
            <w:tcW w:w="22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Patents</w:t>
            </w:r>
          </w:p>
        </w:tc>
        <w:tc>
          <w:tcPr>
            <w:tcW w:w="4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2840" w:type="dxa"/>
            <w:vAlign w:val="bottom"/>
          </w:tcPr>
          <w:p>
            <w:pPr>
              <w:spacing w:after="0"/>
              <w:rPr>
                <w:sz w:val="20"/>
                <w:szCs w:val="20"/>
                <w:color w:val="auto"/>
              </w:rPr>
            </w:pPr>
          </w:p>
        </w:tc>
      </w:tr>
      <w:tr>
        <w:trPr>
          <w:trHeight w:val="255"/>
        </w:trPr>
        <w:tc>
          <w:tcPr>
            <w:tcW w:w="2880" w:type="dxa"/>
            <w:vAlign w:val="bottom"/>
          </w:tcPr>
          <w:p>
            <w:pPr>
              <w:spacing w:after="0"/>
              <w:rPr>
                <w:sz w:val="21"/>
                <w:szCs w:val="21"/>
                <w:color w:val="auto"/>
              </w:rPr>
            </w:pPr>
          </w:p>
        </w:tc>
        <w:tc>
          <w:tcPr>
            <w:tcW w:w="2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2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w:t>
            </w:r>
          </w:p>
        </w:tc>
        <w:tc>
          <w:tcPr>
            <w:tcW w:w="120" w:type="dxa"/>
            <w:vAlign w:val="bottom"/>
            <w:tcBorders>
              <w:bottom w:val="single" w:sz="8" w:color="F0FFFF"/>
            </w:tcBorders>
            <w:shd w:val="clear" w:color="auto" w:fill="F0FFFF"/>
          </w:tcPr>
          <w:p>
            <w:pPr>
              <w:spacing w:after="0"/>
              <w:rPr>
                <w:sz w:val="21"/>
                <w:szCs w:val="21"/>
                <w:color w:val="auto"/>
              </w:rPr>
            </w:pPr>
          </w:p>
        </w:tc>
        <w:tc>
          <w:tcPr>
            <w:tcW w:w="2840" w:type="dxa"/>
            <w:vAlign w:val="bottom"/>
          </w:tcPr>
          <w:p>
            <w:pPr>
              <w:spacing w:after="0"/>
              <w:rPr>
                <w:sz w:val="21"/>
                <w:szCs w:val="21"/>
                <w:color w:val="auto"/>
              </w:rPr>
            </w:pPr>
          </w:p>
        </w:tc>
      </w:tr>
      <w:tr>
        <w:trPr>
          <w:trHeight w:val="20"/>
        </w:trPr>
        <w:tc>
          <w:tcPr>
            <w:tcW w:w="288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22"/>
        </w:trPr>
        <w:tc>
          <w:tcPr>
            <w:tcW w:w="288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gridSpan w:val="2"/>
          </w:tcPr>
          <w:p>
            <w:pPr>
              <w:jc w:val="right"/>
              <w:spacing w:after="0"/>
              <w:rPr>
                <w:sz w:val="20"/>
                <w:szCs w:val="20"/>
                <w:color w:val="auto"/>
              </w:rPr>
            </w:pPr>
            <w:r>
              <w:rPr>
                <w:rFonts w:ascii="Arial" w:cs="Arial" w:eastAsia="Arial" w:hAnsi="Arial"/>
                <w:sz w:val="18"/>
                <w:szCs w:val="18"/>
                <w:color w:val="auto"/>
              </w:rPr>
              <w:t>14</w:t>
            </w:r>
          </w:p>
        </w:tc>
        <w:tc>
          <w:tcPr>
            <w:tcW w:w="11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r>
      <w:tr>
        <w:trPr>
          <w:trHeight w:val="237"/>
        </w:trPr>
        <w:tc>
          <w:tcPr>
            <w:tcW w:w="622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F0FF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F0FF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Accrued rent</w:t>
            </w:r>
          </w:p>
        </w:tc>
        <w:tc>
          <w:tcPr>
            <w:tcW w:w="1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F0FF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50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Accrued other</w:t>
            </w:r>
          </w:p>
        </w:tc>
        <w:tc>
          <w:tcPr>
            <w:tcW w:w="1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F0FFFF"/>
            </w:tcBorders>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0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F0FF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current portion</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(2,108)</w:t>
            </w:r>
          </w:p>
        </w:tc>
      </w:tr>
      <w:tr>
        <w:trPr>
          <w:trHeight w:val="255"/>
        </w:trPr>
        <w:tc>
          <w:tcPr>
            <w:tcW w:w="1160" w:type="dxa"/>
            <w:vAlign w:val="bottom"/>
          </w:tcPr>
          <w:p>
            <w:pPr>
              <w:spacing w:after="0"/>
              <w:rPr>
                <w:sz w:val="21"/>
                <w:szCs w:val="21"/>
                <w:color w:val="auto"/>
              </w:rPr>
            </w:pPr>
          </w:p>
        </w:tc>
        <w:tc>
          <w:tcPr>
            <w:tcW w:w="5060" w:type="dxa"/>
            <w:vAlign w:val="bottom"/>
            <w:tcBorders>
              <w:top w:val="single" w:sz="8" w:color="F0FFFF"/>
              <w:bottom w:val="single" w:sz="8" w:color="F0FFFF"/>
            </w:tcBorders>
            <w:shd w:val="clear" w:color="auto" w:fill="F0FFFF"/>
          </w:tcPr>
          <w:p>
            <w:pPr>
              <w:spacing w:after="0"/>
              <w:rPr>
                <w:sz w:val="21"/>
                <w:szCs w:val="21"/>
                <w:color w:val="auto"/>
              </w:rPr>
            </w:pPr>
          </w:p>
        </w:tc>
        <w:tc>
          <w:tcPr>
            <w:tcW w:w="1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506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2012, the Company entered into a Loan and Security Agreement and other ancillary documents (the “Loan Agreement”) with a commercial bank (the “Bank”), which, as amended, provides for a secured line of credit of up to $7 million, secured by substantially all of the Company’s assets, until August 17, 2017. The outstanding balance of the amounts advanced under the line of credit will bear interest at 2% above the prime rate as published in The Wall Street Journal or 5% whichever is higher.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Loan Agreement contains customary affirmative and negative covenants, including achieving a minimum Adjusted EBITDA and minimum liquidity, and customary events of default.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Bank extending the Line of Credit, in January 2013, the Company issued to the Bank warrants to purchase up to 45,000 shares of common stock of the Company at any time prior to December 31, 2017 at an exercise price of $2.10 per share. The fair value of the warrants of $56 thousand was amortized as interest expense in the two fiscal years ended through June 30,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due on the Line of Credit was $4.0 million at September 30, 2015 and June 30, 2015. At September 30, 2015, $3.0 million was available under the Line of Credit.</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100"/>
              <w:spacing w:after="0"/>
              <w:rPr>
                <w:sz w:val="20"/>
                <w:szCs w:val="20"/>
                <w:color w:val="auto"/>
              </w:rPr>
            </w:pPr>
            <w:r>
              <w:rPr>
                <w:rFonts w:ascii="Arial" w:cs="Arial" w:eastAsia="Arial" w:hAnsi="Arial"/>
                <w:sz w:val="18"/>
                <w:szCs w:val="18"/>
                <w:color w:val="auto"/>
              </w:rPr>
              <w:t>As of or Three Months Ended</w:t>
            </w: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61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color w:val="auto"/>
                <w:w w:val="89"/>
              </w:rPr>
              <w:t>2014</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Balance at period-end</w:t>
            </w:r>
          </w:p>
        </w:tc>
        <w:tc>
          <w:tcPr>
            <w:tcW w:w="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Borders>
              <w:top w:val="single" w:sz="8" w:color="F0FFFF"/>
            </w:tcBorders>
            <w:shd w:val="clear" w:color="auto" w:fill="F0FFFF"/>
          </w:tcPr>
          <w:p>
            <w:pPr>
              <w:spacing w:after="0"/>
              <w:rPr>
                <w:sz w:val="18"/>
                <w:szCs w:val="18"/>
                <w:color w:val="auto"/>
              </w:rPr>
            </w:pPr>
          </w:p>
        </w:tc>
        <w:tc>
          <w:tcPr>
            <w:tcW w:w="440" w:type="dxa"/>
            <w:vAlign w:val="bottom"/>
            <w:tcBorders>
              <w:top w:val="single" w:sz="8" w:color="auto"/>
            </w:tcBorders>
            <w:shd w:val="clear" w:color="auto" w:fill="F0FF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Maximum amount outstanding at any month end</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F0FFFF"/>
          </w:tcPr>
          <w:p>
            <w:pPr>
              <w:spacing w:after="0"/>
              <w:rPr>
                <w:sz w:val="20"/>
                <w:szCs w:val="20"/>
                <w:color w:val="auto"/>
              </w:rPr>
            </w:pPr>
            <w:r>
              <w:rPr>
                <w:rFonts w:ascii="Arial" w:cs="Arial" w:eastAsia="Arial" w:hAnsi="Arial"/>
                <w:sz w:val="18"/>
                <w:szCs w:val="18"/>
                <w:color w:val="auto"/>
              </w:rPr>
              <w:t>Average balance outstanding during the period</w:t>
            </w:r>
          </w:p>
        </w:tc>
        <w:tc>
          <w:tcPr>
            <w:tcW w:w="28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w:t>
            </w:r>
          </w:p>
        </w:tc>
        <w:tc>
          <w:tcPr>
            <w:tcW w:w="700" w:type="dxa"/>
            <w:vAlign w:val="bottom"/>
            <w:gridSpan w:val="2"/>
            <w:shd w:val="clear" w:color="auto" w:fill="F0FF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F0FFFF"/>
          </w:tcPr>
          <w:p>
            <w:pPr>
              <w:spacing w:after="0"/>
              <w:rPr>
                <w:sz w:val="18"/>
                <w:szCs w:val="18"/>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Weighted-average interest rate:</w:t>
            </w: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F0FFFF"/>
          </w:tcPr>
          <w:p>
            <w:pPr>
              <w:ind w:left="460"/>
              <w:spacing w:after="0"/>
              <w:rPr>
                <w:sz w:val="20"/>
                <w:szCs w:val="20"/>
                <w:color w:val="auto"/>
              </w:rPr>
            </w:pPr>
            <w:r>
              <w:rPr>
                <w:rFonts w:ascii="Arial" w:cs="Arial" w:eastAsia="Arial" w:hAnsi="Arial"/>
                <w:sz w:val="18"/>
                <w:szCs w:val="18"/>
                <w:color w:val="auto"/>
              </w:rPr>
              <w:t>As of the period-end</w:t>
            </w:r>
          </w:p>
        </w:tc>
        <w:tc>
          <w:tcPr>
            <w:tcW w:w="3420" w:type="dxa"/>
            <w:vAlign w:val="bottom"/>
            <w:shd w:val="clear" w:color="auto" w:fill="F0FFFF"/>
          </w:tcPr>
          <w:p>
            <w:pPr>
              <w:jc w:val="right"/>
              <w:ind w:right="450"/>
              <w:spacing w:after="0"/>
              <w:rPr>
                <w:sz w:val="20"/>
                <w:szCs w:val="20"/>
                <w:color w:val="auto"/>
              </w:rPr>
            </w:pPr>
            <w:r>
              <w:rPr>
                <w:rFonts w:ascii="Arial" w:cs="Arial" w:eastAsia="Arial" w:hAnsi="Arial"/>
                <w:sz w:val="18"/>
                <w:szCs w:val="18"/>
                <w:color w:val="auto"/>
              </w:rPr>
              <w:t>5.25%</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20" w:type="dxa"/>
            <w:vAlign w:val="bottom"/>
          </w:tcPr>
          <w:p>
            <w:pPr>
              <w:spacing w:after="0"/>
              <w:rPr>
                <w:sz w:val="20"/>
                <w:szCs w:val="20"/>
                <w:color w:val="auto"/>
              </w:rPr>
            </w:pPr>
          </w:p>
        </w:tc>
        <w:tc>
          <w:tcPr>
            <w:tcW w:w="4660" w:type="dxa"/>
            <w:vAlign w:val="bottom"/>
          </w:tcPr>
          <w:p>
            <w:pPr>
              <w:ind w:left="460"/>
              <w:spacing w:after="0"/>
              <w:rPr>
                <w:sz w:val="20"/>
                <w:szCs w:val="20"/>
                <w:color w:val="auto"/>
              </w:rPr>
            </w:pPr>
            <w:r>
              <w:rPr>
                <w:rFonts w:ascii="Arial" w:cs="Arial" w:eastAsia="Arial" w:hAnsi="Arial"/>
                <w:sz w:val="18"/>
                <w:szCs w:val="18"/>
                <w:color w:val="auto"/>
              </w:rPr>
              <w:t>Paid during the period</w:t>
            </w:r>
          </w:p>
        </w:tc>
        <w:tc>
          <w:tcPr>
            <w:tcW w:w="3420" w:type="dxa"/>
            <w:vAlign w:val="bottom"/>
          </w:tcPr>
          <w:p>
            <w:pPr>
              <w:jc w:val="right"/>
              <w:ind w:right="450"/>
              <w:spacing w:after="0"/>
              <w:rPr>
                <w:sz w:val="20"/>
                <w:szCs w:val="20"/>
                <w:color w:val="auto"/>
              </w:rPr>
            </w:pPr>
            <w:r>
              <w:rPr>
                <w:rFonts w:ascii="Arial" w:cs="Arial" w:eastAsia="Arial" w:hAnsi="Arial"/>
                <w:sz w:val="18"/>
                <w:szCs w:val="18"/>
                <w:color w:val="auto"/>
              </w:rPr>
              <w:t>5.25%</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line of credit was approximately $54 thousand and $66 thousand during each of the three months ended September 30,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periodically enters into capital lease obligations to finance certain office and network equipment for use in its daily operations. During the three-month period ended September 30, 2015 the company entered into capital lease obligations of $35 thousand. The interest rates on these obligations were approximately 5.60%. The value of the acquired equipment is included in property and equipment and amortized accordingly.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LOAN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enters into other loan agreements to finance the purchase of various assets as needed, including computer equipment, insurance premiums, network equipment and software for use in its operations. During the three-month period ended September 30, 2015, the company entered into loan agreements for $103 thousand. The interest rates on these obligations were approximately 5.27%. The value of these financed insurance premiums acquired is included in prepaid expenses and other assets and expensed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ASSIGNMENT OF QUICKSTART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and May 2015, the Company assigned its interest in certain finance receivables (various sixty-month QuickStart leases) to third-party finance companies in exchange for cash and the assumption of financing obligations in the aggregate of $1.8 million and $304 thousand, respectively. These assignment transactions contain recourse provisions for the Company which requires the proceeds from the assignment to be treated as long-term debt. The financing obligations range in rate from 9.41% to 9.45%.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long-term debt as of September 30, 2015 and June 30, 2015 are shown in the table below.</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 in thousands)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June 30, 2015</w:t>
            </w:r>
          </w:p>
        </w:tc>
      </w:tr>
      <w:tr>
        <w:trPr>
          <w:trHeight w:val="216"/>
        </w:trPr>
        <w:tc>
          <w:tcPr>
            <w:tcW w:w="3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16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332</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F0FF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loan agreements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560" w:type="dxa"/>
            <w:vAlign w:val="bottom"/>
            <w:shd w:val="clear" w:color="auto" w:fill="F0FFFF"/>
          </w:tcPr>
          <w:p>
            <w:pPr>
              <w:spacing w:after="0"/>
              <w:rPr>
                <w:sz w:val="20"/>
                <w:szCs w:val="20"/>
                <w:color w:val="auto"/>
              </w:rPr>
            </w:pPr>
            <w:r>
              <w:rPr>
                <w:rFonts w:ascii="Arial" w:cs="Arial" w:eastAsia="Arial" w:hAnsi="Arial"/>
                <w:sz w:val="18"/>
                <w:szCs w:val="18"/>
                <w:color w:val="auto"/>
              </w:rPr>
              <w:t>Lease financing obligations</w:t>
            </w:r>
          </w:p>
        </w:tc>
        <w:tc>
          <w:tcPr>
            <w:tcW w:w="1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1,917</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F0FFFF"/>
          </w:tcPr>
          <w:p>
            <w:pPr>
              <w:spacing w:after="0"/>
              <w:rPr>
                <w:sz w:val="21"/>
                <w:szCs w:val="21"/>
                <w:color w:val="auto"/>
              </w:rPr>
            </w:pPr>
          </w:p>
        </w:tc>
      </w:tr>
      <w:tr>
        <w:trPr>
          <w:trHeight w:val="203"/>
        </w:trPr>
        <w:tc>
          <w:tcPr>
            <w:tcW w:w="3560" w:type="dxa"/>
            <w:vAlign w:val="bottom"/>
            <w:tcBorders>
              <w:top w:val="single" w:sz="8" w:color="F0FFFF"/>
            </w:tcBorders>
          </w:tcPr>
          <w:p>
            <w:pPr>
              <w:spacing w:after="0"/>
              <w:rPr>
                <w:sz w:val="17"/>
                <w:szCs w:val="17"/>
                <w:color w:val="auto"/>
              </w:rPr>
            </w:pPr>
          </w:p>
        </w:tc>
        <w:tc>
          <w:tcPr>
            <w:tcW w:w="15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2,341</w:t>
            </w:r>
          </w:p>
        </w:tc>
        <w:tc>
          <w:tcPr>
            <w:tcW w:w="18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2,332</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r>
      <w:tr>
        <w:trPr>
          <w:trHeight w:val="250"/>
        </w:trPr>
        <w:tc>
          <w:tcPr>
            <w:tcW w:w="3560" w:type="dxa"/>
            <w:vAlign w:val="bottom"/>
            <w:shd w:val="clear" w:color="auto" w:fill="F0FFFF"/>
          </w:tcPr>
          <w:p>
            <w:pPr>
              <w:spacing w:after="0"/>
              <w:rPr>
                <w:sz w:val="20"/>
                <w:szCs w:val="20"/>
                <w:color w:val="auto"/>
              </w:rPr>
            </w:pPr>
            <w:r>
              <w:rPr>
                <w:rFonts w:ascii="Arial" w:cs="Arial" w:eastAsia="Arial" w:hAnsi="Arial"/>
                <w:sz w:val="18"/>
                <w:szCs w:val="18"/>
                <w:color w:val="auto"/>
              </w:rPr>
              <w:t>Less current portion</w:t>
            </w:r>
          </w:p>
        </w:tc>
        <w:tc>
          <w:tcPr>
            <w:tcW w:w="1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F0FFFF"/>
          </w:tcPr>
          <w:p>
            <w:pPr>
              <w:spacing w:after="0"/>
              <w:rPr>
                <w:sz w:val="21"/>
                <w:szCs w:val="21"/>
                <w:color w:val="auto"/>
              </w:rPr>
            </w:pPr>
          </w:p>
        </w:tc>
      </w:tr>
      <w:tr>
        <w:trPr>
          <w:trHeight w:val="217"/>
        </w:trPr>
        <w:tc>
          <w:tcPr>
            <w:tcW w:w="3560" w:type="dxa"/>
            <w:vAlign w:val="bottom"/>
            <w:tcBorders>
              <w:top w:val="single" w:sz="8" w:color="F0FFFF"/>
            </w:tcBorders>
          </w:tcPr>
          <w:p>
            <w:pPr>
              <w:spacing w:after="0"/>
              <w:rPr>
                <w:sz w:val="18"/>
                <w:szCs w:val="18"/>
                <w:color w:val="auto"/>
              </w:rPr>
            </w:pPr>
          </w:p>
        </w:tc>
        <w:tc>
          <w:tcPr>
            <w:tcW w:w="15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1"/>
        </w:trPr>
        <w:tc>
          <w:tcPr>
            <w:tcW w:w="3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for each of the fiscal years following September 30, 2015 are as follows:</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 in thousands)</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2016 (remaining nine months)</w:t>
            </w:r>
          </w:p>
        </w:tc>
        <w:tc>
          <w:tcPr>
            <w:tcW w:w="980" w:type="dxa"/>
            <w:vAlign w:val="bottom"/>
            <w:gridSpan w:val="2"/>
            <w:shd w:val="clear" w:color="auto" w:fill="F0FFFF"/>
          </w:tcPr>
          <w:p>
            <w:pPr>
              <w:jc w:val="right"/>
              <w:ind w:right="325"/>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F0FF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r>
      <w:tr>
        <w:trPr>
          <w:trHeight w:val="216"/>
        </w:trPr>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F0FF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r>
      <w:tr>
        <w:trPr>
          <w:trHeight w:val="216"/>
        </w:trPr>
        <w:tc>
          <w:tcPr>
            <w:tcW w:w="266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F0FFFF"/>
          </w:tcPr>
          <w:p>
            <w:pPr>
              <w:spacing w:after="0"/>
              <w:rPr>
                <w:sz w:val="18"/>
                <w:szCs w:val="18"/>
                <w:color w:val="auto"/>
              </w:rPr>
            </w:pPr>
          </w:p>
        </w:tc>
      </w:tr>
      <w:tr>
        <w:trPr>
          <w:trHeight w:val="237"/>
        </w:trPr>
        <w:tc>
          <w:tcPr>
            <w:tcW w:w="26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F0FF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F0FFFF"/>
            </w:tcBorders>
          </w:tcPr>
          <w:p>
            <w:pPr>
              <w:spacing w:after="0"/>
              <w:rPr>
                <w:sz w:val="20"/>
                <w:szCs w:val="20"/>
                <w:color w:val="auto"/>
              </w:rPr>
            </w:pPr>
          </w:p>
        </w:tc>
      </w:tr>
      <w:tr>
        <w:trPr>
          <w:trHeight w:val="255"/>
        </w:trPr>
        <w:tc>
          <w:tcPr>
            <w:tcW w:w="266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auto"/>
            </w:tcBorders>
            <w:shd w:val="clear" w:color="auto" w:fill="F0FFFF"/>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F0FFFF"/>
            </w:tcBorders>
            <w:shd w:val="clear" w:color="auto" w:fill="F0FFFF"/>
          </w:tcPr>
          <w:p>
            <w:pPr>
              <w:spacing w:after="0"/>
              <w:rPr>
                <w:sz w:val="21"/>
                <w:szCs w:val="21"/>
                <w:color w:val="auto"/>
              </w:rPr>
            </w:pPr>
          </w:p>
        </w:tc>
      </w:tr>
      <w:tr>
        <w:trPr>
          <w:trHeight w:val="20"/>
        </w:trPr>
        <w:tc>
          <w:tcPr>
            <w:tcW w:w="266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 that is required to be measured at fair value as of September 30, 2015 and June 30, 2015: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September 30, 2015 (unaudited)</w:t>
            </w:r>
          </w:p>
        </w:tc>
        <w:tc>
          <w:tcPr>
            <w:tcW w:w="1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5"/>
              </w:rPr>
              <w:t>Common stock warrant liability, warrants exercisable at $2.6058</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F0FFFF"/>
          </w:tcPr>
          <w:p>
            <w:pPr>
              <w:spacing w:after="0"/>
              <w:rPr>
                <w:sz w:val="20"/>
                <w:szCs w:val="20"/>
                <w:color w:val="auto"/>
              </w:rPr>
            </w:pPr>
            <w:r>
              <w:rPr>
                <w:rFonts w:ascii="Arial" w:cs="Arial" w:eastAsia="Arial" w:hAnsi="Arial"/>
                <w:sz w:val="18"/>
                <w:szCs w:val="18"/>
                <w:color w:val="auto"/>
              </w:rPr>
              <w:t>from September 18, 2011 through September 18, 2016</w:t>
            </w:r>
          </w:p>
        </w:tc>
        <w:tc>
          <w:tcPr>
            <w:tcW w:w="114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635</w:t>
            </w: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5"/>
              </w:rPr>
              <w:t>Common stock warrant liability, warrants exercisable at $2.6058</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F0FFFF"/>
          </w:tcPr>
          <w:p>
            <w:pPr>
              <w:spacing w:after="0"/>
              <w:rPr>
                <w:sz w:val="20"/>
                <w:szCs w:val="20"/>
                <w:color w:val="auto"/>
              </w:rPr>
            </w:pPr>
            <w:r>
              <w:rPr>
                <w:rFonts w:ascii="Arial" w:cs="Arial" w:eastAsia="Arial" w:hAnsi="Arial"/>
                <w:sz w:val="18"/>
                <w:szCs w:val="18"/>
                <w:color w:val="auto"/>
              </w:rPr>
              <w:t>from September 18, 2011 through September 18, 2016</w:t>
            </w:r>
          </w:p>
        </w:tc>
        <w:tc>
          <w:tcPr>
            <w:tcW w:w="1140" w:type="dxa"/>
            <w:vAlign w:val="bottom"/>
            <w:gridSpan w:val="2"/>
            <w:shd w:val="clear" w:color="auto" w:fill="F0FF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and June 30, 2015, the Company held no Level 1 or Level 2 financial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2015 and June 30, 2015, the fair values of the Company’s Level 3 financial instrument totaled $635 thousand and $978 thousand,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quarters ended September 30, 2015 and 2014.</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months ended September 30, 2015 and 2014:</w:t>
      </w:r>
    </w:p>
    <w:p>
      <w:pPr>
        <w:sectPr>
          <w:pgSz w:w="11900" w:h="16838" w:orient="portrait"/>
          <w:cols w:equalWidth="0" w:num="1">
            <w:col w:w="11420"/>
          </w:cols>
          <w:pgMar w:left="240" w:top="877" w:right="239" w:bottom="1440" w:gutter="0" w:footer="0" w:header="0"/>
        </w:sectPr>
      </w:pPr>
    </w:p>
    <w:p>
      <w:pPr>
        <w:spacing w:after="0" w:line="4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9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Gain due to change in fair value of warrant liabilities</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4" w:lineRule="exact"/>
        <w:rPr>
          <w:sz w:val="20"/>
          <w:szCs w:val="20"/>
          <w:color w:val="auto"/>
        </w:rPr>
      </w:pPr>
    </w:p>
    <w:p>
      <w:pPr>
        <w:sectPr>
          <w:pgSz w:w="11900" w:h="16838" w:orient="portrait"/>
          <w:cols w:equalWidth="0" w:num="2">
            <w:col w:w="7280" w:space="720"/>
            <w:col w:w="3420"/>
          </w:cols>
          <w:pgMar w:left="240" w:top="877" w:right="239" w:bottom="1440" w:gutter="0" w:footer="0" w:header="0"/>
          <w:type w:val="continuous"/>
        </w:sectPr>
      </w:pP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2015, warrants were exercised at $2.6058 per share resulting in the issuance of 11,000 shares of common stock with proceeds of $29 thousand. There were no exercises, issuances or expiration of warrants during the three months ended September 30, 2014. There have been no new warrants issued since January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Warrant activity for the three-month period ended September 30, 2015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Warrants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2015</w:t>
            </w:r>
          </w:p>
        </w:tc>
        <w:tc>
          <w:tcPr>
            <w:tcW w:w="1560" w:type="dxa"/>
            <w:vAlign w:val="bottom"/>
            <w:tcBorders>
              <w:top w:val="single" w:sz="8" w:color="F0FFFF"/>
            </w:tcBorders>
            <w:shd w:val="clear" w:color="auto" w:fill="F0FFFF"/>
          </w:tcPr>
          <w:p>
            <w:pPr>
              <w:spacing w:after="0"/>
              <w:rPr>
                <w:sz w:val="18"/>
                <w:szCs w:val="18"/>
                <w:color w:val="auto"/>
              </w:rPr>
            </w:pPr>
          </w:p>
        </w:tc>
        <w:tc>
          <w:tcPr>
            <w:tcW w:w="13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4,309,000</w:t>
            </w:r>
          </w:p>
        </w:tc>
        <w:tc>
          <w:tcPr>
            <w:tcW w:w="140" w:type="dxa"/>
            <w:vAlign w:val="bottom"/>
            <w:tcBorders>
              <w:top w:val="single" w:sz="8" w:color="F0FFFF"/>
            </w:tcBorders>
            <w:shd w:val="clear" w:color="auto" w:fill="F0FF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Issued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8"/>
                <w:szCs w:val="18"/>
                <w:color w:val="auto"/>
              </w:rPr>
              <w:t>Exercised</w:t>
            </w:r>
          </w:p>
        </w:tc>
        <w:tc>
          <w:tcPr>
            <w:tcW w:w="306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(11,000)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gridSpan w:val="2"/>
          </w:tcPr>
          <w:p>
            <w:pPr>
              <w:ind w:left="2860"/>
              <w:spacing w:after="0"/>
              <w:rPr>
                <w:sz w:val="20"/>
                <w:szCs w:val="20"/>
                <w:color w:val="auto"/>
              </w:rPr>
            </w:pPr>
            <w:r>
              <w:rPr>
                <w:rFonts w:ascii="Arial" w:cs="Arial" w:eastAsia="Arial" w:hAnsi="Arial"/>
                <w:sz w:val="18"/>
                <w:szCs w:val="18"/>
                <w:color w:val="auto"/>
              </w:rPr>
              <w:t>Expired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1"/>
                <w:szCs w:val="21"/>
                <w:color w:val="auto"/>
              </w:rPr>
            </w:pPr>
          </w:p>
        </w:tc>
        <w:tc>
          <w:tcPr>
            <w:tcW w:w="26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w w:val="91"/>
              </w:rPr>
              <w:t>Outstanding at September 30, 2015</w:t>
            </w:r>
          </w:p>
        </w:tc>
        <w:tc>
          <w:tcPr>
            <w:tcW w:w="1560" w:type="dxa"/>
            <w:vAlign w:val="bottom"/>
            <w:tcBorders>
              <w:top w:val="single" w:sz="8" w:color="F0FFFF"/>
              <w:bottom w:val="single" w:sz="8" w:color="F0FFFF"/>
            </w:tcBorders>
            <w:shd w:val="clear" w:color="auto" w:fill="F0FFFF"/>
          </w:tcPr>
          <w:p>
            <w:pPr>
              <w:spacing w:after="0"/>
              <w:rPr>
                <w:sz w:val="21"/>
                <w:szCs w:val="21"/>
                <w:color w:val="auto"/>
              </w:rPr>
            </w:pPr>
          </w:p>
        </w:tc>
        <w:tc>
          <w:tcPr>
            <w:tcW w:w="13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4,298,000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640" w:type="dxa"/>
            <w:vAlign w:val="bottom"/>
            <w:tcBorders>
              <w:top w:val="single" w:sz="8" w:color="F0FFFF"/>
            </w:tcBorders>
          </w:tcPr>
          <w:p>
            <w:pPr>
              <w:spacing w:after="0" w:line="20" w:lineRule="exact"/>
              <w:rPr>
                <w:sz w:val="1"/>
                <w:szCs w:val="1"/>
                <w:color w:val="auto"/>
              </w:rPr>
            </w:pPr>
          </w:p>
        </w:tc>
        <w:tc>
          <w:tcPr>
            <w:tcW w:w="1560" w:type="dxa"/>
            <w:vAlign w:val="bottom"/>
            <w:tcBorders>
              <w:top w:val="single" w:sz="8" w:color="F0FFFF"/>
              <w:bottom w:val="single" w:sz="8" w:color="F0FFFF"/>
            </w:tcBorders>
            <w:vMerge w:val="restart"/>
          </w:tcPr>
          <w:p>
            <w:pPr>
              <w:jc w:val="right"/>
              <w:ind w:right="1190"/>
              <w:spacing w:after="0"/>
              <w:rPr>
                <w:sz w:val="20"/>
                <w:szCs w:val="20"/>
                <w:color w:val="auto"/>
              </w:rPr>
            </w:pPr>
            <w:r>
              <w:rPr>
                <w:rFonts w:ascii="Arial" w:cs="Arial" w:eastAsia="Arial" w:hAnsi="Arial"/>
                <w:sz w:val="18"/>
                <w:szCs w:val="18"/>
                <w:color w:val="auto"/>
              </w:rPr>
              <w:t>17</w:t>
            </w:r>
          </w:p>
        </w:tc>
        <w:tc>
          <w:tcPr>
            <w:tcW w:w="13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880" w:type="dxa"/>
            <w:vAlign w:val="bottom"/>
            <w:tcBorders>
              <w:bottom w:val="single" w:sz="8" w:color="DCDCDC"/>
            </w:tcBorders>
          </w:tcPr>
          <w:p>
            <w:pPr>
              <w:spacing w:after="0"/>
              <w:rPr>
                <w:sz w:val="24"/>
                <w:szCs w:val="24"/>
                <w:color w:val="auto"/>
              </w:rPr>
            </w:pPr>
          </w:p>
        </w:tc>
        <w:tc>
          <w:tcPr>
            <w:tcW w:w="2640" w:type="dxa"/>
            <w:vAlign w:val="bottom"/>
            <w:tcBorders>
              <w:bottom w:val="single" w:sz="8" w:color="DCDCDC"/>
            </w:tcBorders>
          </w:tcPr>
          <w:p>
            <w:pPr>
              <w:spacing w:after="0"/>
              <w:rPr>
                <w:sz w:val="24"/>
                <w:szCs w:val="24"/>
                <w:color w:val="auto"/>
              </w:rPr>
            </w:pPr>
          </w:p>
        </w:tc>
        <w:tc>
          <w:tcPr>
            <w:tcW w:w="1560" w:type="dxa"/>
            <w:vAlign w:val="bottom"/>
            <w:tcBorders>
              <w:bottom w:val="single" w:sz="8" w:color="DCDCDC"/>
            </w:tcBorders>
            <w:vMerge w:val="continue"/>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2015, an income tax provision of $27 thousand (substantially all deferred income taxes) was recorded based upon income before provision before income taxes using an estimated annual effective income tax rate of 39% for the fiscal year ending June 30, 2016 net of a benefit for the tax effect of the change in the fair value of warrant liabilities which was treated discretely.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2014, an income tax benefit of $360 thousand (substantially all deferred income taxes) was recorded based upon a loss before benefit for income taxes using an estimated annual effective income tax rate of 56% for the fiscal year ended June 30, 2015 and a benefit for the tax effect of the change in the fair value of warrant liabilities which was treated discretely.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federal statutory rate of 34% to the quarterly effective rate for the three months ended September 30, 2015 and 2014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4360" w:type="dxa"/>
            <w:vAlign w:val="bottom"/>
            <w:tcBorders>
              <w:bottom w:val="single" w:sz="8" w:color="F0FFFF"/>
            </w:tcBorders>
          </w:tcPr>
          <w:p>
            <w:pPr>
              <w:spacing w:after="0"/>
              <w:rPr>
                <w:sz w:val="20"/>
                <w:szCs w:val="20"/>
                <w:color w:val="auto"/>
              </w:rPr>
            </w:pPr>
          </w:p>
        </w:tc>
        <w:tc>
          <w:tcPr>
            <w:tcW w:w="184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8"/>
                <w:szCs w:val="18"/>
                <w:color w:val="auto"/>
              </w:rPr>
              <w:t>Federal statutory rate</w:t>
            </w:r>
          </w:p>
        </w:tc>
        <w:tc>
          <w:tcPr>
            <w:tcW w:w="1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F0FFFF"/>
          </w:tcPr>
          <w:p>
            <w:pPr>
              <w:spacing w:after="0"/>
              <w:rPr>
                <w:sz w:val="18"/>
                <w:szCs w:val="18"/>
                <w:color w:val="auto"/>
              </w:rPr>
            </w:pPr>
          </w:p>
        </w:tc>
        <w:tc>
          <w:tcPr>
            <w:tcW w:w="12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Effects of permanent differences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8"/>
                <w:szCs w:val="18"/>
                <w:color w:val="auto"/>
              </w:rPr>
              <w:t>State income taxes, net of federal benefit</w:t>
            </w:r>
          </w:p>
        </w:tc>
        <w:tc>
          <w:tcPr>
            <w:tcW w:w="18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300" w:type="dxa"/>
            <w:vAlign w:val="bottom"/>
            <w:tcBorders>
              <w:right w:val="single" w:sz="8" w:color="F0FFFF"/>
            </w:tcBorders>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F0FFFF"/>
          </w:tcPr>
          <w:p>
            <w:pPr>
              <w:spacing w:after="0"/>
              <w:rPr>
                <w:sz w:val="19"/>
                <w:szCs w:val="19"/>
                <w:color w:val="auto"/>
              </w:rPr>
            </w:pPr>
          </w:p>
        </w:tc>
        <w:tc>
          <w:tcPr>
            <w:tcW w:w="12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Borders>
              <w:top w:val="single" w:sz="8" w:color="F0FFFF"/>
            </w:tcBorders>
            <w:vMerge w:val="restart"/>
          </w:tcPr>
          <w:p>
            <w:pPr>
              <w:ind w:left="660"/>
              <w:spacing w:after="0"/>
              <w:rPr>
                <w:sz w:val="20"/>
                <w:szCs w:val="20"/>
                <w:color w:val="auto"/>
              </w:rPr>
            </w:pPr>
            <w:r>
              <w:rPr>
                <w:rFonts w:ascii="Arial" w:cs="Arial" w:eastAsia="Arial" w:hAnsi="Arial"/>
                <w:sz w:val="18"/>
                <w:szCs w:val="18"/>
                <w:color w:val="auto"/>
              </w:rPr>
              <w:t>Subtotal</w:t>
            </w:r>
          </w:p>
        </w:tc>
        <w:tc>
          <w:tcPr>
            <w:tcW w:w="18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7"/>
                <w:szCs w:val="17"/>
                <w:color w:val="auto"/>
              </w:rPr>
            </w:pPr>
          </w:p>
        </w:tc>
        <w:tc>
          <w:tcPr>
            <w:tcW w:w="12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56%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8"/>
                <w:szCs w:val="18"/>
                <w:color w:val="auto"/>
                <w:w w:val="94"/>
              </w:rPr>
              <w:t>Change in fair value of warrant liabilities treated discretely</w:t>
            </w:r>
          </w:p>
        </w:tc>
        <w:tc>
          <w:tcPr>
            <w:tcW w:w="1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F0FFFF"/>
          </w:tcPr>
          <w:p>
            <w:pPr>
              <w:spacing w:after="0"/>
              <w:rPr>
                <w:sz w:val="18"/>
                <w:szCs w:val="18"/>
                <w:color w:val="auto"/>
              </w:rPr>
            </w:pPr>
          </w:p>
        </w:tc>
        <w:tc>
          <w:tcPr>
            <w:tcW w:w="12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60" w:type="dxa"/>
            <w:vAlign w:val="bottom"/>
            <w:shd w:val="clear" w:color="auto" w:fill="F0FFFF"/>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shd w:val="clear" w:color="auto" w:fill="F0FFFF"/>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F0FFFF"/>
          </w:tcPr>
          <w:p>
            <w:pPr>
              <w:spacing w:after="0"/>
              <w:rPr>
                <w:sz w:val="18"/>
                <w:szCs w:val="18"/>
                <w:color w:val="auto"/>
              </w:rPr>
            </w:pPr>
          </w:p>
        </w:tc>
        <w:tc>
          <w:tcPr>
            <w:tcW w:w="12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Deferred tax assets recorded on the balance sheets are as follows:</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vMerge w:val="restart"/>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8"/>
                <w:szCs w:val="18"/>
                <w:color w:val="auto"/>
                <w:w w:val="86"/>
              </w:rPr>
              <w:t>June 30,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20" w:type="dxa"/>
            <w:vAlign w:val="bottom"/>
            <w:gridSpan w:val="2"/>
          </w:tcPr>
          <w:p>
            <w:pPr>
              <w:ind w:left="1140"/>
              <w:spacing w:after="0"/>
              <w:rPr>
                <w:sz w:val="20"/>
                <w:szCs w:val="20"/>
                <w:color w:val="auto"/>
              </w:rPr>
            </w:pPr>
            <w:r>
              <w:rPr>
                <w:rFonts w:ascii="Arial" w:cs="Arial" w:eastAsia="Arial" w:hAnsi="Arial"/>
                <w:sz w:val="18"/>
                <w:szCs w:val="18"/>
                <w:color w:val="auto"/>
              </w:rPr>
              <w:t>Deferred Tax Assets: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8"/>
                <w:szCs w:val="18"/>
                <w:color w:val="auto"/>
              </w:rPr>
              <w:t>Current</w:t>
            </w:r>
          </w:p>
        </w:tc>
        <w:tc>
          <w:tcPr>
            <w:tcW w:w="20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1,258</w:t>
            </w:r>
          </w:p>
        </w:tc>
        <w:tc>
          <w:tcPr>
            <w:tcW w:w="180" w:type="dxa"/>
            <w:vAlign w:val="bottom"/>
            <w:tcBorders>
              <w:right w:val="single" w:sz="8" w:color="F0FFFF"/>
            </w:tcBorders>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3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Long-Term</w:t>
            </w:r>
          </w:p>
        </w:tc>
        <w:tc>
          <w:tcPr>
            <w:tcW w:w="18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25,761</w:t>
            </w:r>
          </w:p>
        </w:tc>
        <w:tc>
          <w:tcPr>
            <w:tcW w:w="1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25,788</w:t>
            </w:r>
          </w:p>
        </w:tc>
        <w:tc>
          <w:tcPr>
            <w:tcW w:w="100" w:type="dxa"/>
            <w:vAlign w:val="bottom"/>
            <w:tcBorders>
              <w:bottom w:val="single" w:sz="8" w:color="F0FF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4360" w:type="dxa"/>
            <w:vAlign w:val="bottom"/>
            <w:tcBorders>
              <w:bottom w:val="single" w:sz="8" w:color="F0FFFF"/>
            </w:tcBorders>
            <w:shd w:val="clear" w:color="auto" w:fill="F0FFFF"/>
          </w:tcPr>
          <w:p>
            <w:pPr>
              <w:spacing w:after="0"/>
              <w:rPr>
                <w:sz w:val="21"/>
                <w:szCs w:val="21"/>
                <w:color w:val="auto"/>
              </w:rPr>
            </w:pPr>
          </w:p>
        </w:tc>
        <w:tc>
          <w:tcPr>
            <w:tcW w:w="1920" w:type="dxa"/>
            <w:vAlign w:val="bottom"/>
            <w:tcBorders>
              <w:bottom w:val="single" w:sz="8" w:color="F0FFFF"/>
            </w:tcBorders>
            <w:gridSpan w:val="2"/>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27,019</w:t>
            </w:r>
          </w:p>
        </w:tc>
        <w:tc>
          <w:tcPr>
            <w:tcW w:w="180" w:type="dxa"/>
            <w:vAlign w:val="bottom"/>
            <w:tcBorders>
              <w:bottom w:val="single" w:sz="8" w:color="F0FFFF"/>
              <w:right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27,046</w:t>
            </w:r>
          </w:p>
        </w:tc>
        <w:tc>
          <w:tcPr>
            <w:tcW w:w="100" w:type="dxa"/>
            <w:vAlign w:val="bottom"/>
            <w:tcBorders>
              <w:bottom w:val="single" w:sz="8" w:color="F0FFFF"/>
            </w:tcBorders>
            <w:shd w:val="clear" w:color="auto" w:fill="F0FF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Borders>
              <w:top w:val="single" w:sz="8" w:color="F0FFFF"/>
            </w:tcBorders>
          </w:tcPr>
          <w:p>
            <w:pPr>
              <w:spacing w:after="0" w:line="20" w:lineRule="exact"/>
              <w:rPr>
                <w:sz w:val="1"/>
                <w:szCs w:val="1"/>
                <w:color w:val="auto"/>
              </w:rPr>
            </w:pPr>
          </w:p>
        </w:tc>
        <w:tc>
          <w:tcPr>
            <w:tcW w:w="1840" w:type="dxa"/>
            <w:vAlign w:val="bottom"/>
            <w:tcBorders>
              <w:top w:val="single" w:sz="8" w:color="F0FFFF"/>
              <w:bottom w:val="single" w:sz="8" w:color="F0FFFF"/>
            </w:tcBorders>
            <w:vMerge w:val="restart"/>
          </w:tcPr>
          <w:p>
            <w:pPr>
              <w:jc w:val="right"/>
              <w:ind w:right="1470"/>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160" w:type="dxa"/>
            <w:vAlign w:val="bottom"/>
            <w:tcBorders>
              <w:bottom w:val="single" w:sz="8" w:color="DCDCDC"/>
            </w:tcBorders>
          </w:tcPr>
          <w:p>
            <w:pPr>
              <w:spacing w:after="0"/>
              <w:rPr>
                <w:sz w:val="24"/>
                <w:szCs w:val="24"/>
                <w:color w:val="auto"/>
              </w:rPr>
            </w:pPr>
          </w:p>
        </w:tc>
        <w:tc>
          <w:tcPr>
            <w:tcW w:w="4360" w:type="dxa"/>
            <w:vAlign w:val="bottom"/>
            <w:tcBorders>
              <w:bottom w:val="single" w:sz="8" w:color="DCDCDC"/>
            </w:tcBorders>
          </w:tcPr>
          <w:p>
            <w:pPr>
              <w:spacing w:after="0"/>
              <w:rPr>
                <w:sz w:val="24"/>
                <w:szCs w:val="24"/>
                <w:color w:val="auto"/>
              </w:rPr>
            </w:pPr>
          </w:p>
        </w:tc>
        <w:tc>
          <w:tcPr>
            <w:tcW w:w="1840" w:type="dxa"/>
            <w:vAlign w:val="bottom"/>
            <w:tcBorders>
              <w:bottom w:val="single" w:sz="8" w:color="DCDCDC"/>
            </w:tcBorders>
            <w:vMerge w:val="continue"/>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option granted is estimated on the date of the grant using the Black-Scholes option pricing model with the following weighted-average assumptions used for options granted during:</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2300" w:type="dxa"/>
        <w:tblCellMar>
          <w:top w:w="0" w:type="dxa"/>
          <w:left w:w="0" w:type="dxa"/>
          <w:bottom w:w="0" w:type="dxa"/>
          <w:right w:w="0" w:type="dxa"/>
        </w:tblCellMar>
      </w:tblPr>
      <w:tr>
        <w:trPr>
          <w:trHeight w:val="244"/>
        </w:trPr>
        <w:tc>
          <w:tcPr>
            <w:tcW w:w="3980" w:type="dxa"/>
            <w:vAlign w:val="bottom"/>
            <w:tcBorders>
              <w:bottom w:val="single" w:sz="8" w:color="F0FF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F0FF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F0FFFF"/>
            </w:tcBorders>
          </w:tcPr>
          <w:p>
            <w:pPr>
              <w:spacing w:after="0"/>
              <w:rPr>
                <w:sz w:val="21"/>
                <w:szCs w:val="21"/>
                <w:color w:val="auto"/>
              </w:rPr>
            </w:pPr>
          </w:p>
        </w:tc>
      </w:tr>
      <w:tr>
        <w:trPr>
          <w:trHeight w:val="216"/>
        </w:trPr>
        <w:tc>
          <w:tcPr>
            <w:tcW w:w="39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63-66%</w:t>
            </w:r>
          </w:p>
        </w:tc>
        <w:tc>
          <w:tcPr>
            <w:tcW w:w="200" w:type="dxa"/>
            <w:vAlign w:val="bottom"/>
            <w:shd w:val="clear" w:color="auto" w:fill="F0FFFF"/>
          </w:tcPr>
          <w:p>
            <w:pPr>
              <w:spacing w:after="0"/>
              <w:rPr>
                <w:sz w:val="18"/>
                <w:szCs w:val="18"/>
                <w:color w:val="auto"/>
              </w:rPr>
            </w:pPr>
          </w:p>
        </w:tc>
        <w:tc>
          <w:tcPr>
            <w:tcW w:w="1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F0FFFF"/>
          </w:tcPr>
          <w:p>
            <w:pPr>
              <w:spacing w:after="0"/>
              <w:rPr>
                <w:sz w:val="18"/>
                <w:szCs w:val="18"/>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Expected life</w:t>
            </w:r>
          </w:p>
        </w:tc>
        <w:tc>
          <w:tcPr>
            <w:tcW w:w="1460" w:type="dxa"/>
            <w:vAlign w:val="bottom"/>
            <w:gridSpan w:val="2"/>
          </w:tcPr>
          <w:p>
            <w:pPr>
              <w:ind w:left="360"/>
              <w:spacing w:after="0"/>
              <w:rPr>
                <w:sz w:val="20"/>
                <w:szCs w:val="20"/>
                <w:color w:val="auto"/>
              </w:rPr>
            </w:pPr>
            <w:r>
              <w:rPr>
                <w:rFonts w:ascii="Arial" w:cs="Arial" w:eastAsia="Arial" w:hAnsi="Arial"/>
                <w:sz w:val="18"/>
                <w:szCs w:val="18"/>
                <w:color w:val="auto"/>
              </w:rPr>
              <w:t>4 - 4.5 years</w:t>
            </w:r>
          </w:p>
        </w:tc>
        <w:tc>
          <w:tcPr>
            <w:tcW w:w="1400" w:type="dxa"/>
            <w:vAlign w:val="bottom"/>
            <w:gridSpan w:val="2"/>
          </w:tcPr>
          <w:p>
            <w:pPr>
              <w:ind w:left="760"/>
              <w:spacing w:after="0"/>
              <w:rPr>
                <w:sz w:val="20"/>
                <w:szCs w:val="20"/>
                <w:color w:val="auto"/>
              </w:rPr>
            </w:pPr>
            <w:r>
              <w:rPr>
                <w:rFonts w:ascii="Arial" w:cs="Arial" w:eastAsia="Arial" w:hAnsi="Arial"/>
                <w:sz w:val="18"/>
                <w:szCs w:val="18"/>
                <w:color w:val="auto"/>
              </w:rPr>
              <w:t>7 years</w:t>
            </w:r>
          </w:p>
        </w:tc>
      </w:tr>
      <w:tr>
        <w:trPr>
          <w:trHeight w:val="216"/>
        </w:trPr>
        <w:tc>
          <w:tcPr>
            <w:tcW w:w="39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Expected dividends</w:t>
            </w:r>
          </w:p>
        </w:tc>
        <w:tc>
          <w:tcPr>
            <w:tcW w:w="14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0.00%</w:t>
            </w: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1.34-1.49%</w:t>
            </w: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based compensation related to stock options for the three months ended September 30, 2015 and 2014 was $115 thousand and $52 thousand, respectively. Unrecognized compensation related to stock option grants as of September 30, 2015 was $444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outstanding stock options for the three months ended September 30, 2015 and 2014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Weighted</w:t>
            </w:r>
          </w:p>
        </w:tc>
        <w:tc>
          <w:tcPr>
            <w:tcW w:w="240" w:type="dxa"/>
            <w:vAlign w:val="bottom"/>
          </w:tcPr>
          <w:p>
            <w:pPr>
              <w:spacing w:after="0"/>
              <w:rPr>
                <w:sz w:val="17"/>
                <w:szCs w:val="17"/>
                <w:color w:val="auto"/>
              </w:rPr>
            </w:pPr>
          </w:p>
        </w:tc>
        <w:tc>
          <w:tcPr>
            <w:tcW w:w="12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Weighted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Weighted</w:t>
            </w:r>
          </w:p>
        </w:tc>
        <w:tc>
          <w:tcPr>
            <w:tcW w:w="200" w:type="dxa"/>
            <w:vAlign w:val="bottom"/>
          </w:tcPr>
          <w:p>
            <w:pPr>
              <w:spacing w:after="0"/>
              <w:rPr>
                <w:sz w:val="17"/>
                <w:szCs w:val="17"/>
                <w:color w:val="auto"/>
              </w:rPr>
            </w:pPr>
          </w:p>
        </w:tc>
        <w:tc>
          <w:tcPr>
            <w:tcW w:w="126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Average Grant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Average Grant</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0"/>
              </w:rPr>
              <w:t>Exercise Price</w:t>
            </w:r>
          </w:p>
        </w:tc>
        <w:tc>
          <w:tcPr>
            <w:tcW w:w="2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88"/>
              </w:rPr>
              <w:t>Exercise Price</w:t>
            </w:r>
          </w:p>
        </w:tc>
        <w:tc>
          <w:tcPr>
            <w:tcW w:w="2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Date Fair Value</w:t>
            </w:r>
          </w:p>
        </w:tc>
        <w:tc>
          <w:tcPr>
            <w:tcW w:w="0" w:type="dxa"/>
            <w:vAlign w:val="bottom"/>
          </w:tcPr>
          <w:p>
            <w:pPr>
              <w:spacing w:after="0"/>
              <w:rPr>
                <w:sz w:val="1"/>
                <w:szCs w:val="1"/>
                <w:color w:val="auto"/>
              </w:rPr>
            </w:pPr>
          </w:p>
        </w:tc>
      </w:tr>
      <w:tr>
        <w:trPr>
          <w:trHeight w:val="188"/>
        </w:trPr>
        <w:tc>
          <w:tcPr>
            <w:tcW w:w="242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color w:val="auto"/>
                <w:w w:val="96"/>
              </w:rPr>
              <w:t>Options outstanding, beginning</w:t>
            </w:r>
          </w:p>
        </w:tc>
        <w:tc>
          <w:tcPr>
            <w:tcW w:w="128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1280" w:type="dxa"/>
            <w:vAlign w:val="bottom"/>
            <w:tcBorders>
              <w:top w:val="single" w:sz="8" w:color="auto"/>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126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240" w:type="dxa"/>
            <w:vAlign w:val="bottom"/>
            <w:tcBorders>
              <w:top w:val="single" w:sz="8" w:color="auto"/>
            </w:tcBorders>
            <w:shd w:val="clear" w:color="auto" w:fill="F0FFFF"/>
          </w:tcPr>
          <w:p>
            <w:pPr>
              <w:spacing w:after="0"/>
              <w:rPr>
                <w:sz w:val="16"/>
                <w:szCs w:val="16"/>
                <w:color w:val="auto"/>
              </w:rPr>
            </w:pPr>
          </w:p>
        </w:tc>
        <w:tc>
          <w:tcPr>
            <w:tcW w:w="320" w:type="dxa"/>
            <w:vAlign w:val="bottom"/>
            <w:tcBorders>
              <w:top w:val="single" w:sz="8" w:color="auto"/>
            </w:tcBorders>
            <w:shd w:val="clear" w:color="auto" w:fill="F0FFFF"/>
          </w:tcPr>
          <w:p>
            <w:pPr>
              <w:spacing w:after="0"/>
              <w:rPr>
                <w:sz w:val="16"/>
                <w:szCs w:val="16"/>
                <w:color w:val="auto"/>
              </w:rPr>
            </w:pPr>
          </w:p>
        </w:tc>
        <w:tc>
          <w:tcPr>
            <w:tcW w:w="1260" w:type="dxa"/>
            <w:vAlign w:val="bottom"/>
            <w:tcBorders>
              <w:top w:val="single" w:sz="8" w:color="auto"/>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126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of period</w:t>
            </w:r>
          </w:p>
        </w:tc>
        <w:tc>
          <w:tcPr>
            <w:tcW w:w="1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538,888</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1.33</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119,586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240" w:type="dxa"/>
            <w:vAlign w:val="bottom"/>
          </w:tcPr>
          <w:p>
            <w:pPr>
              <w:jc w:val="right"/>
              <w:spacing w:after="0"/>
              <w:rPr>
                <w:sz w:val="20"/>
                <w:szCs w:val="20"/>
                <w:color w:val="auto"/>
              </w:rPr>
            </w:pPr>
            <w:r>
              <w:rPr>
                <w:rFonts w:ascii="Arial" w:cs="Arial" w:eastAsia="Arial" w:hAnsi="Arial"/>
                <w:sz w:val="18"/>
                <w:szCs w:val="18"/>
                <w:color w:val="auto"/>
              </w:rPr>
              <w:t>328,888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420" w:type="dxa"/>
            <w:vAlign w:val="bottom"/>
            <w:shd w:val="clear" w:color="auto" w:fill="F0FF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Expired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20" w:type="dxa"/>
            <w:vAlign w:val="bottom"/>
          </w:tcPr>
          <w:p>
            <w:pPr>
              <w:spacing w:after="0" w:line="176" w:lineRule="exact"/>
              <w:rPr>
                <w:sz w:val="20"/>
                <w:szCs w:val="20"/>
                <w:color w:val="auto"/>
              </w:rPr>
            </w:pPr>
            <w:r>
              <w:rPr>
                <w:rFonts w:ascii="Arial" w:cs="Arial" w:eastAsia="Arial" w:hAnsi="Arial"/>
                <w:sz w:val="18"/>
                <w:szCs w:val="18"/>
                <w:color w:val="auto"/>
              </w:rPr>
              <w:t>Options outstanding, end of</w:t>
            </w:r>
          </w:p>
        </w:tc>
        <w:tc>
          <w:tcPr>
            <w:tcW w:w="14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658,474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rPr>
              <w:t>2.14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448,888</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1.87</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160"/>
              <w:spacing w:after="0" w:line="203" w:lineRule="exact"/>
              <w:rPr>
                <w:sz w:val="20"/>
                <w:szCs w:val="20"/>
                <w:color w:val="auto"/>
              </w:rPr>
            </w:pPr>
            <w:r>
              <w:rPr>
                <w:rFonts w:ascii="Arial" w:cs="Arial" w:eastAsia="Arial" w:hAnsi="Arial"/>
                <w:sz w:val="18"/>
                <w:szCs w:val="18"/>
                <w:color w:val="auto"/>
              </w:rPr>
              <w:t>period</w:t>
            </w:r>
          </w:p>
        </w:tc>
        <w:tc>
          <w:tcPr>
            <w:tcW w:w="140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unvested stock options for the three months ended September 30, 2015 and 2014 consisted of the following:</w:t>
      </w:r>
    </w:p>
    <w:p>
      <w:pPr>
        <w:sectPr>
          <w:pgSz w:w="11900" w:h="16838" w:orient="portrait"/>
          <w:cols w:equalWidth="0" w:num="1">
            <w:col w:w="11420"/>
          </w:cols>
          <w:pgMar w:left="240" w:top="877" w:right="239" w:bottom="4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Unvested options, beginning of period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Forfeited</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Unvested options,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9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2015</w:t>
            </w:r>
          </w:p>
        </w:tc>
      </w:tr>
      <w:tr>
        <w:trPr>
          <w:trHeight w:val="202"/>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w w:val="97"/>
              </w:rPr>
              <w:t>Weighted Average</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w w:val="91"/>
              </w:rPr>
              <w:t>Grant Date Fair</w:t>
            </w:r>
          </w:p>
        </w:tc>
      </w:tr>
      <w:tr>
        <w:trPr>
          <w:trHeight w:val="237"/>
        </w:trPr>
        <w:tc>
          <w:tcPr>
            <w:tcW w:w="13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Value</w:t>
            </w:r>
          </w:p>
        </w:tc>
      </w:tr>
      <w:tr>
        <w:trPr>
          <w:trHeight w:val="202"/>
        </w:trPr>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505,553</w:t>
            </w:r>
          </w:p>
        </w:tc>
        <w:tc>
          <w:tcPr>
            <w:tcW w:w="120" w:type="dxa"/>
            <w:vAlign w:val="bottom"/>
          </w:tcPr>
          <w:p>
            <w:pPr>
              <w:spacing w:after="0"/>
              <w:rPr>
                <w:sz w:val="17"/>
                <w:szCs w:val="17"/>
                <w:color w:val="auto"/>
              </w:rPr>
            </w:pPr>
          </w:p>
        </w:tc>
        <w:tc>
          <w:tcPr>
            <w:tcW w:w="2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1.32</w:t>
            </w:r>
          </w:p>
        </w:tc>
      </w:tr>
      <w:tr>
        <w:trPr>
          <w:trHeight w:val="216"/>
        </w:trPr>
        <w:tc>
          <w:tcPr>
            <w:tcW w:w="1240" w:type="dxa"/>
            <w:vAlign w:val="bottom"/>
          </w:tcPr>
          <w:p>
            <w:pPr>
              <w:jc w:val="right"/>
              <w:spacing w:after="0"/>
              <w:rPr>
                <w:sz w:val="20"/>
                <w:szCs w:val="20"/>
                <w:color w:val="auto"/>
              </w:rPr>
            </w:pPr>
            <w:r>
              <w:rPr>
                <w:rFonts w:ascii="Arial" w:cs="Arial" w:eastAsia="Arial" w:hAnsi="Arial"/>
                <w:sz w:val="18"/>
                <w:szCs w:val="18"/>
                <w:color w:val="auto"/>
              </w:rPr>
              <w:t>119,586</w:t>
            </w:r>
          </w:p>
        </w:tc>
        <w:tc>
          <w:tcPr>
            <w:tcW w:w="12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(168,888)</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456,251</w:t>
            </w:r>
          </w:p>
        </w:tc>
        <w:tc>
          <w:tcPr>
            <w:tcW w:w="120" w:type="dxa"/>
            <w:vAlign w:val="bottom"/>
          </w:tcPr>
          <w:p>
            <w:pPr>
              <w:spacing w:after="0"/>
              <w:rPr>
                <w:sz w:val="19"/>
                <w:szCs w:val="19"/>
                <w:color w:val="auto"/>
              </w:rPr>
            </w:pPr>
          </w:p>
        </w:tc>
        <w:tc>
          <w:tcPr>
            <w:tcW w:w="20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-762635</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-479425</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-187960</wp:posOffset>
            </wp:positionV>
            <wp:extent cx="57975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28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w w:val="99"/>
              </w:rPr>
              <w:t>2014</w:t>
            </w:r>
          </w:p>
        </w:tc>
      </w:tr>
      <w:tr>
        <w:trPr>
          <w:trHeight w:val="202"/>
        </w:trPr>
        <w:tc>
          <w:tcPr>
            <w:tcW w:w="1280" w:type="dxa"/>
            <w:vAlign w:val="bottom"/>
          </w:tcPr>
          <w:p>
            <w:pPr>
              <w:spacing w:after="0"/>
              <w:rPr>
                <w:sz w:val="17"/>
                <w:szCs w:val="17"/>
                <w:color w:val="auto"/>
              </w:rPr>
            </w:pPr>
          </w:p>
        </w:tc>
        <w:tc>
          <w:tcPr>
            <w:tcW w:w="1760" w:type="dxa"/>
            <w:vAlign w:val="bottom"/>
            <w:gridSpan w:val="2"/>
          </w:tcPr>
          <w:p>
            <w:pPr>
              <w:jc w:val="center"/>
              <w:ind w:left="70"/>
              <w:spacing w:after="0" w:line="201" w:lineRule="exact"/>
              <w:rPr>
                <w:sz w:val="20"/>
                <w:szCs w:val="20"/>
                <w:color w:val="auto"/>
              </w:rPr>
            </w:pPr>
            <w:r>
              <w:rPr>
                <w:rFonts w:ascii="Arial" w:cs="Arial" w:eastAsia="Arial" w:hAnsi="Arial"/>
                <w:sz w:val="18"/>
                <w:szCs w:val="18"/>
                <w:color w:val="auto"/>
                <w:w w:val="89"/>
              </w:rPr>
              <w:t>Weighted Average</w:t>
            </w:r>
          </w:p>
        </w:tc>
      </w:tr>
      <w:tr>
        <w:trPr>
          <w:trHeight w:val="216"/>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0"/>
              </w:rPr>
              <w:t>Grant Date Fair</w:t>
            </w:r>
          </w:p>
        </w:tc>
      </w:tr>
      <w:tr>
        <w:trPr>
          <w:trHeight w:val="237"/>
        </w:trPr>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r>
      <w:tr>
        <w:trPr>
          <w:trHeight w:val="202"/>
        </w:trPr>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120,000</w:t>
            </w: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1.49</w:t>
            </w:r>
          </w:p>
        </w:tc>
      </w:tr>
      <w:tr>
        <w:trPr>
          <w:trHeight w:val="216"/>
        </w:trPr>
        <w:tc>
          <w:tcPr>
            <w:tcW w:w="1280" w:type="dxa"/>
            <w:vAlign w:val="bottom"/>
          </w:tcPr>
          <w:p>
            <w:pPr>
              <w:jc w:val="right"/>
              <w:spacing w:after="0"/>
              <w:rPr>
                <w:sz w:val="20"/>
                <w:szCs w:val="20"/>
                <w:color w:val="auto"/>
              </w:rPr>
            </w:pPr>
            <w:r>
              <w:rPr>
                <w:rFonts w:ascii="Arial" w:cs="Arial" w:eastAsia="Arial" w:hAnsi="Arial"/>
                <w:sz w:val="18"/>
                <w:szCs w:val="18"/>
                <w:color w:val="auto"/>
              </w:rPr>
              <w:t>328,888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448,888</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1.33</w:t>
            </w: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920" w:space="100"/>
            <w:col w:w="2920" w:space="200"/>
            <w:col w:w="4280"/>
          </w:cols>
          <w:pgMar w:left="240" w:top="877" w:right="239" w:bottom="468"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prices of stock options outstanding as of September 30 and June 30, 2015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3"/>
          </w:tcPr>
          <w:p>
            <w:pPr>
              <w:ind w:left="640"/>
              <w:spacing w:after="0"/>
              <w:rPr>
                <w:sz w:val="20"/>
                <w:szCs w:val="20"/>
                <w:color w:val="auto"/>
              </w:rPr>
            </w:pPr>
            <w:r>
              <w:rPr>
                <w:rFonts w:ascii="Arial" w:cs="Arial" w:eastAsia="Arial" w:hAnsi="Arial"/>
                <w:sz w:val="18"/>
                <w:szCs w:val="18"/>
                <w:color w:val="auto"/>
              </w:rPr>
              <w:t>September 30, 2015</w:t>
            </w:r>
          </w:p>
        </w:tc>
        <w:tc>
          <w:tcPr>
            <w:tcW w:w="2920" w:type="dxa"/>
            <w:vAlign w:val="bottom"/>
            <w:gridSpan w:val="3"/>
          </w:tcPr>
          <w:p>
            <w:pPr>
              <w:ind w:left="900"/>
              <w:spacing w:after="0"/>
              <w:rPr>
                <w:sz w:val="20"/>
                <w:szCs w:val="20"/>
                <w:color w:val="auto"/>
              </w:rPr>
            </w:pPr>
            <w:r>
              <w:rPr>
                <w:rFonts w:ascii="Arial" w:cs="Arial" w:eastAsia="Arial" w:hAnsi="Arial"/>
                <w:sz w:val="18"/>
                <w:szCs w:val="18"/>
                <w:color w:val="auto"/>
              </w:rPr>
              <w:t>June 30, 2015</w:t>
            </w:r>
          </w:p>
        </w:tc>
        <w:tc>
          <w:tcPr>
            <w:tcW w:w="1720" w:type="dxa"/>
            <w:vAlign w:val="bottom"/>
          </w:tcPr>
          <w:p>
            <w:pPr>
              <w:spacing w:after="0"/>
              <w:rPr>
                <w:sz w:val="20"/>
                <w:szCs w:val="20"/>
                <w:color w:val="auto"/>
              </w:rPr>
            </w:pPr>
          </w:p>
        </w:tc>
      </w:tr>
      <w:tr>
        <w:trPr>
          <w:trHeight w:val="230"/>
        </w:trPr>
        <w:tc>
          <w:tcPr>
            <w:tcW w:w="1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4"/>
        </w:trPr>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Options</w:t>
            </w: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Options</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Options</w:t>
            </w: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Options</w:t>
            </w:r>
          </w:p>
        </w:tc>
        <w:tc>
          <w:tcPr>
            <w:tcW w:w="1720" w:type="dxa"/>
            <w:vAlign w:val="bottom"/>
          </w:tcPr>
          <w:p>
            <w:pPr>
              <w:spacing w:after="0"/>
              <w:rPr>
                <w:sz w:val="24"/>
                <w:szCs w:val="24"/>
                <w:color w:val="auto"/>
              </w:rPr>
            </w:pPr>
          </w:p>
        </w:tc>
      </w:tr>
      <w:tr>
        <w:trPr>
          <w:trHeight w:val="237"/>
        </w:trPr>
        <w:tc>
          <w:tcPr>
            <w:tcW w:w="3880" w:type="dxa"/>
            <w:vAlign w:val="bottom"/>
            <w:gridSpan w:val="3"/>
          </w:tcPr>
          <w:p>
            <w:pPr>
              <w:ind w:left="1720"/>
              <w:spacing w:after="0"/>
              <w:rPr>
                <w:sz w:val="20"/>
                <w:szCs w:val="20"/>
                <w:color w:val="auto"/>
              </w:rPr>
            </w:pPr>
            <w:r>
              <w:rPr>
                <w:rFonts w:ascii="Arial" w:cs="Arial" w:eastAsia="Arial" w:hAnsi="Arial"/>
                <w:sz w:val="18"/>
                <w:szCs w:val="18"/>
                <w:color w:val="auto"/>
              </w:rPr>
              <w:t>Range of Exercise Prices</w:t>
            </w: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Outstanding</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Exercisable</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Outstanding</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Exercisable</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20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$1.62 to $1.68</w:t>
            </w:r>
          </w:p>
        </w:tc>
        <w:tc>
          <w:tcPr>
            <w:tcW w:w="100" w:type="dxa"/>
            <w:vAlign w:val="bottom"/>
            <w:tcBorders>
              <w:top w:val="single" w:sz="8" w:color="F0FFFF"/>
            </w:tcBorders>
            <w:shd w:val="clear" w:color="auto" w:fill="F0FFFF"/>
          </w:tcPr>
          <w:p>
            <w:pPr>
              <w:spacing w:after="0"/>
              <w:rPr>
                <w:sz w:val="18"/>
                <w:szCs w:val="18"/>
                <w:color w:val="auto"/>
              </w:rPr>
            </w:pPr>
          </w:p>
        </w:tc>
        <w:tc>
          <w:tcPr>
            <w:tcW w:w="1480" w:type="dxa"/>
            <w:vAlign w:val="bottom"/>
            <w:tcBorders>
              <w:top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75,000</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F0FFFF"/>
            </w:tcBorders>
            <w:shd w:val="clear" w:color="auto" w:fill="F0FFFF"/>
          </w:tcPr>
          <w:p>
            <w:pPr>
              <w:spacing w:after="0"/>
              <w:rPr>
                <w:sz w:val="18"/>
                <w:szCs w:val="18"/>
                <w:color w:val="auto"/>
              </w:rPr>
            </w:pPr>
          </w:p>
        </w:tc>
        <w:tc>
          <w:tcPr>
            <w:tcW w:w="1520" w:type="dxa"/>
            <w:vAlign w:val="bottom"/>
            <w:tcBorders>
              <w:top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75,000</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328,888</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168,888</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328,888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60" w:type="dxa"/>
            <w:vAlign w:val="bottom"/>
            <w:shd w:val="clear" w:color="auto" w:fill="F0FFFF"/>
          </w:tcPr>
          <w:p>
            <w:pPr>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F0FFFF"/>
          </w:tcPr>
          <w:p>
            <w:pPr>
              <w:spacing w:after="0"/>
              <w:rPr>
                <w:sz w:val="18"/>
                <w:szCs w:val="18"/>
                <w:color w:val="auto"/>
              </w:rPr>
            </w:pPr>
          </w:p>
        </w:tc>
        <w:tc>
          <w:tcPr>
            <w:tcW w:w="1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100,000</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33,335</w:t>
            </w:r>
          </w:p>
        </w:tc>
        <w:tc>
          <w:tcPr>
            <w:tcW w:w="15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33,335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10,000</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10,000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60" w:type="dxa"/>
            <w:vAlign w:val="bottom"/>
            <w:shd w:val="clear" w:color="auto" w:fill="F0FFFF"/>
          </w:tcPr>
          <w:p>
            <w:pPr>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F0FFFF"/>
          </w:tcPr>
          <w:p>
            <w:pPr>
              <w:spacing w:after="0"/>
              <w:rPr>
                <w:sz w:val="18"/>
                <w:szCs w:val="18"/>
                <w:color w:val="auto"/>
              </w:rPr>
            </w:pPr>
          </w:p>
        </w:tc>
        <w:tc>
          <w:tcPr>
            <w:tcW w:w="1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25,000</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50"/>
        </w:trPr>
        <w:tc>
          <w:tcPr>
            <w:tcW w:w="1720" w:type="dxa"/>
            <w:vAlign w:val="bottom"/>
          </w:tcPr>
          <w:p>
            <w:pPr>
              <w:spacing w:after="0"/>
              <w:rPr>
                <w:sz w:val="21"/>
                <w:szCs w:val="21"/>
                <w:color w:val="auto"/>
              </w:rPr>
            </w:pPr>
          </w:p>
        </w:tc>
        <w:tc>
          <w:tcPr>
            <w:tcW w:w="20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F0FFFF"/>
            </w:tcBorders>
          </w:tcPr>
          <w:p>
            <w:pPr>
              <w:spacing w:after="0"/>
              <w:rPr>
                <w:sz w:val="21"/>
                <w:szCs w:val="21"/>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119,586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tcPr>
          <w:p>
            <w:pPr>
              <w:spacing w:after="0"/>
              <w:rPr>
                <w:sz w:val="21"/>
                <w:szCs w:val="21"/>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1"/>
                <w:szCs w:val="21"/>
                <w:color w:val="auto"/>
              </w:rPr>
            </w:pPr>
          </w:p>
        </w:tc>
        <w:tc>
          <w:tcPr>
            <w:tcW w:w="1720" w:type="dxa"/>
            <w:vAlign w:val="bottom"/>
          </w:tcPr>
          <w:p>
            <w:pPr>
              <w:spacing w:after="0"/>
              <w:rPr>
                <w:sz w:val="21"/>
                <w:szCs w:val="21"/>
                <w:color w:val="auto"/>
              </w:rPr>
            </w:pPr>
          </w:p>
        </w:tc>
      </w:tr>
      <w:tr>
        <w:trPr>
          <w:trHeight w:val="290"/>
        </w:trPr>
        <w:tc>
          <w:tcPr>
            <w:tcW w:w="1720" w:type="dxa"/>
            <w:vAlign w:val="bottom"/>
          </w:tcPr>
          <w:p>
            <w:pPr>
              <w:spacing w:after="0"/>
              <w:rPr>
                <w:sz w:val="24"/>
                <w:szCs w:val="24"/>
                <w:color w:val="auto"/>
              </w:rPr>
            </w:pPr>
          </w:p>
        </w:tc>
        <w:tc>
          <w:tcPr>
            <w:tcW w:w="20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658,474</w:t>
            </w: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202,223</w:t>
            </w:r>
          </w:p>
        </w:tc>
        <w:tc>
          <w:tcPr>
            <w:tcW w:w="15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538,888</w:t>
            </w: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33,335</w:t>
            </w:r>
          </w:p>
        </w:tc>
        <w:tc>
          <w:tcPr>
            <w:tcW w:w="1720" w:type="dxa"/>
            <w:vAlign w:val="bottom"/>
          </w:tcPr>
          <w:p>
            <w:pPr>
              <w:spacing w:after="0"/>
              <w:rPr>
                <w:sz w:val="24"/>
                <w:szCs w:val="24"/>
                <w:color w:val="auto"/>
              </w:rPr>
            </w:pPr>
          </w:p>
        </w:tc>
      </w:tr>
      <w:tr>
        <w:trPr>
          <w:trHeight w:val="20"/>
        </w:trPr>
        <w:tc>
          <w:tcPr>
            <w:tcW w:w="1720" w:type="dxa"/>
            <w:vAlign w:val="bottom"/>
          </w:tcPr>
          <w:p>
            <w:pPr>
              <w:spacing w:after="0" w:line="20" w:lineRule="exact"/>
              <w:rPr>
                <w:sz w:val="1"/>
                <w:szCs w:val="1"/>
                <w:color w:val="auto"/>
              </w:rPr>
            </w:pPr>
          </w:p>
        </w:tc>
        <w:tc>
          <w:tcPr>
            <w:tcW w:w="20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2"/>
        </w:trPr>
        <w:tc>
          <w:tcPr>
            <w:tcW w:w="172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jc w:val="right"/>
              <w:ind w:right="71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DCDCDC"/>
            </w:tcBorders>
          </w:tcPr>
          <w:p>
            <w:pPr>
              <w:spacing w:after="0"/>
              <w:rPr>
                <w:sz w:val="24"/>
                <w:szCs w:val="24"/>
                <w:color w:val="auto"/>
              </w:rPr>
            </w:pPr>
          </w:p>
        </w:tc>
        <w:tc>
          <w:tcPr>
            <w:tcW w:w="1520" w:type="dxa"/>
            <w:vAlign w:val="bottom"/>
            <w:tcBorders>
              <w:bottom w:val="single" w:sz="8" w:color="DCDCDC"/>
            </w:tcBorders>
          </w:tcPr>
          <w:p>
            <w:pPr>
              <w:spacing w:after="0"/>
              <w:rPr>
                <w:sz w:val="24"/>
                <w:szCs w:val="24"/>
                <w:color w:val="auto"/>
              </w:rPr>
            </w:pPr>
          </w:p>
        </w:tc>
        <w:tc>
          <w:tcPr>
            <w:tcW w:w="13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468" w:gutter="0" w:footer="0" w:header="0"/>
          <w:type w:val="continuous"/>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3"/>
          </w:tcPr>
          <w:p>
            <w:pPr>
              <w:jc w:val="right"/>
              <w:ind w:right="550"/>
              <w:spacing w:after="0"/>
              <w:rPr>
                <w:sz w:val="20"/>
                <w:szCs w:val="20"/>
                <w:color w:val="auto"/>
              </w:rPr>
            </w:pPr>
            <w:r>
              <w:rPr>
                <w:rFonts w:ascii="Arial" w:cs="Arial" w:eastAsia="Arial" w:hAnsi="Arial"/>
                <w:sz w:val="18"/>
                <w:szCs w:val="18"/>
                <w:color w:val="auto"/>
              </w:rPr>
              <w:t>September 30, 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ind w:left="740"/>
              <w:spacing w:after="0"/>
              <w:rPr>
                <w:sz w:val="20"/>
                <w:szCs w:val="20"/>
                <w:color w:val="auto"/>
              </w:rPr>
            </w:pPr>
            <w:r>
              <w:rPr>
                <w:rFonts w:ascii="Arial" w:cs="Arial" w:eastAsia="Arial" w:hAnsi="Arial"/>
                <w:sz w:val="18"/>
                <w:szCs w:val="18"/>
                <w:color w:val="auto"/>
              </w:rPr>
              <w:t>June 30, 2015</w:t>
            </w: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3"/>
          </w:tcPr>
          <w:p>
            <w:pPr>
              <w:jc w:val="right"/>
              <w:ind w:right="87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04"/>
        </w:trPr>
        <w:tc>
          <w:tcPr>
            <w:tcW w:w="3760" w:type="dxa"/>
            <w:vAlign w:val="bottom"/>
            <w:gridSpan w:val="2"/>
          </w:tcPr>
          <w:p>
            <w:pPr>
              <w:spacing w:after="0"/>
              <w:rPr>
                <w:sz w:val="20"/>
                <w:szCs w:val="20"/>
                <w:color w:val="auto"/>
              </w:rPr>
            </w:pPr>
            <w:r>
              <w:rPr>
                <w:rFonts w:ascii="Arial" w:cs="Arial" w:eastAsia="Arial" w:hAnsi="Arial"/>
                <w:sz w:val="18"/>
                <w:szCs w:val="18"/>
                <w:color w:val="auto"/>
                <w:w w:val="91"/>
              </w:rPr>
              <w:t>($ in thousands except per share price and number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Options</w:t>
            </w:r>
          </w:p>
        </w:tc>
        <w:tc>
          <w:tcPr>
            <w:tcW w:w="2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Options</w:t>
            </w:r>
          </w:p>
        </w:tc>
      </w:tr>
      <w:tr>
        <w:trPr>
          <w:trHeight w:val="251"/>
        </w:trPr>
        <w:tc>
          <w:tcPr>
            <w:tcW w:w="3760" w:type="dxa"/>
            <w:vAlign w:val="bottom"/>
            <w:gridSpan w:val="2"/>
          </w:tcPr>
          <w:p>
            <w:pPr>
              <w:spacing w:after="0"/>
              <w:rPr>
                <w:sz w:val="20"/>
                <w:szCs w:val="20"/>
                <w:color w:val="auto"/>
              </w:rPr>
            </w:pPr>
            <w:r>
              <w:rPr>
                <w:rFonts w:ascii="Arial" w:cs="Arial" w:eastAsia="Arial" w:hAnsi="Arial"/>
                <w:sz w:val="18"/>
                <w:szCs w:val="18"/>
                <w:color w:val="auto"/>
              </w:rPr>
              <w:t>of options)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2"/>
              </w:rPr>
              <w:t>Outstanding</w:t>
            </w:r>
          </w:p>
        </w:tc>
        <w:tc>
          <w:tcPr>
            <w:tcW w:w="2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4"/>
              </w:rPr>
              <w:t>Exercisable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w w:val="94"/>
              </w:rPr>
              <w:t>Outstanding</w:t>
            </w:r>
          </w:p>
        </w:tc>
        <w:tc>
          <w:tcPr>
            <w:tcW w:w="2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Exercisable</w:t>
            </w:r>
          </w:p>
        </w:tc>
      </w:tr>
      <w:tr>
        <w:trPr>
          <w:trHeight w:val="216"/>
        </w:trPr>
        <w:tc>
          <w:tcPr>
            <w:tcW w:w="20" w:type="dxa"/>
            <w:vAlign w:val="bottom"/>
          </w:tcPr>
          <w:p>
            <w:pPr>
              <w:spacing w:after="0"/>
              <w:rPr>
                <w:sz w:val="18"/>
                <w:szCs w:val="18"/>
                <w:color w:val="auto"/>
              </w:rPr>
            </w:pPr>
          </w:p>
        </w:tc>
        <w:tc>
          <w:tcPr>
            <w:tcW w:w="37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Number of stock options</w:t>
            </w:r>
          </w:p>
        </w:tc>
        <w:tc>
          <w:tcPr>
            <w:tcW w:w="1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658,474</w:t>
            </w:r>
          </w:p>
        </w:tc>
        <w:tc>
          <w:tcPr>
            <w:tcW w:w="2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202,223</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538,888</w:t>
            </w: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33,335</w:t>
            </w:r>
          </w:p>
        </w:tc>
        <w:tc>
          <w:tcPr>
            <w:tcW w:w="12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Aggregate intrinsic value</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451</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Weighted average contractual life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Share price</w:t>
            </w:r>
          </w:p>
        </w:tc>
        <w:tc>
          <w:tcPr>
            <w:tcW w:w="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F0FF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nonvested common shares as of September 30, 2015, and changes during the period then ended consisted of the following:</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F0FFFF"/>
          </w:tcPr>
          <w:p>
            <w:pPr>
              <w:spacing w:after="0"/>
              <w:rPr>
                <w:sz w:val="20"/>
                <w:szCs w:val="20"/>
                <w:color w:val="auto"/>
              </w:rPr>
            </w:pPr>
            <w:r>
              <w:rPr>
                <w:rFonts w:ascii="Arial" w:cs="Arial" w:eastAsia="Arial" w:hAnsi="Arial"/>
                <w:sz w:val="18"/>
                <w:szCs w:val="18"/>
                <w:color w:val="auto"/>
              </w:rPr>
              <w:t>Nonvested at June 30, 2015</w:t>
            </w:r>
          </w:p>
        </w:tc>
        <w:tc>
          <w:tcPr>
            <w:tcW w:w="12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18,604</w:t>
            </w:r>
          </w:p>
        </w:tc>
        <w:tc>
          <w:tcPr>
            <w:tcW w:w="1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131,558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80" w:type="dxa"/>
            <w:vAlign w:val="bottom"/>
            <w:vMerge w:val="restart"/>
            <w:shd w:val="clear" w:color="auto" w:fill="F0FFFF"/>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3"/>
            <w:shd w:val="clear" w:color="auto" w:fill="F0FFFF"/>
          </w:tcPr>
          <w:p>
            <w:pPr>
              <w:jc w:val="right"/>
              <w:ind w:right="140"/>
              <w:spacing w:after="0" w:line="162" w:lineRule="exact"/>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4"/>
                <w:szCs w:val="14"/>
                <w:color w:val="auto"/>
              </w:rPr>
            </w:pPr>
          </w:p>
        </w:tc>
        <w:tc>
          <w:tcPr>
            <w:tcW w:w="1420" w:type="dxa"/>
            <w:vAlign w:val="bottom"/>
            <w:gridSpan w:val="2"/>
            <w:shd w:val="clear" w:color="auto" w:fill="F0FFFF"/>
          </w:tcPr>
          <w:p>
            <w:pPr>
              <w:jc w:val="right"/>
              <w:ind w:right="100"/>
              <w:spacing w:after="0" w:line="16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80" w:type="dxa"/>
            <w:vAlign w:val="bottom"/>
            <w:vMerge w:val="continue"/>
            <w:shd w:val="clear" w:color="auto" w:fill="F0FFFF"/>
          </w:tcPr>
          <w:p>
            <w:pPr>
              <w:spacing w:after="0"/>
              <w:rPr>
                <w:sz w:val="7"/>
                <w:szCs w:val="7"/>
                <w:color w:val="auto"/>
              </w:rPr>
            </w:pPr>
          </w:p>
        </w:tc>
        <w:tc>
          <w:tcPr>
            <w:tcW w:w="1260" w:type="dxa"/>
            <w:vAlign w:val="bottom"/>
            <w:gridSpan w:val="2"/>
            <w:shd w:val="clear" w:color="auto" w:fill="F0FFFF"/>
          </w:tcPr>
          <w:p>
            <w:pPr>
              <w:jc w:val="right"/>
              <w:ind w:right="20"/>
              <w:spacing w:after="0" w:line="68" w:lineRule="exact"/>
              <w:rPr>
                <w:sz w:val="20"/>
                <w:szCs w:val="20"/>
                <w:color w:val="auto"/>
              </w:rPr>
            </w:pPr>
            <w:r>
              <w:rPr>
                <w:rFonts w:ascii="Arial" w:cs="Arial" w:eastAsia="Arial" w:hAnsi="Arial"/>
                <w:sz w:val="7"/>
                <w:szCs w:val="7"/>
                <w:color w:val="auto"/>
              </w:rPr>
              <w:t>(21,664</w:t>
            </w:r>
          </w:p>
        </w:tc>
        <w:tc>
          <w:tcPr>
            <w:tcW w:w="180" w:type="dxa"/>
            <w:vAlign w:val="bottom"/>
            <w:shd w:val="clear" w:color="auto" w:fill="F0FFFF"/>
          </w:tcPr>
          <w:p>
            <w:pPr>
              <w:spacing w:after="0"/>
              <w:rPr>
                <w:sz w:val="7"/>
                <w:szCs w:val="7"/>
                <w:color w:val="auto"/>
              </w:rPr>
            </w:pPr>
          </w:p>
        </w:tc>
        <w:tc>
          <w:tcPr>
            <w:tcW w:w="220" w:type="dxa"/>
            <w:vAlign w:val="bottom"/>
            <w:shd w:val="clear" w:color="auto" w:fill="F0FFFF"/>
          </w:tcPr>
          <w:p>
            <w:pPr>
              <w:spacing w:after="0"/>
              <w:rPr>
                <w:sz w:val="7"/>
                <w:szCs w:val="7"/>
                <w:color w:val="auto"/>
              </w:rPr>
            </w:pPr>
          </w:p>
        </w:tc>
        <w:tc>
          <w:tcPr>
            <w:tcW w:w="13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Nonvested at September 30, 2015</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128,498</w:t>
            </w:r>
          </w:p>
        </w:tc>
        <w:tc>
          <w:tcPr>
            <w:tcW w:w="20" w:type="dxa"/>
            <w:vAlign w:val="bottom"/>
            <w:tcBorders>
              <w:top w:val="single" w:sz="8" w:color="F0FFFF"/>
              <w:bottom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jc w:val="right"/>
              <w:ind w:right="6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September 30, 2015 each share of Series A Preferred Stock is convertible into 0.194 of a share of Common Stock and each share of Series A Preferred Stock is entitled to 0.194 of a vote on all matters on which the holders of Common Stock are entitled to vote. Series A Preferred Stock provides for an annual cumulative dividend of $1.50 per share, payable when, as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Series A Preferred Stock may be called for redemption at the option of the Board of Directors for a price of $11.00 per share plus payment of all accrued and unpaid dividends. No such redemption has occurred as of September 30, 2015.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September 30, 2015 and June 30, 2015 is as follows: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Shares outstanding at $10.00 per share</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Cumulative unpaid dividends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June 30,</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7"/>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4,430</w:t>
            </w:r>
          </w:p>
        </w:tc>
        <w:tc>
          <w:tcPr>
            <w:tcW w:w="18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4,430</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13,257</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r>
      <w:tr>
        <w:trPr>
          <w:trHeight w:val="243"/>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17,687</w:t>
            </w:r>
          </w:p>
        </w:tc>
        <w:tc>
          <w:tcPr>
            <w:tcW w:w="18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17,355</w:t>
            </w:r>
          </w:p>
        </w:tc>
      </w:tr>
      <w:tr>
        <w:trPr>
          <w:trHeight w:val="27"/>
        </w:trPr>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-471170</wp:posOffset>
            </wp:positionV>
            <wp:extent cx="57975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-179705</wp:posOffset>
            </wp:positionV>
            <wp:extent cx="57975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4000"/>
          </w:cols>
          <w:pgMar w:left="240" w:top="877" w:right="239" w:bottom="1440" w:gutter="0" w:footer="0" w:header="0"/>
          <w:type w:val="continuous"/>
        </w:sectPr>
      </w:pPr>
    </w:p>
    <w:p>
      <w:pPr>
        <w:spacing w:after="0" w:line="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Cumulative unpaid dividends are convertible into common shares at $1,000 per common share at the option of the shareholder. During the three months ended September 30, 2015 and 2014, no shares of Preferred Stock nor cumulative preferred dividends were converted into shares of common stock.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401(k) Plan (the “Retirement Plan”) allows employees who have completed six months of service to make voluntary contributions up to a maximum of 100% of their annual compensation, as defined in the Retirement Plan and subject to IRS limitations.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For the plan year ending June 30, 2016, the Company has elected to make safe harbor matching contributions of 100% of the participant’s first 3% and 50% of the next 2% of compensation deferred into the Retirement Plan. The Company’s safe harbor contributions for the three months ended September 30, 2015 and 2014 approximated $54 thousand and $47 thousand,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three months ended September 30, 2015 and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2014 and through the three months ended September 30, 2014, the Company and a third party finance company, entered into Sale Leaseback Agreements (the “Sale Leaseback Agreements” or a “Sale Leaseback Agreement”) pursuant to which a third-party finance company purchased ePort equipment owned by the Company and used by the Company in its JumpStart Program.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completion of the sale under these agreements, the Company computed a gain on the sale of its ePort equipment, which is deferred and is amortized in proportion to the related gross rental charged to expense over the lease terms in accordance with the FASB topic ASC 840-40, “Sale Leaseback Transactions”. The computed gain on the sale is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the finance company a base monthly rental for this equipment during the 36-month lease term.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changes in deferred gain from the sale-leaseback transactions: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8"/>
                <w:szCs w:val="18"/>
                <w:color w:val="auto"/>
                <w:w w:val="99"/>
              </w:rPr>
              <w:t>Three months ended</w:t>
            </w:r>
          </w:p>
        </w:tc>
      </w:tr>
      <w:tr>
        <w:trPr>
          <w:trHeight w:val="237"/>
        </w:trPr>
        <w:tc>
          <w:tcPr>
            <w:tcW w:w="7460" w:type="dxa"/>
            <w:vAlign w:val="bottom"/>
            <w:gridSpan w:val="2"/>
          </w:tcPr>
          <w:p>
            <w:pPr>
              <w:ind w:left="114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8"/>
                <w:szCs w:val="18"/>
                <w:color w:val="auto"/>
              </w:rPr>
              <w:t>September 30,</w:t>
            </w:r>
          </w:p>
        </w:tc>
      </w:tr>
      <w:tr>
        <w:trPr>
          <w:trHeight w:val="237"/>
        </w:trPr>
        <w:tc>
          <w:tcPr>
            <w:tcW w:w="1160" w:type="dxa"/>
            <w:vAlign w:val="bottom"/>
          </w:tcPr>
          <w:p>
            <w:pPr>
              <w:spacing w:after="0"/>
              <w:rPr>
                <w:sz w:val="20"/>
                <w:szCs w:val="20"/>
                <w:color w:val="auto"/>
              </w:rPr>
            </w:pPr>
          </w:p>
        </w:tc>
        <w:tc>
          <w:tcPr>
            <w:tcW w:w="6300" w:type="dxa"/>
            <w:vAlign w:val="bottom"/>
            <w:tcBorders>
              <w:bottom w:val="single" w:sz="8" w:color="F0FFFF"/>
            </w:tcBorders>
          </w:tcPr>
          <w:p>
            <w:pPr>
              <w:spacing w:after="0"/>
              <w:rPr>
                <w:sz w:val="20"/>
                <w:szCs w:val="20"/>
                <w:color w:val="auto"/>
              </w:rPr>
            </w:pPr>
          </w:p>
        </w:tc>
        <w:tc>
          <w:tcPr>
            <w:tcW w:w="380" w:type="dxa"/>
            <w:vAlign w:val="bottom"/>
            <w:tcBorders>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F0FFFF"/>
            </w:tcBorders>
          </w:tcPr>
          <w:p>
            <w:pPr>
              <w:spacing w:after="0"/>
              <w:rPr>
                <w:sz w:val="20"/>
                <w:szCs w:val="20"/>
                <w:color w:val="auto"/>
              </w:rPr>
            </w:pPr>
          </w:p>
        </w:tc>
        <w:tc>
          <w:tcPr>
            <w:tcW w:w="140" w:type="dxa"/>
            <w:vAlign w:val="bottom"/>
            <w:tcBorders>
              <w:top w:val="single" w:sz="8" w:color="auto"/>
              <w:bottom w:val="single" w:sz="8" w:color="F0FF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F0FFFF"/>
            </w:tcBorders>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6300" w:type="dxa"/>
            <w:vAlign w:val="bottom"/>
            <w:shd w:val="clear" w:color="auto" w:fill="F0FF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F0FF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Recognition of deferred gain</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1160" w:type="dxa"/>
            <w:vAlign w:val="bottom"/>
          </w:tcPr>
          <w:p>
            <w:pPr>
              <w:spacing w:after="0"/>
              <w:rPr>
                <w:sz w:val="18"/>
                <w:szCs w:val="18"/>
                <w:color w:val="auto"/>
              </w:rPr>
            </w:pPr>
          </w:p>
        </w:tc>
        <w:tc>
          <w:tcPr>
            <w:tcW w:w="63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955</w:t>
            </w:r>
          </w:p>
        </w:tc>
        <w:tc>
          <w:tcPr>
            <w:tcW w:w="80" w:type="dxa"/>
            <w:vAlign w:val="bottom"/>
            <w:tcBorders>
              <w:top w:val="single" w:sz="8" w:color="F0FFFF"/>
            </w:tcBorders>
            <w:shd w:val="clear" w:color="auto" w:fill="F0FF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63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bottom w:val="single" w:sz="8" w:color="F0FFFF"/>
            </w:tcBorders>
          </w:tcPr>
          <w:p>
            <w:pPr>
              <w:spacing w:after="0"/>
              <w:rPr>
                <w:sz w:val="20"/>
                <w:szCs w:val="20"/>
                <w:color w:val="auto"/>
              </w:rPr>
            </w:pPr>
          </w:p>
        </w:tc>
      </w:tr>
      <w:tr>
        <w:trPr>
          <w:trHeight w:val="255"/>
        </w:trPr>
        <w:tc>
          <w:tcPr>
            <w:tcW w:w="1160" w:type="dxa"/>
            <w:vAlign w:val="bottom"/>
          </w:tcPr>
          <w:p>
            <w:pPr>
              <w:spacing w:after="0"/>
              <w:rPr>
                <w:sz w:val="21"/>
                <w:szCs w:val="21"/>
                <w:color w:val="auto"/>
              </w:rPr>
            </w:pPr>
          </w:p>
        </w:tc>
        <w:tc>
          <w:tcPr>
            <w:tcW w:w="63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Non-current portion of deferred gain</w:t>
            </w:r>
          </w:p>
        </w:tc>
        <w:tc>
          <w:tcPr>
            <w:tcW w:w="3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F0FFFF"/>
            </w:tcBorders>
            <w:shd w:val="clear" w:color="auto" w:fill="F0FFFF"/>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63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26, 2015, Universal Clearing Solutions, LLC (“Universal Clearing”), a former non-vending customer of the Company, filed a complaint against the Company in the United States District Court for the District of Arizona. On April 10, 2015, Universal Clearing filed an amended complaint, and on June 19, 2015, Universal Clearing filed a second amended complaint, which alleged causes of action against the Company for breach of contract, breach of fiduciary duty, and defamation. The allegations in the complaint relate to an agreement entered into between the Company and Universal Clearing pursuant to which Universal Clearing could board certain sub-merchants on the Company’s service. The complaint seeks monetary damages allegedly incurred by Universal Clearing as a result of, among other things, the Company’s refusal to board on its service certain sub-merchants of Universal Clearing. On July 24, 2015, the Company filed an answer to the defamation count of the complaint denying the allegations, and filed a motion to dismiss the remaining counts. The court has not yet ruled on the Company’s motion to dismiss.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2015, the Company filed a counterclaim against Universal Clearing seeking damages of approximately $680 thousand which were incurred by the Company in connection with chargebacks relating to Universal Clearing’s sub-merchants which had been boarded on the Company’s service. The counterclaim alleges that Universal Clearing is responsible under the agreement for these chargebacks, and Universal Clearing misrepresented to the Company the business practices and other matters relating to these sub-merchants. On August 17, 2015, Universal Clearing filed an answer to the counterclaim denying that it was responsible for the chargebacks or had made any misrepresentations.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7, 2015, the Company filed a third party complaint in the pending action against Steven Juliver, the manager of Universal Clearing, as well as against Universal Tranware, LLC, and Secureswype, LLC, entities affiliated with Universal Clearing. The third party complaint sets forth causes of action for fraud and breach of contract, and seeks to recover from these defendants the chargebacks relating to Universal Clearing’s sub-merchants described above. On September 14, 2015, the third party defendants filed a motion to dismiss the third party complaint. The court has not yet ruled on the motion to dismiss.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believe that the claims set forth in the second amended complaint have merit and intends to vigorously defend this matter. The Company does not believe that this action would have a material adverse effect on its financial statements, results of operations or cash flows. The Company also intends to pursue its claims for damages set forth in the counterclaim and third party complaint.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2015, a purported class action complaint was filed in the United States District Court for the Eastern District of Pennsylvania by Steven P. Messner, individually and on behalf of all others similarly situated, against the Company and its executive officers, alleging violations under the Securities Exchange Act of 1934. The lawsuit was filed on behalf of a purported class of investors who purchased or otherwise acquired securities of the Company between September 29, 2014 through September 29, 2015. The complaint alleges that the defendants made materially false and misleading statements, relating to, among other things, the failure to identify a large number of uncollectible small balance accounts. The complaint seeks certification as a class action and unspecified damages including attorneys’ fees and other costs. Based on its review of the complaint, the Company believes that the claims alleged in the complaint lack merit, and intends to vigorously defend against the claims.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19, 2015, the Company and David M. DeMedio entered into a Separation Agreement and Release (the “Separation Agreement”), pursuant to which Mr. DeMedio resigned as Chief Services Officer of the Company effective October 14, 2015. Pursuant to the Separation Agreement, the Company shall provide Mr. DeMedio with, among other things, an amount of $270,000, payable bi-weekly over a one-year period, an amount of $67,500 in four equal quarterly payments, and 60,000 non-qualified stock options and 28,659 shares of common stock, which were previously awarded to Mr. DeMedio but had not vested as of the date of his resignation. The Separation Agreement also provides that Mr. DeMedio shall provide consulting services to the Company.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concluded that there are no other subsequent events requiring disclosure other than the item listed above and the October 1, 2015 purported class action complaint referenced in Note 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Company’s current or future customers purchase, lease, rent or utilize ePort devices or our other products in the future at levels currently anticipated by our Company, including appropriate diversification resulting from sources other than our JumpStart Program;</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leasing companies under our QuickStart program in order to continue to significantly reduce net cash used in operating activities;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our remediation of a significant deficiency that we have identified in our internal controls over financial reporting would be effective;</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experience additional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proprietary rights of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 OF THE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 Technologies, Inc. provides wireless networking, cashless transactions, asset monitoring, and other value-added services principally to the small ticket, unattended Point of Sale (“POS”) market. Our ePort</w:t>
      </w:r>
      <w:r>
        <w:rPr>
          <w:rFonts w:ascii="Arial" w:cs="Arial" w:eastAsia="Arial" w:hAnsi="Arial"/>
          <w:sz w:val="18"/>
          <w:szCs w:val="18"/>
          <w:i w:val="1"/>
          <w:iCs w:val="1"/>
          <w:color w:val="auto"/>
        </w:rPr>
        <w:t>®</w:t>
      </w:r>
      <w:r>
        <w:rPr>
          <w:rFonts w:ascii="Arial" w:cs="Arial" w:eastAsia="Arial" w:hAnsi="Arial"/>
          <w:sz w:val="18"/>
          <w:szCs w:val="18"/>
          <w:color w:val="auto"/>
        </w:rPr>
        <w:t xml:space="preserve"> technology can be installed and/or embedded into everyday devices such as vending machines, a variety of kiosks, amusement, commercial laundry, kiosk and smartphones via our ePort Mobile™ solution. Our associated service, ePort Connect</w:t>
      </w:r>
      <w:r>
        <w:rPr>
          <w:rFonts w:ascii="Arial" w:cs="Arial" w:eastAsia="Arial" w:hAnsi="Arial"/>
          <w:sz w:val="18"/>
          <w:szCs w:val="18"/>
          <w:i w:val="1"/>
          <w:iCs w:val="1"/>
          <w:color w:val="auto"/>
        </w:rPr>
        <w:t>®</w:t>
      </w:r>
      <w:r>
        <w:rPr>
          <w:rFonts w:ascii="Arial" w:cs="Arial" w:eastAsia="Arial" w:hAnsi="Arial"/>
          <w:sz w:val="18"/>
          <w:szCs w:val="18"/>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revenue in multiple ways. During fiscal year 2015, we derived approximately 75% of our revenues from recurring license and transaction fees related to our ePort Connect service and approximately 25% of our revenue from equipment sales.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Leasing devices under the Company’s QuickStart Program, which are non-cancellable sixty month sales-type leases, through an unrelated equipment leasing company or directly from the Company;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in 1992, USA Technologies, Inc. has been helping customers in self-serve retail, traditionally cash-based industries, seamlessly make the transition to cashless payment. Highlights of the Company are below:</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72 employees with its headquarters in Malvern, Pennsylvania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10,000 customers and 349,000 connections to our service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Three direct sales teams at the national, regional, and local customer-level and a growing number of OEM’s and national distribution partners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89 patents have been granted</w:t>
      </w:r>
    </w:p>
    <w:p>
      <w:pPr>
        <w:spacing w:after="0" w:line="20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36"/>
          <w:szCs w:val="36"/>
          <w:color w:val="auto"/>
          <w:vertAlign w:val="superscript"/>
        </w:rPr>
      </w:pPr>
      <w:r>
        <w:rPr>
          <w:rFonts w:ascii="Arial" w:cs="Arial" w:eastAsia="Arial" w:hAnsi="Arial"/>
          <w:sz w:val="18"/>
          <w:szCs w:val="18"/>
          <w:color w:val="auto"/>
        </w:rPr>
        <w:t>The Company’s fiscal year ends June 30</w:t>
      </w:r>
      <w:r>
        <w:rPr>
          <w:rFonts w:ascii="Arial" w:cs="Arial" w:eastAsia="Arial" w:hAnsi="Arial"/>
          <w:sz w:val="30"/>
          <w:szCs w:val="30"/>
          <w:color w:val="auto"/>
          <w:vertAlign w:val="superscript"/>
        </w:rPr>
        <w:t>th</w:t>
      </w:r>
    </w:p>
    <w:p>
      <w:pPr>
        <w:spacing w:after="0" w:line="78"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30, 2015 the Company had 35,784,218 common shares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deferred tax assets of approximately $27 million resulting from a series of operating loss carry forwards that may be available to offset future taxable income from federal income taxes over the next five or more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WE SERVE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growing customer base is indicative of a broadening adoption and acceptance of cashless payments in the industries we serve. We estimate the United States market generates over $120 billion in annual cashless transaction revenues, representing 13-15 million potential connections in the self-serve retail market. Included in the self-service retail market is the Company’s largest market segment, vending. According to the 2015 State of the Vending Industry report provided by Automatic Merchandizer, as of 2014 there are approximately 5.13 million vending machines in the United States, and of that figure approximately 560,000 have cashless payment capabilities. This is additional evidence of the Company’s position in the market and opportunities for growth.</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Additionally, management estimates that the Company’s existing customer base controls over 2.0 million potential connections. The Company views the total installed base of machines managed by its customers that have yet to transition to cashless payment, as a key strategic opportunity for future growth in connections.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condensed consolidated financial statements are prepared applying certain critical accounting policies. The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 critical accounting policies consistently from period to period and intend that any change in methodology occur in an appropriate manner. Accounting policies currently deemed critical are listed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sale or QuickStart lease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leasing company for the devices. At the end of the lease period, the customer would have the option to purchase the device for a nominal fee.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The Company has selected April 1 as its annual test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7"/>
          <w:szCs w:val="17"/>
          <w:color w:val="auto"/>
        </w:rPr>
        <w:t>The Company trademarks with an indefinite economic life are not being amortized. The trademarks, not subject to amortization, are related to the EnergyMiser asset group and consist of four trademarks. The Company tests indefinite-lived intangible assets for impairment using a two-step process. The first step screens for potential impairment, while the second step measures the amount of impairment. The Company uses a relief from royalty analysis to complete the first step in this process. Testing for impairment is to be done at least annually and at other times if events or circumstances arise that indicate that impairment may have occurred. The Company has selected April 1 as its annual test date for its indefinite-lived intangible assets.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Patents and trademarks, with an estimated economic life,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is determined through an analysis of various factors including the aging of accounts receivable, the strength of the relationship with the customer, the capacity of the customer transaction fund flow to satisfy the amount due from the customer, an assessment of collection costs and other factors. The allowance for uncollectible accounts receivable is management’s best estimate as of the respective reporting period. If the factors described above were to deteriorate, additional amounts may need to be added to the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presented below show certain financial and non-financial data over a five quarter period that management believes gives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Five Quarters of Select Key Performance Indicators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7"/>
                <w:szCs w:val="17"/>
                <w:color w:val="auto"/>
              </w:rPr>
            </w:pPr>
          </w:p>
        </w:tc>
        <w:tc>
          <w:tcPr>
            <w:tcW w:w="114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w w:val="97"/>
              </w:rPr>
              <w:t>June 30,</w:t>
            </w:r>
          </w:p>
        </w:tc>
        <w:tc>
          <w:tcPr>
            <w:tcW w:w="380" w:type="dxa"/>
            <w:vAlign w:val="bottom"/>
          </w:tcPr>
          <w:p>
            <w:pPr>
              <w:spacing w:after="0"/>
              <w:rPr>
                <w:sz w:val="17"/>
                <w:szCs w:val="17"/>
                <w:color w:val="auto"/>
              </w:rPr>
            </w:pPr>
          </w:p>
        </w:tc>
        <w:tc>
          <w:tcPr>
            <w:tcW w:w="1340" w:type="dxa"/>
            <w:vAlign w:val="bottom"/>
          </w:tcPr>
          <w:p>
            <w:pPr>
              <w:jc w:val="center"/>
              <w:ind w:right="390"/>
              <w:spacing w:after="0" w:line="198" w:lineRule="exact"/>
              <w:rPr>
                <w:sz w:val="20"/>
                <w:szCs w:val="20"/>
                <w:color w:val="auto"/>
              </w:rPr>
            </w:pPr>
            <w:r>
              <w:rPr>
                <w:rFonts w:ascii="Arial" w:cs="Arial" w:eastAsia="Arial" w:hAnsi="Arial"/>
                <w:sz w:val="18"/>
                <w:szCs w:val="18"/>
                <w:b w:val="1"/>
                <w:bCs w:val="1"/>
                <w:color w:val="auto"/>
                <w:w w:val="93"/>
              </w:rPr>
              <w:t>March 31,</w:t>
            </w:r>
          </w:p>
        </w:tc>
        <w:tc>
          <w:tcPr>
            <w:tcW w:w="1500" w:type="dxa"/>
            <w:vAlign w:val="bottom"/>
            <w:gridSpan w:val="2"/>
          </w:tcPr>
          <w:p>
            <w:pPr>
              <w:jc w:val="right"/>
              <w:ind w:right="230"/>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46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Connections: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34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6"/>
        </w:trPr>
        <w:tc>
          <w:tcPr>
            <w:tcW w:w="2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Gross New Connections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34,000</w:t>
            </w: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24,000</w:t>
            </w: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14,000</w:t>
            </w: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8"/>
              </w:rPr>
              <w:t>% from Existing Customer Base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Net New Connections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16,000</w:t>
            </w: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31,000</w:t>
            </w: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14,000</w:t>
            </w: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12,000</w:t>
            </w: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Total Connections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349,000</w:t>
            </w:r>
          </w:p>
        </w:tc>
        <w:tc>
          <w:tcPr>
            <w:tcW w:w="32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333,000</w:t>
            </w:r>
          </w:p>
        </w:tc>
        <w:tc>
          <w:tcPr>
            <w:tcW w:w="3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302,000</w:t>
            </w:r>
          </w:p>
        </w:tc>
        <w:tc>
          <w:tcPr>
            <w:tcW w:w="3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288,000</w:t>
            </w:r>
          </w:p>
        </w:tc>
        <w:tc>
          <w:tcPr>
            <w:tcW w:w="4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Customers: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New Customers Added</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675</w:t>
            </w: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675</w:t>
            </w: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550</w:t>
            </w: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Total Customers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10,275</w:t>
            </w:r>
          </w:p>
        </w:tc>
        <w:tc>
          <w:tcPr>
            <w:tcW w:w="32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9,600</w:t>
            </w:r>
          </w:p>
        </w:tc>
        <w:tc>
          <w:tcPr>
            <w:tcW w:w="3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8,925</w:t>
            </w:r>
          </w:p>
        </w:tc>
        <w:tc>
          <w:tcPr>
            <w:tcW w:w="3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8,450</w:t>
            </w:r>
          </w:p>
        </w:tc>
        <w:tc>
          <w:tcPr>
            <w:tcW w:w="4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b w:val="1"/>
                <w:bCs w:val="1"/>
                <w:color w:val="auto"/>
              </w:rPr>
              <w:t>Volumes: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Total Number of Transactions</w:t>
            </w: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3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(millions)</w:t>
            </w:r>
          </w:p>
        </w:tc>
        <w:tc>
          <w:tcPr>
            <w:tcW w:w="2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16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68.8</w:t>
            </w:r>
          </w:p>
        </w:tc>
        <w:tc>
          <w:tcPr>
            <w:tcW w:w="320" w:type="dxa"/>
            <w:vAlign w:val="bottom"/>
            <w:shd w:val="clear" w:color="auto" w:fill="F0FFFF"/>
          </w:tcPr>
          <w:p>
            <w:pPr>
              <w:spacing w:after="0"/>
              <w:rPr>
                <w:sz w:val="20"/>
                <w:szCs w:val="20"/>
                <w:color w:val="auto"/>
              </w:rPr>
            </w:pPr>
          </w:p>
        </w:tc>
        <w:tc>
          <w:tcPr>
            <w:tcW w:w="114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62.2</w:t>
            </w:r>
          </w:p>
        </w:tc>
        <w:tc>
          <w:tcPr>
            <w:tcW w:w="380" w:type="dxa"/>
            <w:vAlign w:val="bottom"/>
            <w:shd w:val="clear" w:color="auto" w:fill="F0FFFF"/>
          </w:tcPr>
          <w:p>
            <w:pPr>
              <w:spacing w:after="0"/>
              <w:rPr>
                <w:sz w:val="20"/>
                <w:szCs w:val="20"/>
                <w:color w:val="auto"/>
              </w:rPr>
            </w:pPr>
          </w:p>
        </w:tc>
        <w:tc>
          <w:tcPr>
            <w:tcW w:w="134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F0FFFF"/>
          </w:tcPr>
          <w:p>
            <w:pPr>
              <w:spacing w:after="0"/>
              <w:rPr>
                <w:sz w:val="20"/>
                <w:szCs w:val="20"/>
                <w:color w:val="auto"/>
              </w:rPr>
            </w:pPr>
          </w:p>
        </w:tc>
        <w:tc>
          <w:tcPr>
            <w:tcW w:w="118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51.0</w:t>
            </w:r>
          </w:p>
        </w:tc>
        <w:tc>
          <w:tcPr>
            <w:tcW w:w="400" w:type="dxa"/>
            <w:vAlign w:val="bottom"/>
            <w:shd w:val="clear" w:color="auto" w:fill="F0FFFF"/>
          </w:tcPr>
          <w:p>
            <w:pPr>
              <w:spacing w:after="0"/>
              <w:rPr>
                <w:sz w:val="20"/>
                <w:szCs w:val="20"/>
                <w:color w:val="auto"/>
              </w:rPr>
            </w:pPr>
          </w:p>
        </w:tc>
        <w:tc>
          <w:tcPr>
            <w:tcW w:w="106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Transaction Volume ($millions)</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126.4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97.7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89.3</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Financing Structure of</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Connections: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F0FFFF"/>
          </w:tcPr>
          <w:p>
            <w:pPr>
              <w:spacing w:after="0"/>
              <w:rPr>
                <w:sz w:val="20"/>
                <w:szCs w:val="20"/>
                <w:color w:val="auto"/>
              </w:rPr>
            </w:pPr>
            <w:r>
              <w:rPr>
                <w:rFonts w:ascii="Arial" w:cs="Arial" w:eastAsia="Arial" w:hAnsi="Arial"/>
                <w:sz w:val="18"/>
                <w:szCs w:val="18"/>
                <w:color w:val="auto"/>
              </w:rPr>
              <w:t>JumpStart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F0FFFF"/>
          </w:tcPr>
          <w:p>
            <w:pPr>
              <w:spacing w:after="0"/>
              <w:rPr>
                <w:sz w:val="18"/>
                <w:szCs w:val="18"/>
                <w:color w:val="auto"/>
              </w:rPr>
            </w:pPr>
          </w:p>
        </w:tc>
        <w:tc>
          <w:tcPr>
            <w:tcW w:w="134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QuickStart &amp; All Others *</w:t>
            </w: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89.8%</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88.7%</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85.6%</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5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tcBorders>
            <w:shd w:val="clear" w:color="auto" w:fill="F0FFFF"/>
          </w:tcPr>
          <w:p>
            <w:pPr>
              <w:spacing w:after="0"/>
              <w:rPr>
                <w:sz w:val="21"/>
                <w:szCs w:val="21"/>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auto"/>
            </w:tcBorders>
            <w:shd w:val="clear" w:color="auto" w:fill="F0FFFF"/>
          </w:tcPr>
          <w:p>
            <w:pPr>
              <w:spacing w:after="0"/>
              <w:rPr>
                <w:sz w:val="21"/>
                <w:szCs w:val="21"/>
                <w:color w:val="auto"/>
              </w:rPr>
            </w:pPr>
          </w:p>
        </w:tc>
        <w:tc>
          <w:tcPr>
            <w:tcW w:w="1340" w:type="dxa"/>
            <w:vAlign w:val="bottom"/>
            <w:tcBorders>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auto"/>
            </w:tcBorders>
            <w:shd w:val="clear" w:color="auto" w:fill="F0FFFF"/>
          </w:tcPr>
          <w:p>
            <w:pPr>
              <w:spacing w:after="0"/>
              <w:rPr>
                <w:sz w:val="21"/>
                <w:szCs w:val="21"/>
                <w:color w:val="auto"/>
              </w:rPr>
            </w:pPr>
          </w:p>
        </w:tc>
        <w:tc>
          <w:tcPr>
            <w:tcW w:w="118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auto"/>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13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2015 include:</w:t>
      </w:r>
    </w:p>
    <w:p>
      <w:pPr>
        <w:spacing w:after="0" w:line="225" w:lineRule="exact"/>
        <w:rPr>
          <w:sz w:val="20"/>
          <w:szCs w:val="20"/>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16,000 net new connections to our ePort Connect service in the quarter, compared to 10,000 net connections added in the same quarter last year, an increase of 6,000, or 60%;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349,000 connections to the ePort Connect service compared to the same quarter last year of approximately 276,000 connections, an increase of 73,000 connections, or 26%;</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USAT has shifted from providing financing for the customer’s equipment purchases through month-to-month agreements under the JumpStart rental program, to using outside leasing companies through the QuickStart program with sixty month terms. This shift to QuickStart provides for an upfront payment by the leasing companies for the equipment which significantly improves the Company’s free cash flow**. It should be noted that the Company may hold QuickStart leases as finance receivables for customers that are not able to obtain third party leasing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 is defined as the Company’s cash flow from operating activities less cash used for purchases of property for the JumpStart rental program.</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780" w:type="dxa"/>
            <w:vAlign w:val="bottom"/>
            <w:gridSpan w:val="9"/>
          </w:tcPr>
          <w:p>
            <w:pPr>
              <w:spacing w:after="0"/>
              <w:rPr>
                <w:sz w:val="20"/>
                <w:szCs w:val="20"/>
                <w:color w:val="auto"/>
              </w:rPr>
            </w:pPr>
            <w:r>
              <w:rPr>
                <w:rFonts w:ascii="Arial" w:cs="Arial" w:eastAsia="Arial" w:hAnsi="Arial"/>
                <w:sz w:val="18"/>
                <w:szCs w:val="18"/>
                <w:b w:val="1"/>
                <w:bCs w:val="1"/>
                <w:color w:val="auto"/>
                <w:w w:val="98"/>
              </w:rPr>
              <w:t>Table 2: Quarter Ended September 30, 2015 compared to Quarter Ended September 30, 2014</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380" w:type="dxa"/>
            <w:vAlign w:val="bottom"/>
          </w:tcPr>
          <w:p>
            <w:pPr>
              <w:ind w:left="60"/>
              <w:spacing w:after="0"/>
              <w:rPr>
                <w:sz w:val="20"/>
                <w:szCs w:val="20"/>
                <w:color w:val="auto"/>
              </w:rPr>
            </w:pPr>
            <w:r>
              <w:rPr>
                <w:rFonts w:ascii="Arial" w:cs="Arial" w:eastAsia="Arial" w:hAnsi="Arial"/>
                <w:sz w:val="18"/>
                <w:szCs w:val="18"/>
                <w:color w:val="auto"/>
              </w:rPr>
              <w:t>($ in thousands)</w:t>
            </w: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For the three months ended September 30,</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vMerge w:val="restart"/>
          </w:tcPr>
          <w:p>
            <w:pPr>
              <w:ind w:left="60"/>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Sales</w:t>
            </w:r>
          </w:p>
        </w:tc>
        <w:tc>
          <w:tcPr>
            <w:tcW w:w="20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w w:val="95"/>
              </w:rPr>
              <w:t>Change</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License and transaction fees</w:t>
            </w: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12,925</w:t>
            </w:r>
          </w:p>
        </w:tc>
        <w:tc>
          <w:tcPr>
            <w:tcW w:w="12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10,156</w:t>
            </w:r>
          </w:p>
        </w:tc>
        <w:tc>
          <w:tcPr>
            <w:tcW w:w="10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2,769</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3380" w:type="dxa"/>
            <w:vAlign w:val="bottom"/>
          </w:tcPr>
          <w:p>
            <w:pPr>
              <w:ind w:left="220"/>
              <w:spacing w:after="0"/>
              <w:rPr>
                <w:sz w:val="20"/>
                <w:szCs w:val="20"/>
                <w:color w:val="auto"/>
              </w:rPr>
            </w:pPr>
            <w:r>
              <w:rPr>
                <w:rFonts w:ascii="Arial" w:cs="Arial" w:eastAsia="Arial" w:hAnsi="Arial"/>
                <w:sz w:val="18"/>
                <w:szCs w:val="18"/>
                <w:color w:val="auto"/>
              </w:rPr>
              <w:t>Equipment sales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3,675</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2,096</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1,579</w:t>
            </w:r>
          </w:p>
        </w:tc>
        <w:tc>
          <w:tcPr>
            <w:tcW w:w="122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338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16,600</w:t>
            </w:r>
          </w:p>
        </w:tc>
        <w:tc>
          <w:tcPr>
            <w:tcW w:w="220" w:type="dxa"/>
            <w:vAlign w:val="bottom"/>
            <w:tcBorders>
              <w:top w:val="single" w:sz="8" w:color="F0FFFF"/>
            </w:tcBorders>
            <w:shd w:val="clear" w:color="auto" w:fill="F0FFFF"/>
          </w:tcPr>
          <w:p>
            <w:pPr>
              <w:spacing w:after="0"/>
              <w:rPr>
                <w:sz w:val="18"/>
                <w:szCs w:val="18"/>
                <w:color w:val="auto"/>
              </w:rPr>
            </w:pPr>
          </w:p>
        </w:tc>
        <w:tc>
          <w:tcPr>
            <w:tcW w:w="1240" w:type="dxa"/>
            <w:vAlign w:val="bottom"/>
            <w:tcBorders>
              <w:top w:val="single" w:sz="8" w:color="F0FFFF"/>
            </w:tcBorders>
            <w:shd w:val="clear" w:color="auto" w:fill="F0FFFF"/>
          </w:tcPr>
          <w:p>
            <w:pPr>
              <w:jc w:val="right"/>
              <w:ind w:right="310"/>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12,252</w:t>
            </w:r>
          </w:p>
        </w:tc>
        <w:tc>
          <w:tcPr>
            <w:tcW w:w="240" w:type="dxa"/>
            <w:vAlign w:val="bottom"/>
            <w:tcBorders>
              <w:top w:val="single" w:sz="8" w:color="F0FFFF"/>
            </w:tcBorders>
            <w:shd w:val="clear" w:color="auto" w:fill="F0FFFF"/>
          </w:tcPr>
          <w:p>
            <w:pPr>
              <w:spacing w:after="0"/>
              <w:rPr>
                <w:sz w:val="18"/>
                <w:szCs w:val="18"/>
                <w:color w:val="auto"/>
              </w:rPr>
            </w:pPr>
          </w:p>
        </w:tc>
        <w:tc>
          <w:tcPr>
            <w:tcW w:w="1080" w:type="dxa"/>
            <w:vAlign w:val="bottom"/>
            <w:tcBorders>
              <w:top w:val="single" w:sz="8" w:color="F0FFFF"/>
            </w:tcBorders>
            <w:shd w:val="clear" w:color="auto" w:fill="F0FFFF"/>
          </w:tcPr>
          <w:p>
            <w:pPr>
              <w:jc w:val="right"/>
              <w:ind w:right="190"/>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F0FFFF"/>
            </w:tcBorders>
            <w:shd w:val="clear" w:color="auto" w:fill="F0FFFF"/>
          </w:tcPr>
          <w:p>
            <w:pPr>
              <w:spacing w:after="0"/>
              <w:rPr>
                <w:sz w:val="18"/>
                <w:szCs w:val="18"/>
                <w:color w:val="auto"/>
              </w:rPr>
            </w:pPr>
          </w:p>
        </w:tc>
        <w:tc>
          <w:tcPr>
            <w:tcW w:w="1060" w:type="dxa"/>
            <w:vAlign w:val="bottom"/>
            <w:tcBorders>
              <w:top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rPr>
              <w:t>4,348</w:t>
            </w:r>
          </w:p>
        </w:tc>
        <w:tc>
          <w:tcPr>
            <w:tcW w:w="12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ind w:left="60"/>
              <w:spacing w:after="0"/>
              <w:rPr>
                <w:sz w:val="20"/>
                <w:szCs w:val="20"/>
                <w:color w:val="auto"/>
              </w:rPr>
            </w:pPr>
            <w:r>
              <w:rPr>
                <w:rFonts w:ascii="Arial" w:cs="Arial" w:eastAsia="Arial" w:hAnsi="Arial"/>
                <w:sz w:val="18"/>
                <w:szCs w:val="18"/>
                <w:color w:val="auto"/>
              </w:rPr>
              <w:t>Costs of sales/revenues:</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8,705</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7,251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1,454</w:t>
            </w: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50"/>
        </w:trPr>
        <w:tc>
          <w:tcPr>
            <w:tcW w:w="33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Cost of equipment</w:t>
            </w:r>
          </w:p>
        </w:tc>
        <w:tc>
          <w:tcPr>
            <w:tcW w:w="6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2,848</w:t>
            </w:r>
          </w:p>
        </w:tc>
        <w:tc>
          <w:tcPr>
            <w:tcW w:w="12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1,866</w:t>
            </w:r>
          </w:p>
        </w:tc>
        <w:tc>
          <w:tcPr>
            <w:tcW w:w="10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982</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0"/>
        </w:trPr>
        <w:tc>
          <w:tcPr>
            <w:tcW w:w="3380" w:type="dxa"/>
            <w:vAlign w:val="bottom"/>
            <w:tcBorders>
              <w:top w:val="single" w:sz="8" w:color="F0FFFF"/>
              <w:bottom w:val="single" w:sz="8" w:color="F0FFFF"/>
            </w:tcBorders>
          </w:tcPr>
          <w:p>
            <w:pPr>
              <w:ind w:left="40"/>
              <w:spacing w:after="0" w:line="203" w:lineRule="exact"/>
              <w:rPr>
                <w:sz w:val="20"/>
                <w:szCs w:val="20"/>
                <w:color w:val="auto"/>
              </w:rPr>
            </w:pPr>
            <w:r>
              <w:rPr>
                <w:rFonts w:ascii="Arial" w:cs="Arial" w:eastAsia="Arial" w:hAnsi="Arial"/>
                <w:sz w:val="18"/>
                <w:szCs w:val="18"/>
                <w:color w:val="auto"/>
              </w:rPr>
              <w:t>Total costs of sales/revenues</w:t>
            </w:r>
          </w:p>
        </w:tc>
        <w:tc>
          <w:tcPr>
            <w:tcW w:w="64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11,553</w:t>
            </w:r>
          </w:p>
        </w:tc>
        <w:tc>
          <w:tcPr>
            <w:tcW w:w="220" w:type="dxa"/>
            <w:vAlign w:val="bottom"/>
            <w:tcBorders>
              <w:top w:val="single" w:sz="8" w:color="F0FFFF"/>
              <w:bottom w:val="single" w:sz="8" w:color="F0FFFF"/>
            </w:tcBorders>
          </w:tcPr>
          <w:p>
            <w:pPr>
              <w:spacing w:after="0"/>
              <w:rPr>
                <w:sz w:val="18"/>
                <w:szCs w:val="18"/>
                <w:color w:val="auto"/>
              </w:rPr>
            </w:pPr>
          </w:p>
        </w:tc>
        <w:tc>
          <w:tcPr>
            <w:tcW w:w="1240" w:type="dxa"/>
            <w:vAlign w:val="bottom"/>
            <w:tcBorders>
              <w:top w:val="single" w:sz="8" w:color="F0FFFF"/>
              <w:bottom w:val="single" w:sz="8" w:color="F0FFFF"/>
            </w:tcBorders>
          </w:tcPr>
          <w:p>
            <w:pPr>
              <w:jc w:val="right"/>
              <w:ind w:right="310"/>
              <w:spacing w:after="0" w:line="203" w:lineRule="exact"/>
              <w:rPr>
                <w:sz w:val="20"/>
                <w:szCs w:val="20"/>
                <w:color w:val="auto"/>
              </w:rPr>
            </w:pPr>
            <w:r>
              <w:rPr>
                <w:rFonts w:ascii="Arial" w:cs="Arial" w:eastAsia="Arial" w:hAnsi="Arial"/>
                <w:sz w:val="18"/>
                <w:szCs w:val="18"/>
                <w:color w:val="auto"/>
              </w:rPr>
              <w:t>69.6%</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9,117</w:t>
            </w:r>
          </w:p>
        </w:tc>
        <w:tc>
          <w:tcPr>
            <w:tcW w:w="240" w:type="dxa"/>
            <w:vAlign w:val="bottom"/>
            <w:tcBorders>
              <w:top w:val="single" w:sz="8" w:color="F0FFFF"/>
              <w:bottom w:val="single" w:sz="8" w:color="F0FFFF"/>
            </w:tcBorders>
          </w:tcPr>
          <w:p>
            <w:pPr>
              <w:spacing w:after="0"/>
              <w:rPr>
                <w:sz w:val="18"/>
                <w:szCs w:val="18"/>
                <w:color w:val="auto"/>
              </w:rPr>
            </w:pPr>
          </w:p>
        </w:tc>
        <w:tc>
          <w:tcPr>
            <w:tcW w:w="1080" w:type="dxa"/>
            <w:vAlign w:val="bottom"/>
            <w:tcBorders>
              <w:top w:val="single" w:sz="8" w:color="F0FFFF"/>
              <w:bottom w:val="single" w:sz="8" w:color="F0FFFF"/>
            </w:tcBorders>
          </w:tcPr>
          <w:p>
            <w:pPr>
              <w:jc w:val="right"/>
              <w:ind w:right="190"/>
              <w:spacing w:after="0" w:line="203" w:lineRule="exact"/>
              <w:rPr>
                <w:sz w:val="20"/>
                <w:szCs w:val="20"/>
                <w:color w:val="auto"/>
              </w:rPr>
            </w:pPr>
            <w:r>
              <w:rPr>
                <w:rFonts w:ascii="Arial" w:cs="Arial" w:eastAsia="Arial" w:hAnsi="Arial"/>
                <w:sz w:val="18"/>
                <w:szCs w:val="18"/>
                <w:color w:val="auto"/>
              </w:rPr>
              <w:t>74.4%</w:t>
            </w:r>
          </w:p>
        </w:tc>
        <w:tc>
          <w:tcPr>
            <w:tcW w:w="28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130"/>
              <w:spacing w:after="0" w:line="203" w:lineRule="exact"/>
              <w:rPr>
                <w:sz w:val="20"/>
                <w:szCs w:val="20"/>
                <w:color w:val="auto"/>
              </w:rPr>
            </w:pPr>
            <w:r>
              <w:rPr>
                <w:rFonts w:ascii="Arial" w:cs="Arial" w:eastAsia="Arial" w:hAnsi="Arial"/>
                <w:sz w:val="18"/>
                <w:szCs w:val="18"/>
                <w:color w:val="auto"/>
              </w:rPr>
              <w:t>2,436</w:t>
            </w:r>
          </w:p>
        </w:tc>
        <w:tc>
          <w:tcPr>
            <w:tcW w:w="12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License and transaction fees</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4,220</w:t>
            </w:r>
          </w:p>
        </w:tc>
        <w:tc>
          <w:tcPr>
            <w:tcW w:w="12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2,905</w:t>
            </w:r>
          </w:p>
        </w:tc>
        <w:tc>
          <w:tcPr>
            <w:tcW w:w="10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1,315</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597</w:t>
            </w:r>
          </w:p>
        </w:tc>
        <w:tc>
          <w:tcPr>
            <w:tcW w:w="122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23"/>
        </w:trPr>
        <w:tc>
          <w:tcPr>
            <w:tcW w:w="3380" w:type="dxa"/>
            <w:vAlign w:val="bottom"/>
            <w:tcBorders>
              <w:top w:val="single" w:sz="8" w:color="F0FFFF"/>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Total gross profit</w:t>
            </w:r>
          </w:p>
        </w:tc>
        <w:tc>
          <w:tcPr>
            <w:tcW w:w="640" w:type="dxa"/>
            <w:vAlign w:val="bottom"/>
            <w:tcBorders>
              <w:top w:val="single" w:sz="8" w:color="F0FFFF"/>
              <w:bottom w:val="single" w:sz="8" w:color="F0FFFF"/>
            </w:tcBorders>
            <w:shd w:val="clear" w:color="auto" w:fill="F0FFFF"/>
          </w:tcPr>
          <w:p>
            <w:pPr>
              <w:spacing w:after="0"/>
              <w:rPr>
                <w:sz w:val="19"/>
                <w:szCs w:val="19"/>
                <w:color w:val="auto"/>
              </w:rPr>
            </w:pPr>
          </w:p>
        </w:tc>
        <w:tc>
          <w:tcPr>
            <w:tcW w:w="22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5,047</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240" w:type="dxa"/>
            <w:vAlign w:val="bottom"/>
            <w:tcBorders>
              <w:top w:val="single" w:sz="8" w:color="F0FFFF"/>
              <w:bottom w:val="single" w:sz="8" w:color="F0FFFF"/>
            </w:tcBorders>
            <w:shd w:val="clear" w:color="auto" w:fill="F0FFFF"/>
          </w:tcPr>
          <w:p>
            <w:pPr>
              <w:jc w:val="right"/>
              <w:ind w:right="310"/>
              <w:spacing w:after="0"/>
              <w:rPr>
                <w:sz w:val="20"/>
                <w:szCs w:val="20"/>
                <w:color w:val="auto"/>
              </w:rPr>
            </w:pPr>
            <w:r>
              <w:rPr>
                <w:rFonts w:ascii="Arial" w:cs="Arial" w:eastAsia="Arial" w:hAnsi="Arial"/>
                <w:sz w:val="18"/>
                <w:szCs w:val="18"/>
                <w:color w:val="auto"/>
              </w:rPr>
              <w:t>30.4%</w:t>
            </w:r>
          </w:p>
        </w:tc>
        <w:tc>
          <w:tcPr>
            <w:tcW w:w="200" w:type="dxa"/>
            <w:vAlign w:val="bottom"/>
            <w:tcBorders>
              <w:top w:val="single" w:sz="8" w:color="auto"/>
              <w:bottom w:val="single" w:sz="8" w:color="auto"/>
            </w:tcBorders>
            <w:shd w:val="clear" w:color="auto" w:fill="F0FFFF"/>
          </w:tcPr>
          <w:p>
            <w:pPr>
              <w:spacing w:after="0"/>
              <w:rPr>
                <w:sz w:val="19"/>
                <w:szCs w:val="19"/>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3,135</w:t>
            </w:r>
          </w:p>
        </w:tc>
        <w:tc>
          <w:tcPr>
            <w:tcW w:w="240" w:type="dxa"/>
            <w:vAlign w:val="bottom"/>
            <w:tcBorders>
              <w:top w:val="single" w:sz="8" w:color="F0FFFF"/>
              <w:bottom w:val="single" w:sz="8" w:color="F0FFFF"/>
            </w:tcBorders>
            <w:shd w:val="clear" w:color="auto" w:fill="F0FFFF"/>
          </w:tcPr>
          <w:p>
            <w:pPr>
              <w:spacing w:after="0"/>
              <w:rPr>
                <w:sz w:val="19"/>
                <w:szCs w:val="19"/>
                <w:color w:val="auto"/>
              </w:rPr>
            </w:pPr>
          </w:p>
        </w:tc>
        <w:tc>
          <w:tcPr>
            <w:tcW w:w="1080" w:type="dxa"/>
            <w:vAlign w:val="bottom"/>
            <w:tcBorders>
              <w:top w:val="single" w:sz="8" w:color="F0FFFF"/>
              <w:bottom w:val="single" w:sz="8" w:color="F0FFFF"/>
            </w:tcBorders>
            <w:shd w:val="clear" w:color="auto" w:fill="F0FFFF"/>
          </w:tcPr>
          <w:p>
            <w:pPr>
              <w:jc w:val="right"/>
              <w:ind w:right="190"/>
              <w:spacing w:after="0"/>
              <w:rPr>
                <w:sz w:val="20"/>
                <w:szCs w:val="20"/>
                <w:color w:val="auto"/>
              </w:rPr>
            </w:pPr>
            <w:r>
              <w:rPr>
                <w:rFonts w:ascii="Arial" w:cs="Arial" w:eastAsia="Arial" w:hAnsi="Arial"/>
                <w:sz w:val="18"/>
                <w:szCs w:val="18"/>
                <w:color w:val="auto"/>
              </w:rPr>
              <w:t>25.6%</w:t>
            </w:r>
          </w:p>
        </w:tc>
        <w:tc>
          <w:tcPr>
            <w:tcW w:w="280" w:type="dxa"/>
            <w:vAlign w:val="bottom"/>
            <w:tcBorders>
              <w:top w:val="single" w:sz="8" w:color="F0FFFF"/>
              <w:bottom w:val="single" w:sz="8" w:color="F0FFFF"/>
            </w:tcBorders>
            <w:shd w:val="clear" w:color="auto" w:fill="F0FFFF"/>
          </w:tcPr>
          <w:p>
            <w:pPr>
              <w:spacing w:after="0"/>
              <w:rPr>
                <w:sz w:val="19"/>
                <w:szCs w:val="19"/>
                <w:color w:val="auto"/>
              </w:rPr>
            </w:pPr>
          </w:p>
        </w:tc>
        <w:tc>
          <w:tcPr>
            <w:tcW w:w="1060" w:type="dxa"/>
            <w:vAlign w:val="bottom"/>
            <w:tcBorders>
              <w:top w:val="single" w:sz="8" w:color="F0FFFF"/>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rPr>
              <w:t>1,912</w:t>
            </w:r>
          </w:p>
        </w:tc>
        <w:tc>
          <w:tcPr>
            <w:tcW w:w="12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ind w:left="60"/>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4,796</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3,632</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1,164</w:t>
            </w:r>
          </w:p>
        </w:tc>
        <w:tc>
          <w:tcPr>
            <w:tcW w:w="12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33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139</w:t>
            </w:r>
          </w:p>
        </w:tc>
        <w:tc>
          <w:tcPr>
            <w:tcW w:w="12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169</w:t>
            </w:r>
          </w:p>
        </w:tc>
        <w:tc>
          <w:tcPr>
            <w:tcW w:w="10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F0FFFF"/>
          </w:tcPr>
          <w:p>
            <w:pPr>
              <w:spacing w:after="0"/>
              <w:rPr>
                <w:sz w:val="21"/>
                <w:szCs w:val="21"/>
                <w:color w:val="auto"/>
              </w:rPr>
            </w:pPr>
          </w:p>
        </w:tc>
        <w:tc>
          <w:tcPr>
            <w:tcW w:w="10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(30)</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3380" w:type="dxa"/>
            <w:vAlign w:val="bottom"/>
            <w:tcBorders>
              <w:top w:val="single" w:sz="8" w:color="F0FFFF"/>
              <w:bottom w:val="single" w:sz="8" w:color="F0FFFF"/>
            </w:tcBorders>
          </w:tcPr>
          <w:p>
            <w:pPr>
              <w:ind w:left="40"/>
              <w:spacing w:after="0" w:line="203" w:lineRule="exact"/>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4,935</w:t>
            </w:r>
          </w:p>
        </w:tc>
        <w:tc>
          <w:tcPr>
            <w:tcW w:w="220" w:type="dxa"/>
            <w:vAlign w:val="bottom"/>
            <w:tcBorders>
              <w:top w:val="single" w:sz="8" w:color="F0FFFF"/>
              <w:bottom w:val="single" w:sz="8" w:color="F0FFFF"/>
            </w:tcBorders>
          </w:tcPr>
          <w:p>
            <w:pPr>
              <w:spacing w:after="0"/>
              <w:rPr>
                <w:sz w:val="18"/>
                <w:szCs w:val="18"/>
                <w:color w:val="auto"/>
              </w:rPr>
            </w:pPr>
          </w:p>
        </w:tc>
        <w:tc>
          <w:tcPr>
            <w:tcW w:w="1240" w:type="dxa"/>
            <w:vAlign w:val="bottom"/>
            <w:tcBorders>
              <w:top w:val="single" w:sz="8" w:color="F0FFFF"/>
              <w:bottom w:val="single" w:sz="8" w:color="F0FFFF"/>
            </w:tcBorders>
          </w:tcPr>
          <w:p>
            <w:pPr>
              <w:jc w:val="right"/>
              <w:ind w:right="310"/>
              <w:spacing w:after="0" w:line="203" w:lineRule="exact"/>
              <w:rPr>
                <w:sz w:val="20"/>
                <w:szCs w:val="20"/>
                <w:color w:val="auto"/>
              </w:rPr>
            </w:pPr>
            <w:r>
              <w:rPr>
                <w:rFonts w:ascii="Arial" w:cs="Arial" w:eastAsia="Arial" w:hAnsi="Arial"/>
                <w:sz w:val="18"/>
                <w:szCs w:val="18"/>
                <w:color w:val="auto"/>
              </w:rPr>
              <w:t>29.7%</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3,801</w:t>
            </w:r>
          </w:p>
        </w:tc>
        <w:tc>
          <w:tcPr>
            <w:tcW w:w="240" w:type="dxa"/>
            <w:vAlign w:val="bottom"/>
            <w:tcBorders>
              <w:top w:val="single" w:sz="8" w:color="F0FFFF"/>
              <w:bottom w:val="single" w:sz="8" w:color="F0FFFF"/>
            </w:tcBorders>
          </w:tcPr>
          <w:p>
            <w:pPr>
              <w:spacing w:after="0"/>
              <w:rPr>
                <w:sz w:val="18"/>
                <w:szCs w:val="18"/>
                <w:color w:val="auto"/>
              </w:rPr>
            </w:pPr>
          </w:p>
        </w:tc>
        <w:tc>
          <w:tcPr>
            <w:tcW w:w="1080" w:type="dxa"/>
            <w:vAlign w:val="bottom"/>
            <w:tcBorders>
              <w:top w:val="single" w:sz="8" w:color="F0FFFF"/>
              <w:bottom w:val="single" w:sz="8" w:color="F0FFFF"/>
            </w:tcBorders>
          </w:tcPr>
          <w:p>
            <w:pPr>
              <w:jc w:val="right"/>
              <w:ind w:right="190"/>
              <w:spacing w:after="0" w:line="203" w:lineRule="exact"/>
              <w:rPr>
                <w:sz w:val="20"/>
                <w:szCs w:val="20"/>
                <w:color w:val="auto"/>
              </w:rPr>
            </w:pPr>
            <w:r>
              <w:rPr>
                <w:rFonts w:ascii="Arial" w:cs="Arial" w:eastAsia="Arial" w:hAnsi="Arial"/>
                <w:sz w:val="18"/>
                <w:szCs w:val="18"/>
                <w:color w:val="auto"/>
              </w:rPr>
              <w:t>31.0%</w:t>
            </w:r>
          </w:p>
        </w:tc>
        <w:tc>
          <w:tcPr>
            <w:tcW w:w="280" w:type="dxa"/>
            <w:vAlign w:val="bottom"/>
            <w:tcBorders>
              <w:top w:val="single" w:sz="8" w:color="F0FFFF"/>
              <w:bottom w:val="single" w:sz="8" w:color="F0FFFF"/>
            </w:tcBorders>
          </w:tcPr>
          <w:p>
            <w:pPr>
              <w:spacing w:after="0"/>
              <w:rPr>
                <w:sz w:val="18"/>
                <w:szCs w:val="18"/>
                <w:color w:val="auto"/>
              </w:rPr>
            </w:pPr>
          </w:p>
        </w:tc>
        <w:tc>
          <w:tcPr>
            <w:tcW w:w="1060" w:type="dxa"/>
            <w:vAlign w:val="bottom"/>
            <w:tcBorders>
              <w:top w:val="single" w:sz="8" w:color="F0FFFF"/>
              <w:bottom w:val="single" w:sz="8" w:color="F0FFFF"/>
            </w:tcBorders>
          </w:tcPr>
          <w:p>
            <w:pPr>
              <w:jc w:val="right"/>
              <w:ind w:right="130"/>
              <w:spacing w:after="0" w:line="203" w:lineRule="exact"/>
              <w:rPr>
                <w:sz w:val="20"/>
                <w:szCs w:val="20"/>
                <w:color w:val="auto"/>
              </w:rPr>
            </w:pPr>
            <w:r>
              <w:rPr>
                <w:rFonts w:ascii="Arial" w:cs="Arial" w:eastAsia="Arial" w:hAnsi="Arial"/>
                <w:sz w:val="18"/>
                <w:szCs w:val="18"/>
                <w:color w:val="auto"/>
              </w:rPr>
              <w:t>1,134</w:t>
            </w:r>
          </w:p>
        </w:tc>
        <w:tc>
          <w:tcPr>
            <w:tcW w:w="1220" w:type="dxa"/>
            <w:vAlign w:val="bottom"/>
            <w:tcBorders>
              <w:top w:val="single" w:sz="8" w:color="F0FFFF"/>
              <w:bottom w:val="single" w:sz="8" w:color="F0FFFF"/>
            </w:tcBorders>
          </w:tcPr>
          <w:p>
            <w:pPr>
              <w:jc w:val="right"/>
              <w:spacing w:after="0" w:line="203"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3380" w:type="dxa"/>
            <w:vAlign w:val="bottom"/>
            <w:shd w:val="clear" w:color="auto" w:fill="F0FFFF"/>
          </w:tcPr>
          <w:p>
            <w:pPr>
              <w:ind w:left="60"/>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F0FFFF"/>
          </w:tcPr>
          <w:p>
            <w:pPr>
              <w:spacing w:after="0"/>
              <w:rPr>
                <w:sz w:val="18"/>
                <w:szCs w:val="18"/>
                <w:color w:val="auto"/>
              </w:rPr>
            </w:pPr>
          </w:p>
        </w:tc>
        <w:tc>
          <w:tcPr>
            <w:tcW w:w="1240" w:type="dxa"/>
            <w:vAlign w:val="bottom"/>
            <w:shd w:val="clear" w:color="auto" w:fill="F0FFFF"/>
          </w:tcPr>
          <w:p>
            <w:pPr>
              <w:jc w:val="right"/>
              <w:ind w:right="31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778</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0" w:gutter="0" w:footer="0" w:header="0"/>
        </w:sectPr>
      </w:pP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80" w:type="dxa"/>
            <w:vAlign w:val="bottom"/>
          </w:tcPr>
          <w:p>
            <w:pPr>
              <w:ind w:left="140"/>
              <w:spacing w:after="0"/>
              <w:rPr>
                <w:sz w:val="20"/>
                <w:szCs w:val="20"/>
                <w:color w:val="auto"/>
              </w:rPr>
            </w:pPr>
            <w:r>
              <w:rPr>
                <w:rFonts w:ascii="Arial" w:cs="Arial" w:eastAsia="Arial" w:hAnsi="Arial"/>
                <w:sz w:val="18"/>
                <w:szCs w:val="18"/>
                <w:color w:val="auto"/>
                <w:w w:val="95"/>
              </w:rPr>
              <w:t>Income (loss) before benefit (provision) for income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0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80" w:type="dxa"/>
            <w:vAlign w:val="bottom"/>
          </w:tcPr>
          <w:p>
            <w:pPr>
              <w:ind w:left="140"/>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8"/>
        </w:trPr>
        <w:tc>
          <w:tcPr>
            <w:tcW w:w="3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80" w:type="dxa"/>
            <w:vAlign w:val="bottom"/>
            <w:vMerge w:val="restart"/>
          </w:tcPr>
          <w:p>
            <w:pPr>
              <w:ind w:left="20"/>
              <w:spacing w:after="0"/>
              <w:rPr>
                <w:sz w:val="20"/>
                <w:szCs w:val="20"/>
                <w:color w:val="auto"/>
              </w:rPr>
            </w:pPr>
            <w:r>
              <w:rPr>
                <w:rFonts w:ascii="Arial" w:cs="Arial" w:eastAsia="Arial" w:hAnsi="Arial"/>
                <w:sz w:val="18"/>
                <w:szCs w:val="18"/>
                <w:color w:val="auto"/>
              </w:rPr>
              <w:t>Cumulative preferred dividends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(332</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Net income (loss) applicable to common shares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color w:val="auto"/>
              </w:rPr>
              <w:t>Net earnings (loss) per common share - basic</w:t>
            </w:r>
          </w:p>
        </w:tc>
        <w:tc>
          <w:tcPr>
            <w:tcW w:w="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ind w:left="20"/>
              <w:spacing w:after="0"/>
              <w:rPr>
                <w:sz w:val="20"/>
                <w:szCs w:val="20"/>
                <w:color w:val="auto"/>
              </w:rPr>
            </w:pPr>
            <w:r>
              <w:rPr>
                <w:rFonts w:ascii="Arial" w:cs="Arial" w:eastAsia="Arial" w:hAnsi="Arial"/>
                <w:sz w:val="18"/>
                <w:szCs w:val="18"/>
                <w:color w:val="auto"/>
                <w:w w:val="96"/>
              </w:rPr>
              <w:t>Basic weighted average number of common shares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35,788,199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3980" w:type="dxa"/>
            <w:vAlign w:val="bottom"/>
            <w:vMerge w:val="restart"/>
          </w:tcPr>
          <w:p>
            <w:pPr>
              <w:ind w:left="20"/>
              <w:spacing w:after="0"/>
              <w:rPr>
                <w:sz w:val="20"/>
                <w:szCs w:val="20"/>
                <w:color w:val="auto"/>
              </w:rPr>
            </w:pPr>
            <w:r>
              <w:rPr>
                <w:rFonts w:ascii="Arial" w:cs="Arial" w:eastAsia="Arial" w:hAnsi="Arial"/>
                <w:sz w:val="18"/>
                <w:szCs w:val="18"/>
                <w:color w:val="auto"/>
                <w:w w:val="93"/>
              </w:rPr>
              <w:t>Diluted weighted average number of common shares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36,427,683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80" w:type="dxa"/>
            <w:vAlign w:val="bottom"/>
            <w:vMerge w:val="restart"/>
          </w:tcPr>
          <w:p>
            <w:pPr>
              <w:ind w:left="20"/>
              <w:spacing w:after="0"/>
              <w:rPr>
                <w:sz w:val="20"/>
                <w:szCs w:val="20"/>
                <w:color w:val="auto"/>
              </w:rPr>
            </w:pPr>
            <w:r>
              <w:rPr>
                <w:rFonts w:ascii="Arial" w:cs="Arial" w:eastAsia="Arial" w:hAnsi="Arial"/>
                <w:sz w:val="18"/>
                <w:szCs w:val="18"/>
                <w:color w:val="auto"/>
                <w:w w:val="95"/>
              </w:rPr>
              <w:t>Non-GAAP net income (loss) applicable to common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980" w:type="dxa"/>
            <w:vAlign w:val="bottom"/>
            <w:vMerge w:val="continue"/>
          </w:tcPr>
          <w:p>
            <w:pPr>
              <w:spacing w:after="0"/>
              <w:rPr>
                <w:sz w:val="24"/>
                <w:szCs w:val="24"/>
                <w:color w:val="auto"/>
              </w:rPr>
            </w:pPr>
          </w:p>
        </w:tc>
        <w:tc>
          <w:tcPr>
            <w:tcW w:w="160" w:type="dxa"/>
            <w:vAlign w:val="bottom"/>
            <w:gridSpan w:val="2"/>
            <w:vMerge w:val="restart"/>
          </w:tcPr>
          <w:p>
            <w:pPr>
              <w:jc w:val="right"/>
              <w:ind w:right="30"/>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3980" w:type="dxa"/>
            <w:vAlign w:val="bottom"/>
          </w:tcPr>
          <w:p>
            <w:pPr>
              <w:ind w:left="120"/>
              <w:spacing w:after="0" w:line="203" w:lineRule="exact"/>
              <w:rPr>
                <w:sz w:val="20"/>
                <w:szCs w:val="20"/>
                <w:color w:val="auto"/>
              </w:rPr>
            </w:pPr>
            <w:r>
              <w:rPr>
                <w:rFonts w:ascii="Arial" w:cs="Arial" w:eastAsia="Arial" w:hAnsi="Arial"/>
                <w:sz w:val="18"/>
                <w:szCs w:val="18"/>
                <w:color w:val="auto"/>
              </w:rPr>
              <w:t>shares</w:t>
            </w:r>
          </w:p>
        </w:tc>
        <w:tc>
          <w:tcPr>
            <w:tcW w:w="16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980" w:type="dxa"/>
            <w:vAlign w:val="bottom"/>
          </w:tcPr>
          <w:p>
            <w:pPr>
              <w:spacing w:after="0"/>
              <w:rPr>
                <w:sz w:val="20"/>
                <w:szCs w:val="20"/>
                <w:color w:val="auto"/>
              </w:rPr>
            </w:pPr>
            <w:r>
              <w:rPr>
                <w:rFonts w:ascii="Arial" w:cs="Arial" w:eastAsia="Arial" w:hAnsi="Arial"/>
                <w:sz w:val="18"/>
                <w:szCs w:val="18"/>
                <w:color w:val="auto"/>
              </w:rPr>
              <w:t>Total connections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Net new connections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880" w:type="dxa"/>
            <w:vAlign w:val="bottom"/>
          </w:tcPr>
          <w:p>
            <w:pPr>
              <w:jc w:val="right"/>
              <w:ind w:right="310"/>
              <w:spacing w:after="0"/>
              <w:rPr>
                <w:sz w:val="20"/>
                <w:szCs w:val="20"/>
                <w:color w:val="auto"/>
              </w:rPr>
            </w:pPr>
            <w:r>
              <w:rPr>
                <w:rFonts w:ascii="Arial" w:cs="Arial" w:eastAsia="Arial" w:hAnsi="Arial"/>
                <w:sz w:val="18"/>
                <w:szCs w:val="18"/>
                <w:color w:val="auto"/>
                <w:w w:val="97"/>
              </w:rPr>
              <w:t>-0.7%</w:t>
            </w:r>
          </w:p>
        </w:tc>
        <w:tc>
          <w:tcPr>
            <w:tcW w:w="140" w:type="dxa"/>
            <w:vAlign w:val="bottom"/>
          </w:tcPr>
          <w:p>
            <w:pPr>
              <w:spacing w:after="0"/>
              <w:rPr>
                <w:sz w:val="18"/>
                <w:szCs w:val="18"/>
                <w:color w:val="auto"/>
              </w:rPr>
            </w:pP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(75)</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(44)</w:t>
            </w: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51"/>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634"/>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(421)</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808</w:t>
            </w:r>
          </w:p>
        </w:tc>
        <w:tc>
          <w:tcPr>
            <w:tcW w:w="960" w:type="dxa"/>
            <w:vAlign w:val="bottom"/>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51"/>
        </w:trPr>
        <w:tc>
          <w:tcPr>
            <w:tcW w:w="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(387)</w:t>
            </w: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418"/>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(61)</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421</w:t>
            </w:r>
          </w:p>
        </w:tc>
        <w:tc>
          <w:tcPr>
            <w:tcW w:w="960" w:type="dxa"/>
            <w:vAlign w:val="bottom"/>
          </w:tcPr>
          <w:p>
            <w:pPr>
              <w:jc w:val="right"/>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51"/>
        </w:trPr>
        <w:tc>
          <w:tcPr>
            <w:tcW w:w="880" w:type="dxa"/>
            <w:vAlign w:val="bottom"/>
          </w:tcPr>
          <w:p>
            <w:pPr>
              <w:jc w:val="right"/>
              <w:ind w:right="310"/>
              <w:spacing w:after="0"/>
              <w:rPr>
                <w:sz w:val="20"/>
                <w:szCs w:val="20"/>
                <w:color w:val="auto"/>
              </w:rPr>
            </w:pPr>
            <w:r>
              <w:rPr>
                <w:rFonts w:ascii="Arial" w:cs="Arial" w:eastAsia="Arial" w:hAnsi="Arial"/>
                <w:sz w:val="18"/>
                <w:szCs w:val="18"/>
                <w:color w:val="auto"/>
                <w:w w:val="97"/>
              </w:rPr>
              <w:t>-2.0%</w:t>
            </w:r>
          </w:p>
        </w:tc>
        <w:tc>
          <w:tcPr>
            <w:tcW w:w="140" w:type="dxa"/>
            <w:vAlign w:val="bottom"/>
          </w:tcPr>
          <w:p>
            <w:pPr>
              <w:spacing w:after="0"/>
              <w:rPr>
                <w:sz w:val="21"/>
                <w:szCs w:val="21"/>
                <w:color w:val="auto"/>
              </w:rPr>
            </w:pP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(332)</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1"/>
                <w:szCs w:val="21"/>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880" w:type="dxa"/>
            <w:vAlign w:val="bottom"/>
          </w:tcPr>
          <w:p>
            <w:pPr>
              <w:jc w:val="right"/>
              <w:ind w:right="310"/>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(393</w:t>
            </w:r>
          </w:p>
        </w:tc>
        <w:tc>
          <w:tcPr>
            <w:tcW w:w="280" w:type="dxa"/>
            <w:vAlign w:val="bottom"/>
          </w:tcPr>
          <w:p>
            <w:pPr>
              <w:jc w:val="right"/>
              <w:ind w:right="255"/>
              <w:spacing w:after="0"/>
              <w:rPr>
                <w:sz w:val="20"/>
                <w:szCs w:val="20"/>
                <w:color w:val="auto"/>
              </w:rPr>
            </w:pPr>
            <w:r>
              <w:rPr>
                <w:rFonts w:ascii="Arial" w:cs="Arial" w:eastAsia="Arial" w:hAnsi="Arial"/>
                <w:sz w:val="1"/>
                <w:szCs w:val="1"/>
                <w:color w:val="auto"/>
                <w:w w:val="4294967281"/>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421</w:t>
            </w:r>
          </w:p>
        </w:tc>
        <w:tc>
          <w:tcPr>
            <w:tcW w:w="96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80" w:type="dxa"/>
            <w:vAlign w:val="bottom"/>
            <w:vMerge w:val="restart"/>
          </w:tcPr>
          <w:p>
            <w:pPr>
              <w:jc w:val="right"/>
              <w:ind w:right="255"/>
              <w:spacing w:after="0"/>
              <w:rPr>
                <w:sz w:val="20"/>
                <w:szCs w:val="20"/>
                <w:color w:val="auto"/>
              </w:rPr>
            </w:pPr>
            <w:r>
              <w:rPr>
                <w:rFonts w:ascii="Arial" w:cs="Arial" w:eastAsia="Arial" w:hAnsi="Arial"/>
                <w:sz w:val="1"/>
                <w:szCs w:val="1"/>
                <w:color w:val="auto"/>
                <w:w w:val="4294967281"/>
              </w:rPr>
              <w:t>)</w:t>
            </w: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vMerge w:val="restart"/>
          </w:tcPr>
          <w:p>
            <w:pPr>
              <w:jc w:val="right"/>
              <w:spacing w:after="0" w:line="250" w:lineRule="exact"/>
              <w:rPr>
                <w:sz w:val="20"/>
                <w:szCs w:val="20"/>
                <w:color w:val="auto"/>
              </w:rPr>
            </w:pPr>
            <w:r>
              <w:rPr>
                <w:rFonts w:ascii="Arial" w:cs="Arial" w:eastAsia="Arial" w:hAnsi="Arial"/>
                <w:sz w:val="15"/>
                <w:szCs w:val="15"/>
                <w:color w:val="auto"/>
              </w:rPr>
              <w:t>-100.0</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0.01</w:t>
            </w: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35,586,455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201,744</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(0.01)</w:t>
            </w:r>
          </w:p>
        </w:tc>
        <w:tc>
          <w:tcPr>
            <w:tcW w:w="920" w:type="dxa"/>
            <w:vAlign w:val="bottom"/>
          </w:tcPr>
          <w:p>
            <w:pPr>
              <w:spacing w:after="0"/>
              <w:rPr>
                <w:sz w:val="22"/>
                <w:szCs w:val="22"/>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0.00</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35,586,455</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841,228</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880" w:type="dxa"/>
            <w:vAlign w:val="bottom"/>
          </w:tcPr>
          <w:p>
            <w:pPr>
              <w:jc w:val="right"/>
              <w:ind w:right="310"/>
              <w:spacing w:after="0"/>
              <w:rPr>
                <w:sz w:val="20"/>
                <w:szCs w:val="20"/>
                <w:color w:val="auto"/>
              </w:rPr>
            </w:pPr>
            <w:r>
              <w:rPr>
                <w:rFonts w:ascii="Arial" w:cs="Arial" w:eastAsia="Arial" w:hAnsi="Arial"/>
                <w:sz w:val="18"/>
                <w:szCs w:val="18"/>
                <w:color w:val="auto"/>
                <w:w w:val="90"/>
              </w:rPr>
              <w:t>10.4%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788</w:t>
            </w: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880" w:type="dxa"/>
            <w:vAlign w:val="bottom"/>
          </w:tcPr>
          <w:p>
            <w:pPr>
              <w:jc w:val="right"/>
              <w:ind w:right="310"/>
              <w:spacing w:after="0"/>
              <w:rPr>
                <w:sz w:val="20"/>
                <w:szCs w:val="20"/>
                <w:color w:val="auto"/>
              </w:rPr>
            </w:pPr>
            <w:r>
              <w:rPr>
                <w:rFonts w:ascii="Arial" w:cs="Arial" w:eastAsia="Arial" w:hAnsi="Arial"/>
                <w:sz w:val="18"/>
                <w:szCs w:val="18"/>
                <w:color w:val="auto"/>
                <w:w w:val="97"/>
              </w:rPr>
              <w:t>-6.8%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4"/>
          </w:tcPr>
          <w:p>
            <w:pPr>
              <w:jc w:val="right"/>
              <w:ind w:right="255"/>
              <w:spacing w:after="0"/>
              <w:rPr>
                <w:sz w:val="20"/>
                <w:szCs w:val="20"/>
                <w:color w:val="auto"/>
              </w:rPr>
            </w:pPr>
            <w:r>
              <w:rPr>
                <w:rFonts w:ascii="Arial" w:cs="Arial" w:eastAsia="Arial" w:hAnsi="Arial"/>
                <w:sz w:val="18"/>
                <w:szCs w:val="18"/>
                <w:color w:val="auto"/>
              </w:rPr>
              <w:t>(1,072)</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-8.7%</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784</w:t>
            </w:r>
          </w:p>
        </w:tc>
        <w:tc>
          <w:tcPr>
            <w:tcW w:w="96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276,000</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-3943985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-3669665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-3378200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-3077845</wp:posOffset>
            </wp:positionV>
            <wp:extent cx="72466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-2649220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-2366010</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-2040255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-1594485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-1148715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-857250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-427990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-136525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520"/>
            <w:col w:w="5780"/>
          </w:cols>
          <w:pgMar w:left="240" w:top="877" w:right="239" w:bottom="0" w:gutter="0" w:footer="0" w:header="0"/>
          <w:type w:val="continuous"/>
        </w:sectPr>
      </w:pPr>
    </w:p>
    <w:p>
      <w:pPr>
        <w:spacing w:after="0" w:line="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increase in net new connections of 16,000 in the current quarter compared 10,000 in the same quarter last year represents an increase of 60%</w:t>
      </w:r>
      <w:r>
        <w:rPr>
          <w:rFonts w:ascii="Arial" w:cs="Arial" w:eastAsia="Arial" w:hAnsi="Arial"/>
          <w:sz w:val="18"/>
          <w:szCs w:val="18"/>
          <w:i w:val="1"/>
          <w:iCs w:val="1"/>
          <w:color w:val="auto"/>
        </w:rPr>
        <w:t xml:space="preserve"> </w:t>
      </w:r>
      <w:r>
        <w:rPr>
          <w:rFonts w:ascii="Arial" w:cs="Arial" w:eastAsia="Arial" w:hAnsi="Arial"/>
          <w:sz w:val="18"/>
          <w:szCs w:val="18"/>
          <w:color w:val="auto"/>
        </w:rPr>
        <w:t>and is driving the 75% increase in quarter-over-quarter equipment sales. The Company’s total connections has grown to 349,000 at September 30, 2015 compared to 276,000 at September 30, 2014, or a 26% increase quarter-over-quarter. The increase in total connections is driving the growth in licenses and transaction fees of 27% quarter-over-quarter.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Equipment gross margins have expanded from 11.0% in September 30, 2014 to 22.5% in September 30, 2015 due to increases in sales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QuickStart program. License and transaction fees gross margin has expanded over the same period from 28.6% to 32.6% as promotional grace-periods for new customers ended.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Has improved for the quarter ended September 30, 2015 as a percentage of sales to 29.7% compared to the same quarter last year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of 31.0% as the company begins to leverage its premises, equipment and insurance costs. As revenues continue to grow over time, management expects operating expenses as a percentage of sales to decrease gradually over time. Although in the near term there will be variations from quarter to quarter based on business needs. Specifically, the Company anticipates additional selling, general and administrative (“SG&amp;A”) spending on research and development, sales &amp; customer service support, along with accounting and professional fees as the company may need to meet SOX 404 this fiscal year. See Table 4 on page 30 for a breakdown of quarterly SG&amp;A.</w:t>
      </w:r>
    </w:p>
    <w:p>
      <w:pPr>
        <w:sectPr>
          <w:pgSz w:w="11900" w:h="16838" w:orient="portrait"/>
          <w:cols w:equalWidth="0" w:num="1">
            <w:col w:w="11420"/>
          </w:cols>
          <w:pgMar w:left="240" w:top="877" w:right="239" w:bottom="0" w:gutter="0" w:footer="0" w:header="0"/>
          <w:type w:val="continuous"/>
        </w:sectPr>
      </w:pPr>
    </w:p>
    <w:bookmarkStart w:id="28" w:name="page29"/>
    <w:bookmarkEnd w:id="28"/>
    <w:p>
      <w:pPr>
        <w:jc w:val="both"/>
        <w:spacing w:after="0" w:line="286" w:lineRule="auto"/>
        <w:rPr>
          <w:sz w:val="20"/>
          <w:szCs w:val="20"/>
          <w:color w:val="auto"/>
        </w:rPr>
      </w:pPr>
      <w:r>
        <w:rPr>
          <w:rFonts w:ascii="Arial" w:cs="Arial" w:eastAsia="Arial" w:hAnsi="Arial"/>
          <w:sz w:val="17"/>
          <w:szCs w:val="17"/>
          <w:i w:val="1"/>
          <w:iCs w:val="1"/>
          <w:color w:val="auto"/>
        </w:rPr>
        <w:t xml:space="preserve">Total Other Income / (Expense). </w:t>
      </w:r>
      <w:r>
        <w:rPr>
          <w:rFonts w:ascii="Arial" w:cs="Arial" w:eastAsia="Arial" w:hAnsi="Arial"/>
          <w:sz w:val="17"/>
          <w:szCs w:val="17"/>
          <w:color w:val="auto"/>
        </w:rPr>
        <w:t>Includes interest expense, other income, and the change in the fair value of warrants. The primary driver for volatility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Income / (Expense) has been non-cash changes to the fair value of the warrant liabilities which are based directly on the Company’s stock price. The Company adjusts the warrant liability for fair value using the Black-Scholes model through the income statement quarterly.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is a function of the described items above. The increase in net income is attributable to the improved gross margin in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fees and equipment sales in addition to modestly leveraging the Company’s SG&amp;A costs as a percentage of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Improved from 7.7% in September 30, 2014 to 10.4% in September 30, 2015 with the increased gross margin on equipment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and transaction fees, as well as the modest leveraging of SG&amp;A as a percent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Weighted Average Shares Outstanding. </w:t>
      </w:r>
      <w:r>
        <w:rPr>
          <w:rFonts w:ascii="Arial" w:cs="Arial" w:eastAsia="Arial" w:hAnsi="Arial"/>
          <w:sz w:val="18"/>
          <w:szCs w:val="18"/>
          <w:color w:val="auto"/>
        </w:rPr>
        <w:t>Increases are related to stock based compensation.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Table 3: Reconciliation of Net Income (Loss) to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For the three months ended</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198"/>
        </w:trPr>
        <w:tc>
          <w:tcPr>
            <w:tcW w:w="5240" w:type="dxa"/>
            <w:vAlign w:val="bottom"/>
          </w:tcPr>
          <w:p>
            <w:pPr>
              <w:spacing w:after="0"/>
              <w:rPr>
                <w:sz w:val="17"/>
                <w:szCs w:val="17"/>
                <w:color w:val="auto"/>
              </w:rPr>
            </w:pPr>
          </w:p>
        </w:tc>
        <w:tc>
          <w:tcPr>
            <w:tcW w:w="150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41"/>
        </w:trPr>
        <w:tc>
          <w:tcPr>
            <w:tcW w:w="52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 in thousands)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3100" w:type="dxa"/>
            <w:vAlign w:val="bottom"/>
          </w:tcPr>
          <w:p>
            <w:pPr>
              <w:spacing w:after="0"/>
              <w:rPr>
                <w:sz w:val="20"/>
                <w:szCs w:val="20"/>
                <w:color w:val="auto"/>
              </w:rPr>
            </w:pPr>
          </w:p>
        </w:tc>
      </w:tr>
      <w:tr>
        <w:trPr>
          <w:trHeight w:val="216"/>
        </w:trPr>
        <w:tc>
          <w:tcPr>
            <w:tcW w:w="5240" w:type="dxa"/>
            <w:vAlign w:val="bottom"/>
            <w:shd w:val="clear" w:color="auto" w:fill="F0FF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360</w:t>
            </w:r>
          </w:p>
        </w:tc>
        <w:tc>
          <w:tcPr>
            <w:tcW w:w="1060" w:type="dxa"/>
            <w:vAlign w:val="bottom"/>
            <w:gridSpan w:val="2"/>
            <w:shd w:val="clear" w:color="auto" w:fill="F0FFFF"/>
          </w:tcPr>
          <w:p>
            <w:pPr>
              <w:jc w:val="right"/>
              <w:ind w:right="697"/>
              <w:spacing w:after="0"/>
              <w:rPr>
                <w:sz w:val="20"/>
                <w:szCs w:val="20"/>
                <w:color w:val="auto"/>
              </w:rPr>
            </w:pPr>
            <w:r>
              <w:rPr>
                <w:rFonts w:ascii="Arial" w:cs="Arial" w:eastAsia="Arial" w:hAnsi="Arial"/>
                <w:sz w:val="18"/>
                <w:szCs w:val="18"/>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F0FFFF"/>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5240" w:type="dxa"/>
            <w:vAlign w:val="bottom"/>
            <w:shd w:val="clear" w:color="auto" w:fill="F0FFFF"/>
          </w:tcPr>
          <w:p>
            <w:pPr>
              <w:ind w:left="280"/>
              <w:spacing w:after="0"/>
              <w:rPr>
                <w:sz w:val="20"/>
                <w:szCs w:val="20"/>
                <w:color w:val="auto"/>
              </w:rPr>
            </w:pPr>
            <w:r>
              <w:rPr>
                <w:rFonts w:ascii="Arial" w:cs="Arial" w:eastAsia="Arial" w:hAnsi="Arial"/>
                <w:sz w:val="18"/>
                <w:szCs w:val="18"/>
                <w:color w:val="auto"/>
              </w:rPr>
              <w:t>Less interest income</w:t>
            </w:r>
          </w:p>
        </w:tc>
        <w:tc>
          <w:tcPr>
            <w:tcW w:w="2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w:t>
            </w:r>
          </w:p>
        </w:tc>
        <w:tc>
          <w:tcPr>
            <w:tcW w:w="3100" w:type="dxa"/>
            <w:vAlign w:val="bottom"/>
          </w:tcPr>
          <w:p>
            <w:pPr>
              <w:spacing w:after="0"/>
              <w:rPr>
                <w:sz w:val="18"/>
                <w:szCs w:val="18"/>
                <w:color w:val="auto"/>
              </w:rPr>
            </w:pPr>
          </w:p>
        </w:tc>
      </w:tr>
      <w:tr>
        <w:trPr>
          <w:trHeight w:val="216"/>
        </w:trPr>
        <w:tc>
          <w:tcPr>
            <w:tcW w:w="5240" w:type="dxa"/>
            <w:vAlign w:val="bottom"/>
          </w:tcPr>
          <w:p>
            <w:pPr>
              <w:ind w:left="280"/>
              <w:spacing w:after="0"/>
              <w:rPr>
                <w:sz w:val="20"/>
                <w:szCs w:val="20"/>
                <w:color w:val="auto"/>
              </w:rPr>
            </w:pPr>
            <w:r>
              <w:rPr>
                <w:rFonts w:ascii="Arial" w:cs="Arial" w:eastAsia="Arial" w:hAnsi="Arial"/>
                <w:sz w:val="18"/>
                <w:szCs w:val="18"/>
                <w:color w:val="auto"/>
              </w:rPr>
              <w:t>Plus interest expenses</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100" w:type="dxa"/>
            <w:vAlign w:val="bottom"/>
          </w:tcPr>
          <w:p>
            <w:pPr>
              <w:spacing w:after="0"/>
              <w:rPr>
                <w:sz w:val="18"/>
                <w:szCs w:val="18"/>
                <w:color w:val="auto"/>
              </w:rPr>
            </w:pPr>
          </w:p>
        </w:tc>
      </w:tr>
      <w:tr>
        <w:trPr>
          <w:trHeight w:val="216"/>
        </w:trPr>
        <w:tc>
          <w:tcPr>
            <w:tcW w:w="5240" w:type="dxa"/>
            <w:vAlign w:val="bottom"/>
            <w:shd w:val="clear" w:color="auto" w:fill="F0FFFF"/>
          </w:tcPr>
          <w:p>
            <w:pPr>
              <w:ind w:left="280"/>
              <w:spacing w:after="0"/>
              <w:rPr>
                <w:sz w:val="20"/>
                <w:szCs w:val="20"/>
                <w:color w:val="auto"/>
              </w:rPr>
            </w:pPr>
            <w:r>
              <w:rPr>
                <w:rFonts w:ascii="Arial" w:cs="Arial" w:eastAsia="Arial" w:hAnsi="Arial"/>
                <w:sz w:val="18"/>
                <w:szCs w:val="18"/>
                <w:color w:val="auto"/>
              </w:rPr>
              <w:t>Plus income tax expense (benefit)</w:t>
            </w:r>
          </w:p>
        </w:tc>
        <w:tc>
          <w:tcPr>
            <w:tcW w:w="2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(360)</w:t>
            </w:r>
          </w:p>
        </w:tc>
        <w:tc>
          <w:tcPr>
            <w:tcW w:w="3100" w:type="dxa"/>
            <w:vAlign w:val="bottom"/>
          </w:tcPr>
          <w:p>
            <w:pPr>
              <w:spacing w:after="0"/>
              <w:rPr>
                <w:sz w:val="18"/>
                <w:szCs w:val="18"/>
                <w:color w:val="auto"/>
              </w:rPr>
            </w:pPr>
          </w:p>
        </w:tc>
      </w:tr>
      <w:tr>
        <w:trPr>
          <w:trHeight w:val="216"/>
        </w:trPr>
        <w:tc>
          <w:tcPr>
            <w:tcW w:w="5240" w:type="dxa"/>
            <w:vAlign w:val="bottom"/>
          </w:tcPr>
          <w:p>
            <w:pPr>
              <w:ind w:left="280"/>
              <w:spacing w:after="0"/>
              <w:rPr>
                <w:sz w:val="20"/>
                <w:szCs w:val="20"/>
                <w:color w:val="auto"/>
              </w:rPr>
            </w:pPr>
            <w:r>
              <w:rPr>
                <w:rFonts w:ascii="Arial" w:cs="Arial" w:eastAsia="Arial" w:hAnsi="Arial"/>
                <w:sz w:val="18"/>
                <w:szCs w:val="18"/>
                <w:color w:val="auto"/>
              </w:rPr>
              <w:t>Plus depreciation expense</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1,473</w:t>
            </w:r>
          </w:p>
        </w:tc>
        <w:tc>
          <w:tcPr>
            <w:tcW w:w="3100" w:type="dxa"/>
            <w:vAlign w:val="bottom"/>
          </w:tcPr>
          <w:p>
            <w:pPr>
              <w:spacing w:after="0"/>
              <w:rPr>
                <w:sz w:val="18"/>
                <w:szCs w:val="18"/>
                <w:color w:val="auto"/>
              </w:rPr>
            </w:pPr>
          </w:p>
        </w:tc>
      </w:tr>
      <w:tr>
        <w:trPr>
          <w:trHeight w:val="216"/>
        </w:trPr>
        <w:tc>
          <w:tcPr>
            <w:tcW w:w="5240" w:type="dxa"/>
            <w:vAlign w:val="bottom"/>
            <w:shd w:val="clear" w:color="auto" w:fill="F0FFFF"/>
          </w:tcPr>
          <w:p>
            <w:pPr>
              <w:ind w:left="280"/>
              <w:spacing w:after="0"/>
              <w:rPr>
                <w:sz w:val="20"/>
                <w:szCs w:val="20"/>
                <w:color w:val="auto"/>
              </w:rPr>
            </w:pPr>
            <w:r>
              <w:rPr>
                <w:rFonts w:ascii="Arial" w:cs="Arial" w:eastAsia="Arial" w:hAnsi="Arial"/>
                <w:sz w:val="18"/>
                <w:szCs w:val="18"/>
                <w:color w:val="auto"/>
              </w:rPr>
              <w:t>Less change in fair value of warrant liabilities</w:t>
            </w:r>
          </w:p>
        </w:tc>
        <w:tc>
          <w:tcPr>
            <w:tcW w:w="2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(310)</w:t>
            </w:r>
          </w:p>
        </w:tc>
        <w:tc>
          <w:tcPr>
            <w:tcW w:w="3100" w:type="dxa"/>
            <w:vAlign w:val="bottom"/>
          </w:tcPr>
          <w:p>
            <w:pPr>
              <w:spacing w:after="0"/>
              <w:rPr>
                <w:sz w:val="18"/>
                <w:szCs w:val="18"/>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8"/>
                <w:szCs w:val="18"/>
                <w:color w:val="auto"/>
              </w:rPr>
              <w:t>Plus stock-based compensation</w:t>
            </w:r>
          </w:p>
        </w:tc>
        <w:tc>
          <w:tcPr>
            <w:tcW w:w="2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3100" w:type="dxa"/>
            <w:vAlign w:val="bottom"/>
          </w:tcPr>
          <w:p>
            <w:pPr>
              <w:spacing w:after="0"/>
              <w:rPr>
                <w:sz w:val="20"/>
                <w:szCs w:val="20"/>
                <w:color w:val="auto"/>
              </w:rPr>
            </w:pPr>
          </w:p>
        </w:tc>
      </w:tr>
      <w:tr>
        <w:trPr>
          <w:trHeight w:val="255"/>
        </w:trPr>
        <w:tc>
          <w:tcPr>
            <w:tcW w:w="5240" w:type="dxa"/>
            <w:vAlign w:val="bottom"/>
            <w:tcBorders>
              <w:top w:val="single" w:sz="8" w:color="F0FFFF"/>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60" w:type="dxa"/>
            <w:vAlign w:val="bottom"/>
            <w:tcBorders>
              <w:top w:val="single" w:sz="8" w:color="auto"/>
              <w:bottom w:val="single" w:sz="8" w:color="auto"/>
            </w:tcBorders>
            <w:shd w:val="clear" w:color="auto" w:fill="F0FFFF"/>
          </w:tcPr>
          <w:p>
            <w:pPr>
              <w:jc w:val="right"/>
              <w:ind w:right="69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100" w:type="dxa"/>
            <w:vAlign w:val="bottom"/>
          </w:tcPr>
          <w:p>
            <w:pPr>
              <w:spacing w:after="0"/>
              <w:rPr>
                <w:sz w:val="21"/>
                <w:szCs w:val="21"/>
                <w:color w:val="auto"/>
              </w:rPr>
            </w:pPr>
          </w:p>
        </w:tc>
      </w:tr>
      <w:tr>
        <w:trPr>
          <w:trHeight w:val="20"/>
        </w:trPr>
        <w:tc>
          <w:tcPr>
            <w:tcW w:w="5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622"/>
        </w:trPr>
        <w:tc>
          <w:tcPr>
            <w:tcW w:w="52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ind w:right="610"/>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69" w:lineRule="auto"/>
        <w:rPr>
          <w:sz w:val="20"/>
          <w:szCs w:val="20"/>
          <w:color w:val="auto"/>
        </w:rPr>
      </w:pPr>
      <w:r>
        <w:rPr>
          <w:rFonts w:ascii="Arial" w:cs="Arial" w:eastAsia="Arial" w:hAnsi="Arial"/>
          <w:sz w:val="17"/>
          <w:szCs w:val="17"/>
          <w:i w:val="1"/>
          <w:iCs w:val="1"/>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Quarterly Selling General &amp; Administrative (SG&amp;A)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26"/>
        </w:trPr>
        <w:tc>
          <w:tcPr>
            <w:tcW w:w="1740" w:type="dxa"/>
            <w:vAlign w:val="bottom"/>
          </w:tcPr>
          <w:p>
            <w:pPr>
              <w:spacing w:after="0"/>
              <w:rPr>
                <w:sz w:val="10"/>
                <w:szCs w:val="10"/>
                <w:color w:val="auto"/>
              </w:rPr>
            </w:pPr>
          </w:p>
        </w:tc>
        <w:tc>
          <w:tcPr>
            <w:tcW w:w="11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September 30,</w:t>
            </w:r>
          </w:p>
        </w:tc>
        <w:tc>
          <w:tcPr>
            <w:tcW w:w="940" w:type="dxa"/>
            <w:vAlign w:val="bottom"/>
          </w:tcPr>
          <w:p>
            <w:pPr>
              <w:jc w:val="right"/>
              <w:ind w:right="308"/>
              <w:spacing w:after="0" w:line="12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0"/>
                <w:szCs w:val="10"/>
                <w:color w:val="auto"/>
              </w:rPr>
            </w:pPr>
          </w:p>
        </w:tc>
        <w:tc>
          <w:tcPr>
            <w:tcW w:w="78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jc w:val="right"/>
              <w:ind w:right="288"/>
              <w:spacing w:after="0" w:line="126" w:lineRule="exact"/>
              <w:rPr>
                <w:sz w:val="20"/>
                <w:szCs w:val="20"/>
                <w:color w:val="auto"/>
              </w:rPr>
            </w:pPr>
            <w:r>
              <w:rPr>
                <w:rFonts w:ascii="Arial" w:cs="Arial" w:eastAsia="Arial" w:hAnsi="Arial"/>
                <w:sz w:val="14"/>
                <w:szCs w:val="14"/>
                <w:b w:val="1"/>
                <w:bCs w:val="1"/>
                <w:color w:val="auto"/>
              </w:rPr>
              <w:t>% of</w:t>
            </w:r>
          </w:p>
        </w:tc>
        <w:tc>
          <w:tcPr>
            <w:tcW w:w="90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March 30,</w:t>
            </w:r>
          </w:p>
        </w:tc>
        <w:tc>
          <w:tcPr>
            <w:tcW w:w="900" w:type="dxa"/>
            <w:vAlign w:val="bottom"/>
          </w:tcPr>
          <w:p>
            <w:pPr>
              <w:jc w:val="right"/>
              <w:ind w:right="288"/>
              <w:spacing w:after="0" w:line="126" w:lineRule="exact"/>
              <w:rPr>
                <w:sz w:val="20"/>
                <w:szCs w:val="20"/>
                <w:color w:val="auto"/>
              </w:rPr>
            </w:pPr>
            <w:r>
              <w:rPr>
                <w:rFonts w:ascii="Arial" w:cs="Arial" w:eastAsia="Arial" w:hAnsi="Arial"/>
                <w:sz w:val="14"/>
                <w:szCs w:val="14"/>
                <w:b w:val="1"/>
                <w:bCs w:val="1"/>
                <w:color w:val="auto"/>
              </w:rPr>
              <w:t>% of</w:t>
            </w:r>
          </w:p>
        </w:tc>
        <w:tc>
          <w:tcPr>
            <w:tcW w:w="1140" w:type="dxa"/>
            <w:vAlign w:val="bottom"/>
            <w:gridSpan w:val="2"/>
          </w:tcPr>
          <w:p>
            <w:pPr>
              <w:jc w:val="right"/>
              <w:ind w:right="148"/>
              <w:spacing w:after="0" w:line="126" w:lineRule="exact"/>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88"/>
              <w:spacing w:after="0" w:line="126" w:lineRule="exact"/>
              <w:rPr>
                <w:sz w:val="20"/>
                <w:szCs w:val="20"/>
                <w:color w:val="auto"/>
              </w:rPr>
            </w:pPr>
            <w:r>
              <w:rPr>
                <w:rFonts w:ascii="Arial" w:cs="Arial" w:eastAsia="Arial" w:hAnsi="Arial"/>
                <w:sz w:val="14"/>
                <w:szCs w:val="14"/>
                <w:b w:val="1"/>
                <w:bCs w:val="1"/>
                <w:color w:val="auto"/>
              </w:rPr>
              <w:t>% of</w:t>
            </w:r>
          </w:p>
        </w:tc>
        <w:tc>
          <w:tcPr>
            <w:tcW w:w="114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720" w:type="dxa"/>
            <w:vAlign w:val="bottom"/>
          </w:tcPr>
          <w:p>
            <w:pPr>
              <w:jc w:val="right"/>
              <w:ind w:right="108"/>
              <w:spacing w:after="0" w:line="12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0"/>
                <w:szCs w:val="10"/>
                <w:color w:val="auto"/>
              </w:rPr>
            </w:pPr>
          </w:p>
        </w:tc>
      </w:tr>
      <w:tr>
        <w:trPr>
          <w:trHeight w:val="186"/>
        </w:trPr>
        <w:tc>
          <w:tcPr>
            <w:tcW w:w="1740" w:type="dxa"/>
            <w:vAlign w:val="bottom"/>
          </w:tcPr>
          <w:p>
            <w:pPr>
              <w:spacing w:after="0"/>
              <w:rPr>
                <w:sz w:val="20"/>
                <w:szCs w:val="20"/>
                <w:color w:val="auto"/>
              </w:rPr>
            </w:pPr>
            <w:r>
              <w:rPr>
                <w:rFonts w:ascii="Arial" w:cs="Arial" w:eastAsia="Arial" w:hAnsi="Arial"/>
                <w:sz w:val="14"/>
                <w:szCs w:val="14"/>
                <w:color w:val="auto"/>
              </w:rPr>
              <w:t>($ in thousands)</w:t>
            </w:r>
          </w:p>
        </w:tc>
        <w:tc>
          <w:tcPr>
            <w:tcW w:w="200" w:type="dxa"/>
            <w:vAlign w:val="bottom"/>
          </w:tcPr>
          <w:p>
            <w:pPr>
              <w:spacing w:after="0"/>
              <w:rPr>
                <w:sz w:val="16"/>
                <w:szCs w:val="16"/>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SG&amp;A</w:t>
            </w:r>
          </w:p>
        </w:tc>
        <w:tc>
          <w:tcPr>
            <w:tcW w:w="16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SG&amp;A</w:t>
            </w:r>
          </w:p>
        </w:tc>
        <w:tc>
          <w:tcPr>
            <w:tcW w:w="200" w:type="dxa"/>
            <w:vAlign w:val="bottom"/>
          </w:tcPr>
          <w:p>
            <w:pPr>
              <w:spacing w:after="0"/>
              <w:rPr>
                <w:sz w:val="16"/>
                <w:szCs w:val="16"/>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SG&amp;A</w:t>
            </w:r>
          </w:p>
        </w:tc>
        <w:tc>
          <w:tcPr>
            <w:tcW w:w="240" w:type="dxa"/>
            <w:vAlign w:val="bottom"/>
          </w:tcPr>
          <w:p>
            <w:pPr>
              <w:spacing w:after="0"/>
              <w:rPr>
                <w:sz w:val="16"/>
                <w:szCs w:val="16"/>
                <w:color w:val="auto"/>
              </w:rPr>
            </w:pPr>
          </w:p>
        </w:tc>
        <w:tc>
          <w:tcPr>
            <w:tcW w:w="9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SG&amp;A</w:t>
            </w:r>
          </w:p>
        </w:tc>
        <w:tc>
          <w:tcPr>
            <w:tcW w:w="260" w:type="dxa"/>
            <w:vAlign w:val="bottom"/>
          </w:tcPr>
          <w:p>
            <w:pPr>
              <w:spacing w:after="0"/>
              <w:rPr>
                <w:sz w:val="16"/>
                <w:szCs w:val="16"/>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SG&amp;A</w:t>
            </w:r>
          </w:p>
        </w:tc>
      </w:tr>
      <w:tr>
        <w:trPr>
          <w:trHeight w:val="134"/>
        </w:trPr>
        <w:tc>
          <w:tcPr>
            <w:tcW w:w="1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7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Salaries and benefit</w:t>
            </w:r>
          </w:p>
        </w:tc>
        <w:tc>
          <w:tcPr>
            <w:tcW w:w="20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9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r>
      <w:tr>
        <w:trPr>
          <w:trHeight w:val="167"/>
        </w:trPr>
        <w:tc>
          <w:tcPr>
            <w:tcW w:w="1740" w:type="dxa"/>
            <w:vAlign w:val="bottom"/>
            <w:shd w:val="clear" w:color="auto" w:fill="F0FFFF"/>
          </w:tcPr>
          <w:p>
            <w:pPr>
              <w:ind w:left="340"/>
              <w:spacing w:after="0"/>
              <w:rPr>
                <w:sz w:val="20"/>
                <w:szCs w:val="20"/>
                <w:color w:val="auto"/>
              </w:rPr>
            </w:pPr>
            <w:r>
              <w:rPr>
                <w:rFonts w:ascii="Arial" w:cs="Arial" w:eastAsia="Arial" w:hAnsi="Arial"/>
                <w:sz w:val="14"/>
                <w:szCs w:val="14"/>
                <w:color w:val="auto"/>
              </w:rPr>
              <w:t>costs</w:t>
            </w:r>
          </w:p>
        </w:tc>
        <w:tc>
          <w:tcPr>
            <w:tcW w:w="20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2,685</w:t>
            </w: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56.0%</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2,295</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45.8%</w:t>
            </w:r>
          </w:p>
        </w:tc>
        <w:tc>
          <w:tcPr>
            <w:tcW w:w="200" w:type="dxa"/>
            <w:vAlign w:val="bottom"/>
            <w:shd w:val="clear" w:color="auto" w:fill="F0FFFF"/>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2,533</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59.2%</w:t>
            </w:r>
          </w:p>
        </w:tc>
        <w:tc>
          <w:tcPr>
            <w:tcW w:w="2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2,131</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60.4%</w:t>
            </w:r>
          </w:p>
        </w:tc>
        <w:tc>
          <w:tcPr>
            <w:tcW w:w="260" w:type="dxa"/>
            <w:vAlign w:val="bottom"/>
            <w:shd w:val="clear" w:color="auto" w:fill="F0FFFF"/>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2,204</w:t>
            </w: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60.7%</w:t>
            </w:r>
          </w:p>
        </w:tc>
      </w:tr>
      <w:tr>
        <w:trPr>
          <w:trHeight w:val="130"/>
        </w:trPr>
        <w:tc>
          <w:tcPr>
            <w:tcW w:w="1740" w:type="dxa"/>
            <w:vAlign w:val="bottom"/>
          </w:tcPr>
          <w:p>
            <w:pPr>
              <w:ind w:left="180"/>
              <w:spacing w:after="0" w:line="130" w:lineRule="exact"/>
              <w:rPr>
                <w:sz w:val="20"/>
                <w:szCs w:val="20"/>
                <w:color w:val="auto"/>
              </w:rPr>
            </w:pPr>
            <w:r>
              <w:rPr>
                <w:rFonts w:ascii="Arial" w:cs="Arial" w:eastAsia="Arial" w:hAnsi="Arial"/>
                <w:sz w:val="14"/>
                <w:szCs w:val="14"/>
                <w:color w:val="auto"/>
              </w:rPr>
              <w:t>Marketing related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1740" w:type="dxa"/>
            <w:vAlign w:val="bottom"/>
          </w:tcPr>
          <w:p>
            <w:pPr>
              <w:ind w:left="34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333</w:t>
            </w:r>
          </w:p>
        </w:tc>
        <w:tc>
          <w:tcPr>
            <w:tcW w:w="94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580</w:t>
            </w: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184</w:t>
            </w: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215</w:t>
            </w: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149"/>
        </w:trPr>
        <w:tc>
          <w:tcPr>
            <w:tcW w:w="1740" w:type="dxa"/>
            <w:vAlign w:val="bottom"/>
            <w:shd w:val="clear" w:color="auto" w:fill="F0FFFF"/>
          </w:tcPr>
          <w:p>
            <w:pPr>
              <w:ind w:left="180"/>
              <w:spacing w:after="0" w:line="149" w:lineRule="exact"/>
              <w:rPr>
                <w:sz w:val="20"/>
                <w:szCs w:val="20"/>
                <w:color w:val="auto"/>
              </w:rPr>
            </w:pPr>
            <w:r>
              <w:rPr>
                <w:rFonts w:ascii="Arial" w:cs="Arial" w:eastAsia="Arial" w:hAnsi="Arial"/>
                <w:sz w:val="14"/>
                <w:szCs w:val="14"/>
                <w:color w:val="auto"/>
              </w:rPr>
              <w:t>Professional services</w:t>
            </w:r>
          </w:p>
        </w:tc>
        <w:tc>
          <w:tcPr>
            <w:tcW w:w="200" w:type="dxa"/>
            <w:vAlign w:val="bottom"/>
            <w:shd w:val="clear" w:color="auto" w:fill="F0FFFF"/>
          </w:tcPr>
          <w:p>
            <w:pPr>
              <w:spacing w:after="0"/>
              <w:rPr>
                <w:sz w:val="12"/>
                <w:szCs w:val="12"/>
                <w:color w:val="auto"/>
              </w:rPr>
            </w:pPr>
          </w:p>
        </w:tc>
        <w:tc>
          <w:tcPr>
            <w:tcW w:w="920" w:type="dxa"/>
            <w:vAlign w:val="bottom"/>
            <w:shd w:val="clear" w:color="auto" w:fill="F0FFFF"/>
          </w:tcPr>
          <w:p>
            <w:pPr>
              <w:jc w:val="right"/>
              <w:ind w:right="128"/>
              <w:spacing w:after="0" w:line="149" w:lineRule="exact"/>
              <w:rPr>
                <w:sz w:val="20"/>
                <w:szCs w:val="20"/>
                <w:color w:val="auto"/>
              </w:rPr>
            </w:pPr>
            <w:r>
              <w:rPr>
                <w:rFonts w:ascii="Arial" w:cs="Arial" w:eastAsia="Arial" w:hAnsi="Arial"/>
                <w:sz w:val="14"/>
                <w:szCs w:val="14"/>
                <w:color w:val="auto"/>
              </w:rPr>
              <w:t>799</w:t>
            </w:r>
          </w:p>
        </w:tc>
        <w:tc>
          <w:tcPr>
            <w:tcW w:w="9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16.7%</w:t>
            </w:r>
          </w:p>
        </w:tc>
        <w:tc>
          <w:tcPr>
            <w:tcW w:w="160" w:type="dxa"/>
            <w:vAlign w:val="bottom"/>
            <w:shd w:val="clear" w:color="auto" w:fill="F0FFFF"/>
          </w:tcPr>
          <w:p>
            <w:pPr>
              <w:spacing w:after="0"/>
              <w:rPr>
                <w:sz w:val="12"/>
                <w:szCs w:val="12"/>
                <w:color w:val="auto"/>
              </w:rPr>
            </w:pPr>
          </w:p>
        </w:tc>
        <w:tc>
          <w:tcPr>
            <w:tcW w:w="780" w:type="dxa"/>
            <w:vAlign w:val="bottom"/>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844</w:t>
            </w:r>
          </w:p>
        </w:tc>
        <w:tc>
          <w:tcPr>
            <w:tcW w:w="8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shd w:val="clear" w:color="auto" w:fill="F0FFFF"/>
          </w:tcPr>
          <w:p>
            <w:pPr>
              <w:spacing w:after="0"/>
              <w:rPr>
                <w:sz w:val="12"/>
                <w:szCs w:val="12"/>
                <w:color w:val="auto"/>
              </w:rPr>
            </w:pPr>
          </w:p>
        </w:tc>
        <w:tc>
          <w:tcPr>
            <w:tcW w:w="70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708</w:t>
            </w:r>
          </w:p>
        </w:tc>
        <w:tc>
          <w:tcPr>
            <w:tcW w:w="9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16.5%</w:t>
            </w:r>
          </w:p>
        </w:tc>
        <w:tc>
          <w:tcPr>
            <w:tcW w:w="240" w:type="dxa"/>
            <w:vAlign w:val="bottom"/>
            <w:shd w:val="clear" w:color="auto" w:fill="F0FFFF"/>
          </w:tcPr>
          <w:p>
            <w:pPr>
              <w:spacing w:after="0"/>
              <w:rPr>
                <w:sz w:val="12"/>
                <w:szCs w:val="12"/>
                <w:color w:val="auto"/>
              </w:rPr>
            </w:pPr>
          </w:p>
        </w:tc>
        <w:tc>
          <w:tcPr>
            <w:tcW w:w="900" w:type="dxa"/>
            <w:vAlign w:val="bottom"/>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460</w:t>
            </w:r>
          </w:p>
        </w:tc>
        <w:tc>
          <w:tcPr>
            <w:tcW w:w="8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13.0%</w:t>
            </w:r>
          </w:p>
        </w:tc>
        <w:tc>
          <w:tcPr>
            <w:tcW w:w="260" w:type="dxa"/>
            <w:vAlign w:val="bottom"/>
            <w:shd w:val="clear" w:color="auto" w:fill="F0FFFF"/>
          </w:tcPr>
          <w:p>
            <w:pPr>
              <w:spacing w:after="0"/>
              <w:rPr>
                <w:sz w:val="12"/>
                <w:szCs w:val="12"/>
                <w:color w:val="auto"/>
              </w:rPr>
            </w:pPr>
          </w:p>
        </w:tc>
        <w:tc>
          <w:tcPr>
            <w:tcW w:w="880" w:type="dxa"/>
            <w:vAlign w:val="bottom"/>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498</w:t>
            </w:r>
          </w:p>
        </w:tc>
        <w:tc>
          <w:tcPr>
            <w:tcW w:w="8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Bad debt expense</w:t>
            </w:r>
          </w:p>
        </w:tc>
        <w:tc>
          <w:tcPr>
            <w:tcW w:w="200" w:type="dxa"/>
            <w:vAlign w:val="bottom"/>
          </w:tcPr>
          <w:p>
            <w:pPr>
              <w:spacing w:after="0"/>
              <w:rPr>
                <w:sz w:val="12"/>
                <w:szCs w:val="12"/>
                <w:color w:val="auto"/>
              </w:rPr>
            </w:pP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2"/>
                <w:szCs w:val="12"/>
                <w:color w:val="auto"/>
              </w:rPr>
            </w:pPr>
          </w:p>
        </w:tc>
        <w:tc>
          <w:tcPr>
            <w:tcW w:w="7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40" w:type="dxa"/>
            <w:vAlign w:val="bottom"/>
          </w:tcPr>
          <w:p>
            <w:pPr>
              <w:spacing w:after="0"/>
              <w:rPr>
                <w:sz w:val="12"/>
                <w:szCs w:val="12"/>
                <w:color w:val="auto"/>
              </w:rPr>
            </w:pP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6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r>
      <w:tr>
        <w:trPr>
          <w:trHeight w:val="130"/>
        </w:trPr>
        <w:tc>
          <w:tcPr>
            <w:tcW w:w="1740" w:type="dxa"/>
            <w:vAlign w:val="bottom"/>
            <w:shd w:val="clear" w:color="auto" w:fill="F0FFFF"/>
          </w:tcPr>
          <w:p>
            <w:pPr>
              <w:ind w:left="180"/>
              <w:spacing w:after="0" w:line="130" w:lineRule="exact"/>
              <w:rPr>
                <w:sz w:val="20"/>
                <w:szCs w:val="20"/>
                <w:color w:val="auto"/>
              </w:rPr>
            </w:pPr>
            <w:r>
              <w:rPr>
                <w:rFonts w:ascii="Arial" w:cs="Arial" w:eastAsia="Arial" w:hAnsi="Arial"/>
                <w:sz w:val="14"/>
                <w:szCs w:val="14"/>
                <w:color w:val="auto"/>
              </w:rPr>
              <w:t>Premises, equipment</w:t>
            </w:r>
          </w:p>
        </w:tc>
        <w:tc>
          <w:tcPr>
            <w:tcW w:w="200" w:type="dxa"/>
            <w:vAlign w:val="bottom"/>
            <w:shd w:val="clear" w:color="auto" w:fill="F0FFFF"/>
          </w:tcPr>
          <w:p>
            <w:pPr>
              <w:spacing w:after="0"/>
              <w:rPr>
                <w:sz w:val="11"/>
                <w:szCs w:val="11"/>
                <w:color w:val="auto"/>
              </w:rPr>
            </w:pPr>
          </w:p>
        </w:tc>
        <w:tc>
          <w:tcPr>
            <w:tcW w:w="920" w:type="dxa"/>
            <w:vAlign w:val="bottom"/>
            <w:shd w:val="clear" w:color="auto" w:fill="F0FFFF"/>
          </w:tcPr>
          <w:p>
            <w:pPr>
              <w:spacing w:after="0"/>
              <w:rPr>
                <w:sz w:val="11"/>
                <w:szCs w:val="11"/>
                <w:color w:val="auto"/>
              </w:rPr>
            </w:pPr>
          </w:p>
        </w:tc>
        <w:tc>
          <w:tcPr>
            <w:tcW w:w="9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r>
      <w:tr>
        <w:trPr>
          <w:trHeight w:val="167"/>
        </w:trPr>
        <w:tc>
          <w:tcPr>
            <w:tcW w:w="1740" w:type="dxa"/>
            <w:vAlign w:val="bottom"/>
            <w:shd w:val="clear" w:color="auto" w:fill="F0FFFF"/>
          </w:tcPr>
          <w:p>
            <w:pPr>
              <w:ind w:left="340"/>
              <w:spacing w:after="0"/>
              <w:rPr>
                <w:sz w:val="20"/>
                <w:szCs w:val="20"/>
                <w:color w:val="auto"/>
              </w:rPr>
            </w:pPr>
            <w:r>
              <w:rPr>
                <w:rFonts w:ascii="Arial" w:cs="Arial" w:eastAsia="Arial" w:hAnsi="Arial"/>
                <w:sz w:val="14"/>
                <w:szCs w:val="14"/>
                <w:color w:val="auto"/>
              </w:rPr>
              <w:t>and insurance costs</w:t>
            </w:r>
          </w:p>
        </w:tc>
        <w:tc>
          <w:tcPr>
            <w:tcW w:w="200" w:type="dxa"/>
            <w:vAlign w:val="bottom"/>
            <w:shd w:val="clear" w:color="auto" w:fill="F0FFFF"/>
          </w:tcPr>
          <w:p>
            <w:pPr>
              <w:spacing w:after="0"/>
              <w:rPr>
                <w:sz w:val="14"/>
                <w:szCs w:val="14"/>
                <w:color w:val="auto"/>
              </w:rPr>
            </w:pPr>
          </w:p>
        </w:tc>
        <w:tc>
          <w:tcPr>
            <w:tcW w:w="92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399</w:t>
            </w: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F0FFFF"/>
          </w:tcPr>
          <w:p>
            <w:pPr>
              <w:spacing w:after="0"/>
              <w:rPr>
                <w:sz w:val="14"/>
                <w:szCs w:val="14"/>
                <w:color w:val="auto"/>
              </w:rPr>
            </w:pPr>
          </w:p>
        </w:tc>
        <w:tc>
          <w:tcPr>
            <w:tcW w:w="7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475</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9.5%</w:t>
            </w:r>
          </w:p>
        </w:tc>
        <w:tc>
          <w:tcPr>
            <w:tcW w:w="200" w:type="dxa"/>
            <w:vAlign w:val="bottom"/>
            <w:shd w:val="clear" w:color="auto" w:fill="F0FFFF"/>
          </w:tcPr>
          <w:p>
            <w:pPr>
              <w:spacing w:after="0"/>
              <w:rPr>
                <w:sz w:val="14"/>
                <w:szCs w:val="14"/>
                <w:color w:val="auto"/>
              </w:rPr>
            </w:pPr>
          </w:p>
        </w:tc>
        <w:tc>
          <w:tcPr>
            <w:tcW w:w="70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372</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8.7%</w:t>
            </w:r>
          </w:p>
        </w:tc>
        <w:tc>
          <w:tcPr>
            <w:tcW w:w="240" w:type="dxa"/>
            <w:vAlign w:val="bottom"/>
            <w:shd w:val="clear" w:color="auto" w:fill="F0FFFF"/>
          </w:tcPr>
          <w:p>
            <w:pPr>
              <w:spacing w:after="0"/>
              <w:rPr>
                <w:sz w:val="14"/>
                <w:szCs w:val="14"/>
                <w:color w:val="auto"/>
              </w:rPr>
            </w:pPr>
          </w:p>
        </w:tc>
        <w:tc>
          <w:tcPr>
            <w:tcW w:w="90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370</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10.5%</w:t>
            </w:r>
          </w:p>
        </w:tc>
        <w:tc>
          <w:tcPr>
            <w:tcW w:w="260" w:type="dxa"/>
            <w:vAlign w:val="bottom"/>
            <w:shd w:val="clear" w:color="auto" w:fill="F0FFFF"/>
          </w:tcPr>
          <w:p>
            <w:pPr>
              <w:spacing w:after="0"/>
              <w:rPr>
                <w:sz w:val="14"/>
                <w:szCs w:val="14"/>
                <w:color w:val="auto"/>
              </w:rPr>
            </w:pPr>
          </w:p>
        </w:tc>
        <w:tc>
          <w:tcPr>
            <w:tcW w:w="8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402</w:t>
            </w:r>
          </w:p>
        </w:tc>
        <w:tc>
          <w:tcPr>
            <w:tcW w:w="8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11.0%</w:t>
            </w:r>
          </w:p>
        </w:tc>
      </w:tr>
      <w:tr>
        <w:trPr>
          <w:trHeight w:val="130"/>
        </w:trPr>
        <w:tc>
          <w:tcPr>
            <w:tcW w:w="1740" w:type="dxa"/>
            <w:vAlign w:val="bottom"/>
          </w:tcPr>
          <w:p>
            <w:pPr>
              <w:ind w:left="180"/>
              <w:spacing w:after="0" w:line="130" w:lineRule="exact"/>
              <w:rPr>
                <w:sz w:val="20"/>
                <w:szCs w:val="20"/>
                <w:color w:val="auto"/>
              </w:rPr>
            </w:pPr>
            <w:r>
              <w:rPr>
                <w:rFonts w:ascii="Arial" w:cs="Arial" w:eastAsia="Arial" w:hAnsi="Arial"/>
                <w:sz w:val="14"/>
                <w:szCs w:val="14"/>
                <w:color w:val="auto"/>
              </w:rPr>
              <w:t>Research and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development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1740" w:type="dxa"/>
            <w:vAlign w:val="bottom"/>
          </w:tcPr>
          <w:p>
            <w:pPr>
              <w:ind w:left="34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4"/>
                <w:szCs w:val="1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191</w:t>
            </w: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154</w:t>
            </w: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115</w:t>
            </w: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169"/>
        </w:trPr>
        <w:tc>
          <w:tcPr>
            <w:tcW w:w="17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4"/>
                <w:szCs w:val="14"/>
                <w:color w:val="auto"/>
              </w:rPr>
              <w:t>Other expenses</w:t>
            </w:r>
          </w:p>
        </w:tc>
        <w:tc>
          <w:tcPr>
            <w:tcW w:w="200" w:type="dxa"/>
            <w:vAlign w:val="bottom"/>
            <w:tcBorders>
              <w:bottom w:val="single" w:sz="8" w:color="auto"/>
            </w:tcBorders>
            <w:shd w:val="clear" w:color="auto" w:fill="F0FFFF"/>
          </w:tcPr>
          <w:p>
            <w:pPr>
              <w:spacing w:after="0"/>
              <w:rPr>
                <w:sz w:val="14"/>
                <w:szCs w:val="14"/>
                <w:color w:val="auto"/>
              </w:rPr>
            </w:pPr>
          </w:p>
        </w:tc>
        <w:tc>
          <w:tcPr>
            <w:tcW w:w="920" w:type="dxa"/>
            <w:vAlign w:val="bottom"/>
            <w:tcBorders>
              <w:bottom w:val="single" w:sz="8" w:color="auto"/>
            </w:tcBorders>
            <w:shd w:val="clear" w:color="auto" w:fill="F0FFFF"/>
          </w:tcPr>
          <w:p>
            <w:pPr>
              <w:jc w:val="right"/>
              <w:ind w:right="128"/>
              <w:spacing w:after="0"/>
              <w:rPr>
                <w:sz w:val="20"/>
                <w:szCs w:val="20"/>
                <w:color w:val="auto"/>
              </w:rPr>
            </w:pPr>
            <w:r>
              <w:rPr>
                <w:rFonts w:ascii="Arial" w:cs="Arial" w:eastAsia="Arial" w:hAnsi="Arial"/>
                <w:sz w:val="14"/>
                <w:szCs w:val="14"/>
                <w:color w:val="auto"/>
              </w:rPr>
              <w:t>153</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3.2%</w:t>
            </w:r>
          </w:p>
        </w:tc>
        <w:tc>
          <w:tcPr>
            <w:tcW w:w="160" w:type="dxa"/>
            <w:vAlign w:val="bottom"/>
            <w:tcBorders>
              <w:bottom w:val="single" w:sz="8" w:color="auto"/>
            </w:tcBorders>
            <w:shd w:val="clear" w:color="auto" w:fill="F0FFFF"/>
          </w:tcPr>
          <w:p>
            <w:pPr>
              <w:spacing w:after="0"/>
              <w:rPr>
                <w:sz w:val="14"/>
                <w:szCs w:val="14"/>
                <w:color w:val="auto"/>
              </w:rPr>
            </w:pPr>
          </w:p>
        </w:tc>
        <w:tc>
          <w:tcPr>
            <w:tcW w:w="780" w:type="dxa"/>
            <w:vAlign w:val="bottom"/>
            <w:tcBorders>
              <w:bottom w:val="single" w:sz="8" w:color="auto"/>
            </w:tcBorders>
            <w:shd w:val="clear" w:color="auto" w:fill="F0FFFF"/>
          </w:tcPr>
          <w:p>
            <w:pPr>
              <w:jc w:val="right"/>
              <w:ind w:right="108"/>
              <w:spacing w:after="0"/>
              <w:rPr>
                <w:sz w:val="20"/>
                <w:szCs w:val="20"/>
                <w:color w:val="auto"/>
              </w:rPr>
            </w:pPr>
            <w:r>
              <w:rPr>
                <w:rFonts w:ascii="Arial" w:cs="Arial" w:eastAsia="Arial" w:hAnsi="Arial"/>
                <w:sz w:val="14"/>
                <w:szCs w:val="14"/>
                <w:color w:val="auto"/>
              </w:rPr>
              <w:t>164</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auto"/>
            </w:tcBorders>
            <w:shd w:val="clear" w:color="auto" w:fill="F0FFFF"/>
          </w:tcPr>
          <w:p>
            <w:pPr>
              <w:spacing w:after="0"/>
              <w:rPr>
                <w:sz w:val="14"/>
                <w:szCs w:val="14"/>
                <w:color w:val="auto"/>
              </w:rPr>
            </w:pPr>
          </w:p>
        </w:tc>
        <w:tc>
          <w:tcPr>
            <w:tcW w:w="700" w:type="dxa"/>
            <w:vAlign w:val="bottom"/>
            <w:tcBorders>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84</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shd w:val="clear" w:color="auto" w:fill="F0FFFF"/>
          </w:tcPr>
          <w:p>
            <w:pPr>
              <w:spacing w:after="0"/>
              <w:rPr>
                <w:sz w:val="14"/>
                <w:szCs w:val="14"/>
                <w:color w:val="auto"/>
              </w:rPr>
            </w:pPr>
          </w:p>
        </w:tc>
        <w:tc>
          <w:tcPr>
            <w:tcW w:w="900" w:type="dxa"/>
            <w:vAlign w:val="bottom"/>
            <w:tcBorders>
              <w:bottom w:val="single" w:sz="8" w:color="auto"/>
            </w:tcBorders>
            <w:shd w:val="clear" w:color="auto" w:fill="F0FFFF"/>
          </w:tcPr>
          <w:p>
            <w:pPr>
              <w:jc w:val="right"/>
              <w:ind w:right="108"/>
              <w:spacing w:after="0"/>
              <w:rPr>
                <w:sz w:val="20"/>
                <w:szCs w:val="20"/>
                <w:color w:val="auto"/>
              </w:rPr>
            </w:pPr>
            <w:r>
              <w:rPr>
                <w:rFonts w:ascii="Arial" w:cs="Arial" w:eastAsia="Arial" w:hAnsi="Arial"/>
                <w:sz w:val="14"/>
                <w:szCs w:val="14"/>
                <w:color w:val="auto"/>
              </w:rPr>
              <w:t>98</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auto"/>
            </w:tcBorders>
            <w:shd w:val="clear" w:color="auto" w:fill="F0FFFF"/>
          </w:tcPr>
          <w:p>
            <w:pPr>
              <w:spacing w:after="0"/>
              <w:rPr>
                <w:sz w:val="14"/>
                <w:szCs w:val="14"/>
                <w:color w:val="auto"/>
              </w:rPr>
            </w:pPr>
          </w:p>
        </w:tc>
        <w:tc>
          <w:tcPr>
            <w:tcW w:w="880" w:type="dxa"/>
            <w:vAlign w:val="bottom"/>
            <w:tcBorders>
              <w:bottom w:val="single" w:sz="8" w:color="auto"/>
            </w:tcBorders>
            <w:shd w:val="clear" w:color="auto" w:fill="F0FFFF"/>
          </w:tcPr>
          <w:p>
            <w:pPr>
              <w:jc w:val="right"/>
              <w:ind w:right="108"/>
              <w:spacing w:after="0"/>
              <w:rPr>
                <w:sz w:val="20"/>
                <w:szCs w:val="20"/>
                <w:color w:val="auto"/>
              </w:rPr>
            </w:pPr>
            <w:r>
              <w:rPr>
                <w:rFonts w:ascii="Arial" w:cs="Arial" w:eastAsia="Arial" w:hAnsi="Arial"/>
                <w:sz w:val="14"/>
                <w:szCs w:val="14"/>
                <w:color w:val="auto"/>
              </w:rPr>
              <w:t>72</w:t>
            </w:r>
          </w:p>
        </w:tc>
        <w:tc>
          <w:tcPr>
            <w:tcW w:w="84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1740" w:type="dxa"/>
            <w:vAlign w:val="bottom"/>
          </w:tcPr>
          <w:p>
            <w:pPr>
              <w:spacing w:after="0"/>
              <w:rPr>
                <w:sz w:val="20"/>
                <w:szCs w:val="20"/>
                <w:color w:val="auto"/>
              </w:rPr>
            </w:pPr>
            <w:r>
              <w:rPr>
                <w:rFonts w:ascii="Arial" w:cs="Arial" w:eastAsia="Arial" w:hAnsi="Arial"/>
                <w:sz w:val="14"/>
                <w:szCs w:val="14"/>
                <w:color w:val="auto"/>
              </w:rPr>
              <w:t>Total SG&amp;A expenses</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4,796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4,280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3,632</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w:t>
            </w:r>
          </w:p>
        </w:tc>
      </w:tr>
      <w:tr>
        <w:trPr>
          <w:trHeight w:val="21"/>
        </w:trPr>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Salaries and Benefit Costs. </w:t>
      </w:r>
      <w:r>
        <w:rPr>
          <w:rFonts w:ascii="Arial" w:cs="Arial" w:eastAsia="Arial" w:hAnsi="Arial"/>
          <w:sz w:val="17"/>
          <w:szCs w:val="17"/>
          <w:color w:val="auto"/>
        </w:rPr>
        <w:t>Includes employee compensation and benefits, director’s fees, incentives, and stock-based compensation. The increase in cost</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quarters ended June 30, 2015 to September 30, 2015 was primarily from stock based compensation costs and other amounts.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i w:val="1"/>
          <w:iCs w:val="1"/>
          <w:color w:val="auto"/>
        </w:rPr>
        <w:t xml:space="preserve">Marketing Related. </w:t>
      </w:r>
      <w:r>
        <w:rPr>
          <w:rFonts w:ascii="Arial" w:cs="Arial" w:eastAsia="Arial" w:hAnsi="Arial"/>
          <w:sz w:val="18"/>
          <w:szCs w:val="18"/>
          <w:color w:val="auto"/>
        </w:rPr>
        <w:t>Marketing related costs were higher for the quarter ended June 30, 2015 due to trade show expenses and marketing initiatives for sales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and sales deployment.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include information technology, legal, public relations, accounting, and other consulting costs.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anticipates continued use of professional services to support its growing sales and service structure.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Bad Debt Expense. </w:t>
      </w:r>
      <w:r>
        <w:rPr>
          <w:rFonts w:ascii="Arial" w:cs="Arial" w:eastAsia="Arial" w:hAnsi="Arial"/>
          <w:sz w:val="18"/>
          <w:szCs w:val="18"/>
          <w:color w:val="auto"/>
        </w:rPr>
        <w:t>Typically bad debt expense has been approximately 5% of SG&amp;A. Higher costs were recorded in the quarter ended June 30, 2015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certain small balance accounts which is discussed in Item 4 of this Form 10-Q.</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Premises, Equipment and Insurance Costs. </w:t>
      </w:r>
      <w:r>
        <w:rPr>
          <w:rFonts w:ascii="Arial" w:cs="Arial" w:eastAsia="Arial" w:hAnsi="Arial"/>
          <w:sz w:val="17"/>
          <w:szCs w:val="17"/>
          <w:color w:val="auto"/>
        </w:rPr>
        <w:t>Includes facilities, sales &amp; use taxes, and workers compensation. The increase in the quarter ended June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other quarters was from sales &amp; use tax and printing expenses related to marketing initiatives in the same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Includes product development costs that cannot be capitalized including materials and contractors.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Includes bank fees, recruiting expenses, non-inventory supplies, currency gain/loss and subscriptions.</w:t>
      </w:r>
    </w:p>
    <w:p>
      <w:pPr>
        <w:sectPr>
          <w:pgSz w:w="11900" w:h="16838" w:orient="portrait"/>
          <w:cols w:equalWidth="0" w:num="1">
            <w:col w:w="11420"/>
          </w:cols>
          <w:pgMar w:left="240" w:top="881"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2825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2565"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adjustments:</w:t>
      </w:r>
    </w:p>
    <w:p>
      <w:pPr>
        <w:spacing w:after="0" w:line="9" w:lineRule="exact"/>
        <w:rPr>
          <w:sz w:val="20"/>
          <w:szCs w:val="20"/>
          <w:color w:val="auto"/>
        </w:rPr>
      </w:pPr>
    </w:p>
    <w:p>
      <w:pPr>
        <w:ind w:left="260" w:right="700"/>
        <w:spacing w:after="0" w:line="290" w:lineRule="auto"/>
        <w:rPr>
          <w:sz w:val="20"/>
          <w:szCs w:val="20"/>
          <w:color w:val="auto"/>
        </w:rPr>
      </w:pPr>
      <w:r>
        <w:rPr>
          <w:rFonts w:ascii="Arial" w:cs="Arial" w:eastAsia="Arial" w:hAnsi="Arial"/>
          <w:sz w:val="16"/>
          <w:szCs w:val="16"/>
          <w:color w:val="auto"/>
        </w:rPr>
        <w:t>Non-cash portion of income tax provision/benefit Fair value of warrant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52825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8256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Non-GAAP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2825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825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86"/>
              </w:rPr>
              <w:t>September 30,</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88"/>
              </w:rPr>
              <w:t>September 30,</w:t>
            </w:r>
          </w:p>
        </w:tc>
      </w:tr>
      <w:tr>
        <w:trPr>
          <w:trHeight w:val="237"/>
        </w:trPr>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r>
      <w:tr>
        <w:trPr>
          <w:trHeight w:val="43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1"/>
        </w:trPr>
        <w:tc>
          <w:tcPr>
            <w:tcW w:w="10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7"/>
        </w:trPr>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20" w:space="720"/>
            <w:col w:w="6180"/>
          </w:cols>
          <w:pgMar w:left="240" w:top="881"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F0FF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ind w:right="150"/>
              <w:spacing w:after="0"/>
              <w:rPr>
                <w:sz w:val="20"/>
                <w:szCs w:val="20"/>
                <w:color w:val="auto"/>
              </w:rPr>
            </w:pPr>
            <w:r>
              <w:rPr>
                <w:rFonts w:ascii="Arial" w:cs="Arial" w:eastAsia="Arial" w:hAnsi="Arial"/>
                <w:sz w:val="18"/>
                <w:szCs w:val="18"/>
                <w:color w:val="auto"/>
              </w:rPr>
              <w:t>360</w:t>
            </w:r>
          </w:p>
        </w:tc>
        <w:tc>
          <w:tcPr>
            <w:tcW w:w="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F0FFFF"/>
            </w:tcBorders>
          </w:tcPr>
          <w:p>
            <w:pPr>
              <w:ind w:left="20"/>
              <w:spacing w:after="0"/>
              <w:rPr>
                <w:sz w:val="20"/>
                <w:szCs w:val="20"/>
                <w:color w:val="auto"/>
              </w:rPr>
            </w:pPr>
            <w:r>
              <w:rPr>
                <w:rFonts w:ascii="Arial" w:cs="Arial" w:eastAsia="Arial" w:hAnsi="Arial"/>
                <w:sz w:val="18"/>
                <w:szCs w:val="18"/>
                <w:color w:val="auto"/>
              </w:rPr>
              <w:t>Cumulative preferred dividends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(332)</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Net income (loss) applicable to common shares</w:t>
            </w: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28</w:t>
            </w:r>
          </w:p>
        </w:tc>
        <w:tc>
          <w:tcPr>
            <w:tcW w:w="48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52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F0FFFF"/>
          </w:tcPr>
          <w:p>
            <w:pPr>
              <w:ind w:left="20"/>
              <w:spacing w:after="0"/>
              <w:rPr>
                <w:sz w:val="20"/>
                <w:szCs w:val="20"/>
                <w:color w:val="auto"/>
              </w:rPr>
            </w:pPr>
            <w:r>
              <w:rPr>
                <w:rFonts w:ascii="Arial" w:cs="Arial" w:eastAsia="Arial" w:hAnsi="Arial"/>
                <w:sz w:val="18"/>
                <w:szCs w:val="18"/>
                <w:color w:val="auto"/>
              </w:rPr>
              <w:t>Non-GAAP net income (loss)</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ind w:right="150"/>
              <w:spacing w:after="0"/>
              <w:rPr>
                <w:sz w:val="20"/>
                <w:szCs w:val="20"/>
                <w:color w:val="auto"/>
              </w:rPr>
            </w:pPr>
            <w:r>
              <w:rPr>
                <w:rFonts w:ascii="Arial" w:cs="Arial" w:eastAsia="Arial" w:hAnsi="Arial"/>
                <w:sz w:val="18"/>
                <w:szCs w:val="18"/>
                <w:color w:val="auto"/>
              </w:rPr>
              <w:t>44</w:t>
            </w:r>
          </w:p>
        </w:tc>
        <w:tc>
          <w:tcPr>
            <w:tcW w:w="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F0FFFF"/>
            </w:tcBorders>
          </w:tcPr>
          <w:p>
            <w:pPr>
              <w:ind w:left="20"/>
              <w:spacing w:after="0"/>
              <w:rPr>
                <w:sz w:val="20"/>
                <w:szCs w:val="20"/>
                <w:color w:val="auto"/>
              </w:rPr>
            </w:pPr>
            <w:r>
              <w:rPr>
                <w:rFonts w:ascii="Arial" w:cs="Arial" w:eastAsia="Arial" w:hAnsi="Arial"/>
                <w:sz w:val="18"/>
                <w:szCs w:val="18"/>
                <w:color w:val="auto"/>
              </w:rPr>
              <w:t>Cumulative preferred dividends</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(332)</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Non-GAAP net loss applicable to common shares</w:t>
            </w: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(288)</w:t>
            </w:r>
          </w:p>
        </w:tc>
        <w:tc>
          <w:tcPr>
            <w:tcW w:w="48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52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Net earnings (loss) per common share - basic</w:t>
            </w: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240" w:type="dxa"/>
            <w:vAlign w:val="bottom"/>
            <w:tcBorders>
              <w:top w:val="single" w:sz="8" w:color="F0FFFF"/>
              <w:bottom w:val="single" w:sz="8" w:color="F0FFFF"/>
            </w:tcBorders>
            <w:vMerge w:val="restart"/>
          </w:tcPr>
          <w:p>
            <w:pPr>
              <w:ind w:left="20"/>
              <w:spacing w:after="0"/>
              <w:rPr>
                <w:sz w:val="20"/>
                <w:szCs w:val="20"/>
                <w:color w:val="auto"/>
              </w:rPr>
            </w:pPr>
            <w:r>
              <w:rPr>
                <w:rFonts w:ascii="Arial" w:cs="Arial" w:eastAsia="Arial" w:hAnsi="Arial"/>
                <w:sz w:val="18"/>
                <w:szCs w:val="18"/>
                <w:color w:val="auto"/>
              </w:rPr>
              <w:t>Non-GAAP net loss per common share - basic</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vMerge w:val="continue"/>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90"/>
              <w:spacing w:after="0" w:line="190" w:lineRule="exact"/>
              <w:rPr>
                <w:sz w:val="20"/>
                <w:szCs w:val="20"/>
                <w:color w:val="auto"/>
              </w:rPr>
            </w:pPr>
            <w:r>
              <w:rPr>
                <w:rFonts w:ascii="Arial" w:cs="Arial" w:eastAsia="Arial" w:hAnsi="Arial"/>
                <w:sz w:val="18"/>
                <w:szCs w:val="18"/>
                <w:color w:val="auto"/>
              </w:rPr>
              <w:t>(0.01)</w:t>
            </w:r>
          </w:p>
        </w:tc>
        <w:tc>
          <w:tcPr>
            <w:tcW w:w="4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Basic weighted average number of common shares outstanding</w:t>
            </w:r>
          </w:p>
        </w:tc>
        <w:tc>
          <w:tcPr>
            <w:tcW w:w="26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35,788,199</w:t>
            </w:r>
          </w:p>
        </w:tc>
        <w:tc>
          <w:tcPr>
            <w:tcW w:w="4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35,586,455</w:t>
            </w:r>
          </w:p>
        </w:tc>
        <w:tc>
          <w:tcPr>
            <w:tcW w:w="0" w:type="dxa"/>
            <w:vAlign w:val="bottom"/>
          </w:tcPr>
          <w:p>
            <w:pPr>
              <w:spacing w:after="0"/>
              <w:rPr>
                <w:sz w:val="1"/>
                <w:szCs w:val="1"/>
                <w:color w:val="auto"/>
              </w:rPr>
            </w:pPr>
          </w:p>
        </w:tc>
      </w:tr>
      <w:tr>
        <w:trPr>
          <w:trHeight w:val="216"/>
        </w:trPr>
        <w:tc>
          <w:tcPr>
            <w:tcW w:w="5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loss per common share - diluted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(0.01)</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F0FFFF"/>
          </w:tcPr>
          <w:p>
            <w:pPr>
              <w:ind w:left="20"/>
              <w:spacing w:after="0"/>
              <w:rPr>
                <w:sz w:val="20"/>
                <w:szCs w:val="20"/>
                <w:color w:val="auto"/>
              </w:rPr>
            </w:pPr>
            <w:r>
              <w:rPr>
                <w:rFonts w:ascii="Arial" w:cs="Arial" w:eastAsia="Arial" w:hAnsi="Arial"/>
                <w:sz w:val="18"/>
                <w:szCs w:val="18"/>
                <w:color w:val="auto"/>
              </w:rPr>
              <w:t>Non-GAAP net loss per common share - diluted</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rPr>
              <w:t>(0.01)</w:t>
            </w:r>
          </w:p>
        </w:tc>
        <w:tc>
          <w:tcPr>
            <w:tcW w:w="48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w w:val="99"/>
              </w:rPr>
              <w:t>Diluted weighted average number of common shares outstanding</w:t>
            </w:r>
          </w:p>
        </w:tc>
        <w:tc>
          <w:tcPr>
            <w:tcW w:w="26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36,427,683</w:t>
            </w:r>
          </w:p>
        </w:tc>
        <w:tc>
          <w:tcPr>
            <w:tcW w:w="4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35,586,455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gradual increases in the basic weighted average number of common shares has been due to stock issued through the Company’s stock based compensation programs.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As used herein, non-GAAP net income (loss) represents GAAP net income (loss) excluding costs or benefits relating to any adjustment for fair value of warrant liabilities and non-cash portions of the Company’s income tax benefit (provision). Non-GAAP net earnings (loss) per common share - diluted is calculated by dividing non-GAAP net income (loss) applicable to common shares by the number of diluted weighted average shares outstanding.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w w:val="91"/>
              </w:rPr>
              <w:t>Table 6: Balance Sheet as of September 30, 2015 Compared to June 30, 2015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1"/>
              </w:rPr>
              <w:t>June 30,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 Change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20"/>
              <w:spacing w:after="0" w:line="201"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11,592</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11,374</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218</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Accounts receivable, less allowance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946</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1,258</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24,587</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24,334</w:t>
            </w: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F0FFFF"/>
            </w:tcBorders>
            <w:shd w:val="clear" w:color="auto" w:fill="F0FFFF"/>
          </w:tcPr>
          <w:p>
            <w:pPr>
              <w:spacing w:after="0"/>
              <w:rPr>
                <w:sz w:val="18"/>
                <w:szCs w:val="18"/>
                <w:color w:val="auto"/>
              </w:rPr>
            </w:pPr>
          </w:p>
        </w:tc>
        <w:tc>
          <w:tcPr>
            <w:tcW w:w="126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Finance receivables, less current portion</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3,698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(173)</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11,890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Goodwill and intangibles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8,095</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8,095</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25,761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25,788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342</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Borders>
              <w:top w:val="single" w:sz="8" w:color="F0FFFF"/>
            </w:tcBorders>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74,200</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Borders>
              <w:top w:val="single" w:sz="8" w:color="F0FFFF"/>
            </w:tcBorders>
          </w:tcPr>
          <w:p>
            <w:pPr>
              <w:spacing w:after="0"/>
              <w:rPr>
                <w:sz w:val="18"/>
                <w:szCs w:val="18"/>
                <w:color w:val="auto"/>
              </w:rPr>
            </w:pPr>
          </w:p>
        </w:tc>
        <w:tc>
          <w:tcPr>
            <w:tcW w:w="12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9,498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2,117</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2,108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Current obligations under long-term debt</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Deferred gain from sale - leaseback transactions</w:t>
            </w:r>
          </w:p>
        </w:tc>
        <w:tc>
          <w:tcPr>
            <w:tcW w:w="2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F0FFFF"/>
            </w:tcBorders>
          </w:tcPr>
          <w:p>
            <w:pPr>
              <w:ind w:left="20"/>
              <w:spacing w:after="0" w:line="203"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17,112</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18,042</w:t>
            </w: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(930)</w:t>
            </w:r>
          </w:p>
        </w:tc>
        <w:tc>
          <w:tcPr>
            <w:tcW w:w="220" w:type="dxa"/>
            <w:vAlign w:val="bottom"/>
            <w:tcBorders>
              <w:top w:val="single" w:sz="8" w:color="F0FFFF"/>
            </w:tcBorders>
          </w:tcPr>
          <w:p>
            <w:pPr>
              <w:spacing w:after="0"/>
              <w:rPr>
                <w:sz w:val="17"/>
                <w:szCs w:val="17"/>
                <w:color w:val="auto"/>
              </w:rPr>
            </w:pPr>
          </w:p>
        </w:tc>
        <w:tc>
          <w:tcPr>
            <w:tcW w:w="1260" w:type="dxa"/>
            <w:vAlign w:val="bottom"/>
            <w:tcBorders>
              <w:top w:val="single" w:sz="8" w:color="F0FF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Warrent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Deferred gain from sale - leaseback transactions, less current portion</w:t>
            </w:r>
          </w:p>
        </w:tc>
        <w:tc>
          <w:tcPr>
            <w:tcW w:w="2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685</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(215)</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F0FFFF"/>
              <w:bottom w:val="single" w:sz="8" w:color="F0FFFF"/>
            </w:tcBorders>
          </w:tcPr>
          <w:p>
            <w:pPr>
              <w:ind w:left="20"/>
              <w:spacing w:after="0" w:line="203" w:lineRule="exact"/>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3,116</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3,781</w:t>
            </w:r>
          </w:p>
        </w:tc>
        <w:tc>
          <w:tcPr>
            <w:tcW w:w="2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(665</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F0FFFF"/>
              <w:bottom w:val="single" w:sz="8" w:color="F0FF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20,228</w:t>
            </w:r>
          </w:p>
        </w:tc>
        <w:tc>
          <w:tcPr>
            <w:tcW w:w="22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21,823</w:t>
            </w:r>
          </w:p>
        </w:tc>
        <w:tc>
          <w:tcPr>
            <w:tcW w:w="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(1,595</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Preferred stock, no par value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F0FFFF"/>
          </w:tcPr>
          <w:p>
            <w:pPr>
              <w:ind w:left="200"/>
              <w:spacing w:after="0"/>
              <w:rPr>
                <w:sz w:val="20"/>
                <w:szCs w:val="20"/>
                <w:color w:val="auto"/>
              </w:rPr>
            </w:pPr>
            <w:r>
              <w:rPr>
                <w:rFonts w:ascii="Arial" w:cs="Arial" w:eastAsia="Arial" w:hAnsi="Arial"/>
                <w:sz w:val="18"/>
                <w:szCs w:val="18"/>
                <w:color w:val="auto"/>
              </w:rPr>
              <w:t>Common stock, no par value</w:t>
            </w: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225,175</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224,874</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301</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(174,341)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(174,701)</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tcBorders>
              <w:top w:val="single" w:sz="8" w:color="F0FFFF"/>
              <w:bottom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53,972</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53,311</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6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24,587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24,334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17,112</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18,042</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(930)</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F0FFFF"/>
            </w:tcBorders>
          </w:tcPr>
          <w:p>
            <w:pPr>
              <w:ind w:left="40"/>
              <w:spacing w:after="0" w:line="203" w:lineRule="exact"/>
              <w:rPr>
                <w:sz w:val="20"/>
                <w:szCs w:val="20"/>
                <w:color w:val="auto"/>
              </w:rPr>
            </w:pPr>
            <w:r>
              <w:rPr>
                <w:rFonts w:ascii="Arial" w:cs="Arial" w:eastAsia="Arial" w:hAnsi="Arial"/>
                <w:sz w:val="18"/>
                <w:szCs w:val="18"/>
                <w:color w:val="auto"/>
              </w:rPr>
              <w:t>Net working capital</w:t>
            </w:r>
          </w:p>
        </w:tc>
        <w:tc>
          <w:tcPr>
            <w:tcW w:w="24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7,475</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6,292</w:t>
            </w: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1,183</w:t>
            </w:r>
          </w:p>
        </w:tc>
        <w:tc>
          <w:tcPr>
            <w:tcW w:w="220" w:type="dxa"/>
            <w:vAlign w:val="bottom"/>
            <w:tcBorders>
              <w:top w:val="single" w:sz="8" w:color="F0FFFF"/>
            </w:tcBorders>
          </w:tcPr>
          <w:p>
            <w:pPr>
              <w:spacing w:after="0"/>
              <w:rPr>
                <w:sz w:val="17"/>
                <w:szCs w:val="17"/>
                <w:color w:val="auto"/>
              </w:rPr>
            </w:pPr>
          </w:p>
        </w:tc>
        <w:tc>
          <w:tcPr>
            <w:tcW w:w="1260" w:type="dxa"/>
            <w:vAlign w:val="bottom"/>
            <w:tcBorders>
              <w:top w:val="single" w:sz="8" w:color="F0FF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w w:val="93"/>
              </w:rPr>
              <w:t>* Accounts receivable, net of allowance for uncollectible accounts, and accounts</w:t>
            </w:r>
          </w:p>
        </w:tc>
        <w:tc>
          <w:tcPr>
            <w:tcW w:w="52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3" w:lineRule="exact"/>
              <w:rPr>
                <w:sz w:val="20"/>
                <w:szCs w:val="20"/>
                <w:color w:val="auto"/>
              </w:rPr>
            </w:pPr>
            <w:r>
              <w:rPr>
                <w:rFonts w:ascii="Arial" w:cs="Arial" w:eastAsia="Arial" w:hAnsi="Arial"/>
                <w:sz w:val="18"/>
                <w:szCs w:val="18"/>
                <w:color w:val="auto"/>
              </w:rPr>
              <w:t>payable have increased by the following amounts due to reclassifications</w:t>
            </w:r>
          </w:p>
        </w:tc>
        <w:tc>
          <w:tcPr>
            <w:tcW w:w="52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Balance Sheet as of September 30, 2015 compared to June 30, 2015 include:</w:t>
      </w:r>
    </w:p>
    <w:p>
      <w:pPr>
        <w:spacing w:after="0" w:line="225" w:lineRule="exact"/>
        <w:rPr>
          <w:sz w:val="20"/>
          <w:szCs w:val="20"/>
          <w:color w:val="auto"/>
        </w:rPr>
      </w:pPr>
    </w:p>
    <w:p>
      <w:pPr>
        <w:ind w:left="660" w:right="8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and Equipment (“PP&amp;E”) includes mostly JumpStart rental equipment and has declined $979 thousand pursuant to the Company’s strategy of using third-party leasing programs through QuickStart. PP&amp;E is expected to continue to decline over time.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payable declined $1.0 million as the Company paid down its vendors over the normal course of business.</w:t>
      </w:r>
    </w:p>
    <w:p>
      <w:pPr>
        <w:spacing w:after="0" w:line="9" w:lineRule="exact"/>
        <w:rPr>
          <w:rFonts w:ascii="Arial" w:cs="Arial" w:eastAsia="Arial" w:hAnsi="Arial"/>
          <w:sz w:val="18"/>
          <w:szCs w:val="18"/>
          <w:color w:val="auto"/>
        </w:rPr>
      </w:pPr>
    </w:p>
    <w:p>
      <w:pPr>
        <w:ind w:left="660" w:right="34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Accounts receivable in both periods include approximately $1 million in aged receivables (&gt;90 days) of a large equipment sale due from a third-party leasing company under our QuickStart program. Collection was received subsequent to September 30, 2015 and was delayed due to documentation requirements. The Company is working to improve its lease document workflow to accelerate collections and improve cash flow.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statement of cash flow include:</w:t>
      </w:r>
    </w:p>
    <w:p>
      <w:pPr>
        <w:spacing w:after="0" w:line="225" w:lineRule="exact"/>
        <w:rPr>
          <w:sz w:val="20"/>
          <w:szCs w:val="20"/>
          <w:color w:val="auto"/>
        </w:rPr>
      </w:pPr>
    </w:p>
    <w:p>
      <w:pPr>
        <w:ind w:left="660" w:right="420" w:hanging="328"/>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quarter ended September 30, 2015 resulted in a $168 thousand decrease in finance receivables consistent with the Company’s goal of using outside third-party leasing through the QuickStart program to accelerate cash receipts from equipment sales.</w:t>
      </w:r>
    </w:p>
    <w:p>
      <w:pPr>
        <w:ind w:left="660" w:right="6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activities around the purchasing of property for the JumpStart rental program has been zero during the past four quarters due to the QuickStart program and transfers from inventory.</w:t>
      </w:r>
    </w:p>
    <w:p>
      <w:pPr>
        <w:ind w:left="660" w:right="2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been operating cash flow positive in the last three quarters and expects continued growth of cash flow from operations and free cash flow.</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reintroduced QuickStart in September 2014, a program whereby our customers are able to purchase our ePort hardware via a five-year, non-cancellable lease. The Company previously financed its customer’s ePort equipment purchases primarily through JumpStart. Under Jumpstart, the Company records an investing capital expenditure cash outflow for the equipment provided and fixed assets on the balance sheet, and then receives rental income from a month-to-month lease. Under the QuickStart program, the Company provides the equipment in a rent-to-own agreement and creates a long-term and short-term finance receivable for five-year leases. In the third and fourth quarters of fiscal 2015, the Company signed vendor agreements with two leasing companies, whereby our customers would enter into leases directly with the leasing companies. Under this scenario, USAT invoices the leasing company for the equipment leased by our customer, and records the full equipment sales amount to accounts receivable. Unlike finance receivables, where the cash from the equipment sale would be collected over a five-year period, the accounts receivable due from the leasing company is typically collected within 30 days. QuickStart through third-party leasing companies reduces cash flow needed for investing activities and improves the cash flow from operations which when combined increases the Company’s free cash flow.</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entering into vendor agreements with two third-party leasing companies, the majority of QuickStart sales consummated have been with customers entering into a lease directly with the leasing companies. Our customers have shifted from acquiring our product via JumpStart, which accounted for 60% of our gross connections in fiscal year 2014, to QuickStart and sales under normal trade receivable terms which accounted for 88% of our gross connections in fiscal year 2015, and was approximately 90% of gross connections in the first quarter of fiscal year 2016. The Company is actively working to expand its outside leasing partners. The goal of the program would be to have enough leasing partners so that USAT does not need to provide financing to it’s customers. Accordingly, with continued success of the QuickStart third-party leasing program, the Company should continue to generate positive cash flow from operations during the remainder of the 2016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Primary: </w:t>
      </w:r>
      <w:r>
        <w:rPr>
          <w:rFonts w:ascii="Arial" w:cs="Arial" w:eastAsia="Arial" w:hAnsi="Arial"/>
          <w:sz w:val="18"/>
          <w:szCs w:val="18"/>
          <w:color w:val="auto"/>
        </w:rPr>
        <w:t>The Company’s primary sources of cash include: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cash on hand of approximately $11.6 million as of September 30, 2015;</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cash on hand, the Company generated cash flow from operations of $3.1 million over the nine months ended September 30, 2015. The Company’s increased liquidity position is further demonstrated by increases in net working capital, which is defined as current assets less current liabilities, which were $7.5, $6.3, $5.7, $2.6 and $2.1 million over the last five quarters beginning with the quarter ended September 30, 2014. These positive trends are expect to continue and translate into continued free cash flow; and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 million available on the line of credit with the primary lender, provided we continue to satisfy the various covenants set forth in the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Sources: </w:t>
      </w:r>
      <w:r>
        <w:rPr>
          <w:rFonts w:ascii="Arial" w:cs="Arial" w:eastAsia="Arial" w:hAnsi="Arial"/>
          <w:sz w:val="18"/>
          <w:szCs w:val="18"/>
          <w:color w:val="auto"/>
        </w:rPr>
        <w:t>Other sources of cash include:</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$11.1 million of potential cash from unexercised stock warrants exercisable at $2.6058 per share that are set to expire on September 18, 2016.</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Company exhausted its primary sources of cash and required capital, it believes it could access approximately $2.5 million from the sale of finance receivables at a discount to a third-party lender (netted against $1.9 million already sold with recourse);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had success in accessing capital markets, debt and equity, in the past. However the current focus is on profitability and generating free cash flows.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2015.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(“SEC”) rules,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our disclosure controls and procedures were effective as of the end of such period. This conclusion reflected the remediation by the Company during the period covered by this Form 10-Q of the significant deficiency in its internal controls over financial reporting related to the large number of small balance customer accounts which may be uncollectible and which are described below and reflected in our annual report on Form 10-K for the fiscal year ended June 30, 2015 (the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September 30, 2015, the Company implemented certain changes in its internal controls over financial reporting relating to the uncollected customer accounts described below. Based on the procedures implemented during the quarter, management believes that the significant deficiency relating to the amount of the bad debt reserve attributable to these uncollected customer accounts has been addressed and remediated.</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our annual report on Form 10-K, we reported that management had identified deficiencies in both the design and operating effectiveness of the Company’s internal controls over financial reporting, which, when aggregated, represented a material weakness in internal controls. The most significant of these was the process over the reconcilement, analysis and management oversight of certain customer accounts receivable balances related to customer processing and service fees which had not been billed to customers, and as to which there had been no customer transaction fund flows from which the Company could collect the amounts due in accordance with its normal procedures. The procedures in place did not identify a large number of these customer accounts that may be uncollectible and were not appropriately dispositioned, collected, remediated, reserved-for and/or written-off. Subsequent to its September 10, 2015 press release which was filed as an exhibit to the Company’s Form 8-K dated September 11, 2015, and prior to its filing of the Form 10-K on September 30, 2015, the Company increased its analysis, documentation and support relating to these customer accounts which may be uncollectible. As a result, and as reflected in the Form 10-K which contained its June 30, 2015 audited financial statements, the Company changed the financial results from those included in its September 10, 2015 press release by increasing its bad debt reserve by approximately $450 thousand resulting in an after-tax charge of approximately $270 thousand relating to these customer accounts.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In addition, and as described in Note 1 to the financial statements contained in this Form 10-Q, as part of the remediation of these uncollected customer accounts, management has elected to use a more appropriate accounting classification commencing with its September 30, 2015 financial statements. Pursuant thereto, these uncollected customer accounts receivable and the related allowance were no longer reflected in accounts payable where they have been reflected on a consistent basis in all prior periods, and are now reflected in accounts receivable. The new accounting classification is more appropriate now, as the uncollected customer accounts have been outstanding for longer time periods and are larger in the aggregate than was anticipated when the accounting process was established many years ago. Accordingly, the respective balances for all prior periods presented in the financial statements contained in this Form 10-Q were reclassified in order to be consistent and comparable to the accounting classification of these items in our September 30, 2015 financial statements. Note 1 to the financial statements contained in this Form 10-Q details the reclassification of the respective consolidated balance sheets and the consolidated statements of cash flows. This new accounting classification and the reclassification of the prior period financial statements had no effect on the consolidated statements of operations or the consolidated statements of shareholders’ equity.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there were no changes in our internal controls over financial reporting that occurred during our fiscal quarter ended September 30, 2015 that materially affected, or are reasonably likely to materially affect, our internal controls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 2015, a purported class action complaint was filed in the United States District Court for the Eastern District of Pennsylvania by Steven P. Messner, individually and on behalf of all others similarly situated, against the Company and its executive officers, alleging violations under the Securities Exchange Act of 1934. The lawsuit was filed on behalf of a purported class of investors who purchased or otherwise acquired securities of the Company between September 29, 2014 through September 29, 2015. The complaint alleges, among other things, that the defendants failed to disclose that there were significant deficiencies in the design and operating effectiveness of the Company’s internal control over financial reporting, which, when aggregated, represented a material weakness in internal control, and, as a result, the Company’s public statements were materially false and misleading. The complaint seeks certification as a class action, unspecified compensatory damages plus interest, attorneys’ fees and other costs. Although the ultimate outcome of litigation cannot be predicted with certainty, the Company believes that this lawsuit is without merit and intends to defend against the action vigorously.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defaults on any senior securities. However, on August 1, 2015 an additional $332 thousand of dividends were accrued on our cumulative Series A Convertible Preferred Stock. The total accrued and unpaid dividends on our Series A Convertible Preferred Stock as of September 30, 2015 are $13.3 million. The dividend accrual dates for our Preferred Stock are February 1 and August 1. The annual cumulative dividend on our Preferred Stock is $1.50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900" w:type="dxa"/>
            <w:vAlign w:val="bottom"/>
          </w:tcPr>
          <w:p>
            <w:pPr>
              <w:spacing w:after="0"/>
              <w:rPr>
                <w:sz w:val="20"/>
                <w:szCs w:val="20"/>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Exhibit</w:t>
            </w:r>
          </w:p>
        </w:tc>
        <w:tc>
          <w:tcPr>
            <w:tcW w:w="990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Number</w:t>
            </w:r>
          </w:p>
        </w:tc>
        <w:tc>
          <w:tcPr>
            <w:tcW w:w="9900" w:type="dxa"/>
            <w:vAlign w:val="bottom"/>
          </w:tcPr>
          <w:p>
            <w:pPr>
              <w:ind w:left="280"/>
              <w:spacing w:after="0"/>
              <w:rPr>
                <w:sz w:val="20"/>
                <w:szCs w:val="20"/>
                <w:color w:val="auto"/>
              </w:rPr>
            </w:pPr>
            <w:r>
              <w:rPr>
                <w:rFonts w:ascii="Arial" w:cs="Arial" w:eastAsia="Arial" w:hAnsi="Arial"/>
                <w:sz w:val="18"/>
                <w:szCs w:val="18"/>
                <w:color w:val="auto"/>
              </w:rPr>
              <w:t>Description</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Pr>
          <w:p>
            <w:pPr>
              <w:ind w:left="28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tcPr>
          <w:p>
            <w:pPr>
              <w:ind w:left="28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tcPr>
          <w:p>
            <w:pPr>
              <w:ind w:left="28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w:t>
            </w:r>
          </w:p>
        </w:tc>
      </w:tr>
      <w:tr>
        <w:trPr>
          <w:trHeight w:val="230"/>
        </w:trPr>
        <w:tc>
          <w:tcPr>
            <w:tcW w:w="1520" w:type="dxa"/>
            <w:vAlign w:val="bottom"/>
          </w:tcPr>
          <w:p>
            <w:pPr>
              <w:spacing w:after="0"/>
              <w:rPr>
                <w:sz w:val="20"/>
                <w:szCs w:val="20"/>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Oxley Act of 2002.</w:t>
            </w: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32.2</w:t>
            </w:r>
          </w:p>
        </w:tc>
        <w:tc>
          <w:tcPr>
            <w:tcW w:w="9900" w:type="dxa"/>
            <w:vAlign w:val="bottom"/>
          </w:tcPr>
          <w:p>
            <w:pPr>
              <w:ind w:left="28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w:t>
            </w:r>
          </w:p>
        </w:tc>
      </w:tr>
      <w:tr>
        <w:trPr>
          <w:trHeight w:val="230"/>
        </w:trPr>
        <w:tc>
          <w:tcPr>
            <w:tcW w:w="1520" w:type="dxa"/>
            <w:vAlign w:val="bottom"/>
          </w:tcPr>
          <w:p>
            <w:pPr>
              <w:spacing w:after="0"/>
              <w:rPr>
                <w:sz w:val="20"/>
                <w:szCs w:val="20"/>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49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12, 2015</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12, 2015</w:t>
            </w:r>
          </w:p>
        </w:tc>
        <w:tc>
          <w:tcPr>
            <w:tcW w:w="24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Duncan Smith</w:t>
            </w: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J. Duncan Smith</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60" w:type="dxa"/>
            <w:vAlign w:val="bottom"/>
            <w:tcBorders>
              <w:bottom w:val="single" w:sz="8" w:color="DCDCDC"/>
            </w:tcBorders>
          </w:tcPr>
          <w:p>
            <w:pPr>
              <w:spacing w:after="0"/>
              <w:rPr>
                <w:sz w:val="24"/>
                <w:szCs w:val="24"/>
                <w:color w:val="auto"/>
              </w:rPr>
            </w:pPr>
          </w:p>
        </w:tc>
        <w:tc>
          <w:tcPr>
            <w:tcW w:w="2420" w:type="dxa"/>
            <w:vAlign w:val="bottom"/>
            <w:tcBorders>
              <w:bottom w:val="single" w:sz="8" w:color="DCDCDC"/>
            </w:tcBorders>
          </w:tcPr>
          <w:p>
            <w:pPr>
              <w:jc w:val="right"/>
              <w:ind w:right="290"/>
              <w:spacing w:after="0"/>
              <w:rPr>
                <w:sz w:val="20"/>
                <w:szCs w:val="20"/>
                <w:color w:val="auto"/>
              </w:rPr>
            </w:pPr>
            <w:r>
              <w:rPr>
                <w:rFonts w:ascii="Arial" w:cs="Arial" w:eastAsia="Arial" w:hAnsi="Arial"/>
                <w:sz w:val="18"/>
                <w:szCs w:val="18"/>
                <w:color w:val="auto"/>
              </w:rPr>
              <w:t>37</w:t>
            </w:r>
          </w:p>
        </w:tc>
        <w:tc>
          <w:tcPr>
            <w:tcW w:w="52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12, 2015</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635"/>
        </w:trPr>
        <w:tc>
          <w:tcPr>
            <w:tcW w:w="572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Duncan Smith,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12, 2015</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Duncan Smith</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J. Duncan Smith</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635"/>
        </w:trPr>
        <w:tc>
          <w:tcPr>
            <w:tcW w:w="572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2015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12, 2015</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840" w:type="dxa"/>
            <w:vAlign w:val="bottom"/>
          </w:tcPr>
          <w:p>
            <w:pPr>
              <w:spacing w:after="0"/>
              <w:rPr>
                <w:sz w:val="20"/>
                <w:szCs w:val="20"/>
                <w:color w:val="auto"/>
              </w:rPr>
            </w:pPr>
          </w:p>
        </w:tc>
      </w:tr>
      <w:tr>
        <w:trPr>
          <w:trHeight w:val="648"/>
        </w:trPr>
        <w:tc>
          <w:tcPr>
            <w:tcW w:w="572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2015 (the “Report”), I, J. Duncan Smith,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November 12, 2015</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Duncan Smith</w:t>
            </w:r>
          </w:p>
        </w:tc>
        <w:tc>
          <w:tcPr>
            <w:tcW w:w="28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J. Duncan Smith</w:t>
            </w:r>
          </w:p>
        </w:tc>
        <w:tc>
          <w:tcPr>
            <w:tcW w:w="28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40" w:type="dxa"/>
            <w:vAlign w:val="bottom"/>
          </w:tcPr>
          <w:p>
            <w:pPr>
              <w:spacing w:after="0"/>
              <w:rPr>
                <w:sz w:val="20"/>
                <w:szCs w:val="20"/>
                <w:color w:val="auto"/>
              </w:rPr>
            </w:pPr>
          </w:p>
        </w:tc>
      </w:tr>
      <w:tr>
        <w:trPr>
          <w:trHeight w:val="635"/>
        </w:trPr>
        <w:tc>
          <w:tcPr>
            <w:tcW w:w="572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2019-12-29T16:00:03Z</dcterms:created>
  <dcterms:modified xsi:type="dcterms:W3CDTF">2019-12-29T16:00:03Z</dcterms:modified>
</cp:coreProperties>
</file>