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CANTALOUPE,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1"/>
        <w:gridCol w:w="8969"/>
        <w:gridCol w:w="155"/>
      </w:tblGrid>
      <w:tr>
        <w:trPr/>
        <w:tc>
          <w:tcPr>
            <w:tcW w:w="1081" w:type="dxa"/>
            <w:tcBorders/>
            <w:vAlign w:val="center"/>
          </w:tcPr>
          <w:p>
            <w:pPr>
              <w:pStyle w:val="TableContents"/>
              <w:bidi w:val="0"/>
              <w:spacing w:before="0" w:after="283"/>
              <w:jc w:val="left"/>
              <w:rPr/>
            </w:pPr>
            <w:r>
              <w:rPr/>
              <w:t>Item 1.</w:t>
            </w:r>
          </w:p>
        </w:tc>
        <w:tc>
          <w:tcPr>
            <w:tcW w:w="896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Name of issuer: </w:t>
            </w:r>
          </w:p>
          <w:p>
            <w:pPr>
              <w:pStyle w:val="TableContents"/>
              <w:bidi w:val="0"/>
              <w:spacing w:before="0" w:after="0"/>
              <w:jc w:val="left"/>
              <w:rPr/>
            </w:pPr>
            <w:r>
              <w:rPr/>
              <w:t>CANTALOUPE, INC.</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DEERFIELD LANE, SUITE 405, MALVERN, X1, 19355</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2.</w:t>
            </w:r>
          </w:p>
        </w:tc>
        <w:tc>
          <w:tcPr>
            <w:tcW w:w="896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(d)</w:t>
            </w:r>
          </w:p>
        </w:tc>
        <w:tc>
          <w:tcPr>
            <w:tcW w:w="896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 per share</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(e)</w:t>
            </w:r>
          </w:p>
        </w:tc>
        <w:tc>
          <w:tcPr>
            <w:tcW w:w="896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3.</w:t>
            </w:r>
          </w:p>
        </w:tc>
        <w:tc>
          <w:tcPr>
            <w:tcW w:w="896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(d)</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(e)</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(f)</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(g)</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(h)</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(j)</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(k)</w:t>
            </w:r>
          </w:p>
        </w:tc>
        <w:tc>
          <w:tcPr>
            <w:tcW w:w="896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4.</w:t>
            </w:r>
          </w:p>
        </w:tc>
        <w:tc>
          <w:tcPr>
            <w:tcW w:w="896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(a)</w:t>
            </w:r>
          </w:p>
        </w:tc>
        <w:tc>
          <w:tcPr>
            <w:tcW w:w="896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(b)</w:t>
            </w:r>
          </w:p>
        </w:tc>
        <w:tc>
          <w:tcPr>
            <w:tcW w:w="896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(c)</w:t>
            </w:r>
          </w:p>
        </w:tc>
        <w:tc>
          <w:tcPr>
            <w:tcW w:w="896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5.</w:t>
            </w:r>
          </w:p>
        </w:tc>
        <w:tc>
          <w:tcPr>
            <w:tcW w:w="896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6.</w:t>
            </w:r>
          </w:p>
        </w:tc>
        <w:tc>
          <w:tcPr>
            <w:tcW w:w="896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7.</w:t>
            </w:r>
          </w:p>
        </w:tc>
        <w:tc>
          <w:tcPr>
            <w:tcW w:w="896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8.</w:t>
            </w:r>
          </w:p>
        </w:tc>
        <w:tc>
          <w:tcPr>
            <w:tcW w:w="896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Item 9.</w:t>
            </w:r>
          </w:p>
        </w:tc>
        <w:tc>
          <w:tcPr>
            <w:tcW w:w="896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283"/>
              <w:jc w:val="left"/>
              <w:rPr/>
            </w:pPr>
            <w:r>
              <w:rPr/>
              <w:t> </w:t>
            </w:r>
          </w:p>
        </w:tc>
        <w:tc>
          <w:tcPr>
            <w:tcW w:w="896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Common Stock, par value $0.00 per share, of CANTALOUPE, INC. and further agree to the filing of this agreement as an Exhibit thereto. In addition, each party to this Agreement expressly authorizes each other party to this Agreement to file on its behalf any and all amendments to such Statement on Schedule 13G. Date: 07/17/2026 THE GOLDMAN SACHS GROUP, INC. By:/s/ Sam Prashanth ---------------------------------------- Name: Sam Prashanth Title: Attorney-in-fact GOLDMAN SACHS &amp; CO. LLC By:/s/ Sam Prashanth ---------------------------------------- 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329298_20260717.txt"/>
      <w:bookmarkStart w:id="21" w:name="ksPOA13G329298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2265</Words>
  <Characters>11869</Characters>
  <CharactersWithSpaces>14073</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