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491490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58" w:lineRule="exact"/>
        <w:rPr>
          <w:sz w:val="24"/>
          <w:szCs w:val="24"/>
          <w:color w:val="auto"/>
        </w:rPr>
      </w:pPr>
    </w:p>
    <w:p>
      <w:pPr>
        <w:ind w:left="500" w:hanging="330"/>
        <w:spacing w:after="0"/>
        <w:tabs>
          <w:tab w:leader="none" w:pos="500" w:val="left"/>
        </w:tabs>
        <w:numPr>
          <w:ilvl w:val="0"/>
          <w:numId w:val="1"/>
        </w:numPr>
        <w:rPr>
          <w:rFonts w:ascii="MS PGothic" w:cs="MS PGothic" w:eastAsia="MS PGothic" w:hAnsi="MS PGothic"/>
          <w:sz w:val="32"/>
          <w:szCs w:val="32"/>
          <w:color w:val="auto"/>
          <w:vertAlign w:val="subscript"/>
        </w:rPr>
      </w:pPr>
      <w:r>
        <w:rPr>
          <w:rFonts w:ascii="Arial" w:cs="Arial" w:eastAsia="Arial" w:hAnsi="Arial"/>
          <w:sz w:val="18"/>
          <w:szCs w:val="18"/>
          <w:b w:val="1"/>
          <w:bCs w:val="1"/>
          <w:color w:val="auto"/>
        </w:rPr>
        <w:t>QUARTERLY REPORT PURSUANT TO SECTION 13 OR 15 (d)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27" w:lineRule="exact"/>
        <w:rPr>
          <w:sz w:val="24"/>
          <w:szCs w:val="24"/>
          <w:color w:val="auto"/>
        </w:rPr>
      </w:pPr>
    </w:p>
    <w:p>
      <w:pPr>
        <w:ind w:left="500" w:hanging="337"/>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 (d) OF THE EXCHANGE ACT OF 1934</w:t>
      </w:r>
    </w:p>
    <w:p>
      <w:pPr>
        <w:spacing w:after="0" w:line="212"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For the transition period from _________ to 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001-33365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43180</wp:posOffset>
            </wp:positionV>
            <wp:extent cx="1714500" cy="488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Cantaloupe, Inc.</w:t>
      </w:r>
    </w:p>
    <w:p>
      <w:pPr>
        <w:spacing w:after="0" w:line="21" w:lineRule="exact"/>
        <w:rPr>
          <w:sz w:val="24"/>
          <w:szCs w:val="24"/>
          <w:color w:val="auto"/>
        </w:rPr>
      </w:pPr>
    </w:p>
    <w:p>
      <w:pPr>
        <w:ind w:left="3360"/>
        <w:spacing w:after="0"/>
        <w:rPr>
          <w:sz w:val="20"/>
          <w:szCs w:val="20"/>
          <w:color w:val="auto"/>
        </w:rPr>
      </w:pPr>
      <w:r>
        <w:rPr>
          <w:rFonts w:ascii="Arial" w:cs="Arial" w:eastAsia="Arial" w:hAnsi="Arial"/>
          <w:sz w:val="14"/>
          <w:szCs w:val="14"/>
          <w:b w:val="1"/>
          <w:bCs w:val="1"/>
          <w:color w:val="auto"/>
        </w:rPr>
        <w:t>_______________________________________________________________</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7" w:lineRule="exact"/>
        <w:rPr>
          <w:sz w:val="24"/>
          <w:szCs w:val="24"/>
          <w:color w:val="auto"/>
        </w:rPr>
      </w:pPr>
    </w:p>
    <w:tbl>
      <w:tblPr>
        <w:tblLayout w:type="fixed"/>
        <w:tblInd w:w="24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Pennsylvania</w:t>
            </w:r>
          </w:p>
        </w:tc>
        <w:tc>
          <w:tcPr>
            <w:tcW w:w="9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120" w:type="dxa"/>
            <w:vAlign w:val="bottom"/>
            <w:gridSpan w:val="5"/>
          </w:tcPr>
          <w:p>
            <w:pPr>
              <w:jc w:val="center"/>
              <w:ind w:left="410"/>
              <w:spacing w:after="0"/>
              <w:rPr>
                <w:sz w:val="20"/>
                <w:szCs w:val="20"/>
                <w:color w:val="auto"/>
              </w:rPr>
            </w:pPr>
            <w:r>
              <w:rPr>
                <w:rFonts w:ascii="Arial" w:cs="Arial" w:eastAsia="Arial" w:hAnsi="Arial"/>
                <w:sz w:val="18"/>
                <w:szCs w:val="18"/>
                <w:b w:val="1"/>
                <w:bCs w:val="1"/>
                <w:color w:val="auto"/>
                <w:w w:val="89"/>
              </w:rPr>
              <w:t>23-2679963</w:t>
            </w:r>
          </w:p>
        </w:tc>
      </w:tr>
      <w:tr>
        <w:trPr>
          <w:trHeight w:val="20"/>
        </w:trPr>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0"/>
        </w:trPr>
        <w:tc>
          <w:tcPr>
            <w:tcW w:w="6460" w:type="dxa"/>
            <w:vAlign w:val="bottom"/>
            <w:gridSpan w:val="11"/>
          </w:tcPr>
          <w:p>
            <w:pPr>
              <w:jc w:val="center"/>
              <w:ind w:right="152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120" w:type="dxa"/>
            <w:vAlign w:val="bottom"/>
            <w:gridSpan w:val="5"/>
          </w:tcPr>
          <w:p>
            <w:pPr>
              <w:jc w:val="center"/>
              <w:ind w:left="410"/>
              <w:spacing w:after="0"/>
              <w:rPr>
                <w:sz w:val="20"/>
                <w:szCs w:val="20"/>
                <w:color w:val="auto"/>
              </w:rPr>
            </w:pPr>
            <w:r>
              <w:rPr>
                <w:rFonts w:ascii="Arial" w:cs="Arial" w:eastAsia="Arial" w:hAnsi="Arial"/>
                <w:sz w:val="18"/>
                <w:szCs w:val="18"/>
                <w:color w:val="auto"/>
                <w:w w:val="94"/>
              </w:rPr>
              <w:t>(I.R.S. Employer Identification No.)</w:t>
            </w:r>
          </w:p>
        </w:tc>
      </w:tr>
      <w:tr>
        <w:trPr>
          <w:trHeight w:val="310"/>
        </w:trPr>
        <w:tc>
          <w:tcPr>
            <w:tcW w:w="1500" w:type="dxa"/>
            <w:vAlign w:val="bottom"/>
          </w:tcPr>
          <w:p>
            <w:pPr>
              <w:spacing w:after="0"/>
              <w:rPr>
                <w:sz w:val="20"/>
                <w:szCs w:val="20"/>
                <w:color w:val="auto"/>
              </w:rPr>
            </w:pPr>
            <w:r>
              <w:rPr>
                <w:rFonts w:ascii="Arial" w:cs="Arial" w:eastAsia="Arial" w:hAnsi="Arial"/>
                <w:sz w:val="18"/>
                <w:szCs w:val="18"/>
                <w:b w:val="1"/>
                <w:bCs w:val="1"/>
                <w:color w:val="auto"/>
                <w:w w:val="90"/>
              </w:rPr>
              <w:t>100 Deerfield Lane,</w:t>
            </w:r>
          </w:p>
        </w:tc>
        <w:tc>
          <w:tcPr>
            <w:tcW w:w="38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Suite 300,</w:t>
            </w:r>
          </w:p>
        </w:tc>
        <w:tc>
          <w:tcPr>
            <w:tcW w:w="1160" w:type="dxa"/>
            <w:vAlign w:val="bottom"/>
            <w:gridSpan w:val="3"/>
          </w:tcPr>
          <w:p>
            <w:pPr>
              <w:ind w:left="160"/>
              <w:spacing w:after="0"/>
              <w:rPr>
                <w:sz w:val="20"/>
                <w:szCs w:val="20"/>
                <w:color w:val="auto"/>
              </w:rPr>
            </w:pPr>
            <w:r>
              <w:rPr>
                <w:rFonts w:ascii="Arial" w:cs="Arial" w:eastAsia="Arial" w:hAnsi="Arial"/>
                <w:sz w:val="18"/>
                <w:szCs w:val="18"/>
                <w:b w:val="1"/>
                <w:bCs w:val="1"/>
                <w:color w:val="auto"/>
              </w:rPr>
              <w:t>Malvern,</w:t>
            </w:r>
          </w:p>
        </w:tc>
        <w:tc>
          <w:tcPr>
            <w:tcW w:w="2520" w:type="dxa"/>
            <w:vAlign w:val="bottom"/>
            <w:gridSpan w:val="3"/>
          </w:tcPr>
          <w:p>
            <w:pPr>
              <w:ind w:left="20"/>
              <w:spacing w:after="0"/>
              <w:rPr>
                <w:sz w:val="20"/>
                <w:szCs w:val="20"/>
                <w:color w:val="auto"/>
              </w:rPr>
            </w:pPr>
            <w:r>
              <w:rPr>
                <w:rFonts w:ascii="Arial" w:cs="Arial" w:eastAsia="Arial" w:hAnsi="Arial"/>
                <w:sz w:val="18"/>
                <w:szCs w:val="18"/>
                <w:b w:val="1"/>
                <w:bCs w:val="1"/>
                <w:color w:val="auto"/>
              </w:rPr>
              <w:t>Pennsylvania</w:t>
            </w:r>
          </w:p>
        </w:tc>
        <w:tc>
          <w:tcPr>
            <w:tcW w:w="2240" w:type="dxa"/>
            <w:vAlign w:val="bottom"/>
            <w:gridSpan w:val="4"/>
          </w:tcPr>
          <w:p>
            <w:pPr>
              <w:jc w:val="center"/>
              <w:ind w:left="1290"/>
              <w:spacing w:after="0"/>
              <w:rPr>
                <w:sz w:val="20"/>
                <w:szCs w:val="20"/>
                <w:color w:val="auto"/>
              </w:rPr>
            </w:pPr>
            <w:r>
              <w:rPr>
                <w:rFonts w:ascii="Arial" w:cs="Arial" w:eastAsia="Arial" w:hAnsi="Arial"/>
                <w:sz w:val="18"/>
                <w:szCs w:val="18"/>
                <w:b w:val="1"/>
                <w:bCs w:val="1"/>
                <w:color w:val="auto"/>
                <w:w w:val="91"/>
              </w:rPr>
              <w:t>19355</w:t>
            </w:r>
          </w:p>
        </w:tc>
        <w:tc>
          <w:tcPr>
            <w:tcW w:w="880" w:type="dxa"/>
            <w:vAlign w:val="bottom"/>
          </w:tcPr>
          <w:p>
            <w:pPr>
              <w:spacing w:after="0"/>
              <w:rPr>
                <w:sz w:val="24"/>
                <w:szCs w:val="24"/>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tcBorders>
              <w:right w:val="single" w:sz="8" w:color="auto"/>
            </w:tcBorders>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50"/>
        </w:trPr>
        <w:tc>
          <w:tcPr>
            <w:tcW w:w="3940" w:type="dxa"/>
            <w:vAlign w:val="bottom"/>
            <w:gridSpan w:val="8"/>
          </w:tcPr>
          <w:p>
            <w:pPr>
              <w:jc w:val="center"/>
              <w:ind w:left="910"/>
              <w:spacing w:after="0"/>
              <w:rPr>
                <w:sz w:val="20"/>
                <w:szCs w:val="20"/>
                <w:color w:val="auto"/>
              </w:rPr>
            </w:pPr>
            <w:r>
              <w:rPr>
                <w:rFonts w:ascii="Arial" w:cs="Arial" w:eastAsia="Arial" w:hAnsi="Arial"/>
                <w:sz w:val="18"/>
                <w:szCs w:val="18"/>
                <w:color w:val="auto"/>
                <w:w w:val="92"/>
              </w:rPr>
              <w:t>(Address of principal executive offices)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r>
        <w:trPr>
          <w:trHeight w:val="274"/>
        </w:trPr>
        <w:tc>
          <w:tcPr>
            <w:tcW w:w="1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52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(610) 989-0340</w:t>
            </w:r>
          </w:p>
        </w:tc>
        <w:tc>
          <w:tcPr>
            <w:tcW w:w="1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60" w:type="dxa"/>
            <w:vAlign w:val="bottom"/>
            <w:gridSpan w:val="7"/>
          </w:tcPr>
          <w:p>
            <w:pPr>
              <w:jc w:val="right"/>
              <w:ind w:right="110"/>
              <w:spacing w:after="0"/>
              <w:rPr>
                <w:sz w:val="20"/>
                <w:szCs w:val="20"/>
                <w:color w:val="auto"/>
              </w:rPr>
            </w:pPr>
            <w:r>
              <w:rPr>
                <w:rFonts w:ascii="Arial" w:cs="Arial" w:eastAsia="Arial" w:hAnsi="Arial"/>
                <w:sz w:val="14"/>
                <w:szCs w:val="14"/>
                <w:b w:val="1"/>
                <w:bCs w:val="1"/>
                <w:color w:val="auto"/>
                <w:w w:val="98"/>
              </w:rPr>
              <w:t>_______________________________________________________________</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4180" w:type="dxa"/>
            <w:vAlign w:val="bottom"/>
            <w:tcBorders>
              <w:bottom w:val="single" w:sz="8" w:color="auto"/>
            </w:tcBorders>
          </w:tcPr>
          <w:p>
            <w:pPr>
              <w:jc w:val="center"/>
              <w:ind w:left="319"/>
              <w:spacing w:after="0"/>
              <w:rPr>
                <w:sz w:val="20"/>
                <w:szCs w:val="20"/>
                <w:color w:val="auto"/>
              </w:rPr>
            </w:pPr>
            <w:r>
              <w:rPr>
                <w:rFonts w:ascii="Arial" w:cs="Arial" w:eastAsia="Arial" w:hAnsi="Arial"/>
                <w:sz w:val="16"/>
                <w:szCs w:val="16"/>
                <w:color w:val="auto"/>
                <w:w w:val="91"/>
              </w:rPr>
              <w:t>Title of Each Class</w:t>
            </w:r>
          </w:p>
        </w:tc>
        <w:tc>
          <w:tcPr>
            <w:tcW w:w="2640" w:type="dxa"/>
            <w:vAlign w:val="bottom"/>
            <w:tcBorders>
              <w:bottom w:val="single" w:sz="8" w:color="auto"/>
            </w:tcBorders>
          </w:tcPr>
          <w:p>
            <w:pPr>
              <w:jc w:val="center"/>
              <w:ind w:left="239"/>
              <w:spacing w:after="0"/>
              <w:rPr>
                <w:sz w:val="20"/>
                <w:szCs w:val="20"/>
                <w:color w:val="auto"/>
              </w:rPr>
            </w:pPr>
            <w:r>
              <w:rPr>
                <w:rFonts w:ascii="Arial" w:cs="Arial" w:eastAsia="Arial" w:hAnsi="Arial"/>
                <w:sz w:val="16"/>
                <w:szCs w:val="16"/>
                <w:color w:val="auto"/>
                <w:w w:val="92"/>
              </w:rPr>
              <w:t>Trading Symbol</w:t>
            </w: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Name Of Each Exchange On Which Registered</w:t>
            </w:r>
          </w:p>
        </w:tc>
      </w:tr>
      <w:tr>
        <w:trPr>
          <w:trHeight w:val="206"/>
        </w:trPr>
        <w:tc>
          <w:tcPr>
            <w:tcW w:w="4180" w:type="dxa"/>
            <w:vAlign w:val="bottom"/>
          </w:tcPr>
          <w:p>
            <w:pPr>
              <w:jc w:val="center"/>
              <w:ind w:left="319"/>
              <w:spacing w:after="0"/>
              <w:rPr>
                <w:sz w:val="20"/>
                <w:szCs w:val="20"/>
                <w:color w:val="auto"/>
              </w:rPr>
            </w:pPr>
            <w:r>
              <w:rPr>
                <w:rFonts w:ascii="Arial" w:cs="Arial" w:eastAsia="Arial" w:hAnsi="Arial"/>
                <w:sz w:val="16"/>
                <w:szCs w:val="16"/>
                <w:color w:val="auto"/>
                <w:w w:val="92"/>
              </w:rPr>
              <w:t>Common Stock, no par value</w:t>
            </w:r>
          </w:p>
        </w:tc>
        <w:tc>
          <w:tcPr>
            <w:tcW w:w="2640" w:type="dxa"/>
            <w:vAlign w:val="bottom"/>
          </w:tcPr>
          <w:p>
            <w:pPr>
              <w:jc w:val="center"/>
              <w:ind w:left="239"/>
              <w:spacing w:after="0"/>
              <w:rPr>
                <w:sz w:val="20"/>
                <w:szCs w:val="20"/>
                <w:color w:val="auto"/>
              </w:rPr>
            </w:pPr>
            <w:r>
              <w:rPr>
                <w:rFonts w:ascii="Arial" w:cs="Arial" w:eastAsia="Arial" w:hAnsi="Arial"/>
                <w:sz w:val="16"/>
                <w:szCs w:val="16"/>
                <w:color w:val="auto"/>
                <w:w w:val="97"/>
              </w:rPr>
              <w:t>CTLP</w:t>
            </w:r>
          </w:p>
        </w:tc>
        <w:tc>
          <w:tcPr>
            <w:tcW w:w="4420" w:type="dxa"/>
            <w:vAlign w:val="bottom"/>
          </w:tcPr>
          <w:p>
            <w:pPr>
              <w:jc w:val="center"/>
              <w:spacing w:after="0"/>
              <w:rPr>
                <w:sz w:val="20"/>
                <w:szCs w:val="20"/>
                <w:color w:val="auto"/>
              </w:rPr>
            </w:pPr>
            <w:r>
              <w:rPr>
                <w:rFonts w:ascii="Arial" w:cs="Arial" w:eastAsia="Arial" w:hAnsi="Arial"/>
                <w:sz w:val="16"/>
                <w:szCs w:val="16"/>
                <w:color w:val="auto"/>
                <w:w w:val="96"/>
              </w:rPr>
              <w:t>The NASDAQ Stock Market LLC</w:t>
            </w:r>
          </w:p>
        </w:tc>
      </w:tr>
    </w:tbl>
    <w:p>
      <w:pPr>
        <w:spacing w:after="0" w:line="19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237"/>
        </w:trPr>
        <w:tc>
          <w:tcPr>
            <w:tcW w:w="36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220"/>
              <w:spacing w:after="0"/>
              <w:rPr>
                <w:sz w:val="20"/>
                <w:szCs w:val="20"/>
                <w:color w:val="auto"/>
              </w:rPr>
            </w:pPr>
            <w:r>
              <w:rPr>
                <w:rFonts w:ascii="Arial" w:cs="Arial" w:eastAsia="Arial" w:hAnsi="Arial"/>
                <w:sz w:val="18"/>
                <w:szCs w:val="18"/>
                <w:color w:val="auto"/>
              </w:rPr>
              <w:t>Accelerated filer</w:t>
            </w:r>
          </w:p>
        </w:tc>
        <w:tc>
          <w:tcPr>
            <w:tcW w:w="1740" w:type="dxa"/>
            <w:vAlign w:val="bottom"/>
          </w:tcPr>
          <w:p>
            <w:pPr>
              <w:jc w:val="right"/>
              <w:spacing w:after="0" w:line="161" w:lineRule="exact"/>
              <w:rPr>
                <w:sz w:val="20"/>
                <w:szCs w:val="20"/>
                <w:color w:val="auto"/>
              </w:rPr>
            </w:pPr>
            <w:r>
              <w:rPr>
                <w:rFonts w:ascii="MS PGothic" w:cs="MS PGothic" w:eastAsia="MS PGothic" w:hAnsi="MS PGothic"/>
                <w:sz w:val="16"/>
                <w:szCs w:val="16"/>
                <w:color w:val="auto"/>
              </w:rPr>
              <w:t>☑</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Non-accelerated filer</w:t>
            </w:r>
          </w:p>
        </w:tc>
        <w:tc>
          <w:tcPr>
            <w:tcW w:w="20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220"/>
              <w:spacing w:after="0"/>
              <w:rPr>
                <w:sz w:val="20"/>
                <w:szCs w:val="20"/>
                <w:color w:val="auto"/>
              </w:rPr>
            </w:pPr>
            <w:r>
              <w:rPr>
                <w:rFonts w:ascii="Arial" w:cs="Arial" w:eastAsia="Arial" w:hAnsi="Arial"/>
                <w:sz w:val="18"/>
                <w:szCs w:val="18"/>
                <w:color w:val="auto"/>
              </w:rPr>
              <w:t>Smaller reporting company</w:t>
            </w:r>
          </w:p>
        </w:tc>
        <w:tc>
          <w:tcPr>
            <w:tcW w:w="174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36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0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15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3, 2022 there were 71,218,130 outstanding shares of 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109220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134620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40" w:type="dxa"/>
            <w:vAlign w:val="bottom"/>
            <w:gridSpan w:val="23"/>
          </w:tcPr>
          <w:p>
            <w:pPr>
              <w:spacing w:after="0"/>
              <w:rPr>
                <w:sz w:val="20"/>
                <w:szCs w:val="20"/>
                <w:color w:val="auto"/>
              </w:rPr>
            </w:pPr>
            <w:r>
              <w:rPr>
                <w:rFonts w:ascii="Arial" w:cs="Arial" w:eastAsia="Arial" w:hAnsi="Arial"/>
                <w:sz w:val="18"/>
                <w:szCs w:val="18"/>
                <w:color w:val="0000FF"/>
              </w:rPr>
              <w:t>Table of Contents</w:t>
            </w:r>
          </w:p>
        </w:tc>
        <w:tc>
          <w:tcPr>
            <w:tcW w:w="800" w:type="dxa"/>
            <w:vAlign w:val="bottom"/>
          </w:tcPr>
          <w:p>
            <w:pPr>
              <w:spacing w:after="0"/>
              <w:rPr>
                <w:sz w:val="17"/>
                <w:szCs w:val="17"/>
                <w:color w:val="auto"/>
              </w:rPr>
            </w:pPr>
          </w:p>
        </w:tc>
      </w:tr>
      <w:tr>
        <w:trPr>
          <w:trHeight w:val="772"/>
        </w:trPr>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140" w:type="dxa"/>
            <w:vAlign w:val="bottom"/>
            <w:gridSpan w:val="6"/>
          </w:tcPr>
          <w:p>
            <w:pPr>
              <w:jc w:val="center"/>
              <w:ind w:right="3360"/>
              <w:spacing w:after="0"/>
              <w:rPr>
                <w:sz w:val="20"/>
                <w:szCs w:val="20"/>
                <w:color w:val="auto"/>
              </w:rPr>
            </w:pPr>
            <w:r>
              <w:rPr>
                <w:rFonts w:ascii="Arial" w:cs="Arial" w:eastAsia="Arial" w:hAnsi="Arial"/>
                <w:sz w:val="18"/>
                <w:szCs w:val="18"/>
                <w:b w:val="1"/>
                <w:bCs w:val="1"/>
                <w:color w:val="auto"/>
                <w:w w:val="90"/>
              </w:rPr>
              <w:t>Cantaloupe, Inc.</w:t>
            </w:r>
          </w:p>
        </w:tc>
        <w:tc>
          <w:tcPr>
            <w:tcW w:w="8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60" w:type="dxa"/>
            <w:vAlign w:val="bottom"/>
            <w:gridSpan w:val="7"/>
          </w:tcPr>
          <w:p>
            <w:pPr>
              <w:jc w:val="center"/>
              <w:ind w:right="3040"/>
              <w:spacing w:after="0"/>
              <w:rPr>
                <w:sz w:val="20"/>
                <w:szCs w:val="20"/>
                <w:color w:val="auto"/>
              </w:rPr>
            </w:pPr>
            <w:r>
              <w:rPr>
                <w:rFonts w:ascii="Arial" w:cs="Arial" w:eastAsia="Arial" w:hAnsi="Arial"/>
                <w:sz w:val="18"/>
                <w:szCs w:val="18"/>
                <w:b w:val="1"/>
                <w:bCs w:val="1"/>
                <w:color w:val="auto"/>
                <w:w w:val="99"/>
              </w:rPr>
              <w:t>TABLE OF CONTENTS</w:t>
            </w:r>
          </w:p>
        </w:tc>
        <w:tc>
          <w:tcPr>
            <w:tcW w:w="800" w:type="dxa"/>
            <w:vAlign w:val="bottom"/>
          </w:tcPr>
          <w:p>
            <w:pPr>
              <w:spacing w:after="0"/>
              <w:rPr>
                <w:sz w:val="20"/>
                <w:szCs w:val="20"/>
                <w:color w:val="auto"/>
              </w:rPr>
            </w:pPr>
          </w:p>
        </w:tc>
      </w:tr>
      <w:tr>
        <w:trPr>
          <w:trHeight w:val="311"/>
        </w:trPr>
        <w:tc>
          <w:tcPr>
            <w:tcW w:w="20" w:type="dxa"/>
            <w:vAlign w:val="bottom"/>
          </w:tcPr>
          <w:p>
            <w:pPr>
              <w:spacing w:after="0"/>
              <w:rPr>
                <w:sz w:val="24"/>
                <w:szCs w:val="24"/>
                <w:color w:val="auto"/>
              </w:rPr>
            </w:pPr>
          </w:p>
        </w:tc>
        <w:tc>
          <w:tcPr>
            <w:tcW w:w="10420" w:type="dxa"/>
            <w:vAlign w:val="bottom"/>
            <w:gridSpan w:val="22"/>
          </w:tcPr>
          <w:p>
            <w:pPr>
              <w:spacing w:after="0"/>
              <w:rPr>
                <w:sz w:val="20"/>
                <w:szCs w:val="20"/>
                <w:color w:val="auto"/>
              </w:rPr>
            </w:pPr>
            <w:r>
              <w:rPr>
                <w:rFonts w:ascii="Arial" w:cs="Arial" w:eastAsia="Arial" w:hAnsi="Arial"/>
                <w:sz w:val="18"/>
                <w:szCs w:val="18"/>
                <w:color w:val="0000EE"/>
              </w:rPr>
              <w:t>Part I - Financial Information</w:t>
            </w:r>
          </w:p>
        </w:tc>
        <w:tc>
          <w:tcPr>
            <w:tcW w:w="8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0000EE"/>
                <w:w w:val="90"/>
              </w:rPr>
              <w:t>Item 1.</w:t>
            </w:r>
          </w:p>
        </w:tc>
        <w:tc>
          <w:tcPr>
            <w:tcW w:w="3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9460" w:type="dxa"/>
            <w:vAlign w:val="bottom"/>
            <w:gridSpan w:val="18"/>
          </w:tcPr>
          <w:p>
            <w:pPr>
              <w:spacing w:after="0"/>
              <w:rPr>
                <w:sz w:val="20"/>
                <w:szCs w:val="20"/>
                <w:color w:val="auto"/>
              </w:rPr>
            </w:pPr>
            <w:r>
              <w:rPr>
                <w:rFonts w:ascii="Arial" w:cs="Arial" w:eastAsia="Arial" w:hAnsi="Arial"/>
                <w:sz w:val="18"/>
                <w:szCs w:val="18"/>
                <w:color w:val="0000FF"/>
              </w:rPr>
              <w:t>Condensed Consolidated Financial Statements</w:t>
            </w:r>
          </w:p>
        </w:tc>
        <w:tc>
          <w:tcPr>
            <w:tcW w:w="8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74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8"/>
              </w:rPr>
              <w:t>Condensed Consolidated Balance Sheets - September 30, 2022 (unaudited) and June 30, 2022</w:t>
            </w:r>
          </w:p>
        </w:tc>
        <w:tc>
          <w:tcPr>
            <w:tcW w:w="2720" w:type="dxa"/>
            <w:vAlign w:val="bottom"/>
            <w:gridSpan w:val="4"/>
          </w:tcPr>
          <w:p>
            <w:pPr>
              <w:spacing w:after="0"/>
              <w:rPr>
                <w:sz w:val="24"/>
                <w:szCs w:val="24"/>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3</w:t>
            </w: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6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Operations - Three Months ended September 30, 2022 and 2021 (unaudited)</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60" w:type="dxa"/>
            <w:vAlign w:val="bottom"/>
            <w:gridSpan w:val="18"/>
          </w:tcPr>
          <w:p>
            <w:pPr>
              <w:spacing w:after="0"/>
              <w:rPr>
                <w:sz w:val="20"/>
                <w:szCs w:val="20"/>
                <w:color w:val="auto"/>
              </w:rPr>
            </w:pPr>
            <w:r>
              <w:rPr>
                <w:rFonts w:ascii="Arial" w:cs="Arial" w:eastAsia="Arial" w:hAnsi="Arial"/>
                <w:sz w:val="18"/>
                <w:szCs w:val="18"/>
                <w:color w:val="0000FF"/>
                <w:w w:val="92"/>
              </w:rPr>
              <w:t>Condensed Consolidated Statements of Shareholders’ Equity - Three Months ended September 30, 2022 and 2021 (unaudited)</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5</w:t>
            </w: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8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0000FF"/>
                <w:w w:val="96"/>
              </w:rPr>
              <w:t>Condensed Consolidated Statements of Cash Flows - Three Months ended September 30, 2022 and 2021 (unaudited)</w:t>
            </w:r>
          </w:p>
        </w:tc>
        <w:tc>
          <w:tcPr>
            <w:tcW w:w="380" w:type="dxa"/>
            <w:vAlign w:val="bottom"/>
          </w:tcPr>
          <w:p>
            <w:pPr>
              <w:spacing w:after="0"/>
              <w:rPr>
                <w:sz w:val="24"/>
                <w:szCs w:val="24"/>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6</w:t>
            </w: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0000FF"/>
              </w:rPr>
              <w:t>Notes to Consolidated Financial Statements (unaudited)</w:t>
            </w:r>
          </w:p>
        </w:tc>
        <w:tc>
          <w:tcPr>
            <w:tcW w:w="1060" w:type="dxa"/>
            <w:vAlign w:val="bottom"/>
            <w:gridSpan w:val="2"/>
          </w:tcPr>
          <w:p>
            <w:pPr>
              <w:spacing w:after="0"/>
              <w:rPr>
                <w:sz w:val="24"/>
                <w:szCs w:val="24"/>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EE"/>
              </w:rPr>
              <w:t>Item 2.</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60" w:type="dxa"/>
            <w:vAlign w:val="bottom"/>
            <w:gridSpan w:val="18"/>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22</w:t>
            </w: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0000EE"/>
                <w:w w:val="90"/>
              </w:rPr>
              <w:t>Item 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60" w:type="dxa"/>
            <w:vAlign w:val="bottom"/>
            <w:gridSpan w:val="18"/>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32</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5140" w:type="dxa"/>
            <w:vAlign w:val="bottom"/>
            <w:tcBorders>
              <w:left w:val="single" w:sz="8" w:color="0000EE"/>
            </w:tcBorders>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0000EE"/>
                <w:w w:val="90"/>
              </w:rPr>
              <w:t>Item 4.</w:t>
            </w:r>
          </w:p>
        </w:tc>
        <w:tc>
          <w:tcPr>
            <w:tcW w:w="3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9460" w:type="dxa"/>
            <w:vAlign w:val="bottom"/>
            <w:gridSpan w:val="18"/>
          </w:tcPr>
          <w:p>
            <w:pPr>
              <w:spacing w:after="0"/>
              <w:rPr>
                <w:sz w:val="20"/>
                <w:szCs w:val="20"/>
                <w:color w:val="auto"/>
              </w:rPr>
            </w:pPr>
            <w:r>
              <w:rPr>
                <w:rFonts w:ascii="Arial" w:cs="Arial" w:eastAsia="Arial" w:hAnsi="Arial"/>
                <w:sz w:val="18"/>
                <w:szCs w:val="18"/>
                <w:color w:val="0000EE"/>
              </w:rPr>
              <w:t>Controls and Procedures</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32</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420" w:type="dxa"/>
            <w:vAlign w:val="bottom"/>
            <w:gridSpan w:val="22"/>
          </w:tcPr>
          <w:p>
            <w:pPr>
              <w:spacing w:after="0"/>
              <w:rPr>
                <w:sz w:val="20"/>
                <w:szCs w:val="20"/>
                <w:color w:val="auto"/>
              </w:rPr>
            </w:pPr>
            <w:r>
              <w:rPr>
                <w:rFonts w:ascii="Arial" w:cs="Arial" w:eastAsia="Arial" w:hAnsi="Arial"/>
                <w:sz w:val="18"/>
                <w:szCs w:val="18"/>
                <w:color w:val="0000EE"/>
              </w:rPr>
              <w:t>Part II - Other Information</w:t>
            </w:r>
          </w:p>
        </w:tc>
        <w:tc>
          <w:tcPr>
            <w:tcW w:w="8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0000EE"/>
                <w:w w:val="90"/>
              </w:rPr>
              <w:t>Item 1.</w:t>
            </w:r>
          </w:p>
        </w:tc>
        <w:tc>
          <w:tcPr>
            <w:tcW w:w="3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9460" w:type="dxa"/>
            <w:vAlign w:val="bottom"/>
            <w:gridSpan w:val="18"/>
          </w:tcPr>
          <w:p>
            <w:pPr>
              <w:spacing w:after="0"/>
              <w:rPr>
                <w:sz w:val="20"/>
                <w:szCs w:val="20"/>
                <w:color w:val="auto"/>
              </w:rPr>
            </w:pPr>
            <w:r>
              <w:rPr>
                <w:rFonts w:ascii="Arial" w:cs="Arial" w:eastAsia="Arial" w:hAnsi="Arial"/>
                <w:sz w:val="18"/>
                <w:szCs w:val="18"/>
                <w:color w:val="0000EE"/>
              </w:rPr>
              <w:t>Legal Proceedings</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33</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0000EE"/>
              </w:rPr>
              <w:t>Item 1A.</w:t>
            </w:r>
          </w:p>
        </w:tc>
        <w:tc>
          <w:tcPr>
            <w:tcW w:w="60" w:type="dxa"/>
            <w:vAlign w:val="bottom"/>
          </w:tcPr>
          <w:p>
            <w:pPr>
              <w:spacing w:after="0"/>
              <w:rPr>
                <w:sz w:val="24"/>
                <w:szCs w:val="24"/>
                <w:color w:val="auto"/>
              </w:rPr>
            </w:pPr>
          </w:p>
        </w:tc>
        <w:tc>
          <w:tcPr>
            <w:tcW w:w="9460" w:type="dxa"/>
            <w:vAlign w:val="bottom"/>
            <w:gridSpan w:val="18"/>
          </w:tcPr>
          <w:p>
            <w:pPr>
              <w:spacing w:after="0"/>
              <w:rPr>
                <w:sz w:val="20"/>
                <w:szCs w:val="20"/>
                <w:color w:val="auto"/>
              </w:rPr>
            </w:pPr>
            <w:r>
              <w:rPr>
                <w:rFonts w:ascii="Arial" w:cs="Arial" w:eastAsia="Arial" w:hAnsi="Arial"/>
                <w:sz w:val="18"/>
                <w:szCs w:val="18"/>
                <w:color w:val="0000FF"/>
              </w:rPr>
              <w:t>Risk Factors</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33</w:t>
            </w: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60" w:type="dxa"/>
            <w:vAlign w:val="bottom"/>
            <w:gridSpan w:val="18"/>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33</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4"/>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3.</w:t>
            </w:r>
          </w:p>
        </w:tc>
        <w:tc>
          <w:tcPr>
            <w:tcW w:w="3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9460" w:type="dxa"/>
            <w:vAlign w:val="bottom"/>
            <w:gridSpan w:val="18"/>
          </w:tcPr>
          <w:p>
            <w:pPr>
              <w:spacing w:after="0"/>
              <w:rPr>
                <w:sz w:val="20"/>
                <w:szCs w:val="20"/>
                <w:color w:val="auto"/>
              </w:rPr>
            </w:pPr>
            <w:r>
              <w:rPr>
                <w:rFonts w:ascii="Arial" w:cs="Arial" w:eastAsia="Arial" w:hAnsi="Arial"/>
                <w:sz w:val="18"/>
                <w:szCs w:val="18"/>
                <w:color w:val="0000FF"/>
              </w:rPr>
              <w:t>Defaults Upon Senior Securities</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33</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4"/>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16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4.</w:t>
            </w:r>
          </w:p>
        </w:tc>
        <w:tc>
          <w:tcPr>
            <w:tcW w:w="380" w:type="dxa"/>
            <w:vAlign w:val="bottom"/>
            <w:gridSpan w:val="2"/>
          </w:tcPr>
          <w:p>
            <w:pPr>
              <w:spacing w:after="0"/>
              <w:rPr>
                <w:sz w:val="24"/>
                <w:szCs w:val="24"/>
                <w:color w:val="auto"/>
              </w:rPr>
            </w:pPr>
          </w:p>
        </w:tc>
        <w:tc>
          <w:tcPr>
            <w:tcW w:w="9520" w:type="dxa"/>
            <w:vAlign w:val="bottom"/>
            <w:gridSpan w:val="19"/>
          </w:tcPr>
          <w:p>
            <w:pPr>
              <w:spacing w:after="0"/>
              <w:rPr>
                <w:sz w:val="20"/>
                <w:szCs w:val="20"/>
                <w:color w:val="auto"/>
              </w:rPr>
            </w:pPr>
            <w:r>
              <w:rPr>
                <w:rFonts w:ascii="Arial" w:cs="Arial" w:eastAsia="Arial" w:hAnsi="Arial"/>
                <w:sz w:val="18"/>
                <w:szCs w:val="18"/>
                <w:color w:val="0000FF"/>
              </w:rPr>
              <w:t>Mine Safety Disclosures</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33</w:t>
            </w:r>
          </w:p>
        </w:tc>
      </w:tr>
      <w:tr>
        <w:trPr>
          <w:trHeight w:val="466"/>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0"/>
              </w:rPr>
              <w:t>Item 5.</w:t>
            </w:r>
          </w:p>
        </w:tc>
        <w:tc>
          <w:tcPr>
            <w:tcW w:w="380" w:type="dxa"/>
            <w:vAlign w:val="bottom"/>
            <w:gridSpan w:val="2"/>
          </w:tcPr>
          <w:p>
            <w:pPr>
              <w:spacing w:after="0"/>
              <w:rPr>
                <w:sz w:val="24"/>
                <w:szCs w:val="24"/>
                <w:color w:val="auto"/>
              </w:rPr>
            </w:pPr>
          </w:p>
        </w:tc>
        <w:tc>
          <w:tcPr>
            <w:tcW w:w="138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5"/>
              </w:rPr>
              <w:t>Other Information</w:t>
            </w:r>
          </w:p>
        </w:tc>
        <w:tc>
          <w:tcPr>
            <w:tcW w:w="420" w:type="dxa"/>
            <w:vAlign w:val="bottom"/>
            <w:tcBorders>
              <w:top w:val="single" w:sz="8" w:color="0000FF"/>
            </w:tcBorders>
          </w:tcPr>
          <w:p>
            <w:pPr>
              <w:spacing w:after="0"/>
              <w:rPr>
                <w:sz w:val="24"/>
                <w:szCs w:val="24"/>
                <w:color w:val="auto"/>
              </w:rPr>
            </w:pPr>
          </w:p>
        </w:tc>
        <w:tc>
          <w:tcPr>
            <w:tcW w:w="7720" w:type="dxa"/>
            <w:vAlign w:val="bottom"/>
            <w:gridSpan w:val="10"/>
          </w:tcPr>
          <w:p>
            <w:pPr>
              <w:spacing w:after="0"/>
              <w:rPr>
                <w:sz w:val="24"/>
                <w:szCs w:val="24"/>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33</w:t>
            </w: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0000EE"/>
                <w:w w:val="90"/>
              </w:rPr>
              <w:t>Item 6.</w:t>
            </w:r>
          </w:p>
        </w:tc>
        <w:tc>
          <w:tcPr>
            <w:tcW w:w="3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9460" w:type="dxa"/>
            <w:vAlign w:val="bottom"/>
            <w:gridSpan w:val="18"/>
          </w:tcPr>
          <w:p>
            <w:pPr>
              <w:spacing w:after="0"/>
              <w:rPr>
                <w:sz w:val="20"/>
                <w:szCs w:val="20"/>
                <w:color w:val="auto"/>
              </w:rPr>
            </w:pPr>
            <w:r>
              <w:rPr>
                <w:rFonts w:ascii="Arial" w:cs="Arial" w:eastAsia="Arial" w:hAnsi="Arial"/>
                <w:sz w:val="18"/>
                <w:szCs w:val="18"/>
                <w:color w:val="0000EE"/>
              </w:rPr>
              <w:t>Exhibits</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33</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720" w:type="dxa"/>
            <w:vAlign w:val="bottom"/>
            <w:gridSpan w:val="1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60" w:type="dxa"/>
            <w:vAlign w:val="bottom"/>
            <w:gridSpan w:val="18"/>
          </w:tcPr>
          <w:p>
            <w:pPr>
              <w:spacing w:after="0"/>
              <w:rPr>
                <w:sz w:val="20"/>
                <w:szCs w:val="20"/>
                <w:color w:val="auto"/>
              </w:rPr>
            </w:pPr>
            <w:r>
              <w:rPr>
                <w:rFonts w:ascii="Arial" w:cs="Arial" w:eastAsia="Arial" w:hAnsi="Arial"/>
                <w:sz w:val="18"/>
                <w:szCs w:val="18"/>
                <w:color w:val="0000EE"/>
              </w:rPr>
              <w:t>Signatures</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35</w:t>
            </w:r>
          </w:p>
        </w:tc>
      </w:tr>
      <w:tr>
        <w:trPr>
          <w:trHeight w:val="1229"/>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top w:val="single" w:sz="8" w:color="0000EE"/>
              <w:bottom w:val="single" w:sz="8" w:color="9A9A9A"/>
            </w:tcBorders>
          </w:tcPr>
          <w:p>
            <w:pPr>
              <w:spacing w:after="0"/>
              <w:rPr>
                <w:sz w:val="24"/>
                <w:szCs w:val="24"/>
                <w:color w:val="auto"/>
              </w:rPr>
            </w:pPr>
          </w:p>
        </w:tc>
        <w:tc>
          <w:tcPr>
            <w:tcW w:w="28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Cantaloupe,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 2022</w:t>
            </w:r>
          </w:p>
        </w:tc>
        <w:tc>
          <w:tcPr>
            <w:tcW w:w="260" w:type="dxa"/>
            <w:vAlign w:val="bottom"/>
          </w:tcPr>
          <w:p>
            <w:pPr>
              <w:spacing w:after="0"/>
              <w:rPr>
                <w:sz w:val="15"/>
                <w:szCs w:val="15"/>
                <w:color w:val="auto"/>
              </w:rPr>
            </w:pPr>
          </w:p>
        </w:tc>
        <w:tc>
          <w:tcPr>
            <w:tcW w:w="1060" w:type="dxa"/>
            <w:vAlign w:val="bottom"/>
          </w:tcPr>
          <w:p>
            <w:pPr>
              <w:jc w:val="right"/>
              <w:ind w:right="311"/>
              <w:spacing w:after="0"/>
              <w:rPr>
                <w:sz w:val="20"/>
                <w:szCs w:val="20"/>
                <w:color w:val="auto"/>
              </w:rPr>
            </w:pPr>
            <w:r>
              <w:rPr>
                <w:rFonts w:ascii="Arial" w:cs="Arial" w:eastAsia="Arial" w:hAnsi="Arial"/>
                <w:sz w:val="14"/>
                <w:szCs w:val="14"/>
                <w:b w:val="1"/>
                <w:bCs w:val="1"/>
                <w:color w:val="auto"/>
              </w:rPr>
              <w:t>June 30,</w:t>
            </w:r>
          </w:p>
        </w:tc>
      </w:tr>
      <w:tr>
        <w:trPr>
          <w:trHeight w:val="186"/>
        </w:trPr>
        <w:tc>
          <w:tcPr>
            <w:tcW w:w="848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 except share data)</w:t>
            </w: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260" w:type="dxa"/>
            <w:vAlign w:val="bottom"/>
          </w:tcPr>
          <w:p>
            <w:pPr>
              <w:spacing w:after="0"/>
              <w:rPr>
                <w:sz w:val="16"/>
                <w:szCs w:val="16"/>
                <w:color w:val="auto"/>
              </w:rPr>
            </w:pPr>
          </w:p>
        </w:tc>
        <w:tc>
          <w:tcPr>
            <w:tcW w:w="1060" w:type="dxa"/>
            <w:vAlign w:val="bottom"/>
          </w:tcPr>
          <w:p>
            <w:pPr>
              <w:jc w:val="right"/>
              <w:ind w:right="431"/>
              <w:spacing w:after="0"/>
              <w:rPr>
                <w:sz w:val="20"/>
                <w:szCs w:val="20"/>
                <w:color w:val="auto"/>
              </w:rPr>
            </w:pPr>
            <w:r>
              <w:rPr>
                <w:rFonts w:ascii="Arial" w:cs="Arial" w:eastAsia="Arial" w:hAnsi="Arial"/>
                <w:sz w:val="14"/>
                <w:szCs w:val="14"/>
                <w:b w:val="1"/>
                <w:bCs w:val="1"/>
                <w:color w:val="auto"/>
              </w:rPr>
              <w:t>2022</w:t>
            </w:r>
          </w:p>
        </w:tc>
      </w:tr>
      <w:tr>
        <w:trPr>
          <w:trHeight w:val="39"/>
        </w:trPr>
        <w:tc>
          <w:tcPr>
            <w:tcW w:w="8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34"/>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68,125</w:t>
            </w: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41,353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37,695</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Finance receivables, net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6,721</w:t>
            </w: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Inventory, net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19,754</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4,285</w:t>
            </w:r>
          </w:p>
        </w:tc>
      </w:tr>
      <w:tr>
        <w:trPr>
          <w:trHeight w:val="237"/>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126,549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136,580</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8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Non-current assets:</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Finance receivables due after one year, net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14,727</w:t>
            </w: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12,784</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2,370</w:t>
            </w: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Intangibles, net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17,947</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66,656</w:t>
            </w: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4,568</w:t>
            </w:r>
          </w:p>
        </w:tc>
      </w:tr>
      <w:tr>
        <w:trPr>
          <w:trHeight w:val="27"/>
        </w:trPr>
        <w:tc>
          <w:tcPr>
            <w:tcW w:w="8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non-current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119,052</w:t>
            </w:r>
          </w:p>
        </w:tc>
      </w:tr>
      <w:tr>
        <w:trPr>
          <w:trHeight w:val="54"/>
        </w:trPr>
        <w:tc>
          <w:tcPr>
            <w:tcW w:w="83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89"/>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248,464</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255,632</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convertible preferred stock and 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48,440</w:t>
            </w: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27,376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28,154</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Current obligations under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1,893</w:t>
            </w:r>
          </w:p>
        </w:tc>
      </w:tr>
      <w:tr>
        <w:trPr>
          <w:trHeight w:val="27"/>
        </w:trPr>
        <w:tc>
          <w:tcPr>
            <w:tcW w:w="8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79,179</w:t>
            </w:r>
          </w:p>
        </w:tc>
      </w:tr>
      <w:tr>
        <w:trPr>
          <w:trHeight w:val="216"/>
        </w:trPr>
        <w:tc>
          <w:tcPr>
            <w:tcW w:w="8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13,930</w:t>
            </w: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Operating lease liabilities, non-current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2,366</w:t>
            </w:r>
          </w:p>
        </w:tc>
      </w:tr>
      <w:tr>
        <w:trPr>
          <w:trHeight w:val="27"/>
        </w:trPr>
        <w:tc>
          <w:tcPr>
            <w:tcW w:w="8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16,482</w:t>
            </w:r>
          </w:p>
        </w:tc>
      </w:tr>
      <w:tr>
        <w:trPr>
          <w:trHeight w:val="54"/>
        </w:trPr>
        <w:tc>
          <w:tcPr>
            <w:tcW w:w="83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64"/>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95,661</w:t>
            </w:r>
          </w:p>
        </w:tc>
      </w:tr>
      <w:tr>
        <w:trPr>
          <w:trHeight w:val="223"/>
        </w:trPr>
        <w:tc>
          <w:tcPr>
            <w:tcW w:w="848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Commitments and contingencies (Note 14)</w:t>
            </w: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Convertible preferred stock:</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9"/>
        </w:trPr>
        <w:tc>
          <w:tcPr>
            <w:tcW w:w="8480" w:type="dxa"/>
            <w:vAlign w:val="bottom"/>
            <w:gridSpan w:val="2"/>
          </w:tcPr>
          <w:p>
            <w:pPr>
              <w:ind w:left="140"/>
              <w:spacing w:after="0"/>
              <w:rPr>
                <w:sz w:val="20"/>
                <w:szCs w:val="20"/>
                <w:color w:val="auto"/>
              </w:rPr>
            </w:pPr>
            <w:r>
              <w:rPr>
                <w:rFonts w:ascii="Arial" w:cs="Arial" w:eastAsia="Arial" w:hAnsi="Arial"/>
                <w:sz w:val="18"/>
                <w:szCs w:val="18"/>
                <w:color w:val="auto"/>
                <w:w w:val="94"/>
              </w:rPr>
              <w:t>Series A convertible preferred stock, 900,000 shares authorized, 385,782 and 445,063 issued and outstanding,</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480" w:type="dxa"/>
            <w:vAlign w:val="bottom"/>
            <w:gridSpan w:val="2"/>
          </w:tcPr>
          <w:p>
            <w:pPr>
              <w:ind w:left="140"/>
              <w:spacing w:after="0"/>
              <w:rPr>
                <w:sz w:val="20"/>
                <w:szCs w:val="20"/>
                <w:color w:val="auto"/>
              </w:rPr>
            </w:pPr>
            <w:r>
              <w:rPr>
                <w:rFonts w:ascii="Arial" w:cs="Arial" w:eastAsia="Arial" w:hAnsi="Arial"/>
                <w:sz w:val="18"/>
                <w:szCs w:val="18"/>
                <w:color w:val="auto"/>
                <w:w w:val="96"/>
              </w:rPr>
              <w:t>with liquidation preferences of $19,457 and $22,115 at September 30, 2022 and June 30, 2022, respectively</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3,138</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Preferred stock, no par value, 1,800,000 shares authorized</w:t>
            </w:r>
          </w:p>
        </w:tc>
        <w:tc>
          <w:tcPr>
            <w:tcW w:w="2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8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Common stock, no par value, 640,000,000 shares authorized, 71,218,130 and 71,188,053 shares issued and</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outstanding at September 30, 2022 and June 30, 2022,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469,503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469,918</w:t>
            </w: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(321,659)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(313,085)</w:t>
            </w:r>
          </w:p>
        </w:tc>
      </w:tr>
      <w:tr>
        <w:trPr>
          <w:trHeight w:val="27"/>
        </w:trPr>
        <w:tc>
          <w:tcPr>
            <w:tcW w:w="8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147,844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156,833</w:t>
            </w:r>
          </w:p>
        </w:tc>
      </w:tr>
      <w:tr>
        <w:trPr>
          <w:trHeight w:val="236"/>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Total liabilities, convertible preferred stock and shareholders’ equity</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248,464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255,632</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
        </w:trPr>
        <w:tc>
          <w:tcPr>
            <w:tcW w:w="8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40"/>
          </w:cols>
          <w:pgMar w:left="320" w:top="125" w:right="339" w:bottom="312"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312"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Cantaloupe,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29"/>
        </w:trPr>
        <w:tc>
          <w:tcPr>
            <w:tcW w:w="8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8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 except per share data)</w:t>
            </w: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84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9"/>
        </w:trPr>
        <w:tc>
          <w:tcPr>
            <w:tcW w:w="8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Subscription and transaction fees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47,075</w:t>
            </w:r>
          </w:p>
        </w:tc>
        <w:tc>
          <w:tcPr>
            <w:tcW w:w="8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40,625</w:t>
            </w:r>
          </w:p>
        </w:tc>
        <w:tc>
          <w:tcPr>
            <w:tcW w:w="0" w:type="dxa"/>
            <w:vAlign w:val="bottom"/>
          </w:tcPr>
          <w:p>
            <w:pPr>
              <w:spacing w:after="0"/>
              <w:rPr>
                <w:sz w:val="1"/>
                <w:szCs w:val="1"/>
                <w:color w:val="auto"/>
              </w:rPr>
            </w:pPr>
          </w:p>
        </w:tc>
      </w:tr>
      <w:tr>
        <w:trPr>
          <w:trHeight w:val="270"/>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Equipment sales</w:t>
            </w: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10,707</w:t>
            </w:r>
          </w:p>
        </w:tc>
        <w:tc>
          <w:tcPr>
            <w:tcW w:w="8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5,155</w:t>
            </w:r>
          </w:p>
        </w:tc>
        <w:tc>
          <w:tcPr>
            <w:tcW w:w="0" w:type="dxa"/>
            <w:vAlign w:val="bottom"/>
          </w:tcPr>
          <w:p>
            <w:pPr>
              <w:spacing w:after="0"/>
              <w:rPr>
                <w:sz w:val="1"/>
                <w:szCs w:val="1"/>
                <w:color w:val="auto"/>
              </w:rPr>
            </w:pPr>
          </w:p>
        </w:tc>
      </w:tr>
      <w:tr>
        <w:trPr>
          <w:trHeight w:val="25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57,782</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45,780</w:t>
            </w:r>
          </w:p>
        </w:tc>
        <w:tc>
          <w:tcPr>
            <w:tcW w:w="0" w:type="dxa"/>
            <w:vAlign w:val="bottom"/>
          </w:tcPr>
          <w:p>
            <w:pPr>
              <w:spacing w:after="0"/>
              <w:rPr>
                <w:sz w:val="1"/>
                <w:szCs w:val="1"/>
                <w:color w:val="auto"/>
              </w:rPr>
            </w:pPr>
          </w:p>
        </w:tc>
      </w:tr>
      <w:tr>
        <w:trPr>
          <w:trHeight w:val="148"/>
        </w:trPr>
        <w:tc>
          <w:tcPr>
            <w:tcW w:w="8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Costs of sales: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Cost of subscription and transaction fees</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30,370</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26,024</w:t>
            </w:r>
          </w:p>
        </w:tc>
        <w:tc>
          <w:tcPr>
            <w:tcW w:w="0" w:type="dxa"/>
            <w:vAlign w:val="bottom"/>
          </w:tcPr>
          <w:p>
            <w:pPr>
              <w:spacing w:after="0"/>
              <w:rPr>
                <w:sz w:val="1"/>
                <w:szCs w:val="1"/>
                <w:color w:val="auto"/>
              </w:rPr>
            </w:pPr>
          </w:p>
        </w:tc>
      </w:tr>
      <w:tr>
        <w:trPr>
          <w:trHeight w:val="270"/>
        </w:trPr>
        <w:tc>
          <w:tcPr>
            <w:tcW w:w="8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Cost of equipment sales</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13,250</w:t>
            </w:r>
          </w:p>
        </w:tc>
        <w:tc>
          <w:tcPr>
            <w:tcW w:w="8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4,880</w:t>
            </w:r>
          </w:p>
        </w:tc>
        <w:tc>
          <w:tcPr>
            <w:tcW w:w="0" w:type="dxa"/>
            <w:vAlign w:val="bottom"/>
          </w:tcPr>
          <w:p>
            <w:pPr>
              <w:spacing w:after="0"/>
              <w:rPr>
                <w:sz w:val="1"/>
                <w:szCs w:val="1"/>
                <w:color w:val="auto"/>
              </w:rPr>
            </w:pPr>
          </w:p>
        </w:tc>
      </w:tr>
      <w:tr>
        <w:trPr>
          <w:trHeight w:val="25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costs of sales</w:t>
            </w: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43,620</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30,904</w:t>
            </w:r>
          </w:p>
        </w:tc>
        <w:tc>
          <w:tcPr>
            <w:tcW w:w="0" w:type="dxa"/>
            <w:vAlign w:val="bottom"/>
          </w:tcPr>
          <w:p>
            <w:pPr>
              <w:spacing w:after="0"/>
              <w:rPr>
                <w:sz w:val="1"/>
                <w:szCs w:val="1"/>
                <w:color w:val="auto"/>
              </w:rPr>
            </w:pPr>
          </w:p>
        </w:tc>
      </w:tr>
      <w:tr>
        <w:trPr>
          <w:trHeight w:val="148"/>
        </w:trPr>
        <w:tc>
          <w:tcPr>
            <w:tcW w:w="83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14,162</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14,876</w:t>
            </w: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2,525</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270"/>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Technology and product development</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6,865</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w:t>
            </w:r>
          </w:p>
        </w:tc>
        <w:tc>
          <w:tcPr>
            <w:tcW w:w="0" w:type="dxa"/>
            <w:vAlign w:val="bottom"/>
          </w:tcPr>
          <w:p>
            <w:pPr>
              <w:spacing w:after="0"/>
              <w:rPr>
                <w:sz w:val="1"/>
                <w:szCs w:val="1"/>
                <w:color w:val="auto"/>
              </w:rPr>
            </w:pPr>
          </w:p>
        </w:tc>
      </w:tr>
      <w:tr>
        <w:trPr>
          <w:trHeight w:val="27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11,578</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7,264</w:t>
            </w:r>
          </w:p>
        </w:tc>
        <w:tc>
          <w:tcPr>
            <w:tcW w:w="0" w:type="dxa"/>
            <w:vAlign w:val="bottom"/>
          </w:tcPr>
          <w:p>
            <w:pPr>
              <w:spacing w:after="0"/>
              <w:rPr>
                <w:sz w:val="1"/>
                <w:szCs w:val="1"/>
                <w:color w:val="auto"/>
              </w:rPr>
            </w:pPr>
          </w:p>
        </w:tc>
      </w:tr>
      <w:tr>
        <w:trPr>
          <w:trHeight w:val="270"/>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Investigation, proxy solicitation and restatement expenses</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8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5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22,680</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16,014</w:t>
            </w:r>
          </w:p>
        </w:tc>
        <w:tc>
          <w:tcPr>
            <w:tcW w:w="0" w:type="dxa"/>
            <w:vAlign w:val="bottom"/>
          </w:tcPr>
          <w:p>
            <w:pPr>
              <w:spacing w:after="0"/>
              <w:rPr>
                <w:sz w:val="1"/>
                <w:szCs w:val="1"/>
                <w:color w:val="auto"/>
              </w:rPr>
            </w:pPr>
          </w:p>
        </w:tc>
      </w:tr>
      <w:tr>
        <w:trPr>
          <w:trHeight w:val="162"/>
        </w:trPr>
        <w:tc>
          <w:tcPr>
            <w:tcW w:w="83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(8,518)</w:t>
            </w:r>
          </w:p>
        </w:tc>
        <w:tc>
          <w:tcPr>
            <w:tcW w:w="8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129"/>
        </w:trPr>
        <w:tc>
          <w:tcPr>
            <w:tcW w:w="8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567</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70"/>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70"/>
        </w:trPr>
        <w:tc>
          <w:tcPr>
            <w:tcW w:w="8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 expense</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8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5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other expense, net</w:t>
            </w: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62"/>
        </w:trPr>
        <w:tc>
          <w:tcPr>
            <w:tcW w:w="8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(8,548)</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70"/>
        </w:trPr>
        <w:tc>
          <w:tcPr>
            <w:tcW w:w="8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29"/>
        </w:trPr>
        <w:tc>
          <w:tcPr>
            <w:tcW w:w="8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(8,574)</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7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Preferred dividends</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Net loss applicable to common shares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(8,908)</w:t>
            </w:r>
          </w:p>
        </w:tc>
        <w:tc>
          <w:tcPr>
            <w:tcW w:w="80" w:type="dxa"/>
            <w:vAlign w:val="bottom"/>
          </w:tcPr>
          <w:p>
            <w:pPr>
              <w:spacing w:after="0"/>
              <w:rPr>
                <w:sz w:val="21"/>
                <w:szCs w:val="21"/>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Net loss per common share</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Basic and diluted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48"/>
        </w:trPr>
        <w:tc>
          <w:tcPr>
            <w:tcW w:w="8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Weighted average number of common shares outstanding used to compute net loss per share applicable to</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40" w:type="dxa"/>
            <w:vAlign w:val="bottom"/>
            <w:gridSpan w:val="2"/>
          </w:tcPr>
          <w:p>
            <w:pPr>
              <w:ind w:left="220"/>
              <w:spacing w:after="0"/>
              <w:rPr>
                <w:sz w:val="20"/>
                <w:szCs w:val="20"/>
                <w:color w:val="auto"/>
              </w:rPr>
            </w:pPr>
            <w:r>
              <w:rPr>
                <w:rFonts w:ascii="Arial" w:cs="Arial" w:eastAsia="Arial" w:hAnsi="Arial"/>
                <w:sz w:val="18"/>
                <w:szCs w:val="18"/>
                <w:color w:val="auto"/>
              </w:rPr>
              <w:t>Basic and diluted</w:t>
            </w: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71,207,750</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71,175,927</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Cantaloupe,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 Period Ended September 30, 2022</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5"/>
          </w:tcPr>
          <w:p>
            <w:pPr>
              <w:ind w:left="90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6"/>
                <w:szCs w:val="16"/>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7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 in thousands, except share data)</w:t>
            </w: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46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6"/>
                <w:szCs w:val="16"/>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Deficit</w:t>
            </w:r>
          </w:p>
        </w:tc>
        <w:tc>
          <w:tcPr>
            <w:tcW w:w="300" w:type="dxa"/>
            <w:vAlign w:val="bottom"/>
          </w:tcPr>
          <w:p>
            <w:pPr>
              <w:spacing w:after="0"/>
              <w:rPr>
                <w:sz w:val="16"/>
                <w:szCs w:val="16"/>
                <w:color w:val="auto"/>
              </w:rPr>
            </w:pPr>
          </w:p>
        </w:tc>
        <w:tc>
          <w:tcPr>
            <w:tcW w:w="102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9"/>
        </w:trPr>
        <w:tc>
          <w:tcPr>
            <w:tcW w:w="37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2022</w:t>
            </w:r>
          </w:p>
        </w:tc>
        <w:tc>
          <w:tcPr>
            <w:tcW w:w="3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71,188,053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469,918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(313,085)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156,833</w:t>
            </w:r>
          </w:p>
        </w:tc>
        <w:tc>
          <w:tcPr>
            <w:tcW w:w="0" w:type="dxa"/>
            <w:vAlign w:val="bottom"/>
          </w:tcPr>
          <w:p>
            <w:pPr>
              <w:spacing w:after="0"/>
              <w:rPr>
                <w:sz w:val="1"/>
                <w:szCs w:val="1"/>
                <w:color w:val="auto"/>
              </w:rPr>
            </w:pPr>
          </w:p>
        </w:tc>
      </w:tr>
      <w:tr>
        <w:trPr>
          <w:trHeight w:val="270"/>
        </w:trPr>
        <w:tc>
          <w:tcPr>
            <w:tcW w:w="3740" w:type="dxa"/>
            <w:vAlign w:val="bottom"/>
          </w:tcPr>
          <w:p>
            <w:pPr>
              <w:ind w:left="20"/>
              <w:spacing w:after="0"/>
              <w:rPr>
                <w:sz w:val="20"/>
                <w:szCs w:val="20"/>
                <w:color w:val="auto"/>
              </w:rPr>
            </w:pPr>
            <w:r>
              <w:rPr>
                <w:rFonts w:ascii="Arial" w:cs="Arial" w:eastAsia="Arial" w:hAnsi="Arial"/>
                <w:sz w:val="18"/>
                <w:szCs w:val="18"/>
                <w:color w:val="auto"/>
                <w:w w:val="90"/>
              </w:rPr>
              <w:t>Repurchase of Series A convertible preferred stock</w:t>
            </w:r>
          </w:p>
        </w:tc>
        <w:tc>
          <w:tcPr>
            <w:tcW w:w="1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Stock-based compensation and exercises (net)</w:t>
            </w:r>
          </w:p>
        </w:tc>
        <w:tc>
          <w:tcPr>
            <w:tcW w:w="3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30,077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(8,574)</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30, 2022</w:t>
            </w:r>
          </w:p>
        </w:tc>
        <w:tc>
          <w:tcPr>
            <w:tcW w:w="1900" w:type="dxa"/>
            <w:vAlign w:val="bottom"/>
            <w:tcBorders>
              <w:bottom w:val="single" w:sz="8" w:color="CCEEFF"/>
            </w:tcBorders>
            <w:gridSpan w:val="2"/>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71,218,130</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469,503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(321,659)</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147,844</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3740" w:type="dxa"/>
            <w:vAlign w:val="bottom"/>
          </w:tcPr>
          <w:p>
            <w:pPr>
              <w:spacing w:after="0"/>
              <w:rPr>
                <w:sz w:val="24"/>
                <w:szCs w:val="24"/>
                <w:color w:val="auto"/>
              </w:rPr>
            </w:pPr>
          </w:p>
        </w:tc>
        <w:tc>
          <w:tcPr>
            <w:tcW w:w="3720" w:type="dxa"/>
            <w:vAlign w:val="bottom"/>
            <w:gridSpan w:val="5"/>
          </w:tcPr>
          <w:p>
            <w:pPr>
              <w:jc w:val="right"/>
              <w:spacing w:after="0"/>
              <w:rPr>
                <w:sz w:val="20"/>
                <w:szCs w:val="20"/>
                <w:color w:val="auto"/>
              </w:rPr>
            </w:pPr>
            <w:r>
              <w:rPr>
                <w:rFonts w:ascii="Arial" w:cs="Arial" w:eastAsia="Arial" w:hAnsi="Arial"/>
                <w:sz w:val="18"/>
                <w:szCs w:val="18"/>
                <w:b w:val="1"/>
                <w:bCs w:val="1"/>
                <w:color w:val="auto"/>
                <w:w w:val="92"/>
              </w:rPr>
              <w:t>Three Month Period Ended September 30, 2021</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3"/>
        </w:trPr>
        <w:tc>
          <w:tcPr>
            <w:tcW w:w="3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5"/>
          </w:tcPr>
          <w:p>
            <w:pPr>
              <w:ind w:left="90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24"/>
                <w:szCs w:val="24"/>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37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 in thousands, except share data)</w:t>
            </w: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46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6"/>
                <w:szCs w:val="16"/>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Deficit</w:t>
            </w:r>
          </w:p>
        </w:tc>
        <w:tc>
          <w:tcPr>
            <w:tcW w:w="300" w:type="dxa"/>
            <w:vAlign w:val="bottom"/>
          </w:tcPr>
          <w:p>
            <w:pPr>
              <w:spacing w:after="0"/>
              <w:rPr>
                <w:sz w:val="16"/>
                <w:szCs w:val="16"/>
                <w:color w:val="auto"/>
              </w:rPr>
            </w:pPr>
          </w:p>
        </w:tc>
        <w:tc>
          <w:tcPr>
            <w:tcW w:w="102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9"/>
        </w:trPr>
        <w:tc>
          <w:tcPr>
            <w:tcW w:w="37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2021</w:t>
            </w:r>
          </w:p>
        </w:tc>
        <w:tc>
          <w:tcPr>
            <w:tcW w:w="3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71,258,047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462,775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(311,382)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151,393</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Retirement of common stock</w:t>
            </w:r>
          </w:p>
        </w:tc>
        <w:tc>
          <w:tcPr>
            <w:tcW w:w="3220" w:type="dxa"/>
            <w:vAlign w:val="bottom"/>
            <w:gridSpan w:val="3"/>
          </w:tcPr>
          <w:p>
            <w:pPr>
              <w:jc w:val="right"/>
              <w:spacing w:after="0"/>
              <w:rPr>
                <w:sz w:val="20"/>
                <w:szCs w:val="20"/>
                <w:color w:val="auto"/>
              </w:rPr>
            </w:pPr>
            <w:r>
              <w:rPr>
                <w:rFonts w:ascii="Arial" w:cs="Arial" w:eastAsia="Arial" w:hAnsi="Arial"/>
                <w:sz w:val="18"/>
                <w:szCs w:val="18"/>
                <w:color w:val="auto"/>
              </w:rPr>
              <w:t>(319,823)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32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Stock-based compensation and exercises (net)</w:t>
            </w:r>
          </w:p>
        </w:tc>
        <w:tc>
          <w:tcPr>
            <w:tcW w:w="3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20,958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September 30, 2021</w:t>
            </w:r>
          </w:p>
        </w:tc>
        <w:tc>
          <w:tcPr>
            <w:tcW w:w="3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70,959,182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464,537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(312,673)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151,864</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44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880"/>
        </w:trPr>
        <w:tc>
          <w:tcPr>
            <w:tcW w:w="1280" w:type="dxa"/>
            <w:vAlign w:val="bottom"/>
            <w:tcBorders>
              <w:top w:val="single" w:sz="8" w:color="0000FF"/>
            </w:tcBorders>
          </w:tcPr>
          <w:p>
            <w:pPr>
              <w:spacing w:after="0"/>
              <w:rPr>
                <w:sz w:val="24"/>
                <w:szCs w:val="24"/>
                <w:color w:val="auto"/>
              </w:rPr>
            </w:pPr>
          </w:p>
        </w:tc>
        <w:tc>
          <w:tcPr>
            <w:tcW w:w="7160" w:type="dxa"/>
            <w:vAlign w:val="bottom"/>
            <w:gridSpan w:val="2"/>
          </w:tcPr>
          <w:p>
            <w:pPr>
              <w:jc w:val="center"/>
              <w:ind w:left="1430"/>
              <w:spacing w:after="0"/>
              <w:rPr>
                <w:sz w:val="20"/>
                <w:szCs w:val="20"/>
                <w:color w:val="auto"/>
              </w:rPr>
            </w:pPr>
            <w:r>
              <w:rPr>
                <w:rFonts w:ascii="Arial" w:cs="Arial" w:eastAsia="Arial" w:hAnsi="Arial"/>
                <w:sz w:val="18"/>
                <w:szCs w:val="18"/>
                <w:b w:val="1"/>
                <w:bCs w:val="1"/>
                <w:color w:val="auto"/>
                <w:w w:val="92"/>
              </w:rPr>
              <w:t>Cantaloupe, Inc.</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160" w:type="dxa"/>
            <w:vAlign w:val="bottom"/>
            <w:gridSpan w:val="2"/>
          </w:tcPr>
          <w:p>
            <w:pPr>
              <w:jc w:val="center"/>
              <w:ind w:left="143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7160" w:type="dxa"/>
            <w:vAlign w:val="bottom"/>
            <w:gridSpan w:val="2"/>
          </w:tcPr>
          <w:p>
            <w:pPr>
              <w:jc w:val="center"/>
              <w:ind w:left="1430"/>
              <w:spacing w:after="0"/>
              <w:rPr>
                <w:sz w:val="20"/>
                <w:szCs w:val="20"/>
                <w:color w:val="auto"/>
              </w:rPr>
            </w:pPr>
            <w:r>
              <w:rPr>
                <w:rFonts w:ascii="Arial" w:cs="Arial" w:eastAsia="Arial" w:hAnsi="Arial"/>
                <w:sz w:val="18"/>
                <w:szCs w:val="18"/>
                <w:b w:val="1"/>
                <w:bCs w:val="1"/>
                <w:color w:val="auto"/>
                <w:w w:val="91"/>
              </w:rPr>
              <w:t>(Unaudited)</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64"/>
        </w:trPr>
        <w:tc>
          <w:tcPr>
            <w:tcW w:w="12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1280" w:type="dxa"/>
            <w:vAlign w:val="bottom"/>
          </w:tcPr>
          <w:p>
            <w:pPr>
              <w:spacing w:after="0"/>
              <w:rPr>
                <w:sz w:val="23"/>
                <w:szCs w:val="23"/>
                <w:color w:val="auto"/>
              </w:rPr>
            </w:pPr>
          </w:p>
        </w:tc>
        <w:tc>
          <w:tcPr>
            <w:tcW w:w="7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6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8440" w:type="dxa"/>
            <w:vAlign w:val="bottom"/>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440" w:type="dxa"/>
            <w:vAlign w:val="bottom"/>
            <w:gridSpan w:val="3"/>
          </w:tcPr>
          <w:p>
            <w:pPr>
              <w:ind w:left="20"/>
              <w:spacing w:after="0"/>
              <w:rPr>
                <w:sz w:val="20"/>
                <w:szCs w:val="20"/>
                <w:color w:val="auto"/>
              </w:rPr>
            </w:pPr>
            <w:r>
              <w:rPr>
                <w:rFonts w:ascii="Arial" w:cs="Arial" w:eastAsia="Arial" w:hAnsi="Arial"/>
                <w:sz w:val="18"/>
                <w:szCs w:val="18"/>
                <w:b w:val="1"/>
                <w:bCs w:val="1"/>
                <w:color w:val="auto"/>
              </w:rPr>
              <w:t>($ in thousands)</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27"/>
        </w:trPr>
        <w:tc>
          <w:tcPr>
            <w:tcW w:w="8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gridSpan w:val="3"/>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(8,574)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(1,291)</w:t>
            </w: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gridSpan w:val="3"/>
          </w:tcPr>
          <w:p>
            <w:pPr>
              <w:ind w:left="140"/>
              <w:spacing w:after="0"/>
              <w:rPr>
                <w:sz w:val="20"/>
                <w:szCs w:val="20"/>
                <w:color w:val="auto"/>
              </w:rPr>
            </w:pPr>
            <w:r>
              <w:rPr>
                <w:rFonts w:ascii="Arial" w:cs="Arial" w:eastAsia="Arial" w:hAnsi="Arial"/>
                <w:sz w:val="18"/>
                <w:szCs w:val="18"/>
                <w:color w:val="auto"/>
              </w:rPr>
              <w:t>Stock based compensation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1,762</w:t>
            </w: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Amortization of debt issuance costs and discounts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8440" w:type="dxa"/>
            <w:vAlign w:val="bottom"/>
            <w:gridSpan w:val="3"/>
          </w:tcPr>
          <w:p>
            <w:pPr>
              <w:ind w:left="140"/>
              <w:spacing w:after="0"/>
              <w:rPr>
                <w:sz w:val="20"/>
                <w:szCs w:val="20"/>
                <w:color w:val="auto"/>
              </w:rPr>
            </w:pPr>
            <w:r>
              <w:rPr>
                <w:rFonts w:ascii="Arial" w:cs="Arial" w:eastAsia="Arial" w:hAnsi="Arial"/>
                <w:sz w:val="18"/>
                <w:szCs w:val="18"/>
                <w:color w:val="auto"/>
              </w:rPr>
              <w:t>Provision for expected losses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412</w:t>
            </w: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Provision for inventory reserve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43"/>
        </w:trPr>
        <w:tc>
          <w:tcPr>
            <w:tcW w:w="8440" w:type="dxa"/>
            <w:vAlign w:val="bottom"/>
            <w:gridSpan w:val="3"/>
          </w:tcPr>
          <w:p>
            <w:pPr>
              <w:ind w:left="140"/>
              <w:spacing w:after="0"/>
              <w:rPr>
                <w:sz w:val="20"/>
                <w:szCs w:val="20"/>
                <w:color w:val="auto"/>
              </w:rPr>
            </w:pPr>
            <w:r>
              <w:rPr>
                <w:rFonts w:ascii="Arial" w:cs="Arial" w:eastAsia="Arial" w:hAnsi="Arial"/>
                <w:sz w:val="18"/>
                <w:szCs w:val="18"/>
                <w:color w:val="auto"/>
              </w:rPr>
              <w:t>Depreciation and amortization included in operating expenses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1,022</w:t>
            </w: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Depreciation included in costs of sales for rental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43"/>
        </w:trPr>
        <w:tc>
          <w:tcPr>
            <w:tcW w:w="8440" w:type="dxa"/>
            <w:vAlign w:val="bottom"/>
            <w:gridSpan w:val="3"/>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gridSpan w:val="3"/>
          </w:tcPr>
          <w:p>
            <w:pPr>
              <w:ind w:left="14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2,991</w:t>
            </w: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Finance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r>
      <w:tr>
        <w:trPr>
          <w:trHeight w:val="243"/>
        </w:trPr>
        <w:tc>
          <w:tcPr>
            <w:tcW w:w="8440" w:type="dxa"/>
            <w:vAlign w:val="bottom"/>
            <w:gridSpan w:val="3"/>
          </w:tcPr>
          <w:p>
            <w:pPr>
              <w:ind w:left="14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(3,875)</w:t>
            </w: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43"/>
        </w:trPr>
        <w:tc>
          <w:tcPr>
            <w:tcW w:w="8440" w:type="dxa"/>
            <w:vAlign w:val="bottom"/>
            <w:gridSpan w:val="3"/>
          </w:tcPr>
          <w:p>
            <w:pPr>
              <w:ind w:left="14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(2,239)</w:t>
            </w: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43"/>
        </w:trPr>
        <w:tc>
          <w:tcPr>
            <w:tcW w:w="8440" w:type="dxa"/>
            <w:vAlign w:val="bottom"/>
            <w:gridSpan w:val="3"/>
          </w:tcPr>
          <w:p>
            <w:pPr>
              <w:ind w:left="14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r>
      <w:tr>
        <w:trPr>
          <w:trHeight w:val="196"/>
        </w:trPr>
        <w:tc>
          <w:tcPr>
            <w:tcW w:w="128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250"/>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70"/>
        </w:trPr>
        <w:tc>
          <w:tcPr>
            <w:tcW w:w="8440" w:type="dxa"/>
            <w:vAlign w:val="bottom"/>
            <w:gridSpan w:val="3"/>
          </w:tcPr>
          <w:p>
            <w:pPr>
              <w:ind w:left="20"/>
              <w:spacing w:after="0"/>
              <w:rPr>
                <w:sz w:val="20"/>
                <w:szCs w:val="20"/>
                <w:color w:val="auto"/>
              </w:rPr>
            </w:pPr>
            <w:r>
              <w:rPr>
                <w:rFonts w:ascii="Arial" w:cs="Arial" w:eastAsia="Arial" w:hAnsi="Arial"/>
                <w:sz w:val="18"/>
                <w:szCs w:val="18"/>
                <w:color w:val="auto"/>
              </w:rPr>
              <w:t>Cash paid for acquisition</w:t>
            </w:r>
          </w:p>
        </w:tc>
        <w:tc>
          <w:tcPr>
            <w:tcW w:w="300" w:type="dxa"/>
            <w:vAlign w:val="bottom"/>
          </w:tcPr>
          <w:p>
            <w:pPr>
              <w:spacing w:after="0"/>
              <w:rPr>
                <w:sz w:val="23"/>
                <w:szCs w:val="23"/>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(2,900)</w:t>
            </w:r>
          </w:p>
        </w:tc>
      </w:tr>
      <w:tr>
        <w:trPr>
          <w:trHeight w:val="270"/>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Purchase of property and equipment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r>
      <w:tr>
        <w:trPr>
          <w:trHeight w:val="237"/>
        </w:trPr>
        <w:tc>
          <w:tcPr>
            <w:tcW w:w="8440" w:type="dxa"/>
            <w:vAlign w:val="bottom"/>
            <w:gridSpan w:val="3"/>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(4,541)</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1280" w:type="dxa"/>
            <w:vAlign w:val="bottom"/>
            <w:shd w:val="clear" w:color="auto" w:fill="CCEEFF"/>
          </w:tcPr>
          <w:p>
            <w:pPr>
              <w:spacing w:after="0"/>
              <w:rPr>
                <w:sz w:val="17"/>
                <w:szCs w:val="17"/>
                <w:color w:val="auto"/>
              </w:rPr>
            </w:pPr>
          </w:p>
        </w:tc>
        <w:tc>
          <w:tcPr>
            <w:tcW w:w="7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43"/>
        </w:trPr>
        <w:tc>
          <w:tcPr>
            <w:tcW w:w="8440" w:type="dxa"/>
            <w:vAlign w:val="bottom"/>
            <w:gridSpan w:val="3"/>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Repayment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70"/>
        </w:trPr>
        <w:tc>
          <w:tcPr>
            <w:tcW w:w="8440" w:type="dxa"/>
            <w:vAlign w:val="bottom"/>
            <w:gridSpan w:val="3"/>
          </w:tcPr>
          <w:p>
            <w:pPr>
              <w:ind w:left="20"/>
              <w:spacing w:after="0"/>
              <w:rPr>
                <w:sz w:val="20"/>
                <w:szCs w:val="20"/>
                <w:color w:val="auto"/>
              </w:rPr>
            </w:pPr>
            <w:r>
              <w:rPr>
                <w:rFonts w:ascii="Arial" w:cs="Arial" w:eastAsia="Arial" w:hAnsi="Arial"/>
                <w:sz w:val="18"/>
                <w:szCs w:val="18"/>
                <w:color w:val="auto"/>
              </w:rPr>
              <w:t>Contingent consideration paid for acquisition</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Repurchase of Series A Convertible Preferred Stock</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440" w:type="dxa"/>
            <w:vAlign w:val="bottom"/>
            <w:gridSpan w:val="3"/>
          </w:tcPr>
          <w:p>
            <w:pPr>
              <w:ind w:left="2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(3,344)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1280" w:type="dxa"/>
            <w:vAlign w:val="bottom"/>
            <w:shd w:val="clear" w:color="auto" w:fill="CCEEFF"/>
          </w:tcPr>
          <w:p>
            <w:pPr>
              <w:spacing w:after="0"/>
              <w:rPr>
                <w:sz w:val="17"/>
                <w:szCs w:val="17"/>
                <w:color w:val="auto"/>
              </w:rPr>
            </w:pPr>
          </w:p>
        </w:tc>
        <w:tc>
          <w:tcPr>
            <w:tcW w:w="7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bl>
    <w:p>
      <w:pPr>
        <w:spacing w:after="0" w:line="13" w:lineRule="exact"/>
        <w:rPr>
          <w:sz w:val="20"/>
          <w:szCs w:val="20"/>
          <w:color w:val="auto"/>
        </w:rPr>
      </w:pPr>
    </w:p>
    <w:p>
      <w:pPr>
        <w:sectPr>
          <w:pgSz w:w="11900" w:h="16838" w:orient="portrait"/>
          <w:cols w:equalWidth="0" w:num="1">
            <w:col w:w="11200"/>
          </w:cols>
          <w:pgMar w:left="320" w:top="108" w:right="379" w:bottom="1440" w:gutter="0" w:footer="0" w:header="0"/>
        </w:sectPr>
      </w:pPr>
    </w:p>
    <w:p>
      <w:pPr>
        <w:ind w:left="20"/>
        <w:spacing w:after="0"/>
        <w:rPr>
          <w:sz w:val="20"/>
          <w:szCs w:val="20"/>
          <w:color w:val="auto"/>
        </w:rPr>
      </w:pPr>
      <w:r>
        <w:rPr>
          <w:rFonts w:ascii="Arial" w:cs="Arial" w:eastAsia="Arial" w:hAnsi="Arial"/>
          <w:sz w:val="17"/>
          <w:szCs w:val="17"/>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0628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at beginning of year</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0628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920" w:type="dxa"/>
            <w:vAlign w:val="bottom"/>
          </w:tcPr>
          <w:p>
            <w:pPr>
              <w:jc w:val="center"/>
              <w:ind w:left="170"/>
              <w:spacing w:after="0"/>
              <w:rPr>
                <w:sz w:val="20"/>
                <w:szCs w:val="20"/>
                <w:color w:val="auto"/>
              </w:rPr>
            </w:pPr>
            <w:r>
              <w:rPr>
                <w:rFonts w:ascii="Arial" w:cs="Arial" w:eastAsia="Arial" w:hAnsi="Arial"/>
                <w:sz w:val="18"/>
                <w:szCs w:val="18"/>
                <w:color w:val="auto"/>
                <w:w w:val="92"/>
              </w:rPr>
              <w:t>(17,332)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w w:val="94"/>
              </w:rPr>
              <w:t>(5,625)</w:t>
            </w:r>
          </w:p>
        </w:tc>
      </w:tr>
      <w:tr>
        <w:trPr>
          <w:trHeight w:val="270"/>
        </w:trPr>
        <w:tc>
          <w:tcPr>
            <w:tcW w:w="400" w:type="dxa"/>
            <w:vAlign w:val="bottom"/>
          </w:tcPr>
          <w:p>
            <w:pPr>
              <w:spacing w:after="0"/>
              <w:rPr>
                <w:sz w:val="23"/>
                <w:szCs w:val="23"/>
                <w:color w:val="auto"/>
              </w:rPr>
            </w:pPr>
          </w:p>
        </w:tc>
        <w:tc>
          <w:tcPr>
            <w:tcW w:w="920" w:type="dxa"/>
            <w:vAlign w:val="bottom"/>
          </w:tcPr>
          <w:p>
            <w:pPr>
              <w:jc w:val="center"/>
              <w:ind w:left="210"/>
              <w:spacing w:after="0"/>
              <w:rPr>
                <w:sz w:val="20"/>
                <w:szCs w:val="20"/>
                <w:color w:val="auto"/>
              </w:rPr>
            </w:pPr>
            <w:r>
              <w:rPr>
                <w:rFonts w:ascii="Arial" w:cs="Arial" w:eastAsia="Arial" w:hAnsi="Arial"/>
                <w:sz w:val="18"/>
                <w:szCs w:val="18"/>
                <w:color w:val="auto"/>
                <w:w w:val="90"/>
              </w:rPr>
              <w:t>68,125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w w:val="98"/>
              </w:rPr>
              <w:t>88,136</w:t>
            </w:r>
          </w:p>
        </w:tc>
      </w:tr>
      <w:tr>
        <w:trPr>
          <w:trHeight w:val="270"/>
        </w:trPr>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center"/>
              <w:ind w:left="210"/>
              <w:spacing w:after="0"/>
              <w:rPr>
                <w:sz w:val="20"/>
                <w:szCs w:val="20"/>
                <w:color w:val="auto"/>
              </w:rPr>
            </w:pPr>
            <w:r>
              <w:rPr>
                <w:rFonts w:ascii="Arial" w:cs="Arial" w:eastAsia="Arial" w:hAnsi="Arial"/>
                <w:sz w:val="18"/>
                <w:szCs w:val="18"/>
                <w:color w:val="auto"/>
                <w:w w:val="90"/>
              </w:rPr>
              <w:t>50,793</w:t>
            </w:r>
          </w:p>
        </w:tc>
        <w:tc>
          <w:tcPr>
            <w:tcW w:w="12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340"/>
              <w:spacing w:after="0"/>
              <w:rPr>
                <w:sz w:val="20"/>
                <w:szCs w:val="20"/>
                <w:color w:val="auto"/>
              </w:rPr>
            </w:pPr>
            <w:r>
              <w:rPr>
                <w:rFonts w:ascii="Arial" w:cs="Arial" w:eastAsia="Arial" w:hAnsi="Arial"/>
                <w:sz w:val="18"/>
                <w:szCs w:val="18"/>
                <w:color w:val="auto"/>
                <w:w w:val="98"/>
              </w:rPr>
              <w:t>82,511</w:t>
            </w:r>
          </w:p>
        </w:tc>
      </w:tr>
      <w:tr>
        <w:trPr>
          <w:trHeight w:val="27"/>
        </w:trPr>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20" w:space="720"/>
            <w:col w:w="2760"/>
          </w:cols>
          <w:pgMar w:left="320" w:top="108" w:right="379" w:bottom="1440" w:gutter="0" w:footer="0" w:header="0"/>
          <w:type w:val="continuous"/>
        </w:sectPr>
      </w:pP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r>
              <w:rPr>
                <w:rFonts w:ascii="Arial" w:cs="Arial" w:eastAsia="Arial" w:hAnsi="Arial"/>
                <w:sz w:val="18"/>
                <w:szCs w:val="18"/>
                <w:i w:val="1"/>
                <w:iCs w:val="1"/>
                <w:color w:val="auto"/>
              </w:rPr>
              <w:t>Supplemental disclosures of cash flow information</w:t>
            </w:r>
            <w:r>
              <w:rPr>
                <w:rFonts w:ascii="Arial" w:cs="Arial" w:eastAsia="Arial" w:hAnsi="Arial"/>
                <w:sz w:val="18"/>
                <w:szCs w:val="18"/>
                <w:color w:val="auto"/>
              </w:rPr>
              <w:t>:</w:t>
            </w:r>
          </w:p>
        </w:tc>
        <w:tc>
          <w:tcPr>
            <w:tcW w:w="2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0"/>
        </w:trPr>
        <w:tc>
          <w:tcPr>
            <w:tcW w:w="6060" w:type="dxa"/>
            <w:vAlign w:val="bottom"/>
          </w:tcPr>
          <w:p>
            <w:pPr>
              <w:spacing w:after="0"/>
              <w:rPr>
                <w:sz w:val="20"/>
                <w:szCs w:val="20"/>
                <w:color w:val="auto"/>
              </w:rPr>
            </w:pPr>
            <w:r>
              <w:rPr>
                <w:rFonts w:ascii="Arial" w:cs="Arial" w:eastAsia="Arial" w:hAnsi="Arial"/>
                <w:sz w:val="18"/>
                <w:szCs w:val="18"/>
                <w:color w:val="auto"/>
              </w:rPr>
              <w:t>Interest paid in cash</w:t>
            </w:r>
          </w:p>
        </w:tc>
        <w:tc>
          <w:tcPr>
            <w:tcW w:w="29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0628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00"/>
          </w:cols>
          <w:pgMar w:left="320" w:top="108" w:right="37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Cantaloupe,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25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Cantaloupe, Inc., is organized under the laws of the Commonwealth of Pennsylvania. We are a digital payments and software services company that provides end-to-end technology solutions for the unattended retail market. We are transforming the unattended retail world by offering a single platform for self-service commerce which includes integrated payments processing and software solutions that handle inventory management, pre-kitting, route logistics, warehouse and back-office management. Our enterprise-wide platform is designed to increase consumer engagement and sales revenue through digital payments, digital advertising and customer loyalty programs, while providing retailers with control and visibility over their operations and inventory. As a result, customers ranging from vending machine companies to operators of micro-markets, car wash, electric vehicle charging stations, commercial laundry, kiosks, amusements and more, can run their businesses more proactively, predictably, and competitively.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Update</w:t>
      </w:r>
    </w:p>
    <w:p>
      <w:pPr>
        <w:spacing w:after="0" w:line="23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its employees, and its customers operate in geographic locations in which its business operations and financial performance continues to be affected by the COVID-19 pandemic. While businesses, schools and other organizations re-open, which has led to increased foot-traffic to distributed assets containing our electronic payment solutions, the emergence of new strains and variants and resurgence of the virus, such as the outbreak of the Omicron variant in early calendar year 2022, have led and may in the future lead to additional shutdowns, closures, and other follow-on impacts including supply chain disruptions, which may impact our operations and financial results. During fiscal year 2023, we experienced elevated component and supply chain costs necessary for the production and distribution of our hardware products. Such impacts to our financial statements include, but are not limited to, increased costs of sales incurred, impairment of goodwill and intangible assets, impairment of long-lived assets including operating lease assets, property and equipment and allowance for doubtful accounts for accounts and finance receivables. We have concluded that there are no material impairments as a result of our evaluation for the quarter ended September 30, 2022. Where applicable, we have incorporated judgments and estimates of the expected impact of COVID-19 in the preparation of the financial statements based on information currently available. These judgments and estimates may change, as new events develop and additional information is obtained, and are recognized in the condensed consolidated financial statements as soon as they become known.</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continue to monitor the evolving situation and follow guidance from federal, state and local public health authorities. Given the potential uncertainty of the situation, the Company cannot, at this time, reasonably estimate the longer-term repercussions of COVID-19 on our financial condition, results of operations or cash flows.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Preparation</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unaudited condensed consolidated financial statements of the Company have been prepared in accordance with U.S. generally accepted accounting principles for interim financial information and with the instructions to Form 10-Q. Accordingly, they do not include all of the information and footnotes required by U.S. generally accepted accounting principles for complete financial statements and therefore should be read in conjunction with the Company’s June 30, 2022 Annual Report on Form 10-K.</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All intercompany transactions and balances have been eliminated in consolidation. In the opinion of management, all adjustments considered necessary for a fair presentation, consisting of normal recurring adjustments, have been included. Operating results for the three months ended September 30, 2022 are not necessarily indicative of the results that may be expected for the full fiscal year ending June 30, 2023. Actual results could differ from estimates. The balance sheet at June 30, 2022 has been derived from the audited consolidated financial statements at that date, but does not include all disclosures required by accounting principles generally accepted in the United States of America.</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operates as one operating segment because its chief operating decision maker, who is the Chief Executive Officer, reviews its financial information on a consolidated basis for purposes of making decisions regarding allocating resources and assessing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Classification</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2021, the FASB issued ASU 2021-05, “</w:t>
      </w:r>
      <w:r>
        <w:rPr>
          <w:rFonts w:ascii="Arial" w:cs="Arial" w:eastAsia="Arial" w:hAnsi="Arial"/>
          <w:sz w:val="18"/>
          <w:szCs w:val="18"/>
          <w:i w:val="1"/>
          <w:iCs w:val="1"/>
          <w:color w:val="auto"/>
        </w:rPr>
        <w:t>Lessors – Certain Leases with Variable Lease Payments</w:t>
      </w:r>
      <w:r>
        <w:rPr>
          <w:rFonts w:ascii="Arial" w:cs="Arial" w:eastAsia="Arial" w:hAnsi="Arial"/>
          <w:sz w:val="18"/>
          <w:szCs w:val="18"/>
          <w:color w:val="auto"/>
        </w:rPr>
        <w:t>” which requires lessors to classify leases as operating leases if they have variable lease payments that do not depend on an index or rate and would have selling losses if they were classified as sales-type or direct financing leases. The Company adopted this pronouncement on July 1, 2022. The adoption of this accounting standard did not materially impact the Company’s condensed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Debt and Equity Instruments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2020, the FASB issued ASU 2020-06, “</w:t>
      </w:r>
      <w:r>
        <w:rPr>
          <w:rFonts w:ascii="Arial" w:cs="Arial" w:eastAsia="Arial" w:hAnsi="Arial"/>
          <w:sz w:val="18"/>
          <w:szCs w:val="18"/>
          <w:i w:val="1"/>
          <w:iCs w:val="1"/>
          <w:color w:val="auto"/>
        </w:rPr>
        <w:t>Accounting for Convertible Instruments and Contracts in an Entity’s Own Equity</w:t>
      </w:r>
      <w:r>
        <w:rPr>
          <w:rFonts w:ascii="Arial" w:cs="Arial" w:eastAsia="Arial" w:hAnsi="Arial"/>
          <w:sz w:val="18"/>
          <w:szCs w:val="18"/>
          <w:color w:val="auto"/>
        </w:rPr>
        <w:t>” which simplifies accounting for convertible instruments and the derivatives scope exception for contracts in an entity's own equity and improves and amends the related earnings per share (EPS) guidance. The Company adopted this pronouncement on July 1, 2022. The adoption of this accounting standard did not materially impact the Company’s condensed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To Be Adopted</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is evaluating whether the effects of the following recent accounting pronouncements, or any other recently issued but not yet effective accounting standards, will have a material effect on the Company’s condensed consolidated financial position, results of operations or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March 2020 and January 2021, the FASB issued ASU 2020-04, “</w:t>
      </w:r>
      <w:r>
        <w:rPr>
          <w:rFonts w:ascii="Arial" w:cs="Arial" w:eastAsia="Arial" w:hAnsi="Arial"/>
          <w:sz w:val="17"/>
          <w:szCs w:val="17"/>
          <w:i w:val="1"/>
          <w:iCs w:val="1"/>
          <w:color w:val="auto"/>
        </w:rPr>
        <w:t>Facilitation of the Effects of Reference Rate Reform on Financial Reporting</w:t>
      </w:r>
      <w:r>
        <w:rPr>
          <w:rFonts w:ascii="Arial" w:cs="Arial" w:eastAsia="Arial" w:hAnsi="Arial"/>
          <w:sz w:val="17"/>
          <w:szCs w:val="17"/>
          <w:color w:val="auto"/>
        </w:rPr>
        <w:t>” and ASU 2021-01, “</w:t>
      </w:r>
      <w:r>
        <w:rPr>
          <w:rFonts w:ascii="Arial" w:cs="Arial" w:eastAsia="Arial" w:hAnsi="Arial"/>
          <w:sz w:val="17"/>
          <w:szCs w:val="17"/>
          <w:i w:val="1"/>
          <w:iCs w:val="1"/>
          <w:color w:val="auto"/>
        </w:rPr>
        <w:t>Reference Rate Reform: Scope</w:t>
      </w:r>
      <w:r>
        <w:rPr>
          <w:rFonts w:ascii="Arial" w:cs="Arial" w:eastAsia="Arial" w:hAnsi="Arial"/>
          <w:sz w:val="17"/>
          <w:szCs w:val="17"/>
          <w:color w:val="auto"/>
        </w:rPr>
        <w:t>”, respectively. Together, the ASUs provide temporary optional expedients and exceptions for applying U.S. GAAP guidance on contract modifications and hedging relationships that reference LIBOR or another reference rate expected to be discontinued because of reference rate reform. The Company’s exposure to LIBOR includes our revolving credit facility and secured term facility with JPMorgan Chase Bank, N.A., which uses LIBOR as a reference rate. However, these facilities provide for an alternative rate of interest if LIBOR is discontinued. These optional expedients and exceptions are effective beginning March 12, 2020 through December 31, 2022 and adoption is permitted at any time in the effective period. The Company is currently evaluating and assessing the impact these accounting standards will have on its condensed consolidated financial statements and related disclosures and if it will elect these optional standards.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operating leases for office space, warehouses, and office equipment. At September 30, 2022, the Company has the following balances recorded in the balance sheet related to its lease arrangements:</w:t>
      </w: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242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466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Sheet Classification</w:t>
            </w:r>
          </w:p>
        </w:tc>
        <w:tc>
          <w:tcPr>
            <w:tcW w:w="180" w:type="dxa"/>
            <w:vAlign w:val="bottom"/>
          </w:tcPr>
          <w:p>
            <w:pPr>
              <w:spacing w:after="0"/>
              <w:rPr>
                <w:sz w:val="17"/>
                <w:szCs w:val="17"/>
                <w:color w:val="auto"/>
              </w:rPr>
            </w:pPr>
          </w:p>
        </w:tc>
        <w:tc>
          <w:tcPr>
            <w:tcW w:w="1960" w:type="dxa"/>
            <w:vAlign w:val="bottom"/>
            <w:gridSpan w:val="2"/>
          </w:tcPr>
          <w:p>
            <w:pPr>
              <w:ind w:left="60"/>
              <w:spacing w:after="0"/>
              <w:rPr>
                <w:sz w:val="20"/>
                <w:szCs w:val="20"/>
                <w:color w:val="auto"/>
              </w:rPr>
            </w:pPr>
            <w:r>
              <w:rPr>
                <w:rFonts w:ascii="Arial" w:cs="Arial" w:eastAsia="Arial" w:hAnsi="Arial"/>
                <w:sz w:val="14"/>
                <w:szCs w:val="14"/>
                <w:b w:val="1"/>
                <w:bCs w:val="1"/>
                <w:color w:val="auto"/>
              </w:rPr>
              <w:t>As of September 30, 2022</w:t>
            </w:r>
          </w:p>
        </w:tc>
        <w:tc>
          <w:tcPr>
            <w:tcW w:w="240" w:type="dxa"/>
            <w:vAlign w:val="bottom"/>
          </w:tcPr>
          <w:p>
            <w:pPr>
              <w:spacing w:after="0"/>
              <w:rPr>
                <w:sz w:val="17"/>
                <w:szCs w:val="17"/>
                <w:color w:val="auto"/>
              </w:rPr>
            </w:pPr>
          </w:p>
        </w:tc>
        <w:tc>
          <w:tcPr>
            <w:tcW w:w="1720" w:type="dxa"/>
            <w:vAlign w:val="bottom"/>
          </w:tcPr>
          <w:p>
            <w:pPr>
              <w:jc w:val="right"/>
              <w:ind w:right="314"/>
              <w:spacing w:after="0"/>
              <w:rPr>
                <w:sz w:val="20"/>
                <w:szCs w:val="20"/>
                <w:color w:val="auto"/>
              </w:rPr>
            </w:pPr>
            <w:r>
              <w:rPr>
                <w:rFonts w:ascii="Arial" w:cs="Arial" w:eastAsia="Arial" w:hAnsi="Arial"/>
                <w:sz w:val="14"/>
                <w:szCs w:val="14"/>
                <w:b w:val="1"/>
                <w:bCs w:val="1"/>
                <w:color w:val="auto"/>
              </w:rPr>
              <w:t>As of June 30, 2022</w:t>
            </w:r>
          </w:p>
        </w:tc>
      </w:tr>
      <w:tr>
        <w:trPr>
          <w:trHeight w:val="25"/>
        </w:trPr>
        <w:tc>
          <w:tcPr>
            <w:tcW w:w="2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34"/>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2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70"/>
        </w:trPr>
        <w:tc>
          <w:tcPr>
            <w:tcW w:w="242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2,076</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2,370</w:t>
            </w:r>
          </w:p>
        </w:tc>
      </w:tr>
      <w:tr>
        <w:trPr>
          <w:trHeight w:val="270"/>
        </w:trPr>
        <w:tc>
          <w:tcPr>
            <w:tcW w:w="2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30"/>
        </w:trPr>
        <w:tc>
          <w:tcPr>
            <w:tcW w:w="242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4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70"/>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r>
      <w:tr>
        <w:trPr>
          <w:trHeight w:val="270"/>
        </w:trPr>
        <w:tc>
          <w:tcPr>
            <w:tcW w:w="2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Long-term</w:t>
            </w:r>
          </w:p>
        </w:tc>
        <w:tc>
          <w:tcPr>
            <w:tcW w:w="4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Operating lease liabilities, non-current</w:t>
            </w:r>
          </w:p>
        </w:tc>
        <w:tc>
          <w:tcPr>
            <w:tcW w:w="18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w:t>
            </w:r>
          </w:p>
        </w:tc>
      </w:tr>
      <w:tr>
        <w:trPr>
          <w:trHeight w:val="263"/>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4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Components of lease cost are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Three months ended September</w:t>
            </w:r>
          </w:p>
        </w:tc>
        <w:tc>
          <w:tcPr>
            <w:tcW w:w="100" w:type="dxa"/>
            <w:vAlign w:val="bottom"/>
          </w:tcPr>
          <w:p>
            <w:pPr>
              <w:spacing w:after="0"/>
              <w:rPr>
                <w:sz w:val="14"/>
                <w:szCs w:val="14"/>
                <w:color w:val="auto"/>
              </w:rPr>
            </w:pPr>
          </w:p>
        </w:tc>
        <w:tc>
          <w:tcPr>
            <w:tcW w:w="2080" w:type="dxa"/>
            <w:vAlign w:val="bottom"/>
          </w:tcPr>
          <w:p>
            <w:pPr>
              <w:jc w:val="center"/>
              <w:ind w:right="42"/>
              <w:spacing w:after="0"/>
              <w:rPr>
                <w:sz w:val="20"/>
                <w:szCs w:val="20"/>
                <w:color w:val="auto"/>
              </w:rPr>
            </w:pPr>
            <w:r>
              <w:rPr>
                <w:rFonts w:ascii="Arial" w:cs="Arial" w:eastAsia="Arial" w:hAnsi="Arial"/>
                <w:sz w:val="14"/>
                <w:szCs w:val="14"/>
                <w:b w:val="1"/>
                <w:bCs w:val="1"/>
                <w:color w:val="auto"/>
                <w:w w:val="91"/>
              </w:rPr>
              <w:t>Three months ended September</w:t>
            </w:r>
          </w:p>
        </w:tc>
        <w:tc>
          <w:tcPr>
            <w:tcW w:w="0" w:type="dxa"/>
            <w:vAlign w:val="bottom"/>
          </w:tcPr>
          <w:p>
            <w:pPr>
              <w:spacing w:after="0"/>
              <w:rPr>
                <w:sz w:val="1"/>
                <w:szCs w:val="1"/>
                <w:color w:val="auto"/>
              </w:rPr>
            </w:pPr>
          </w:p>
        </w:tc>
      </w:tr>
      <w:tr>
        <w:trPr>
          <w:trHeight w:val="196"/>
        </w:trPr>
        <w:tc>
          <w:tcPr>
            <w:tcW w:w="6780" w:type="dxa"/>
            <w:vAlign w:val="bottom"/>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30, 2022</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ind w:right="762"/>
              <w:spacing w:after="0"/>
              <w:rPr>
                <w:sz w:val="20"/>
                <w:szCs w:val="20"/>
                <w:color w:val="auto"/>
              </w:rPr>
            </w:pPr>
            <w:r>
              <w:rPr>
                <w:rFonts w:ascii="Arial" w:cs="Arial" w:eastAsia="Arial" w:hAnsi="Arial"/>
                <w:sz w:val="14"/>
                <w:szCs w:val="14"/>
                <w:b w:val="1"/>
                <w:bCs w:val="1"/>
                <w:color w:val="auto"/>
              </w:rPr>
              <w:t>30, 2021</w:t>
            </w:r>
          </w:p>
        </w:tc>
        <w:tc>
          <w:tcPr>
            <w:tcW w:w="0" w:type="dxa"/>
            <w:vAlign w:val="bottom"/>
          </w:tcPr>
          <w:p>
            <w:pPr>
              <w:spacing w:after="0"/>
              <w:rPr>
                <w:sz w:val="1"/>
                <w:szCs w:val="1"/>
                <w:color w:val="auto"/>
              </w:rPr>
            </w:pPr>
          </w:p>
        </w:tc>
      </w:tr>
      <w:tr>
        <w:trPr>
          <w:trHeight w:val="41"/>
        </w:trPr>
        <w:tc>
          <w:tcPr>
            <w:tcW w:w="6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97"/>
        </w:trPr>
        <w:tc>
          <w:tcPr>
            <w:tcW w:w="6780" w:type="dxa"/>
            <w:vAlign w:val="bottom"/>
          </w:tcPr>
          <w:p>
            <w:pPr>
              <w:spacing w:after="0"/>
              <w:rPr>
                <w:sz w:val="20"/>
                <w:szCs w:val="20"/>
                <w:color w:val="auto"/>
              </w:rPr>
            </w:pPr>
            <w:r>
              <w:rPr>
                <w:rFonts w:ascii="Arial" w:cs="Arial" w:eastAsia="Arial" w:hAnsi="Arial"/>
                <w:sz w:val="18"/>
                <w:szCs w:val="18"/>
                <w:color w:val="auto"/>
              </w:rPr>
              <w:t>* Includes short-term lease and variable lease costs, which are not material.</w:t>
            </w: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and non-cash activity related to our leases are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160" w:type="dxa"/>
            <w:vAlign w:val="bottom"/>
            <w:gridSpan w:val="4"/>
          </w:tcPr>
          <w:p>
            <w:pPr>
              <w:jc w:val="right"/>
              <w:ind w:right="19"/>
              <w:spacing w:after="0"/>
              <w:rPr>
                <w:sz w:val="20"/>
                <w:szCs w:val="20"/>
                <w:color w:val="auto"/>
              </w:rPr>
            </w:pPr>
            <w:r>
              <w:rPr>
                <w:rFonts w:ascii="Arial" w:cs="Arial" w:eastAsia="Arial" w:hAnsi="Arial"/>
                <w:sz w:val="14"/>
                <w:szCs w:val="14"/>
                <w:b w:val="1"/>
                <w:bCs w:val="1"/>
                <w:color w:val="auto"/>
                <w:w w:val="95"/>
              </w:rPr>
              <w:t>Three months ended September</w:t>
            </w:r>
          </w:p>
        </w:tc>
        <w:tc>
          <w:tcPr>
            <w:tcW w:w="100" w:type="dxa"/>
            <w:vAlign w:val="bottom"/>
          </w:tcPr>
          <w:p>
            <w:pPr>
              <w:spacing w:after="0"/>
              <w:rPr>
                <w:sz w:val="14"/>
                <w:szCs w:val="14"/>
                <w:color w:val="auto"/>
              </w:rPr>
            </w:pPr>
          </w:p>
        </w:tc>
        <w:tc>
          <w:tcPr>
            <w:tcW w:w="2200" w:type="dxa"/>
            <w:vAlign w:val="bottom"/>
            <w:gridSpan w:val="7"/>
          </w:tcPr>
          <w:p>
            <w:pPr>
              <w:ind w:left="100"/>
              <w:spacing w:after="0"/>
              <w:rPr>
                <w:sz w:val="20"/>
                <w:szCs w:val="20"/>
                <w:color w:val="auto"/>
              </w:rPr>
            </w:pPr>
            <w:r>
              <w:rPr>
                <w:rFonts w:ascii="Arial" w:cs="Arial" w:eastAsia="Arial" w:hAnsi="Arial"/>
                <w:sz w:val="14"/>
                <w:szCs w:val="14"/>
                <w:b w:val="1"/>
                <w:bCs w:val="1"/>
                <w:color w:val="auto"/>
                <w:w w:val="97"/>
              </w:rPr>
              <w:t>Three months ended September</w:t>
            </w:r>
          </w:p>
        </w:tc>
        <w:tc>
          <w:tcPr>
            <w:tcW w:w="0" w:type="dxa"/>
            <w:vAlign w:val="bottom"/>
          </w:tcPr>
          <w:p>
            <w:pPr>
              <w:spacing w:after="0"/>
              <w:rPr>
                <w:sz w:val="1"/>
                <w:szCs w:val="1"/>
                <w:color w:val="auto"/>
              </w:rPr>
            </w:pPr>
          </w:p>
        </w:tc>
      </w:tr>
      <w:tr>
        <w:trPr>
          <w:trHeight w:val="192"/>
        </w:trPr>
        <w:tc>
          <w:tcPr>
            <w:tcW w:w="6780" w:type="dxa"/>
            <w:vAlign w:val="bottom"/>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4"/>
                <w:szCs w:val="14"/>
                <w:b w:val="1"/>
                <w:bCs w:val="1"/>
                <w:color w:val="auto"/>
              </w:rPr>
              <w:t>30, 2022</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30, 2021</w:t>
            </w:r>
          </w:p>
        </w:tc>
        <w:tc>
          <w:tcPr>
            <w:tcW w:w="1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4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4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5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left="915"/>
              <w:spacing w:after="0"/>
              <w:rPr>
                <w:sz w:val="20"/>
                <w:szCs w:val="20"/>
                <w:color w:val="auto"/>
              </w:rPr>
            </w:pPr>
            <w:r>
              <w:rPr>
                <w:rFonts w:ascii="Arial" w:cs="Arial" w:eastAsia="Arial" w:hAnsi="Arial"/>
                <w:sz w:val="18"/>
                <w:szCs w:val="18"/>
                <w:color w:val="auto"/>
                <w:w w:val="86"/>
              </w:rPr>
              <w:t>480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activity:</w:t>
            </w:r>
          </w:p>
        </w:tc>
        <w:tc>
          <w:tcPr>
            <w:tcW w:w="4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tcBorders>
              <w:lef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4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left="915"/>
              <w:spacing w:after="0"/>
              <w:rPr>
                <w:sz w:val="20"/>
                <w:szCs w:val="20"/>
                <w:color w:val="auto"/>
              </w:rPr>
            </w:pPr>
            <w:r>
              <w:rPr>
                <w:rFonts w:ascii="Arial" w:cs="Arial" w:eastAsia="Arial" w:hAnsi="Arial"/>
                <w:sz w:val="18"/>
                <w:szCs w:val="18"/>
                <w:color w:val="auto"/>
                <w:w w:val="86"/>
              </w:rPr>
              <w:t>471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3"/>
        </w:trPr>
        <w:tc>
          <w:tcPr>
            <w:tcW w:w="6780" w:type="dxa"/>
            <w:vAlign w:val="bottom"/>
          </w:tcPr>
          <w:p>
            <w:pPr>
              <w:spacing w:after="0"/>
              <w:rPr>
                <w:sz w:val="20"/>
                <w:szCs w:val="20"/>
                <w:color w:val="auto"/>
              </w:rPr>
            </w:pPr>
            <w:r>
              <w:rPr>
                <w:rFonts w:ascii="Arial" w:cs="Arial" w:eastAsia="Arial" w:hAnsi="Arial"/>
                <w:sz w:val="18"/>
                <w:szCs w:val="18"/>
                <w:color w:val="auto"/>
              </w:rPr>
              <w:t>Maturities of lease liabilities by fiscal year for our leases are as follows:</w:t>
            </w: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vMerge w:val="continue"/>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84"/>
              </w:rPr>
              <w:t>Leases</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2024</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1,029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2026</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628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3,953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4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3"/>
            <w:shd w:val="clear" w:color="auto" w:fill="CCEEFF"/>
          </w:tcPr>
          <w:p>
            <w:pPr>
              <w:jc w:val="center"/>
              <w:ind w:left="915"/>
              <w:spacing w:after="0"/>
              <w:rPr>
                <w:sz w:val="20"/>
                <w:szCs w:val="20"/>
                <w:color w:val="auto"/>
              </w:rPr>
            </w:pPr>
            <w:r>
              <w:rPr>
                <w:rFonts w:ascii="Arial" w:cs="Arial" w:eastAsia="Arial" w:hAnsi="Arial"/>
                <w:sz w:val="18"/>
                <w:szCs w:val="18"/>
                <w:color w:val="auto"/>
                <w:w w:val="95"/>
              </w:rPr>
              <w:t>(418)</w:t>
            </w:r>
          </w:p>
        </w:tc>
        <w:tc>
          <w:tcPr>
            <w:tcW w:w="0" w:type="dxa"/>
            <w:vAlign w:val="bottom"/>
          </w:tcPr>
          <w:p>
            <w:pPr>
              <w:spacing w:after="0"/>
              <w:rPr>
                <w:sz w:val="1"/>
                <w:szCs w:val="1"/>
                <w:color w:val="auto"/>
              </w:rPr>
            </w:pP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color w:val="auto"/>
              </w:rPr>
              <w:t>Present value of lease liabilities</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3,535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780" w:type="dxa"/>
            <w:vAlign w:val="bottom"/>
            <w:vMerge w:val="restart"/>
          </w:tcPr>
          <w:p>
            <w:pPr>
              <w:spacing w:after="0"/>
              <w:rPr>
                <w:sz w:val="20"/>
                <w:szCs w:val="20"/>
                <w:color w:val="auto"/>
              </w:rPr>
            </w:pPr>
            <w:r>
              <w:rPr>
                <w:rFonts w:ascii="Arial" w:cs="Arial" w:eastAsia="Arial" w:hAnsi="Arial"/>
                <w:sz w:val="18"/>
                <w:szCs w:val="18"/>
                <w:i w:val="1"/>
                <w:iCs w:val="1"/>
                <w:color w:val="auto"/>
              </w:rPr>
              <w:t>Lessor Accounting</w:t>
            </w: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67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240" w:type="dxa"/>
            <w:vAlign w:val="bottom"/>
            <w:gridSpan w:val="2"/>
          </w:tcPr>
          <w:p>
            <w:pPr>
              <w:spacing w:after="0"/>
              <w:rPr>
                <w:sz w:val="20"/>
                <w:szCs w:val="20"/>
                <w:color w:val="auto"/>
              </w:rPr>
            </w:pPr>
            <w:r>
              <w:rPr>
                <w:rFonts w:ascii="Arial" w:cs="Arial" w:eastAsia="Arial" w:hAnsi="Arial"/>
                <w:sz w:val="18"/>
                <w:szCs w:val="18"/>
                <w:color w:val="auto"/>
                <w:w w:val="95"/>
              </w:rPr>
              <w:t>Property and equipment used for the operating lease rental program consisted of the following:</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ind w:left="2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6"/>
        </w:trPr>
        <w:tc>
          <w:tcPr>
            <w:tcW w:w="678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46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460" w:type="dxa"/>
            <w:vAlign w:val="bottom"/>
            <w:shd w:val="clear" w:color="auto" w:fill="CCEEFF"/>
          </w:tcPr>
          <w:p>
            <w:pPr>
              <w:spacing w:after="0"/>
              <w:rPr>
                <w:sz w:val="22"/>
                <w:szCs w:val="22"/>
                <w:color w:val="auto"/>
              </w:rPr>
            </w:pPr>
          </w:p>
        </w:tc>
        <w:tc>
          <w:tcPr>
            <w:tcW w:w="1700" w:type="dxa"/>
            <w:vAlign w:val="bottom"/>
            <w:gridSpan w:val="3"/>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26,007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D9D9D9"/>
            </w:tcBorders>
            <w:shd w:val="clear" w:color="auto" w:fill="CCEEFF"/>
          </w:tcPr>
          <w:p>
            <w:pPr>
              <w:spacing w:after="0"/>
              <w:rPr>
                <w:sz w:val="22"/>
                <w:szCs w:val="22"/>
                <w:color w:val="auto"/>
              </w:rPr>
            </w:pPr>
          </w:p>
        </w:tc>
        <w:tc>
          <w:tcPr>
            <w:tcW w:w="1240" w:type="dxa"/>
            <w:vAlign w:val="bottom"/>
            <w:tcBorders>
              <w:bottom w:val="single" w:sz="8" w:color="D9D9D9"/>
            </w:tcBorders>
            <w:shd w:val="clear" w:color="auto" w:fill="CCEEFF"/>
          </w:tcPr>
          <w:p>
            <w:pPr>
              <w:jc w:val="right"/>
              <w:spacing w:after="0"/>
              <w:rPr>
                <w:sz w:val="20"/>
                <w:szCs w:val="20"/>
                <w:color w:val="auto"/>
              </w:rPr>
            </w:pPr>
            <w:r>
              <w:rPr>
                <w:rFonts w:ascii="Arial" w:cs="Arial" w:eastAsia="Arial" w:hAnsi="Arial"/>
                <w:sz w:val="18"/>
                <w:szCs w:val="18"/>
                <w:color w:val="auto"/>
              </w:rPr>
              <w:t>25,242</w:t>
            </w:r>
          </w:p>
        </w:tc>
        <w:tc>
          <w:tcPr>
            <w:tcW w:w="180" w:type="dxa"/>
            <w:vAlign w:val="bottom"/>
            <w:tcBorders>
              <w:left w:val="single" w:sz="8" w:color="D9D9D9"/>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78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460" w:type="dxa"/>
            <w:vAlign w:val="bottom"/>
          </w:tcPr>
          <w:p>
            <w:pPr>
              <w:spacing w:after="0"/>
              <w:rPr>
                <w:sz w:val="20"/>
                <w:szCs w:val="20"/>
                <w:color w:val="auto"/>
              </w:rPr>
            </w:pPr>
          </w:p>
        </w:tc>
        <w:tc>
          <w:tcPr>
            <w:tcW w:w="2240" w:type="dxa"/>
            <w:vAlign w:val="bottom"/>
            <w:gridSpan w:val="5"/>
          </w:tcPr>
          <w:p>
            <w:pPr>
              <w:jc w:val="right"/>
              <w:spacing w:after="0"/>
              <w:rPr>
                <w:sz w:val="20"/>
                <w:szCs w:val="20"/>
                <w:color w:val="auto"/>
              </w:rPr>
            </w:pPr>
            <w:r>
              <w:rPr>
                <w:rFonts w:ascii="Arial" w:cs="Arial" w:eastAsia="Arial" w:hAnsi="Arial"/>
                <w:sz w:val="18"/>
                <w:szCs w:val="18"/>
                <w:color w:val="auto"/>
              </w:rPr>
              <w:t>(23,157)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(22,914)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460" w:type="dxa"/>
            <w:vAlign w:val="bottom"/>
            <w:shd w:val="clear" w:color="auto" w:fill="CCEEFF"/>
          </w:tcPr>
          <w:p>
            <w:pPr>
              <w:spacing w:after="0"/>
              <w:rPr>
                <w:sz w:val="24"/>
                <w:szCs w:val="24"/>
                <w:color w:val="auto"/>
              </w:rPr>
            </w:pPr>
          </w:p>
        </w:tc>
        <w:tc>
          <w:tcPr>
            <w:tcW w:w="1700" w:type="dxa"/>
            <w:vAlign w:val="bottom"/>
            <w:gridSpan w:val="3"/>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net investment in sales-type leases (carrying value of lease receivables) and the future minimum amounts to be collected on these lease receivables as of September 30, 2022 are disclosed within Note 6 - Finance Receivables.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Based on similar operational characteristics, the Company's revenues are disaggregated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72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26"/>
        </w:trPr>
        <w:tc>
          <w:tcPr>
            <w:tcW w:w="6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8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6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8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878"/>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fees</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Subscription fees</w:t>
            </w:r>
          </w:p>
        </w:tc>
        <w:tc>
          <w:tcPr>
            <w:tcW w:w="8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and transaction fees</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Equipment sales</w:t>
            </w:r>
          </w:p>
        </w:tc>
        <w:tc>
          <w:tcPr>
            <w:tcW w:w="8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45,780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Contract Liabilities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6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660" w:type="dxa"/>
            <w:vAlign w:val="bottom"/>
          </w:tcPr>
          <w:p>
            <w:pPr>
              <w:spacing w:after="0"/>
              <w:rPr>
                <w:sz w:val="20"/>
                <w:szCs w:val="20"/>
                <w:color w:val="auto"/>
              </w:rPr>
            </w:pPr>
            <w:r>
              <w:rPr>
                <w:rFonts w:ascii="Arial" w:cs="Arial" w:eastAsia="Arial" w:hAnsi="Arial"/>
                <w:sz w:val="18"/>
                <w:szCs w:val="18"/>
                <w:color w:val="auto"/>
              </w:rPr>
              <w:t>The Company’s contract liability (i.e., deferred revenue) balances are as follows:</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6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8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86"/>
        </w:trPr>
        <w:tc>
          <w:tcPr>
            <w:tcW w:w="6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39"/>
        </w:trPr>
        <w:tc>
          <w:tcPr>
            <w:tcW w:w="6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86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66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1380" w:type="dxa"/>
            <w:vAlign w:val="bottom"/>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26035</wp:posOffset>
            </wp:positionV>
            <wp:extent cx="710628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53"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7360" w:type="dxa"/>
            <w:vAlign w:val="bottom"/>
          </w:tcPr>
          <w:p>
            <w:pPr>
              <w:spacing w:after="0"/>
              <w:rPr>
                <w:sz w:val="20"/>
                <w:szCs w:val="20"/>
                <w:color w:val="auto"/>
              </w:rPr>
            </w:pPr>
            <w:r>
              <w:rPr>
                <w:rFonts w:ascii="Arial" w:cs="Arial" w:eastAsia="Arial" w:hAnsi="Arial"/>
                <w:sz w:val="18"/>
                <w:szCs w:val="18"/>
                <w:color w:val="auto"/>
              </w:rPr>
              <w:t>Deferred revenue, beginning of the period</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7360" w:type="dxa"/>
            <w:vAlign w:val="bottom"/>
          </w:tcPr>
          <w:p>
            <w:pPr>
              <w:spacing w:after="0"/>
              <w:rPr>
                <w:sz w:val="20"/>
                <w:szCs w:val="20"/>
                <w:color w:val="auto"/>
              </w:rPr>
            </w:pPr>
            <w:r>
              <w:rPr>
                <w:rFonts w:ascii="Arial" w:cs="Arial" w:eastAsia="Arial" w:hAnsi="Arial"/>
                <w:sz w:val="18"/>
                <w:szCs w:val="18"/>
                <w:color w:val="auto"/>
              </w:rPr>
              <w:t>Deferred revenue, end of the period</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7360" w:type="dxa"/>
            <w:vAlign w:val="bottom"/>
          </w:tcPr>
          <w:p>
            <w:pPr>
              <w:spacing w:after="0" w:line="189" w:lineRule="exact"/>
              <w:rPr>
                <w:sz w:val="20"/>
                <w:szCs w:val="20"/>
                <w:color w:val="auto"/>
              </w:rPr>
            </w:pPr>
            <w:r>
              <w:rPr>
                <w:rFonts w:ascii="Arial" w:cs="Arial" w:eastAsia="Arial" w:hAnsi="Arial"/>
                <w:sz w:val="18"/>
                <w:szCs w:val="18"/>
                <w:color w:val="auto"/>
                <w:w w:val="91"/>
              </w:rPr>
              <w:t>Revenue recognized in the period from amounts included in deferred revenue at the beginning of the</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period</w:t>
            </w:r>
          </w:p>
        </w:tc>
        <w:tc>
          <w:tcPr>
            <w:tcW w:w="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-264795</wp:posOffset>
            </wp:positionV>
            <wp:extent cx="7106285"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1,893</w:t>
            </w:r>
          </w:p>
        </w:tc>
        <w:tc>
          <w:tcPr>
            <w:tcW w:w="8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1,763</w:t>
            </w:r>
          </w:p>
        </w:tc>
      </w:tr>
      <w:tr>
        <w:trPr>
          <w:trHeight w:val="270"/>
        </w:trPr>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2,069</w:t>
            </w:r>
          </w:p>
        </w:tc>
        <w:tc>
          <w:tcPr>
            <w:tcW w:w="8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1,720</w:t>
            </w:r>
          </w:p>
        </w:tc>
      </w:tr>
      <w:tr>
        <w:trPr>
          <w:trHeight w:val="418"/>
        </w:trPr>
        <w:tc>
          <w:tcPr>
            <w:tcW w:w="540" w:type="dxa"/>
            <w:vAlign w:val="bottom"/>
          </w:tcPr>
          <w:p>
            <w:pPr>
              <w:jc w:val="right"/>
              <w:ind w:right="50"/>
              <w:spacing w:after="0"/>
              <w:rPr>
                <w:sz w:val="20"/>
                <w:szCs w:val="20"/>
                <w:color w:val="auto"/>
              </w:rPr>
            </w:pPr>
            <w:r>
              <w:rPr>
                <w:rFonts w:ascii="Arial" w:cs="Arial" w:eastAsia="Arial" w:hAnsi="Arial"/>
                <w:sz w:val="18"/>
                <w:szCs w:val="18"/>
                <w:color w:val="auto"/>
              </w:rPr>
              <w:t>106</w:t>
            </w:r>
          </w:p>
        </w:tc>
        <w:tc>
          <w:tcPr>
            <w:tcW w:w="8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95</w:t>
            </w:r>
          </w:p>
        </w:tc>
      </w:tr>
    </w:tbl>
    <w:p>
      <w:pPr>
        <w:spacing w:after="0" w:line="226" w:lineRule="exact"/>
        <w:rPr>
          <w:sz w:val="20"/>
          <w:szCs w:val="20"/>
          <w:color w:val="auto"/>
        </w:rPr>
      </w:pPr>
    </w:p>
    <w:p>
      <w:pPr>
        <w:sectPr>
          <w:pgSz w:w="11900" w:h="16838" w:orient="portrait"/>
          <w:cols w:equalWidth="0" w:num="2">
            <w:col w:w="8100" w:space="720"/>
            <w:col w:w="2420"/>
          </w:cols>
          <w:pgMar w:left="320" w:top="125" w:right="339" w:bottom="1440" w:gutter="0" w:footer="0" w:header="0"/>
          <w:type w:val="continuous"/>
        </w:sectPr>
      </w:pP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the contract liability balances period-over-period is primarily the result of timing difference between the Company’s satisfaction of a performance obligation and payment from the customer.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2022, the Company had net capitalized costs to obtain contracts of $0.5 million included in Prepaid expenses and other current assets and $2.4 million included in Other non-current assets on the Condensed Consolidated Balance Sheet. At June 30, 2022, the Company had net capitalized costs to obtain contracts of $0.5 million included in Prepaid expenses and other current assets and $2.3 million included in Other non-current assets on the Consolidated Balance Sheet. None of these capitalized contract costs were impaired.</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September 30, 2022, amortization of capitalized contract costs was $0.2 million. During the three months ended September 30, 2021, amortization of capitalized contract costs was $0.2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Performance Obligations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will recognize revenue in future periods related to remaining performance obligations for certain open contracts. Generally, these contracts have terms of one year or less. The amount of revenue related to unsatisfied performance obligations in which the original duration of the contract is greater than one year is not significant.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w:t>
      </w:r>
    </w:p>
    <w:p>
      <w:pPr>
        <w:spacing w:after="0" w:line="25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In August 2021, we completed the acquisition of certain assets and liabilities of Delicious Nutritious LLC, doing business as Yoke Payments (“Yoke”), a micro market payments company. The acquisition of Yoke was accounted for as a business combination using the acquisition method of accounting which includes the results of operations of the acquired business from the date of acquisition. The purchase price of the acquired company is allocated between tangible and intangible assets acquired and liabilities assumed from the acquired business based on their estimated fair values using primarily Level 3 inputs under ASC Topic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with the residual of the purchase price recorded as goodwill.</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Through the acquisition, Yoke’s point of sale platform will now extend its offering to provide self-checkout while seamlessly integrating with Cantaloupe’s inventory management and payment processing platforms. We plan to differentiate ourselves by providing a single platform to manage consumer and operational aspects of micro markets, while also integrating multiple service providers for flexibility and ultimate ease to our customers.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consideration transferred for the acquisition includes payments of $3 million in cash at the close of the transaction and $1 million in deferred cash payment due on or before July 30, 2022 based on the achievement of certain sales growth targets for software licenses. On July 27, 2022, the Company made the cash payment of $1 million in accordance with the requirements of the purchase agreement.</w:t>
      </w:r>
    </w:p>
    <w:p>
      <w:pPr>
        <w:spacing w:after="0" w:line="202"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Additionally in connection with the acquisition, the Company will issue common stock to the former owners of Yoke based on the achievement of certain sales growth targets for software licenses through July 31, 2024 and continued employment as of the respective measurement dates. The accounting treatment for these awards in the context of the business combination is to recognize the awards as a post-combination expense and were not included in the purchase price. We will begin recognizing compensation expense for these awards over the requisite service period when it becomes probable that the performance condition would be satisfied pursuant to ASC 718. At each reporting date, we assess the probability of achieving the sales targets and fulfilling the performance condition. As of September 30, 2022, we determined that it is not probable that the performance condition would be satisfied and, accordingly, have not recognized compensation expense related to these awards for the fiscal quarter ended September 30, 2022.</w:t>
      </w:r>
    </w:p>
    <w:p>
      <w:pPr>
        <w:spacing w:after="0" w:line="18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following table summarizes the total consideration paid for Yoke, total net assets acquired, identifiable assets and goodwill recognized at the acquisition date:</w:t>
      </w:r>
    </w:p>
    <w:p>
      <w:pPr>
        <w:spacing w:after="0" w:line="234" w:lineRule="exact"/>
        <w:rPr>
          <w:sz w:val="20"/>
          <w:szCs w:val="20"/>
          <w:color w:val="auto"/>
        </w:rPr>
      </w:pPr>
    </w:p>
    <w:tbl>
      <w:tblPr>
        <w:tblLayout w:type="fixed"/>
        <w:tblInd w:w="1240" w:type="dxa"/>
        <w:tblCellMar>
          <w:top w:w="0" w:type="dxa"/>
          <w:left w:w="0" w:type="dxa"/>
          <w:bottom w:w="0" w:type="dxa"/>
          <w:right w:w="0" w:type="dxa"/>
        </w:tblCellMar>
      </w:tblPr>
      <w:tr>
        <w:trPr>
          <w:trHeight w:val="234"/>
        </w:trPr>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in thousands)</w:t>
            </w: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r>
      <w:tr>
        <w:trPr>
          <w:trHeight w:val="223"/>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Consideration</w:t>
            </w: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840" w:type="dxa"/>
            <w:vAlign w:val="bottom"/>
          </w:tcPr>
          <w:p>
            <w:pPr>
              <w:ind w:left="120"/>
              <w:spacing w:after="0"/>
              <w:rPr>
                <w:sz w:val="20"/>
                <w:szCs w:val="20"/>
                <w:color w:val="auto"/>
              </w:rPr>
            </w:pPr>
            <w:r>
              <w:rPr>
                <w:rFonts w:ascii="Arial" w:cs="Arial" w:eastAsia="Arial" w:hAnsi="Arial"/>
                <w:sz w:val="18"/>
                <w:szCs w:val="18"/>
                <w:color w:val="auto"/>
              </w:rPr>
              <w:t>Cash</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2,966</w:t>
            </w:r>
          </w:p>
        </w:tc>
      </w:tr>
      <w:tr>
        <w:trPr>
          <w:trHeight w:val="229"/>
        </w:trPr>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Contingent consideration arrangement</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68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Fair value of total consideration transferred</w:t>
            </w: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3,966</w:t>
            </w:r>
          </w:p>
        </w:tc>
      </w:tr>
      <w:tr>
        <w:trPr>
          <w:trHeight w:val="250"/>
        </w:trPr>
        <w:tc>
          <w:tcPr>
            <w:tcW w:w="68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29"/>
        </w:trPr>
        <w:tc>
          <w:tcPr>
            <w:tcW w:w="6840" w:type="dxa"/>
            <w:vAlign w:val="bottom"/>
          </w:tcPr>
          <w:p>
            <w:pPr>
              <w:spacing w:after="0"/>
              <w:rPr>
                <w:sz w:val="20"/>
                <w:szCs w:val="20"/>
                <w:color w:val="auto"/>
              </w:rPr>
            </w:pPr>
            <w:r>
              <w:rPr>
                <w:rFonts w:ascii="Arial" w:cs="Arial" w:eastAsia="Arial" w:hAnsi="Arial"/>
                <w:sz w:val="18"/>
                <w:szCs w:val="18"/>
                <w:b w:val="1"/>
                <w:bCs w:val="1"/>
                <w:color w:val="auto"/>
              </w:rPr>
              <w:t>Recognized amounts of identifiable assets</w:t>
            </w:r>
          </w:p>
        </w:tc>
        <w:tc>
          <w:tcPr>
            <w:tcW w:w="7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net assets acquired</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68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Identifiable intangible assets</w:t>
            </w: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w:t>
            </w:r>
          </w:p>
        </w:tc>
      </w:tr>
      <w:tr>
        <w:trPr>
          <w:trHeight w:val="223"/>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identifiable net assets</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r>
      <w:tr>
        <w:trPr>
          <w:trHeight w:val="250"/>
        </w:trPr>
        <w:tc>
          <w:tcPr>
            <w:tcW w:w="6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29"/>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w:t>
            </w:r>
          </w:p>
        </w:tc>
      </w:tr>
    </w:tbl>
    <w:p>
      <w:pPr>
        <w:spacing w:after="0" w:line="32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Amounts allocated to identifiable intangible assets included $0.9 million related to developed technology, $0.3 million related to customer relationships, and $0.1 million related to other intangible assets. The fair value of the acquired developed technology was determined using a multi-period excess earnings method. The fair value of the acquired customer relationships was determined using the with-and-without method which estimates the value using the cash flow impact in a scenario where the customer relationships are not in place. The recognized intangible assets will be amortized on a straight-line basis over the estimated useful lives of the respective assets.</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Goodwill of $2.7 million arising from the acquisition includes the expected synergies between Yoke and the Company and intangible assets that do not qualify for separate recognition at the time of acquisition. The goodwill, which is deductible for income tax purposes, was assigned to the Company’s only reporting unit.</w:t>
      </w:r>
    </w:p>
    <w:p>
      <w:pPr>
        <w:spacing w:after="0" w:line="22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above table represents the final allocation of the purchase price, noting no material measurement period adjustments. The allocation of the purchase price was subject to revision during the measurement period, a period not to exceed 12 months from the acquisition date. Adjustments to the provisional values, during the measurement period are recorded in the reporting period in which the adjustment amounts are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FINANCE RECEIVABLES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finance receivables consist of financed devices under its QuickStart program. Predominately all of the Company’s finance receivables agreements are classified as non-cancellable sixty-month sales-type leases. As of September 30, 2022 and June 30, 2022, finance receivables consist of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060" w:type="dxa"/>
            <w:vAlign w:val="bottom"/>
          </w:tcPr>
          <w:p>
            <w:pPr>
              <w:jc w:val="right"/>
              <w:ind w:right="317"/>
              <w:spacing w:after="0"/>
              <w:rPr>
                <w:sz w:val="20"/>
                <w:szCs w:val="20"/>
                <w:color w:val="auto"/>
              </w:rPr>
            </w:pPr>
            <w:r>
              <w:rPr>
                <w:rFonts w:ascii="Arial" w:cs="Arial" w:eastAsia="Arial" w:hAnsi="Arial"/>
                <w:sz w:val="14"/>
                <w:szCs w:val="14"/>
                <w:b w:val="1"/>
                <w:bCs w:val="1"/>
                <w:color w:val="auto"/>
              </w:rPr>
              <w:t>June 30,</w:t>
            </w:r>
          </w:p>
        </w:tc>
      </w:tr>
      <w:tr>
        <w:trPr>
          <w:trHeight w:val="200"/>
        </w:trPr>
        <w:tc>
          <w:tcPr>
            <w:tcW w:w="844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7"/>
                <w:szCs w:val="17"/>
                <w:color w:val="auto"/>
              </w:rPr>
            </w:pPr>
          </w:p>
        </w:tc>
        <w:tc>
          <w:tcPr>
            <w:tcW w:w="1140" w:type="dxa"/>
            <w:vAlign w:val="bottom"/>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437"/>
              <w:spacing w:after="0"/>
              <w:rPr>
                <w:sz w:val="20"/>
                <w:szCs w:val="20"/>
                <w:color w:val="auto"/>
              </w:rPr>
            </w:pPr>
            <w:r>
              <w:rPr>
                <w:rFonts w:ascii="Arial" w:cs="Arial" w:eastAsia="Arial" w:hAnsi="Arial"/>
                <w:sz w:val="14"/>
                <w:szCs w:val="14"/>
                <w:b w:val="1"/>
                <w:bCs w:val="1"/>
                <w:color w:val="auto"/>
              </w:rPr>
              <w:t>2022</w:t>
            </w:r>
          </w:p>
        </w:tc>
      </w:tr>
      <w:tr>
        <w:trPr>
          <w:trHeight w:val="39"/>
        </w:trPr>
        <w:tc>
          <w:tcPr>
            <w:tcW w:w="8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3"/>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finance receivables,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6,721</w:t>
            </w:r>
          </w:p>
        </w:tc>
      </w:tr>
      <w:tr>
        <w:trPr>
          <w:trHeight w:val="24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Finance receivables due after one year, net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14,727</w:t>
            </w:r>
          </w:p>
        </w:tc>
      </w:tr>
      <w:tr>
        <w:trPr>
          <w:trHeight w:val="27"/>
        </w:trPr>
        <w:tc>
          <w:tcPr>
            <w:tcW w:w="8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finance receivables, net of allowance of $1,152 and $760, respectively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21,403</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collect lease payments from customers primarily as part of the flow of funds from our transaction processing service. Balances are considered past due if customers do not have sufficient transaction revenue to cover the monthly lease payment by the end of the monthly billing period. The Company routinely monitors customer payment performance and uses prior payment performance as a measure to assess the capability of the customer to repay contractual obligations of the lease agreements as scheduled. On an as-needed basis, qualitative information may be taken into consideration if new information arises related to the customer’s ability to repay the lease.</w:t>
      </w:r>
    </w:p>
    <w:p>
      <w:pPr>
        <w:spacing w:after="0" w:line="20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Credit risk for these receivables is continuously monitored by management and reflected within the allowance for finance receivables by aggregating leases with similar risk characteristics into pools that are collectively assessed. Because the Company’s lease contracts generally have similar terms, customer characteristics around transaction processing volume and sales were used to disaggregate the leases. Our key credit quality indicator is the amount of transaction revenue we process for each customer relative to their lease payment due, as we consider this customer characteristic to be the strongest predictor of the risk of customer default. Customers with low processing volume or with transaction sales that are insufficient to cover the lease payment are considered to be at a higher risk of customer default.</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Customers are pooled based on their ratio of gross sales to required monthly lease obligations. We categorize outstanding receivables into two categories: high ratio customers (customers who have adequate transaction processing volumes sufficient to cover monthly fees) and low ratio customers (customers that do not consistently have adequate transaction processing volumes sufficient to cover monthly fees). Using these two categories, we performed an analysis of historical write-offs to calculate reserve percentages by aging buckets for each category of customer.</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September 30, 2022, the gross lease receivable by current payment performance on a contractual basis and year of origination consisted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Leases by Origination</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Up to 1 Year Ago</w:t>
            </w:r>
          </w:p>
        </w:tc>
        <w:tc>
          <w:tcPr>
            <w:tcW w:w="126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91"/>
              </w:rPr>
              <w:t>Between 1 and 2</w:t>
            </w:r>
          </w:p>
        </w:tc>
        <w:tc>
          <w:tcPr>
            <w:tcW w:w="118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8"/>
              </w:rPr>
              <w:t>Between 2 and 3</w:t>
            </w:r>
          </w:p>
        </w:tc>
        <w:tc>
          <w:tcPr>
            <w:tcW w:w="100" w:type="dxa"/>
            <w:vAlign w:val="bottom"/>
          </w:tcPr>
          <w:p>
            <w:pPr>
              <w:spacing w:after="0"/>
              <w:rPr>
                <w:sz w:val="11"/>
                <w:szCs w:val="11"/>
                <w:color w:val="auto"/>
              </w:rPr>
            </w:pPr>
          </w:p>
        </w:tc>
        <w:tc>
          <w:tcPr>
            <w:tcW w:w="126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91"/>
              </w:rPr>
              <w:t>Between 3 and 4</w:t>
            </w:r>
          </w:p>
        </w:tc>
        <w:tc>
          <w:tcPr>
            <w:tcW w:w="126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91"/>
              </w:rPr>
              <w:t>Between 4 and 5</w:t>
            </w:r>
          </w:p>
        </w:tc>
        <w:tc>
          <w:tcPr>
            <w:tcW w:w="128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More than 5 Years</w:t>
            </w:r>
          </w:p>
        </w:tc>
        <w:tc>
          <w:tcPr>
            <w:tcW w:w="260" w:type="dxa"/>
            <w:vAlign w:val="bottom"/>
          </w:tcPr>
          <w:p>
            <w:pPr>
              <w:spacing w:after="0"/>
              <w:rPr>
                <w:sz w:val="11"/>
                <w:szCs w:val="11"/>
                <w:color w:val="auto"/>
              </w:rPr>
            </w:pPr>
          </w:p>
        </w:tc>
        <w:tc>
          <w:tcPr>
            <w:tcW w:w="9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34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 Ago</w:t>
            </w:r>
          </w:p>
        </w:tc>
        <w:tc>
          <w:tcPr>
            <w:tcW w:w="200" w:type="dxa"/>
            <w:vAlign w:val="bottom"/>
          </w:tcPr>
          <w:p>
            <w:pPr>
              <w:spacing w:after="0"/>
              <w:rPr>
                <w:sz w:val="16"/>
                <w:szCs w:val="16"/>
                <w:color w:val="auto"/>
              </w:rPr>
            </w:pPr>
          </w:p>
        </w:tc>
        <w:tc>
          <w:tcPr>
            <w:tcW w:w="98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Years Ago</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 Ago</w:t>
            </w:r>
          </w:p>
        </w:tc>
        <w:tc>
          <w:tcPr>
            <w:tcW w:w="20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 Ago</w:t>
            </w:r>
          </w:p>
        </w:tc>
        <w:tc>
          <w:tcPr>
            <w:tcW w:w="30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Ago</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21,199</w:t>
            </w:r>
          </w:p>
        </w:tc>
        <w:tc>
          <w:tcPr>
            <w:tcW w:w="0" w:type="dxa"/>
            <w:vAlign w:val="bottom"/>
          </w:tcPr>
          <w:p>
            <w:pPr>
              <w:spacing w:after="0"/>
              <w:rPr>
                <w:sz w:val="1"/>
                <w:szCs w:val="1"/>
                <w:color w:val="auto"/>
              </w:rPr>
            </w:pPr>
          </w:p>
        </w:tc>
      </w:tr>
      <w:tr>
        <w:trPr>
          <w:trHeight w:val="230"/>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30 days and under</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9"/>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31-60 days</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61-90 days</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Greater than 90 days</w:t>
            </w: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23"/>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Total finance receivables</w:t>
            </w:r>
          </w:p>
        </w:tc>
        <w:tc>
          <w:tcPr>
            <w:tcW w:w="40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w:t>
            </w:r>
          </w:p>
        </w:tc>
        <w:tc>
          <w:tcPr>
            <w:tcW w:w="8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22,555</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At June 30, 2022, the gross lease receivable by current payment performance on a contractual basis and year of origination consisted of the following:</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Leases by Origination</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Up to 1 Year Ago</w:t>
            </w:r>
          </w:p>
        </w:tc>
        <w:tc>
          <w:tcPr>
            <w:tcW w:w="126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91"/>
              </w:rPr>
              <w:t>Between 1 and 2</w:t>
            </w:r>
          </w:p>
        </w:tc>
        <w:tc>
          <w:tcPr>
            <w:tcW w:w="118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8"/>
              </w:rPr>
              <w:t>Between 2 and 3</w:t>
            </w:r>
          </w:p>
        </w:tc>
        <w:tc>
          <w:tcPr>
            <w:tcW w:w="100" w:type="dxa"/>
            <w:vAlign w:val="bottom"/>
          </w:tcPr>
          <w:p>
            <w:pPr>
              <w:spacing w:after="0"/>
              <w:rPr>
                <w:sz w:val="11"/>
                <w:szCs w:val="11"/>
                <w:color w:val="auto"/>
              </w:rPr>
            </w:pPr>
          </w:p>
        </w:tc>
        <w:tc>
          <w:tcPr>
            <w:tcW w:w="126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91"/>
              </w:rPr>
              <w:t>Between 3 and 4</w:t>
            </w:r>
          </w:p>
        </w:tc>
        <w:tc>
          <w:tcPr>
            <w:tcW w:w="126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91"/>
              </w:rPr>
              <w:t>Between 4 and 5</w:t>
            </w:r>
          </w:p>
        </w:tc>
        <w:tc>
          <w:tcPr>
            <w:tcW w:w="128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More than 5 Years</w:t>
            </w:r>
          </w:p>
        </w:tc>
        <w:tc>
          <w:tcPr>
            <w:tcW w:w="260" w:type="dxa"/>
            <w:vAlign w:val="bottom"/>
          </w:tcPr>
          <w:p>
            <w:pPr>
              <w:spacing w:after="0"/>
              <w:rPr>
                <w:sz w:val="11"/>
                <w:szCs w:val="11"/>
                <w:color w:val="auto"/>
              </w:rPr>
            </w:pPr>
          </w:p>
        </w:tc>
        <w:tc>
          <w:tcPr>
            <w:tcW w:w="9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34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 Ago</w:t>
            </w:r>
          </w:p>
        </w:tc>
        <w:tc>
          <w:tcPr>
            <w:tcW w:w="200" w:type="dxa"/>
            <w:vAlign w:val="bottom"/>
          </w:tcPr>
          <w:p>
            <w:pPr>
              <w:spacing w:after="0"/>
              <w:rPr>
                <w:sz w:val="16"/>
                <w:szCs w:val="16"/>
                <w:color w:val="auto"/>
              </w:rPr>
            </w:pPr>
          </w:p>
        </w:tc>
        <w:tc>
          <w:tcPr>
            <w:tcW w:w="98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Years Ago</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 Ago</w:t>
            </w:r>
          </w:p>
        </w:tc>
        <w:tc>
          <w:tcPr>
            <w:tcW w:w="20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 Ago</w:t>
            </w:r>
          </w:p>
        </w:tc>
        <w:tc>
          <w:tcPr>
            <w:tcW w:w="30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Ago</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20,759</w:t>
            </w:r>
          </w:p>
        </w:tc>
        <w:tc>
          <w:tcPr>
            <w:tcW w:w="0" w:type="dxa"/>
            <w:vAlign w:val="bottom"/>
          </w:tcPr>
          <w:p>
            <w:pPr>
              <w:spacing w:after="0"/>
              <w:rPr>
                <w:sz w:val="1"/>
                <w:szCs w:val="1"/>
                <w:color w:val="auto"/>
              </w:rPr>
            </w:pPr>
          </w:p>
        </w:tc>
      </w:tr>
      <w:tr>
        <w:trPr>
          <w:trHeight w:val="229"/>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30 days and under</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0"/>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31-60 days</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9"/>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61-90 days</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9"/>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Greater than 90 days</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23"/>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Total finance receivables</w:t>
            </w: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3,483</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22,208</w:t>
            </w: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2022, credit quality indicators by year of origination consisted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Leases by Origination</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Up to 1 Year Ago</w:t>
            </w:r>
          </w:p>
        </w:tc>
        <w:tc>
          <w:tcPr>
            <w:tcW w:w="126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1"/>
              </w:rPr>
              <w:t>Between 1 and 2</w:t>
            </w:r>
          </w:p>
        </w:tc>
        <w:tc>
          <w:tcPr>
            <w:tcW w:w="11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8"/>
              </w:rPr>
              <w:t>Between 2 and 3</w:t>
            </w:r>
          </w:p>
        </w:tc>
        <w:tc>
          <w:tcPr>
            <w:tcW w:w="100" w:type="dxa"/>
            <w:vAlign w:val="bottom"/>
          </w:tcPr>
          <w:p>
            <w:pPr>
              <w:spacing w:after="0"/>
              <w:rPr>
                <w:sz w:val="11"/>
                <w:szCs w:val="11"/>
                <w:color w:val="auto"/>
              </w:rPr>
            </w:pPr>
          </w:p>
        </w:tc>
        <w:tc>
          <w:tcPr>
            <w:tcW w:w="126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1"/>
              </w:rPr>
              <w:t>Between 3 and 4</w:t>
            </w:r>
          </w:p>
        </w:tc>
        <w:tc>
          <w:tcPr>
            <w:tcW w:w="126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1"/>
              </w:rPr>
              <w:t>Between 4 and 5</w:t>
            </w:r>
          </w:p>
        </w:tc>
        <w:tc>
          <w:tcPr>
            <w:tcW w:w="12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More than 5 Years</w:t>
            </w:r>
          </w:p>
        </w:tc>
        <w:tc>
          <w:tcPr>
            <w:tcW w:w="260" w:type="dxa"/>
            <w:vAlign w:val="bottom"/>
          </w:tcPr>
          <w:p>
            <w:pPr>
              <w:spacing w:after="0"/>
              <w:rPr>
                <w:sz w:val="11"/>
                <w:szCs w:val="11"/>
                <w:color w:val="auto"/>
              </w:rPr>
            </w:pPr>
          </w:p>
        </w:tc>
        <w:tc>
          <w:tcPr>
            <w:tcW w:w="92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340" w:type="dxa"/>
            <w:vAlign w:val="bottom"/>
            <w:gridSpan w:val="2"/>
            <w:vMerge w:val="continue"/>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 Ago</w:t>
            </w:r>
          </w:p>
        </w:tc>
        <w:tc>
          <w:tcPr>
            <w:tcW w:w="200" w:type="dxa"/>
            <w:vAlign w:val="bottom"/>
          </w:tcPr>
          <w:p>
            <w:pPr>
              <w:spacing w:after="0"/>
              <w:rPr>
                <w:sz w:val="17"/>
                <w:szCs w:val="17"/>
                <w:color w:val="auto"/>
              </w:rPr>
            </w:pPr>
          </w:p>
        </w:tc>
        <w:tc>
          <w:tcPr>
            <w:tcW w:w="980" w:type="dxa"/>
            <w:vAlign w:val="bottom"/>
          </w:tcPr>
          <w:p>
            <w:pPr>
              <w:jc w:val="right"/>
              <w:ind w:right="195"/>
              <w:spacing w:after="0"/>
              <w:rPr>
                <w:sz w:val="20"/>
                <w:szCs w:val="20"/>
                <w:color w:val="auto"/>
              </w:rPr>
            </w:pPr>
            <w:r>
              <w:rPr>
                <w:rFonts w:ascii="Arial" w:cs="Arial" w:eastAsia="Arial" w:hAnsi="Arial"/>
                <w:sz w:val="14"/>
                <w:szCs w:val="14"/>
                <w:b w:val="1"/>
                <w:bCs w:val="1"/>
                <w:color w:val="auto"/>
                <w:w w:val="98"/>
              </w:rPr>
              <w:t>Years Ago</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 Ago</w:t>
            </w:r>
          </w:p>
        </w:tc>
        <w:tc>
          <w:tcPr>
            <w:tcW w:w="20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 Ago</w:t>
            </w:r>
          </w:p>
        </w:tc>
        <w:tc>
          <w:tcPr>
            <w:tcW w:w="30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Ago</w:t>
            </w:r>
          </w:p>
        </w:tc>
        <w:tc>
          <w:tcPr>
            <w:tcW w:w="2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High ratio customers</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21,058</w:t>
            </w:r>
          </w:p>
        </w:tc>
        <w:tc>
          <w:tcPr>
            <w:tcW w:w="0" w:type="dxa"/>
            <w:vAlign w:val="bottom"/>
          </w:tcPr>
          <w:p>
            <w:pPr>
              <w:spacing w:after="0"/>
              <w:rPr>
                <w:sz w:val="1"/>
                <w:szCs w:val="1"/>
                <w:color w:val="auto"/>
              </w:rPr>
            </w:pPr>
          </w:p>
        </w:tc>
      </w:tr>
      <w:tr>
        <w:trPr>
          <w:trHeight w:val="229"/>
        </w:trPr>
        <w:tc>
          <w:tcPr>
            <w:tcW w:w="2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Low ratio customers</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48"/>
        </w:trPr>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finance receivables</w:t>
            </w: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22,555</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At June 30, 2022, credit quality indicators by year of origination consisted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Leases by Origination</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Up to 1 Year Ago</w:t>
            </w:r>
          </w:p>
        </w:tc>
        <w:tc>
          <w:tcPr>
            <w:tcW w:w="126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91"/>
              </w:rPr>
              <w:t>Between 1 and 2</w:t>
            </w:r>
          </w:p>
        </w:tc>
        <w:tc>
          <w:tcPr>
            <w:tcW w:w="118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8"/>
              </w:rPr>
              <w:t>Between 2 and 3</w:t>
            </w:r>
          </w:p>
        </w:tc>
        <w:tc>
          <w:tcPr>
            <w:tcW w:w="100" w:type="dxa"/>
            <w:vAlign w:val="bottom"/>
          </w:tcPr>
          <w:p>
            <w:pPr>
              <w:spacing w:after="0"/>
              <w:rPr>
                <w:sz w:val="11"/>
                <w:szCs w:val="11"/>
                <w:color w:val="auto"/>
              </w:rPr>
            </w:pPr>
          </w:p>
        </w:tc>
        <w:tc>
          <w:tcPr>
            <w:tcW w:w="126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91"/>
              </w:rPr>
              <w:t>Between 3 and 4</w:t>
            </w:r>
          </w:p>
        </w:tc>
        <w:tc>
          <w:tcPr>
            <w:tcW w:w="126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91"/>
              </w:rPr>
              <w:t>Between 4 and 5</w:t>
            </w:r>
          </w:p>
        </w:tc>
        <w:tc>
          <w:tcPr>
            <w:tcW w:w="128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More than 5 Years</w:t>
            </w:r>
          </w:p>
        </w:tc>
        <w:tc>
          <w:tcPr>
            <w:tcW w:w="260" w:type="dxa"/>
            <w:vAlign w:val="bottom"/>
          </w:tcPr>
          <w:p>
            <w:pPr>
              <w:spacing w:after="0"/>
              <w:rPr>
                <w:sz w:val="11"/>
                <w:szCs w:val="11"/>
                <w:color w:val="auto"/>
              </w:rPr>
            </w:pPr>
          </w:p>
        </w:tc>
        <w:tc>
          <w:tcPr>
            <w:tcW w:w="92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34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 Ago</w:t>
            </w:r>
          </w:p>
        </w:tc>
        <w:tc>
          <w:tcPr>
            <w:tcW w:w="200" w:type="dxa"/>
            <w:vAlign w:val="bottom"/>
          </w:tcPr>
          <w:p>
            <w:pPr>
              <w:spacing w:after="0"/>
              <w:rPr>
                <w:sz w:val="16"/>
                <w:szCs w:val="16"/>
                <w:color w:val="auto"/>
              </w:rPr>
            </w:pPr>
          </w:p>
        </w:tc>
        <w:tc>
          <w:tcPr>
            <w:tcW w:w="980" w:type="dxa"/>
            <w:vAlign w:val="bottom"/>
          </w:tcPr>
          <w:p>
            <w:pPr>
              <w:jc w:val="right"/>
              <w:ind w:right="195"/>
              <w:spacing w:after="0"/>
              <w:rPr>
                <w:sz w:val="20"/>
                <w:szCs w:val="20"/>
                <w:color w:val="auto"/>
              </w:rPr>
            </w:pPr>
            <w:r>
              <w:rPr>
                <w:rFonts w:ascii="Arial" w:cs="Arial" w:eastAsia="Arial" w:hAnsi="Arial"/>
                <w:sz w:val="14"/>
                <w:szCs w:val="14"/>
                <w:b w:val="1"/>
                <w:bCs w:val="1"/>
                <w:color w:val="auto"/>
                <w:w w:val="98"/>
              </w:rPr>
              <w:t>Years Ago</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 Ago</w:t>
            </w:r>
          </w:p>
        </w:tc>
        <w:tc>
          <w:tcPr>
            <w:tcW w:w="20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 Ago</w:t>
            </w:r>
          </w:p>
        </w:tc>
        <w:tc>
          <w:tcPr>
            <w:tcW w:w="30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Ago</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High ratio customers</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20,714</w:t>
            </w:r>
          </w:p>
        </w:tc>
        <w:tc>
          <w:tcPr>
            <w:tcW w:w="0" w:type="dxa"/>
            <w:vAlign w:val="bottom"/>
          </w:tcPr>
          <w:p>
            <w:pPr>
              <w:spacing w:after="0"/>
              <w:rPr>
                <w:sz w:val="1"/>
                <w:szCs w:val="1"/>
                <w:color w:val="auto"/>
              </w:rPr>
            </w:pPr>
          </w:p>
        </w:tc>
      </w:tr>
      <w:tr>
        <w:trPr>
          <w:trHeight w:val="230"/>
        </w:trPr>
        <w:tc>
          <w:tcPr>
            <w:tcW w:w="2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Low ratio customers</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48"/>
        </w:trPr>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finance receivables</w:t>
            </w: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22,208</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represents a rollforward of the allowance for finance receivables for the three months ending September 30, 2022 and 2021:</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4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Three months ended</w:t>
            </w:r>
          </w:p>
        </w:tc>
        <w:tc>
          <w:tcPr>
            <w:tcW w:w="160" w:type="dxa"/>
            <w:vAlign w:val="bottom"/>
          </w:tcPr>
          <w:p>
            <w:pPr>
              <w:spacing w:after="0"/>
              <w:rPr>
                <w:sz w:val="15"/>
                <w:szCs w:val="15"/>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86"/>
        </w:trPr>
        <w:tc>
          <w:tcPr>
            <w:tcW w:w="38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39"/>
        </w:trPr>
        <w:tc>
          <w:tcPr>
            <w:tcW w:w="3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6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840" w:type="dxa"/>
            <w:vAlign w:val="bottom"/>
            <w:vMerge w:val="continue"/>
          </w:tcPr>
          <w:p>
            <w:pPr>
              <w:spacing w:after="0"/>
              <w:rPr>
                <w:sz w:val="16"/>
                <w:szCs w:val="16"/>
                <w:color w:val="auto"/>
              </w:rPr>
            </w:pPr>
          </w:p>
        </w:tc>
        <w:tc>
          <w:tcPr>
            <w:tcW w:w="3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2022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840" w:type="dxa"/>
            <w:vAlign w:val="bottom"/>
          </w:tcPr>
          <w:p>
            <w:pPr>
              <w:spacing w:after="0"/>
              <w:rPr>
                <w:sz w:val="3"/>
                <w:szCs w:val="3"/>
                <w:color w:val="auto"/>
              </w:rPr>
            </w:pPr>
          </w:p>
        </w:tc>
        <w:tc>
          <w:tcPr>
            <w:tcW w:w="36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38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30</w:t>
            </w:r>
          </w:p>
        </w:tc>
        <w:tc>
          <w:tcPr>
            <w:tcW w:w="3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expected losses</w:t>
            </w:r>
          </w:p>
        </w:tc>
        <w:tc>
          <w:tcPr>
            <w:tcW w:w="364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2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September 30</w:t>
            </w:r>
          </w:p>
        </w:tc>
        <w:tc>
          <w:tcPr>
            <w:tcW w:w="3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bottom w:val="single" w:sz="8" w:color="CCEEFF"/>
            </w:tcBorders>
            <w:vMerge w:val="restart"/>
          </w:tcPr>
          <w:p>
            <w:pPr>
              <w:jc w:val="right"/>
              <w:ind w:right="1670"/>
              <w:spacing w:after="0"/>
              <w:rPr>
                <w:sz w:val="20"/>
                <w:szCs w:val="20"/>
                <w:color w:val="auto"/>
              </w:rPr>
            </w:pPr>
            <w:r>
              <w:rPr>
                <w:rFonts w:ascii="Arial" w:cs="Arial" w:eastAsia="Arial" w:hAnsi="Arial"/>
                <w:sz w:val="18"/>
                <w:szCs w:val="18"/>
                <w:color w:val="auto"/>
              </w:rPr>
              <w:t>13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84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Cash to be collected on our performing finance receivables due for each of the fiscal years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2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68"/>
        </w:trPr>
        <w:tc>
          <w:tcPr>
            <w:tcW w:w="9920" w:type="dxa"/>
            <w:vAlign w:val="bottom"/>
          </w:tcPr>
          <w:p>
            <w:pPr>
              <w:ind w:left="20"/>
              <w:spacing w:after="0"/>
              <w:rPr>
                <w:sz w:val="20"/>
                <w:szCs w:val="20"/>
                <w:color w:val="auto"/>
              </w:rPr>
            </w:pPr>
            <w:r>
              <w:rPr>
                <w:rFonts w:ascii="Arial" w:cs="Arial" w:eastAsia="Arial" w:hAnsi="Arial"/>
                <w:sz w:val="18"/>
                <w:szCs w:val="18"/>
                <w:color w:val="auto"/>
              </w:rPr>
              <w:t>2023</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5,817</w:t>
            </w:r>
          </w:p>
        </w:tc>
      </w:tr>
      <w:tr>
        <w:trPr>
          <w:trHeight w:val="23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7,106</w:t>
            </w:r>
          </w:p>
        </w:tc>
      </w:tr>
      <w:tr>
        <w:trPr>
          <w:trHeight w:val="229"/>
        </w:trPr>
        <w:tc>
          <w:tcPr>
            <w:tcW w:w="9920" w:type="dxa"/>
            <w:vAlign w:val="bottom"/>
          </w:tcPr>
          <w:p>
            <w:pPr>
              <w:ind w:left="20"/>
              <w:spacing w:after="0"/>
              <w:rPr>
                <w:sz w:val="20"/>
                <w:szCs w:val="20"/>
                <w:color w:val="auto"/>
              </w:rPr>
            </w:pPr>
            <w:r>
              <w:rPr>
                <w:rFonts w:ascii="Arial" w:cs="Arial" w:eastAsia="Arial" w:hAnsi="Arial"/>
                <w:sz w:val="18"/>
                <w:szCs w:val="18"/>
                <w:color w:val="auto"/>
              </w:rPr>
              <w:t>2025</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5,353</w:t>
            </w:r>
          </w:p>
        </w:tc>
      </w:tr>
      <w:tr>
        <w:trPr>
          <w:trHeight w:val="23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3,933</w:t>
            </w:r>
          </w:p>
        </w:tc>
      </w:tr>
      <w:tr>
        <w:trPr>
          <w:trHeight w:val="229"/>
        </w:trPr>
        <w:tc>
          <w:tcPr>
            <w:tcW w:w="9920" w:type="dxa"/>
            <w:vAlign w:val="bottom"/>
          </w:tcPr>
          <w:p>
            <w:pPr>
              <w:ind w:left="20"/>
              <w:spacing w:after="0"/>
              <w:rPr>
                <w:sz w:val="20"/>
                <w:szCs w:val="20"/>
                <w:color w:val="auto"/>
              </w:rPr>
            </w:pPr>
            <w:r>
              <w:rPr>
                <w:rFonts w:ascii="Arial" w:cs="Arial" w:eastAsia="Arial" w:hAnsi="Arial"/>
                <w:sz w:val="18"/>
                <w:szCs w:val="18"/>
                <w:color w:val="auto"/>
              </w:rPr>
              <w:t>2027</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2,140</w:t>
            </w:r>
          </w:p>
        </w:tc>
      </w:tr>
      <w:tr>
        <w:trPr>
          <w:trHeight w:val="229"/>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23"/>
        </w:trPr>
        <w:tc>
          <w:tcPr>
            <w:tcW w:w="9920" w:type="dxa"/>
            <w:vAlign w:val="bottom"/>
          </w:tcPr>
          <w:p>
            <w:pPr>
              <w:ind w:left="220"/>
              <w:spacing w:after="0"/>
              <w:rPr>
                <w:sz w:val="20"/>
                <w:szCs w:val="20"/>
                <w:color w:val="auto"/>
              </w:rPr>
            </w:pPr>
            <w:r>
              <w:rPr>
                <w:rFonts w:ascii="Arial" w:cs="Arial" w:eastAsia="Arial" w:hAnsi="Arial"/>
                <w:sz w:val="18"/>
                <w:szCs w:val="18"/>
                <w:color w:val="auto"/>
              </w:rPr>
              <w:t>Total amounts to be collected</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24,811</w:t>
            </w:r>
          </w:p>
        </w:tc>
      </w:tr>
      <w:tr>
        <w:trPr>
          <w:trHeight w:val="229"/>
        </w:trPr>
        <w:tc>
          <w:tcPr>
            <w:tcW w:w="9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interest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w:t>
            </w:r>
          </w:p>
        </w:tc>
      </w:tr>
      <w:tr>
        <w:trPr>
          <w:trHeight w:val="230"/>
        </w:trPr>
        <w:tc>
          <w:tcPr>
            <w:tcW w:w="9920" w:type="dxa"/>
            <w:vAlign w:val="bottom"/>
          </w:tcPr>
          <w:p>
            <w:pPr>
              <w:ind w:left="220"/>
              <w:spacing w:after="0"/>
              <w:rPr>
                <w:sz w:val="20"/>
                <w:szCs w:val="20"/>
                <w:color w:val="auto"/>
              </w:rPr>
            </w:pPr>
            <w:r>
              <w:rPr>
                <w:rFonts w:ascii="Arial" w:cs="Arial" w:eastAsia="Arial" w:hAnsi="Arial"/>
                <w:sz w:val="18"/>
                <w:szCs w:val="18"/>
                <w:color w:val="auto"/>
              </w:rPr>
              <w:t>Less: allowance for receivables</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w:t>
            </w:r>
          </w:p>
        </w:tc>
      </w:tr>
      <w:tr>
        <w:trPr>
          <w:trHeight w:val="20"/>
        </w:trPr>
        <w:tc>
          <w:tcPr>
            <w:tcW w:w="99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8"/>
        </w:trPr>
        <w:tc>
          <w:tcPr>
            <w:tcW w:w="9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finance receivables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21,403</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ACCOUNTS RECEIVABLE</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Accounts receivable include amounts due to the Company for sales of equipment, other amounts due from customers, merchant service receivables, contract manufacturers, and unbilled amounts due from customers, net of the allowance for uncollectible accounts. Accounts receivable, net of the allowance for uncollectible accounts were $41.4 million as of September 30, 2022 and $37.7 million as of June 30, 2022. Accounts receivable from one contract manufacturer represented 17% and 16% of accounts receivable, as of September 30, 2022 and June 30, 2022, respectively.</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maintains an allowance for doubtful accounts for losses resulting from the inability of its customers to make required payments, including from a shortfall in the customer transaction fund flow from which the Company would normally collect amounts due. The allowance is calculated under an expected loss model. We estimate our allowance using an aging analysis of the receivables balances, primarily based on historical loss experience. Furthermore, current conditions are analyzed on a quarterly basis as we reassess whether our receivables continue to exhibit similar risk characteristics as the prior measurement date, and determine if the reserve calculation needs to be adjusted for new developments, such as a customer’s inability to meet its financial obligations. The Company writes off receivable balances against the allowance for doubtful accounts when management determines the balance is uncollectible and the Company ceases collection efforts.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represents a rollforward of the allowance for doubtful accounts for the three months ending September 30, 2022 and 2021:</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b w:val="1"/>
                <w:bCs w:val="1"/>
                <w:color w:val="auto"/>
              </w:rPr>
              <w:t>Three months ended September 30,</w:t>
            </w:r>
          </w:p>
        </w:tc>
      </w:tr>
      <w:tr>
        <w:trPr>
          <w:trHeight w:val="223"/>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 in thousands)</w:t>
            </w: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2021</w:t>
            </w:r>
          </w:p>
        </w:tc>
      </w:tr>
      <w:tr>
        <w:trPr>
          <w:trHeight w:val="22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of allowance as of June 30</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9,328</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7,715</w:t>
            </w: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Write-offs</w:t>
            </w: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expected losses</w:t>
            </w:r>
          </w:p>
        </w:tc>
        <w:tc>
          <w:tcPr>
            <w:tcW w:w="5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Balance at September 30</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10,245</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8,027</w:t>
            </w:r>
          </w:p>
        </w:tc>
      </w:tr>
    </w:tbl>
    <w:p>
      <w:pPr>
        <w:spacing w:after="0" w:line="32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increase in the provision for expected losses for the three months ended September 30, 2022 was driven by an increase in the accounts receivable balances from additional equipment sales during the quarter and an increase in the aging profile of our outstanding accounts receivable balances. We have taken various steps with a focus on increasing collection effort to reduce outstanding accounts receivables such as hiring of additional accounts receivable personnel, reducing operational inefficiencies within our processes and moving customers to a transaction fund flow model for equipment sales.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LOSS PER SHARE CALCULATION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Basic loss per share is computed by dividing net loss by the weighted average number of common shares outstanding during the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period. Diluted earnings per share, applicable only to years ended with reported income, is computed by dividing net income by the weighted average number of common shares outstanding during the period plus the dilutive effect of outstanding stock options and restricted stock-based awards using the treasury stock method. The calculation of basic and diluted loss per share is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8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6"/>
        </w:trPr>
        <w:tc>
          <w:tcPr>
            <w:tcW w:w="8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 except per share data)</w:t>
            </w: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84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9"/>
        </w:trPr>
        <w:tc>
          <w:tcPr>
            <w:tcW w:w="8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Numerator for basic and diluted loss per share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(8,574)</w:t>
            </w:r>
          </w:p>
        </w:tc>
        <w:tc>
          <w:tcPr>
            <w:tcW w:w="12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7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Preferred dividends</w:t>
            </w: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6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Net loss applicable to common shareholders</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(8,908)</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Denominator for basic loss per share </w:t>
            </w:r>
            <w:r>
              <w:rPr>
                <w:rFonts w:ascii="Arial" w:cs="Arial" w:eastAsia="Arial" w:hAnsi="Arial"/>
                <w:sz w:val="18"/>
                <w:szCs w:val="18"/>
                <w:color w:val="auto"/>
              </w:rPr>
              <w:t>- Weighted average shares outstanding</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71,207,750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71,175,927</w:t>
            </w:r>
          </w:p>
        </w:tc>
        <w:tc>
          <w:tcPr>
            <w:tcW w:w="0" w:type="dxa"/>
            <w:vAlign w:val="bottom"/>
          </w:tcPr>
          <w:p>
            <w:pPr>
              <w:spacing w:after="0"/>
              <w:rPr>
                <w:sz w:val="1"/>
                <w:szCs w:val="1"/>
                <w:color w:val="auto"/>
              </w:rPr>
            </w:pPr>
          </w:p>
        </w:tc>
      </w:tr>
      <w:tr>
        <w:trPr>
          <w:trHeight w:val="27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dilutive potential common shares</w:t>
            </w:r>
          </w:p>
        </w:tc>
        <w:tc>
          <w:tcPr>
            <w:tcW w:w="2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48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Denominator for diluted loss per share </w:t>
            </w:r>
            <w:r>
              <w:rPr>
                <w:rFonts w:ascii="Arial" w:cs="Arial" w:eastAsia="Arial" w:hAnsi="Arial"/>
                <w:sz w:val="18"/>
                <w:szCs w:val="18"/>
                <w:color w:val="auto"/>
              </w:rPr>
              <w:t>- Adjusted weighted average shares outstanding</w:t>
            </w:r>
          </w:p>
        </w:tc>
        <w:tc>
          <w:tcPr>
            <w:tcW w:w="2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71,207,750</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71,175,927</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Basic and diluted loss per share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3"/>
                <w:szCs w:val="23"/>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
        </w:trPr>
        <w:tc>
          <w:tcPr>
            <w:tcW w:w="8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Anti-dilutive shares excluded from the calculation of diluted loss per share were approximately 6 million and 4 million for the three months ended September 30, 2022 and September 30, 2021, respectively.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INTANGIBLES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balances and goodwill consisted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As of September 30, 2022</w:t>
            </w: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33"/>
        </w:trPr>
        <w:tc>
          <w:tcPr>
            <w:tcW w:w="5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1"/>
                <w:szCs w:val="11"/>
                <w:color w:val="auto"/>
              </w:rPr>
            </w:pPr>
          </w:p>
        </w:tc>
        <w:tc>
          <w:tcPr>
            <w:tcW w:w="108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360" w:type="dxa"/>
            <w:vAlign w:val="bottom"/>
          </w:tcPr>
          <w:p>
            <w:pPr>
              <w:spacing w:after="0"/>
              <w:rPr>
                <w:sz w:val="11"/>
                <w:szCs w:val="11"/>
                <w:color w:val="auto"/>
              </w:rPr>
            </w:pPr>
          </w:p>
        </w:tc>
        <w:tc>
          <w:tcPr>
            <w:tcW w:w="106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52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3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29"/>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Brand and tradenames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1,705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1 - 7 years</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Developed technology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5 - 6 years</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Customer relationships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14,037</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5 - 18 years</w:t>
            </w: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32,863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66,656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99"/>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As of June 30, 2022</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28"/>
        </w:trPr>
        <w:tc>
          <w:tcPr>
            <w:tcW w:w="5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1"/>
                <w:szCs w:val="11"/>
                <w:color w:val="auto"/>
              </w:rPr>
            </w:pPr>
          </w:p>
        </w:tc>
        <w:tc>
          <w:tcPr>
            <w:tcW w:w="108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360" w:type="dxa"/>
            <w:vAlign w:val="bottom"/>
          </w:tcPr>
          <w:p>
            <w:pPr>
              <w:spacing w:after="0"/>
              <w:rPr>
                <w:sz w:val="11"/>
                <w:szCs w:val="11"/>
                <w:color w:val="auto"/>
              </w:rPr>
            </w:pPr>
          </w:p>
        </w:tc>
        <w:tc>
          <w:tcPr>
            <w:tcW w:w="106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2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3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30"/>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Brand and tradenames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1 - 7 years</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Developed technology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5 - 6 years</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Customer relationships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14,317</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5 - 18 years</w:t>
            </w: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32,863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66,656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September 30, 2022 and September 30, 2021, there was $0.8 million for each respective period in amortization expense related to intangible assets that was recognized.</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performs an annual goodwill impairment test on April 1 and more frequently if events and circumstances indicate that the asset might be impaired. The Company has determined that there is a single reporting unit for purposes of testing goodwill for impairment. During the three months ended September 30, 2022 and September 30, 2021, the Company did not recognize any impairment charges related to goodwill.</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 AND OTHER FINANCING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debt and other financing arrangements as of September 30, 2022 and June 30, 2022 consisted of the following:</w:t>
      </w:r>
    </w:p>
    <w:p>
      <w:pPr>
        <w:spacing w:after="0" w:line="352" w:lineRule="exact"/>
        <w:rPr>
          <w:sz w:val="20"/>
          <w:szCs w:val="20"/>
          <w:color w:val="auto"/>
        </w:rPr>
      </w:pPr>
    </w:p>
    <w:tbl>
      <w:tblPr>
        <w:tblLayout w:type="fixed"/>
        <w:tblInd w:w="24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 September 30,</w:t>
            </w:r>
          </w:p>
        </w:tc>
        <w:tc>
          <w:tcPr>
            <w:tcW w:w="280" w:type="dxa"/>
            <w:vAlign w:val="bottom"/>
          </w:tcPr>
          <w:p>
            <w:pPr>
              <w:spacing w:after="0"/>
              <w:rPr>
                <w:sz w:val="16"/>
                <w:szCs w:val="16"/>
                <w:color w:val="auto"/>
              </w:rPr>
            </w:pPr>
          </w:p>
        </w:tc>
        <w:tc>
          <w:tcPr>
            <w:tcW w:w="1500" w:type="dxa"/>
            <w:vAlign w:val="bottom"/>
          </w:tcPr>
          <w:p>
            <w:pPr>
              <w:jc w:val="right"/>
              <w:ind w:right="375"/>
              <w:spacing w:after="0"/>
              <w:rPr>
                <w:sz w:val="20"/>
                <w:szCs w:val="20"/>
                <w:color w:val="auto"/>
              </w:rPr>
            </w:pPr>
            <w:r>
              <w:rPr>
                <w:rFonts w:ascii="Arial" w:cs="Arial" w:eastAsia="Arial" w:hAnsi="Arial"/>
                <w:sz w:val="14"/>
                <w:szCs w:val="14"/>
                <w:b w:val="1"/>
                <w:bCs w:val="1"/>
                <w:color w:val="auto"/>
              </w:rPr>
              <w:t>As of June 30,</w:t>
            </w:r>
          </w:p>
        </w:tc>
      </w:tr>
      <w:tr>
        <w:trPr>
          <w:trHeight w:val="203"/>
        </w:trPr>
        <w:tc>
          <w:tcPr>
            <w:tcW w:w="712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7"/>
                <w:szCs w:val="17"/>
                <w:color w:val="auto"/>
              </w:rPr>
            </w:pPr>
          </w:p>
        </w:tc>
        <w:tc>
          <w:tcPr>
            <w:tcW w:w="1600" w:type="dxa"/>
            <w:vAlign w:val="bottom"/>
          </w:tcPr>
          <w:p>
            <w:pPr>
              <w:jc w:val="right"/>
              <w:ind w:right="6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ind w:right="655"/>
              <w:spacing w:after="0"/>
              <w:rPr>
                <w:sz w:val="20"/>
                <w:szCs w:val="20"/>
                <w:color w:val="auto"/>
              </w:rPr>
            </w:pPr>
            <w:r>
              <w:rPr>
                <w:rFonts w:ascii="Arial" w:cs="Arial" w:eastAsia="Arial" w:hAnsi="Arial"/>
                <w:sz w:val="14"/>
                <w:szCs w:val="14"/>
                <w:b w:val="1"/>
                <w:bCs w:val="1"/>
                <w:color w:val="auto"/>
              </w:rPr>
              <w:t>2022</w:t>
            </w:r>
          </w:p>
        </w:tc>
      </w:tr>
      <w:tr>
        <w:trPr>
          <w:trHeight w:val="26"/>
        </w:trPr>
        <w:tc>
          <w:tcPr>
            <w:tcW w:w="7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34"/>
        </w:trPr>
        <w:tc>
          <w:tcPr>
            <w:tcW w:w="7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JPMorgan Credit Facility*</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14,813</w:t>
            </w:r>
          </w:p>
        </w:tc>
      </w:tr>
      <w:tr>
        <w:trPr>
          <w:trHeight w:val="229"/>
        </w:trPr>
        <w:tc>
          <w:tcPr>
            <w:tcW w:w="7120" w:type="dxa"/>
            <w:vAlign w:val="bottom"/>
            <w:gridSpan w:val="2"/>
          </w:tcPr>
          <w:p>
            <w:pPr>
              <w:spacing w:after="0"/>
              <w:rPr>
                <w:sz w:val="20"/>
                <w:szCs w:val="20"/>
                <w:color w:val="auto"/>
              </w:rPr>
            </w:pPr>
            <w:r>
              <w:rPr>
                <w:rFonts w:ascii="Arial" w:cs="Arial" w:eastAsia="Arial" w:hAnsi="Arial"/>
                <w:sz w:val="18"/>
                <w:szCs w:val="18"/>
                <w:color w:val="auto"/>
              </w:rPr>
              <w:t>Other obligations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unamortized issuance costs and debt discount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14,450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14,622</w:t>
            </w:r>
          </w:p>
        </w:tc>
      </w:tr>
      <w:tr>
        <w:trPr>
          <w:trHeight w:val="230"/>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debt and other financing arrangements, current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color w:val="auto"/>
              </w:rPr>
              <w:t>Debt and other financing arrangements, noncurrent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13,930</w:t>
            </w:r>
          </w:p>
        </w:tc>
      </w:tr>
      <w:tr>
        <w:trPr>
          <w:trHeight w:val="21"/>
        </w:trPr>
        <w:tc>
          <w:tcPr>
            <w:tcW w:w="7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See discussion below on amendment to the JPMorgan Credit Facility.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Details of interest expense presented on the Condensed Consolidated Statements of Operations are as follows:</w:t>
      </w:r>
    </w:p>
    <w:p>
      <w:pPr>
        <w:spacing w:after="0" w:line="365"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60" w:type="dxa"/>
            <w:vAlign w:val="bottom"/>
            <w:gridSpan w:val="3"/>
          </w:tcPr>
          <w:p>
            <w:pPr>
              <w:jc w:val="center"/>
              <w:ind w:left="619"/>
              <w:spacing w:after="0"/>
              <w:rPr>
                <w:sz w:val="20"/>
                <w:szCs w:val="20"/>
                <w:color w:val="auto"/>
              </w:rPr>
            </w:pPr>
            <w:r>
              <w:rPr>
                <w:rFonts w:ascii="Arial" w:cs="Arial" w:eastAsia="Arial" w:hAnsi="Arial"/>
                <w:sz w:val="14"/>
                <w:szCs w:val="14"/>
                <w:b w:val="1"/>
                <w:bCs w:val="1"/>
                <w:color w:val="auto"/>
                <w:w w:val="91"/>
              </w:rPr>
              <w:t>Three months ended</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60" w:type="dxa"/>
            <w:vAlign w:val="bottom"/>
            <w:gridSpan w:val="3"/>
          </w:tcPr>
          <w:p>
            <w:pPr>
              <w:jc w:val="center"/>
              <w:ind w:left="599"/>
              <w:spacing w:after="0"/>
              <w:rPr>
                <w:sz w:val="20"/>
                <w:szCs w:val="20"/>
                <w:color w:val="auto"/>
              </w:rPr>
            </w:pPr>
            <w:r>
              <w:rPr>
                <w:rFonts w:ascii="Arial" w:cs="Arial" w:eastAsia="Arial" w:hAnsi="Arial"/>
                <w:sz w:val="14"/>
                <w:szCs w:val="14"/>
                <w:b w:val="1"/>
                <w:bCs w:val="1"/>
                <w:color w:val="auto"/>
                <w:w w:val="91"/>
              </w:rPr>
              <w:t>September 30,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7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4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72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ind w:right="67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9"/>
        </w:trPr>
        <w:tc>
          <w:tcPr>
            <w:tcW w:w="7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JPMorgan Credit Facility*</w:t>
            </w:r>
          </w:p>
        </w:tc>
        <w:tc>
          <w:tcPr>
            <w:tcW w:w="4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0"/>
        </w:trPr>
        <w:tc>
          <w:tcPr>
            <w:tcW w:w="7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interest expense</w:t>
            </w:r>
          </w:p>
        </w:tc>
        <w:tc>
          <w:tcPr>
            <w:tcW w:w="4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88"/>
        </w:trPr>
        <w:tc>
          <w:tcPr>
            <w:tcW w:w="7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See discussion below on amendment to the JPMorgan Credit Facility.</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JPMorgan Chase Bank Credit Agreement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JP Morgan Agreement dated August 14, 2020 and amendment dated March 2, 2021</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14, 2020, the Company repaid all amounts outstanding under the $30.0 million senior secured term loan facility (“2020 Antara Term Facility”) with Antara Capital Master Fund LP (“Antara”) and entered into a credit agreement (the “2021 JPMorgan Credit Agreement”) with JPMorgan Chase Bank, N.A (“JPMorgan”).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2021 JPMorgan Credit Agreement provides for a $5 million secured revolving credit facility (the “2021 JPMorgan Revolving Facility”) and a $15 million secured term facility (the “2021 JPMorgan Secured Term Facility” and together with the 2021 JPMorgan Revolving Facility, as amended, the “2021 JPMorgan Credit Facility”), which included an uncommitted expansion feature that allowed the Company to increase the total revolving commitments and/or add new tranches of term loans in an aggregate amount not to exceed $5 million.</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2021 JPMorgan Credit Facility has a three year maturity, with interest determined, at the Company’s option, on a base rate of LIBOR or Prime Rate plus an applicable spread tied to the Company’s total leverage ratio and having ranges between 2.75% and 3.75% for Prime rate loans and between 3.75% and 4.75% for LIBOR rate loans. In the event of default, the interest rate may be increased by 2.00%. The 2021 JPMorgan Credit Facility carries a commitment fee of 0.50% per annum on the unused portion. From August 14, 2020 through March 2, 2021, the applicable interest rate was Prime Rate plus 3.75%. On March 2, 2021, the Company entered into an amendment (the “First Amendment”) to the 2021 JPMorgan Credit Facility lowering the interest rate charged to the Company. In conjunction with the First Amendment, the Company elected to convert its loans to a Eurodollar borrowing which is subject to a LIBOR based interest rate.</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obligations under the 2021 JPMorgan Credit Facility were secured by first priority security interests in substantially all of the assets of the Company. The 2021 JPMorgan Credit Agreement included customary representations, warranties and covenants, and acceleration, indemnity and events of default provisions, including a financial covenant requiring the Company to maintain an adjusted quick ratio of not less than 2.75 to 1.00 beginning January 1, 2021, and not less than 3.00 to 1.00 beginning April 1, 2021, and a financial covenant requiring the Company to maintain, as of the end of each of its fiscal</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quarters commencing with the fiscal quarter ended December 31, 2021, a total leverage ratio of not greater than 3.00 to 1.00.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JP Morgan amended and restated Credit Agreement dated March 17, 2022</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17, 2022, the Company entered into an amended and restated credit agreement with JPMorgan Chase Bank, N.A. which provides for a $15 million secured revolving credit facility (the “Amended Revolving Facility”) and a $25 million secured term facility (the “Amended Secured Term Facility” and together with the Amended Revolving Facility, the “Amended JPMorgan Credit Facility”), and fully replaces our previous 2021 JPMorgan Credit Facility. The Amended Secured Term Facility includes a $10 million increase from the 2021 JPMorgan Secured Term Facility which is available for a period of up to twelve months following the Closing Date.</w:t>
      </w:r>
    </w:p>
    <w:p>
      <w:pPr>
        <w:spacing w:after="0" w:line="21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proceeds of the Amended JPMorgan Credit Facility may be used to refinance certain existing indebtedness of the Company and its subsidiaries, to finance the working capital needs, and for general corporate purposes (including permitted acquisitions), of the Company and its subsidiaries.</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Amended JPMorgan Credit Facility has a four year maturity. Interest on the Amended JPMorgan Credit Facility will be based, at the Company’s option, on a base rate or SOFR plus an applicable margin tied to the Company’s total leverage ratio and having ranges of between 2.50% and 3.00% for base rate loans and between 3.50% and 4.00% for SOFR loans; provided that until June 30, 2022 the applicable margin shall be 2.75% for base rate loans and 3.75% for SOFR loans. Subject to the occurrence of a material acquisition and the Company’s total leverage ratio exceeding 3.00 to 1.00, the interest rate on the loans may increase by 0.25%. In an event of default, the interest rate may be increased by 2.00%. The Amended JPMorgan Credit Facility will also carry a commitment fee of 0.50% per annum on the unused portion. As of September 30, 2022, the total applicable interest rate for the Amended Secured Term Facility is 6.3%.</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Amended JPMorgan Credit Facility includes customary representations, warranties and covenants, and acceleration, indemnity and events of default provisions, including, among other things, two financial covenants. One financial covenant requires the Company to maintain, at all times, a total leverage ratio of not more than 3.00 to 1.00 on the last day of any fiscal quarter. The other financial covenant is conditional on a material acquisition occurring: if a material acquisition occurs, the Company is required to maintain a total leverage ratio not greater than 4.00 to 1.00 for the next four fiscal quarters following the material acquisition.</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Amended Secured Term Facility was accounted for as a modification of the 2021 JPMorgan Secured Term Facility. The previously unamortized debt issuance costs remain capitalized, the new fees paid to the creditor were capitalized, and allocated third-party costs incurred allocated to the term facility were charged to expense. We have also evaluated that the borrowing capacity of the Amended Revolving Facility is greater than the borrowing capacity of the 2021 JPMorgan Revolving Facility. The previously unamortized debt issuance costs remain capitalized, the new fees paid to the creditor and allocated third-party costs were capitalized. The Company capitalized $0.3 million of issuance costs related to the Amended JPMorgan Credit Facility during the year-ended June 30, 2022.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its financial covenants for the Amended JPMorgan Credit Facility as of September 30, 2022.</w:t>
      </w: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References to "JPMorgan Credit Facility" in the Condensed Consolidated Financial Statements and related notes, Management’s Discussion and Analysis of Financial Condition and Results of Operations and other parts of the Form 10-Q specifically refers to the 2021 JPMorgan Credit Facility prior to March 17, 2022 and to the Amended JPMorgan Credit Facility subsequent to and as of March 17,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consisted of the following as of September 30, 2022 and June 30, 2022: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 September 30,</w:t>
            </w:r>
          </w:p>
        </w:tc>
        <w:tc>
          <w:tcPr>
            <w:tcW w:w="280" w:type="dxa"/>
            <w:vAlign w:val="bottom"/>
          </w:tcPr>
          <w:p>
            <w:pPr>
              <w:spacing w:after="0"/>
              <w:rPr>
                <w:sz w:val="16"/>
                <w:szCs w:val="16"/>
                <w:color w:val="auto"/>
              </w:rPr>
            </w:pPr>
          </w:p>
        </w:tc>
        <w:tc>
          <w:tcPr>
            <w:tcW w:w="1460" w:type="dxa"/>
            <w:vAlign w:val="bottom"/>
          </w:tcPr>
          <w:p>
            <w:pPr>
              <w:jc w:val="right"/>
              <w:ind w:right="354"/>
              <w:spacing w:after="0"/>
              <w:rPr>
                <w:sz w:val="20"/>
                <w:szCs w:val="20"/>
                <w:color w:val="auto"/>
              </w:rPr>
            </w:pPr>
            <w:r>
              <w:rPr>
                <w:rFonts w:ascii="Arial" w:cs="Arial" w:eastAsia="Arial" w:hAnsi="Arial"/>
                <w:sz w:val="14"/>
                <w:szCs w:val="14"/>
                <w:b w:val="1"/>
                <w:bCs w:val="1"/>
                <w:color w:val="auto"/>
              </w:rPr>
              <w:t>As of June 30,</w:t>
            </w:r>
          </w:p>
        </w:tc>
      </w:tr>
      <w:tr>
        <w:trPr>
          <w:trHeight w:val="203"/>
        </w:trPr>
        <w:tc>
          <w:tcPr>
            <w:tcW w:w="766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7"/>
                <w:szCs w:val="17"/>
                <w:color w:val="auto"/>
              </w:rPr>
            </w:pPr>
          </w:p>
        </w:tc>
        <w:tc>
          <w:tcPr>
            <w:tcW w:w="1560" w:type="dxa"/>
            <w:vAlign w:val="bottom"/>
          </w:tcPr>
          <w:p>
            <w:pPr>
              <w:jc w:val="right"/>
              <w:ind w:right="6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ind w:right="634"/>
              <w:spacing w:after="0"/>
              <w:rPr>
                <w:sz w:val="20"/>
                <w:szCs w:val="20"/>
                <w:color w:val="auto"/>
              </w:rPr>
            </w:pPr>
            <w:r>
              <w:rPr>
                <w:rFonts w:ascii="Arial" w:cs="Arial" w:eastAsia="Arial" w:hAnsi="Arial"/>
                <w:sz w:val="14"/>
                <w:szCs w:val="14"/>
                <w:b w:val="1"/>
                <w:bCs w:val="1"/>
                <w:color w:val="auto"/>
              </w:rPr>
              <w:t>2022</w:t>
            </w:r>
          </w:p>
        </w:tc>
      </w:tr>
      <w:tr>
        <w:trPr>
          <w:trHeight w:val="26"/>
        </w:trPr>
        <w:tc>
          <w:tcPr>
            <w:tcW w:w="7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42"/>
        </w:trPr>
        <w:tc>
          <w:tcPr>
            <w:tcW w:w="7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29"/>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 tax reserve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14,694</w:t>
            </w:r>
          </w:p>
        </w:tc>
      </w:tr>
      <w:tr>
        <w:trPr>
          <w:trHeight w:val="230"/>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Accrued compensation and related sales commissions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3,289</w:t>
            </w:r>
          </w:p>
        </w:tc>
      </w:tr>
      <w:tr>
        <w:trPr>
          <w:trHeight w:val="229"/>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 current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r>
      <w:tr>
        <w:trPr>
          <w:trHeight w:val="229"/>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Accrued professional fees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5,781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4,200</w:t>
            </w:r>
          </w:p>
        </w:tc>
      </w:tr>
      <w:tr>
        <w:trPr>
          <w:trHeight w:val="230"/>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taxes and filing fees payable</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w:t>
            </w:r>
          </w:p>
        </w:tc>
      </w:tr>
      <w:tr>
        <w:trPr>
          <w:trHeight w:val="229"/>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Contingent consideration arrangement for the Yoke acquisition*</w:t>
            </w: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r>
      <w:tr>
        <w:trPr>
          <w:trHeight w:val="223"/>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Total accrued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28,154</w:t>
            </w:r>
          </w:p>
        </w:tc>
      </w:tr>
      <w:tr>
        <w:trPr>
          <w:trHeight w:val="21"/>
        </w:trPr>
        <w:tc>
          <w:tcPr>
            <w:tcW w:w="7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120" w:hanging="112"/>
        <w:spacing w:after="0"/>
        <w:tabs>
          <w:tab w:leader="none" w:pos="120" w:val="left"/>
        </w:tabs>
        <w:numPr>
          <w:ilvl w:val="0"/>
          <w:numId w:val="3"/>
        </w:numPr>
        <w:rPr>
          <w:rFonts w:ascii="Arial" w:cs="Arial" w:eastAsia="Arial" w:hAnsi="Arial"/>
          <w:sz w:val="16"/>
          <w:szCs w:val="16"/>
          <w:i w:val="1"/>
          <w:iCs w:val="1"/>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Note 5 - Acquisition</w:t>
      </w:r>
      <w:r>
        <w:rPr>
          <w:rFonts w:ascii="Arial" w:cs="Arial" w:eastAsia="Arial" w:hAnsi="Arial"/>
          <w:sz w:val="16"/>
          <w:szCs w:val="16"/>
          <w:color w:val="auto"/>
        </w:rPr>
        <w:t xml:space="preserve"> for description of the contingent consideration arrangement.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4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For the three months ended September 30, 2022, the Company recorded an income tax provision of $26 thousand. As of September 30, 2022, the Company reviewed the existing deferred tax assets and continues to record a full valuation against its deferred tax assets. The income tax provisions primarily relate to the Company's uncertain tax positions, as well as state income and franchise taxes. As of September 30, 2022, the Company had a total unrecognized income tax benefit of $0.6 million. The provision is based upon actual loss before income taxes for the three months ended September 30, 2022, as the use of an estimated annual effective income tax rate does not provide a reliable estimate of the income tax provision.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September 30, 2021, the Company recorded an income tax provision of $89 thousand. As of September 30, 2021, the Company</w:t>
      </w:r>
    </w:p>
    <w:p>
      <w:pPr>
        <w:spacing w:after="0" w:line="5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reviewed the existing deferred tax assets and continues to record a full valuation against its deferred tax assets. The income tax provisions primarily relate to the Company's uncertain tax positions, as well as state income and franchise taxes. As of September 30, 2021, the Company had a total unrecognized income tax benefit of $0.5 million. The provision is based upon actual loss before income taxes for the three months ended September 30, 2021, as the use of an estimated annual effective income tax rate does not provide a reliable estimate of the income tax provision.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estimates the grant date fair value of the stock options with service conditions (i.e., a condition that requires an employee to render services to the Company for a stated period of time to vest) it grants using a Black-Scholes valuation model. The Company’s assumption for expected volatility is based on its historical volatility data related to market trading of its own common stock. The Company uses the simplified method to determine expected term, as the Company does not have adequate historical exercise and forfeiture behavior on which to base the expected life assumption.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No stock options were granted during the three months ended September 30, 2021. The fair value of options granted during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2022 were determined using the following assumptions and includes only options with an established grant date under ASC 718:</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Three months ended September 30,</w:t>
            </w:r>
          </w:p>
        </w:tc>
      </w:tr>
      <w:tr>
        <w:trPr>
          <w:trHeight w:val="26"/>
        </w:trPr>
        <w:tc>
          <w:tcPr>
            <w:tcW w:w="8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90"/>
        </w:trPr>
        <w:tc>
          <w:tcPr>
            <w:tcW w:w="8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952"/>
              <w:spacing w:after="0"/>
              <w:rPr>
                <w:sz w:val="20"/>
                <w:szCs w:val="20"/>
                <w:color w:val="auto"/>
              </w:rPr>
            </w:pPr>
            <w:r>
              <w:rPr>
                <w:rFonts w:ascii="Arial" w:cs="Arial" w:eastAsia="Arial" w:hAnsi="Arial"/>
                <w:sz w:val="14"/>
                <w:szCs w:val="14"/>
                <w:b w:val="1"/>
                <w:bCs w:val="1"/>
                <w:color w:val="auto"/>
              </w:rPr>
              <w:t>2022</w:t>
            </w:r>
          </w:p>
        </w:tc>
      </w:tr>
      <w:tr>
        <w:trPr>
          <w:trHeight w:val="22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volatility (percent)</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 - 75.1%</w:t>
            </w:r>
          </w:p>
        </w:tc>
      </w:tr>
      <w:tr>
        <w:trPr>
          <w:trHeight w:val="229"/>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Weighted average expected life (years)</w:t>
            </w: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 yield (percent)</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29"/>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Risk-free interest rate (percent)</w:t>
            </w: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2.7% - 3.2%</w:t>
            </w:r>
          </w:p>
        </w:tc>
      </w:tr>
      <w:tr>
        <w:trPr>
          <w:trHeight w:val="23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Number of options granted</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600,000</w:t>
            </w:r>
          </w:p>
        </w:tc>
      </w:tr>
      <w:tr>
        <w:trPr>
          <w:trHeight w:val="229"/>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Weighted average exercise price</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32"/>
              <w:spacing w:after="0"/>
              <w:rPr>
                <w:sz w:val="20"/>
                <w:szCs w:val="20"/>
                <w:color w:val="auto"/>
              </w:rPr>
            </w:pPr>
            <w:r>
              <w:rPr>
                <w:rFonts w:ascii="Arial" w:cs="Arial" w:eastAsia="Arial" w:hAnsi="Arial"/>
                <w:sz w:val="18"/>
                <w:szCs w:val="18"/>
                <w:color w:val="auto"/>
              </w:rPr>
              <w:t>6.51</w:t>
            </w:r>
          </w:p>
        </w:tc>
      </w:tr>
      <w:tr>
        <w:trPr>
          <w:trHeight w:val="22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grant date fair value</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3.91</w:t>
            </w: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 based compensation related to stock options with an established grant date for the three months ended September 30, 2022 and 2021 was $1.0 million and $0.8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based awards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has awarded stock options to certain executives which vest each year over a three to four year period. These stock options are subject to the achievement of performance goals to be established by the Company's Board for each fiscal year. The Compensation Committee of the Board of Directors has established the performance metrics as a price target for the trading price of the Company’s common stock in each applicable fiscal year. The price target is achieved if the average closing price of the common stock during any consecutive 30-trading-day period during the applicable fiscal year meets or exceeds: (i) $10.50 in the case of fiscal year 2021; (ii) $13.50 in the case of fiscal year 2022; (iii) $16.50 in the case of fiscal year 2023; and (iv) $19.50 in the case of fiscal year 2024. If at least 80% of the performance goals for an applicable fiscal year are achieved, the Compensation Committee may determine that the portion of the option eligible to vest based on such fiscal year’s performance will vest on a prorated basis. In so determining, the Compensation Committee will consider the Company’s performance relative to its market competitors and any other considerations deemed relevant by the Compensation Committee. The Compensation Committee’s guideline is generally that for every percentage point the achieved price falls below the price target, the percentage of the performance options eligible to vest in respect of the applicable fiscal year should be reduced by 2%, but the Compensation Committee may vary this formula in its sole discretion.</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For these performance based awards that provide discretion to the Compensation Committee, a mutual understanding of the key terms and conditions between the Company and the employees have not yet been met and a "Grant Date" as defined in </w:t>
      </w:r>
      <w:r>
        <w:rPr>
          <w:rFonts w:ascii="Arial" w:cs="Arial" w:eastAsia="Arial" w:hAnsi="Arial"/>
          <w:sz w:val="18"/>
          <w:szCs w:val="18"/>
          <w:i w:val="1"/>
          <w:iCs w:val="1"/>
          <w:color w:val="auto"/>
        </w:rPr>
        <w:t>ASC Topic 718 Compensation — Stock Compensation</w:t>
      </w:r>
      <w:r>
        <w:rPr>
          <w:rFonts w:ascii="Arial" w:cs="Arial" w:eastAsia="Arial" w:hAnsi="Arial"/>
          <w:sz w:val="18"/>
          <w:szCs w:val="18"/>
          <w:color w:val="auto"/>
        </w:rPr>
        <w:t>, has not been established. When the service period begins prior to the grant date, the Company begins recognizing compensation cost before there is a grant date. The Company estimates the award's fair value at each reporting period for these equity classified awards, until the grant date, utilizing a Monte Carlo simulation valuation model. The total expense recognized for the three months ended September 30, 2022 and September 30, 2021 for these awards was $(0.2) million and $0.6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AWARDS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Two employees of Hudson Executive, a greater than 10% shareholder and a related party of the Company, entered into consulting agreements with the Company in August and September of 2020, respectively, under which the consultants provided financial and strategic analysis and advisory services to the Company's CEO through July 31, 2021. As consideration for the services, in March 2021 the consultants were granted a total of 80,000 restricted stock units. In September 2021, the Company extended these consulting agreements through July 31, 2022 and, in connection therewith, the consultants were granted an additional 20,000 restricted stock units. On February 2, 2022, the Board of Directors of the Company appointed one of the above mentioned employees of Hudson Executive as a director of the Company, effective immediately. In connection with the appointment to the Board, the consulting agreement for that individual was terminated, effective February 2, 2022. The total expense recognized for the three months ended September 30, 2022 and September 30, 2021 for these consulting agreements was immaterial.</w:t>
      </w:r>
    </w:p>
    <w:p>
      <w:pPr>
        <w:spacing w:after="0" w:line="205" w:lineRule="exact"/>
        <w:rPr>
          <w:sz w:val="20"/>
          <w:szCs w:val="20"/>
          <w:color w:val="auto"/>
        </w:rPr>
      </w:pPr>
    </w:p>
    <w:p>
      <w:pPr>
        <w:ind w:right="2260"/>
        <w:spacing w:after="0" w:line="308" w:lineRule="auto"/>
        <w:rPr>
          <w:sz w:val="20"/>
          <w:szCs w:val="20"/>
          <w:color w:val="auto"/>
        </w:rPr>
      </w:pPr>
      <w:r>
        <w:rPr>
          <w:rFonts w:ascii="Arial" w:cs="Arial" w:eastAsia="Arial" w:hAnsi="Arial"/>
          <w:sz w:val="17"/>
          <w:szCs w:val="17"/>
          <w:color w:val="auto"/>
        </w:rPr>
        <w:t>The total expense recognized for common stock awards (excluding the consulting agreement described separately above) for the three months ended September 30, 2022 and 2021 was $0.5 million and $0.4 million,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September 30, 2022, the Company retired 59,281 shares of its Series A convertible preferred stock that it purchased for an aggregate amount of approximately $2.45 million.</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repurchase transaction was primarily accounted for as an extinguishment of preferred stock and recorded as a decrease to the carrying value of the preferred stock in the amount of $0.42 million and common stock of $1.73 million for an aggregate amount of $2.15 million that was included within the Cash flows from financing activities in the Condensed Consolidated Statements of Cash Flows.</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remaining $0.3 million was deemed to be an amount in excess of the fair value of the preferred stock and was recorded within Operating expenses in the Condensed Consolidated Statements of Operations and Cash flows from operating activities in the Condensed Consolidated Statements of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party to litigation and other proceedings that arise in the ordinary course of our business. These types of matters could result in fines, penalties, compensatory or treble damages or non-monetary sanctions or relief. In accordance with the accounting guidance for contingencies, we reserve for litigation claims and assessments asserted or threatened against us when a loss is probable and the amount of the loss can be reasonably estimated. We cannot predict the outcome of legal or other proceedings with certainty.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and Exchange Commission (“SEC”) Inquiries</w:t>
      </w:r>
    </w:p>
    <w:p>
      <w:pPr>
        <w:spacing w:after="0" w:line="2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Since fiscal year 2019, the Company has received inquiries from the SEC into the facts and circumstances of the 2019 Investigation and has fully cooperated with these inquiries.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has entered into various operating lease obligations. See </w:t>
      </w:r>
      <w:r>
        <w:rPr>
          <w:rFonts w:ascii="Arial" w:cs="Arial" w:eastAsia="Arial" w:hAnsi="Arial"/>
          <w:sz w:val="18"/>
          <w:szCs w:val="18"/>
          <w:i w:val="1"/>
          <w:iCs w:val="1"/>
          <w:color w:val="auto"/>
        </w:rPr>
        <w:t>Note 3 - Leases</w:t>
      </w:r>
      <w:r>
        <w:rPr>
          <w:rFonts w:ascii="Arial" w:cs="Arial" w:eastAsia="Arial" w:hAnsi="Arial"/>
          <w:sz w:val="18"/>
          <w:szCs w:val="18"/>
          <w:color w:val="auto"/>
        </w:rPr>
        <w:t xml:space="preserve"> for additional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the Company had firm commitments to purchase inventory of approximately $16 million over the next two years.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 member of our Board of Directors serves as a strategic advisor to a consulting firm that we utilize for payments analytics and advisory services. These services are utilized by the Company to reduce the cost of our interchange and other processing fees charged by payment processors and credit card networks. As consideration for the services, we pay the consulting firm a success fee based on the savings realized by the Company and a recurring monthly subscription fee for the analytics services. The total expense recognized within Cost of subscription and transaction fees for the three months ended September 30, 2022 and 2021 for these arrangements was $0.1 million and $0.3 million,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See Note 13 - Equity for information on transactions relating to Hudson Executive.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 should be read in conjunction with the condensed consolidated financial statements and related notes included in this Form 10-Q.</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Form 10-Q contains certain forward-looking statements within the meaning of Section 21E of the Securities Exchange Act of 1934, as amended, regarding, among other things, the anticipated financial and operating results of Cantaloupe, Inc. (“Cantaloupe” or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126" w:lineRule="exact"/>
        <w:rPr>
          <w:sz w:val="20"/>
          <w:szCs w:val="20"/>
          <w:color w:val="auto"/>
        </w:rPr>
      </w:pPr>
    </w:p>
    <w:p>
      <w:pPr>
        <w:ind w:left="480" w:hanging="310"/>
        <w:spacing w:after="0"/>
        <w:tabs>
          <w:tab w:leader="none" w:pos="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general economic, market or business conditions unrelated to our operating performance, including the impact of the ongoing COVID-19 pandemic;</w:t>
      </w:r>
    </w:p>
    <w:p>
      <w:pPr>
        <w:spacing w:after="0" w:line="221" w:lineRule="exact"/>
        <w:rPr>
          <w:rFonts w:ascii="Arial" w:cs="Arial" w:eastAsia="Arial" w:hAnsi="Arial"/>
          <w:sz w:val="16"/>
          <w:szCs w:val="16"/>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mutations of COVID-19 and the efficacy of vaccines and treatment developments and their deployment;</w:t>
      </w:r>
    </w:p>
    <w:p>
      <w:pPr>
        <w:spacing w:after="0" w:line="184"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the financial covenants in the Amended JPMorgan Credit Facility (as defined below);</w:t>
      </w:r>
    </w:p>
    <w:p>
      <w:pPr>
        <w:spacing w:after="0" w:line="117"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funds in the future through sales of securities or debt financing in order to sustain operations in the normal course of business or if an unexpected or unusual event were to occur;</w:t>
      </w:r>
    </w:p>
    <w:p>
      <w:pPr>
        <w:spacing w:after="0" w:line="62"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with our competitors and increase market share;</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in or inefficiencies to our supply chain and/or operations including the impacts of the COVID-19 pandemic;</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risks related to the availability of, and cost inflation in, supply chain inputs, including labor, raw materials, packaging and transportation;</w:t>
      </w:r>
    </w:p>
    <w:p>
      <w:pPr>
        <w:spacing w:after="0" w:line="128" w:lineRule="exact"/>
        <w:rPr>
          <w:rFonts w:ascii="Arial" w:cs="Arial" w:eastAsia="Arial" w:hAnsi="Arial"/>
          <w:sz w:val="17"/>
          <w:szCs w:val="17"/>
          <w:color w:val="auto"/>
        </w:rPr>
      </w:pPr>
    </w:p>
    <w:p>
      <w:pPr>
        <w:ind w:left="500" w:hanging="330"/>
        <w:spacing w:after="0" w:line="277"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our current or future customers purchase, lease, rent or utilize ePort devices, Seed’s software solutions or our other products in the future at levels currently anticipated;</w:t>
      </w:r>
    </w:p>
    <w:p>
      <w:pPr>
        <w:spacing w:after="0" w:line="62"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our customers continue to utilize the Company’s transaction processing and related services, as our customer agreements are generally cancellable by the customer on thirty to sixty days’ notice;</w:t>
      </w:r>
    </w:p>
    <w:p>
      <w:pPr>
        <w:spacing w:after="0" w:line="62"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satisfy our trade obligations included in accounts payable and accrued expenses;</w:t>
      </w:r>
    </w:p>
    <w:p>
      <w:pPr>
        <w:spacing w:after="0" w:line="117"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incurrence by us of any unanticipated or unusual non-operating expenses, which may require us to divert our cash resources from achieving our business plan;</w:t>
      </w:r>
    </w:p>
    <w:p>
      <w:pPr>
        <w:spacing w:after="0" w:line="62"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predict or estimate our future quarterly or annual revenue and expenses given the developing and unpredictable market for our products;</w:t>
      </w:r>
    </w:p>
    <w:p>
      <w:pPr>
        <w:spacing w:after="0" w:line="62"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integrate acquired companies into our current products and services structure;</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key customers from whom a significant portion of our revenue is derived;</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a key customer to reduce or delay purchasing products from us;</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widespread commercial acceptance of our products and service offerings;</w:t>
      </w:r>
    </w:p>
    <w:p>
      <w:pPr>
        <w:spacing w:after="0" w:line="117"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any patents issued to us will provide any competitive advantages or adequate protection for our products, or would be challenged, invalidated or circumvented by others;</w:t>
      </w:r>
    </w:p>
    <w:p>
      <w:pPr>
        <w:spacing w:after="0" w:line="62"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operate without infringing the intellectual property rights of others;</w:t>
      </w:r>
    </w:p>
    <w:p>
      <w:pPr>
        <w:spacing w:after="0" w:line="10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products and services to avoid disruptions to our systems or unauthorized hacking or credit card fraud;</w:t>
      </w:r>
    </w:p>
    <w:p>
      <w:pPr>
        <w:spacing w:after="0" w:line="10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geopolitical conflicts, such as the ongoing conflict between Russia and Ukraine;</w:t>
      </w:r>
    </w:p>
    <w:p>
      <w:pPr>
        <w:spacing w:after="0" w:line="117" w:lineRule="exact"/>
        <w:rPr>
          <w:rFonts w:ascii="Arial" w:cs="Arial" w:eastAsia="Arial" w:hAnsi="Arial"/>
          <w:sz w:val="18"/>
          <w:szCs w:val="18"/>
          <w:color w:val="auto"/>
        </w:rPr>
      </w:pPr>
    </w:p>
    <w:p>
      <w:pPr>
        <w:jc w:val="both"/>
        <w:ind w:left="500" w:hanging="330"/>
        <w:spacing w:after="0" w:line="263"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we are able to fully remediate our material weaknesses in our internal controls over financial reporting or continue to experience material weaknesses in our internal controls over financial reporting in the future, and are not able to accurately or timely report our financial condition or results of operations;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 w:hanging="330"/>
        <w:spacing w:after="0" w:line="277" w:lineRule="auto"/>
        <w:tabs>
          <w:tab w:leader="none" w:pos="49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remain in compliance with the continued listing standards of the Nasdaq Global Select Market (“Nasdaq”) and continue to remain as a member of the US Small-Cap Russell 2000®;</w:t>
      </w:r>
    </w:p>
    <w:p>
      <w:pPr>
        <w:spacing w:after="0" w:line="62" w:lineRule="exact"/>
        <w:rPr>
          <w:rFonts w:ascii="Arial" w:cs="Arial" w:eastAsia="Arial" w:hAnsi="Arial"/>
          <w:sz w:val="18"/>
          <w:szCs w:val="18"/>
          <w:color w:val="auto"/>
        </w:rPr>
      </w:pPr>
    </w:p>
    <w:p>
      <w:pPr>
        <w:ind w:left="480" w:hanging="310"/>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our suppliers would increase their prices, reduce their output or change their terms of sale; and</w:t>
      </w:r>
    </w:p>
    <w:p>
      <w:pPr>
        <w:spacing w:after="0" w:line="117" w:lineRule="exact"/>
        <w:rPr>
          <w:rFonts w:ascii="Arial" w:cs="Arial" w:eastAsia="Arial" w:hAnsi="Arial"/>
          <w:sz w:val="18"/>
          <w:szCs w:val="18"/>
          <w:color w:val="auto"/>
        </w:rPr>
      </w:pPr>
    </w:p>
    <w:p>
      <w:pPr>
        <w:jc w:val="both"/>
        <w:ind w:left="500" w:hanging="330"/>
        <w:spacing w:after="0" w:line="259" w:lineRule="auto"/>
        <w:tabs>
          <w:tab w:leader="none" w:pos="49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risks associated with the currently pending investigation, potential litigation or possible regulatory action arising from the 2019 Investigation (as defined below) and its findings, from the failure to timely file our periodic reports with the Securities and Exchange Commission, from the restatement of the affected financial statements, from allegations related to the registration statement for the follow-on public offering, or from potential litigation or other claims arising from these events.</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or those discussed under Part I, Item 1A. “Risk Factors” of our Annual Report on Form 10-K for the fiscal year ended June 30, 2022 (“2022 Form 10-K”).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COMPANY</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Cantaloupe, Inc., is organized under the laws of the Commonwealth of Pennsylvania. We are a digital payments and software services company that provides end-to-end technology solutions for the unattended retail market. We are transforming the unattended retail world by offering a single platform for self-service commerce which includes integrated payments processing and software solutions that handle inventory management, pre-kitting, route logistics, warehouse and back-office management. Our enterprise-wide platform is designed to increase consumer engagement and sales revenue through digital payments, digital advertising and customer loyalty programs, while providing retailers with control and visibility over their operations and inventory. As a result, customers ranging from vending machine companies to operators of micro-markets, car wash, electric vehicle charging stations, commercial laundry, kiosks, amusements and more, can run their businesses more proactively, predictably, and competitively.</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fiscal year ends June 30. The Company generates revenues in multiple ways. During the three months ended September 30, 2022, we derived approximately 81% and 19% from subscription and transaction fees and equipment sales, respectively. During the three months ended September 30, 2021, we derived approximately 89% and 11% from subscription and transaction fees and equipment sales, respectively.</w:t>
      </w:r>
    </w:p>
    <w:p>
      <w:pPr>
        <w:spacing w:after="0" w:line="3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Active Devices (as defined below) operating on the Company’s platform and using our services include those resulting from the sale or lease of our point of sale ("POS") electronic payment devices, telemetry devices or certified payment software or the servicing of similar third-party installed POS terminals or telemetry devices. Customers can obtain POS electronic payment devices from us in the following ways:</w:t>
      </w:r>
    </w:p>
    <w:p>
      <w:pPr>
        <w:spacing w:after="0" w:line="7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Purchasing devices directly from the Company or one of its authorized resellers;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Financing devices under the Company’s QuickStart Program, which are non-cancellable sixty-month sales-type leases, through an unrelated equipment financing company, if available, or directly from the Company; and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Renting devices under the Company’s JumpStart Program, which are typically 36 months duration agreements and are cancellable with 30 to 60 days' written notice.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3G Network discontinuation and upgrade cycle</w:t>
      </w:r>
    </w:p>
    <w:p>
      <w:pPr>
        <w:spacing w:after="0" w:line="1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currently has a large customer base with over 1 million Active Devices connected to our platform which we have built over 30 years of being a key player in the unattended retail industry. The major telecommunication service providers in North America have been phasing out older generation cellular networks (2G and 3G networks) over the past year due to capacity and bandwidth limitations to make room for newer technologies that are faster, more reliable, provides a wider range of coverage, and overall enables a more responsive device.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significant portion of our customer base and Active Devices were impacted by the discontinuation of the 3G wireless networks as these devices would be unable to operate after December 31, 2022. Our transition away from the 3G wireless network is nearing completion as the major cellular service providers phase these networks out in North America by December 31, 2022. The upgrade in cellular networks has impacted our industry and has required the Company to offer discounts to strategic customers especially during fiscal year 2023 to ensure that our existing customer base is properly transitioned to the new platform. These discounts, which we expect to continue through the end of the calendar year, contributed to the decrease in our equipment sales margin in the current quarter.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 during the Quarter</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Key developments of the Company for the fiscal quarter ended September 30, 2022 are below:</w:t>
      </w:r>
    </w:p>
    <w:p>
      <w:pPr>
        <w:spacing w:after="0" w:line="17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25,019 Active Customers (as defined below) and 1.15 million Active Devices on our service;</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Revenues of $57.8 million, an increase of 26% year over year. The increase was led by a sixth consecutive quarter of record transaction fees revenue;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finalized the migration of payment processors to Fiserv which we expect to deliver future cost savings;</w:t>
      </w:r>
    </w:p>
    <w:p>
      <w:pPr>
        <w:spacing w:after="0" w:line="171"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July 2022, we migrated our cloud hosting services to Amazon Web Services (AWS) platform. Outside of software development costs, we incurred one-time costs of approximately $1 million during the fiscal quarter across transaction processing fees, professional services fees and other costs to implement and stabilize our platform. Completion of this migration supports our continued focus on ensuring we have a reliable, resilient and scalable infrastructure to support our growing network of devices and customers;</w:t>
      </w:r>
    </w:p>
    <w:p>
      <w:pPr>
        <w:spacing w:after="0" w:line="117"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had approximately of $1.8 million of increased costs of equipment sales associated with inflation experienced within our supply chain and unfavorable prices paid to secure certain key component parts to meet production and delivery timelines caused by a greater than anticipated surge in the demand for our ePort hardware products. The increased demand related to our customers upgrading their payment devices in anticipation of the 3G network discontinuation events described above; and</w:t>
      </w:r>
    </w:p>
    <w:p>
      <w:pPr>
        <w:spacing w:after="0" w:line="132"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continue to see significant customer interest and growth in the newly launched Cantaloupe ONE Platform, a bundled subscription model, which provides operators the flexibility and predictability of a monthly, fixed subscription amount covering the hardware and service fees.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2022, we have approximately 225 employees across the United States and offices in Malvern, Pennsylvania and Atlanta, Georgia.</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5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its employees, and its customers operate in geographic locations in which its business operations and financial performance continues to be affected by the COVID-19 pandemic. While businesses, schools and other organizations re-open, which has led to increased foot-traffic to distributed assets containing our electronic payment solutions, the emergence of new strains and variants and resurgence of the virus, such as the outbreak of the Omicron variant in early calendar year 2022, have led and may in the future lead to additional shutdowns, closures, and other follow-on impacts including supply chain disruptions, which may impact our operations and financial results. During fiscal year 2023, we experienced elevated component and supply chain costs necessary for the production and distribution of our hardware products. Such impacts to our financial statements include, but are not limited to, increased costs of sales incurred, impairment of goodwill and intangible assets, impairment of long-lived assets including operating lease assets, property and equipment and allowance for doubtful accounts for accounts and finance receivables. We have concluded that there are no material impairments as a result of our evaluation for the quarter ended September 30, 2022. Where applicable, we have incorporated judgments and estimates of the expected impact of COVID-19 in the preparation of the financial statements based on information currently available. These judgments and estimates may change, as new events develop and additional information is obtained, and are recognized in the condensed consolidated financial statements as soon as they become known.</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continue to monitor the evolving situation and follow guidance from federal, state and local public health authorities. Given the potential uncertainty of the situation, the Company cannot, at this time, reasonably estimate the longer-term repercussions of COVID-19 on our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discussion should be read in conjunction with the condensed consolidated financial statements and related notes included in this Form 10-Q.</w:t>
      </w:r>
    </w:p>
    <w:p>
      <w:pPr>
        <w:spacing w:after="0" w:line="2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shows certain financial and non-financial data that management believes give readers insight into certain trends and relationships about the Company’s financial performance. We believe the metrics (Active Devices, Active Customers, Total Number of Transactions and Total Dollar Volume) are useful in allowing management and readers to evaluate our strategy of driving growth in devices and transactions.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Devices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Active Devices are devices that have communicated with us or have had a transaction in the last twelve months. Included in the number of Active Devices are devices that communicate through other devices that communicate or transact with us. A self-service retail location that utilizes an ePort cashless payment device as well as Seed management services constitutes only one device.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Customers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Company defines Active Customers as all customers with at least one active device.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Number of Transactions and Total Dollar Volume of Transactions</w:t>
      </w:r>
    </w:p>
    <w:p>
      <w:pPr>
        <w:spacing w:after="0" w:line="23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Transactions are defined as electronic payment transactions that are processed by our technology-enabled solutions. Management uses Total Number and Dollar Volume of transactions to monitor recovery from the COVID-19 pandemic and to evaluate the effectiveness of our new customer strategy and our ability to leverage existing customers and partners.</w:t>
      </w:r>
    </w:p>
    <w:p>
      <w:pPr>
        <w:spacing w:after="0" w:line="324"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As of and for the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32385</wp:posOffset>
            </wp:positionV>
            <wp:extent cx="44405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440555" cy="8255"/>
                    </a:xfrm>
                    <a:prstGeom prst="rect">
                      <a:avLst/>
                    </a:prstGeom>
                    <a:noFill/>
                  </pic:spPr>
                </pic:pic>
              </a:graphicData>
            </a:graphic>
          </wp:anchor>
        </w:drawing>
      </w:r>
    </w:p>
    <w:p>
      <w:pPr>
        <w:spacing w:after="0" w:line="35" w:lineRule="exact"/>
        <w:rPr>
          <w:sz w:val="20"/>
          <w:szCs w:val="20"/>
          <w:color w:val="auto"/>
        </w:rPr>
      </w:pPr>
    </w:p>
    <w:p>
      <w:pPr>
        <w:ind w:left="4280"/>
        <w:spacing w:after="0"/>
        <w:tabs>
          <w:tab w:leader="none" w:pos="5860" w:val="left"/>
          <w:tab w:leader="none" w:pos="7220" w:val="left"/>
          <w:tab w:leader="none" w:pos="8520" w:val="left"/>
          <w:tab w:leader="none" w:pos="9940" w:val="left"/>
        </w:tabs>
        <w:rPr>
          <w:sz w:val="20"/>
          <w:szCs w:val="20"/>
          <w:color w:val="auto"/>
        </w:rPr>
      </w:pPr>
      <w:r>
        <w:rPr>
          <w:rFonts w:ascii="Arial" w:cs="Arial" w:eastAsia="Arial" w:hAnsi="Arial"/>
          <w:sz w:val="14"/>
          <w:szCs w:val="14"/>
          <w:b w:val="1"/>
          <w:bCs w:val="1"/>
          <w:color w:val="auto"/>
        </w:rPr>
        <w:t>September 30, 2022</w:t>
      </w:r>
      <w:r>
        <w:rPr>
          <w:sz w:val="20"/>
          <w:szCs w:val="20"/>
          <w:color w:val="auto"/>
        </w:rPr>
        <w:tab/>
      </w:r>
      <w:r>
        <w:rPr>
          <w:rFonts w:ascii="Arial" w:cs="Arial" w:eastAsia="Arial" w:hAnsi="Arial"/>
          <w:sz w:val="14"/>
          <w:szCs w:val="14"/>
          <w:b w:val="1"/>
          <w:bCs w:val="1"/>
          <w:color w:val="auto"/>
        </w:rPr>
        <w:t>June 30, 2022</w:t>
      </w:r>
      <w:r>
        <w:rPr>
          <w:sz w:val="20"/>
          <w:szCs w:val="20"/>
          <w:color w:val="auto"/>
        </w:rPr>
        <w:tab/>
      </w:r>
      <w:r>
        <w:rPr>
          <w:rFonts w:ascii="Arial" w:cs="Arial" w:eastAsia="Arial" w:hAnsi="Arial"/>
          <w:sz w:val="14"/>
          <w:szCs w:val="14"/>
          <w:b w:val="1"/>
          <w:bCs w:val="1"/>
          <w:color w:val="auto"/>
        </w:rPr>
        <w:t>March 31, 2022</w:t>
      </w:r>
      <w:r>
        <w:rPr>
          <w:sz w:val="20"/>
          <w:szCs w:val="20"/>
          <w:color w:val="auto"/>
        </w:rPr>
        <w:tab/>
      </w:r>
      <w:r>
        <w:rPr>
          <w:rFonts w:ascii="Arial" w:cs="Arial" w:eastAsia="Arial" w:hAnsi="Arial"/>
          <w:sz w:val="14"/>
          <w:szCs w:val="14"/>
          <w:b w:val="1"/>
          <w:bCs w:val="1"/>
          <w:color w:val="auto"/>
        </w:rPr>
        <w:t>December 31, 2021</w:t>
      </w:r>
      <w:r>
        <w:rPr>
          <w:sz w:val="20"/>
          <w:szCs w:val="20"/>
          <w:color w:val="auto"/>
        </w:rPr>
        <w:tab/>
      </w:r>
      <w:r>
        <w:rPr>
          <w:rFonts w:ascii="Arial" w:cs="Arial" w:eastAsia="Arial" w:hAnsi="Arial"/>
          <w:sz w:val="12"/>
          <w:szCs w:val="12"/>
          <w:b w:val="1"/>
          <w:bCs w:val="1"/>
          <w:color w:val="auto"/>
        </w:rPr>
        <w:t>September 30, 2021</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15175"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Active Devices (thousands)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Customers: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Active Customers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Volumes: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Number of Transactions (millions)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Dollar Volume of Transactions (millions)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Highlights for the quarter ended September 30, 2022 include:</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jc w:val="right"/>
              <w:ind w:right="370"/>
              <w:spacing w:after="0"/>
              <w:rPr>
                <w:sz w:val="20"/>
                <w:szCs w:val="20"/>
                <w:color w:val="auto"/>
              </w:rPr>
            </w:pPr>
            <w:r>
              <w:rPr>
                <w:rFonts w:ascii="Arial" w:cs="Arial" w:eastAsia="Arial" w:hAnsi="Arial"/>
                <w:sz w:val="18"/>
                <w:szCs w:val="18"/>
                <w:color w:val="auto"/>
              </w:rPr>
              <w:t>1,151</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1,137</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1,125</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1,123</w:t>
            </w:r>
          </w:p>
        </w:tc>
        <w:tc>
          <w:tcPr>
            <w:tcW w:w="960" w:type="dxa"/>
            <w:vAlign w:val="bottom"/>
          </w:tcPr>
          <w:p>
            <w:pPr>
              <w:jc w:val="right"/>
              <w:spacing w:after="0"/>
              <w:rPr>
                <w:sz w:val="20"/>
                <w:szCs w:val="20"/>
                <w:color w:val="auto"/>
              </w:rPr>
            </w:pPr>
            <w:r>
              <w:rPr>
                <w:rFonts w:ascii="Arial" w:cs="Arial" w:eastAsia="Arial" w:hAnsi="Arial"/>
                <w:sz w:val="18"/>
                <w:szCs w:val="18"/>
                <w:color w:val="auto"/>
              </w:rPr>
              <w:t>1,115</w:t>
            </w:r>
          </w:p>
        </w:tc>
      </w:tr>
      <w:tr>
        <w:trPr>
          <w:trHeight w:val="769"/>
        </w:trPr>
        <w:tc>
          <w:tcPr>
            <w:tcW w:w="960" w:type="dxa"/>
            <w:vAlign w:val="bottom"/>
          </w:tcPr>
          <w:p>
            <w:pPr>
              <w:jc w:val="right"/>
              <w:ind w:right="370"/>
              <w:spacing w:after="0"/>
              <w:rPr>
                <w:sz w:val="20"/>
                <w:szCs w:val="20"/>
                <w:color w:val="auto"/>
              </w:rPr>
            </w:pPr>
            <w:r>
              <w:rPr>
                <w:rFonts w:ascii="Arial" w:cs="Arial" w:eastAsia="Arial" w:hAnsi="Arial"/>
                <w:sz w:val="18"/>
                <w:szCs w:val="18"/>
                <w:color w:val="auto"/>
                <w:w w:val="87"/>
              </w:rPr>
              <w:t>25,019</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23,991</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22,818</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21,315</w:t>
            </w:r>
          </w:p>
        </w:tc>
        <w:tc>
          <w:tcPr>
            <w:tcW w:w="960" w:type="dxa"/>
            <w:vAlign w:val="bottom"/>
          </w:tcPr>
          <w:p>
            <w:pPr>
              <w:jc w:val="right"/>
              <w:spacing w:after="0"/>
              <w:rPr>
                <w:sz w:val="20"/>
                <w:szCs w:val="20"/>
                <w:color w:val="auto"/>
              </w:rPr>
            </w:pPr>
            <w:r>
              <w:rPr>
                <w:rFonts w:ascii="Arial" w:cs="Arial" w:eastAsia="Arial" w:hAnsi="Arial"/>
                <w:sz w:val="18"/>
                <w:szCs w:val="18"/>
                <w:color w:val="auto"/>
              </w:rPr>
              <w:t>20,738</w:t>
            </w:r>
          </w:p>
        </w:tc>
      </w:tr>
      <w:tr>
        <w:trPr>
          <w:trHeight w:val="770"/>
        </w:trPr>
        <w:tc>
          <w:tcPr>
            <w:tcW w:w="960" w:type="dxa"/>
            <w:vAlign w:val="bottom"/>
          </w:tcPr>
          <w:p>
            <w:pPr>
              <w:jc w:val="right"/>
              <w:ind w:right="370"/>
              <w:spacing w:after="0"/>
              <w:rPr>
                <w:sz w:val="20"/>
                <w:szCs w:val="20"/>
                <w:color w:val="auto"/>
              </w:rPr>
            </w:pPr>
            <w:r>
              <w:rPr>
                <w:rFonts w:ascii="Arial" w:cs="Arial" w:eastAsia="Arial" w:hAnsi="Arial"/>
                <w:sz w:val="18"/>
                <w:szCs w:val="18"/>
                <w:color w:val="auto"/>
              </w:rPr>
              <w:t>276.3</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274.6</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258.6</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261.7</w:t>
            </w:r>
          </w:p>
        </w:tc>
        <w:tc>
          <w:tcPr>
            <w:tcW w:w="960" w:type="dxa"/>
            <w:vAlign w:val="bottom"/>
          </w:tcPr>
          <w:p>
            <w:pPr>
              <w:jc w:val="right"/>
              <w:spacing w:after="0"/>
              <w:rPr>
                <w:sz w:val="20"/>
                <w:szCs w:val="20"/>
                <w:color w:val="auto"/>
              </w:rPr>
            </w:pPr>
            <w:r>
              <w:rPr>
                <w:rFonts w:ascii="Arial" w:cs="Arial" w:eastAsia="Arial" w:hAnsi="Arial"/>
                <w:sz w:val="18"/>
                <w:szCs w:val="18"/>
                <w:color w:val="auto"/>
              </w:rPr>
              <w:t>257.9</w:t>
            </w:r>
          </w:p>
        </w:tc>
      </w:tr>
      <w:tr>
        <w:trPr>
          <w:trHeight w:val="270"/>
        </w:trPr>
        <w:tc>
          <w:tcPr>
            <w:tcW w:w="960" w:type="dxa"/>
            <w:vAlign w:val="bottom"/>
          </w:tcPr>
          <w:p>
            <w:pPr>
              <w:jc w:val="right"/>
              <w:ind w:right="370"/>
              <w:spacing w:after="0"/>
              <w:rPr>
                <w:sz w:val="20"/>
                <w:szCs w:val="20"/>
                <w:color w:val="auto"/>
              </w:rPr>
            </w:pPr>
            <w:r>
              <w:rPr>
                <w:rFonts w:ascii="Arial" w:cs="Arial" w:eastAsia="Arial" w:hAnsi="Arial"/>
                <w:sz w:val="18"/>
                <w:szCs w:val="18"/>
                <w:color w:val="auto"/>
              </w:rPr>
              <w:t>639.5</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616.1</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562.0</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555.3</w:t>
            </w:r>
          </w:p>
        </w:tc>
        <w:tc>
          <w:tcPr>
            <w:tcW w:w="960" w:type="dxa"/>
            <w:vAlign w:val="bottom"/>
          </w:tcPr>
          <w:p>
            <w:pPr>
              <w:jc w:val="right"/>
              <w:spacing w:after="0"/>
              <w:rPr>
                <w:sz w:val="20"/>
                <w:szCs w:val="20"/>
                <w:color w:val="auto"/>
              </w:rPr>
            </w:pPr>
            <w:r>
              <w:rPr>
                <w:rFonts w:ascii="Arial" w:cs="Arial" w:eastAsia="Arial" w:hAnsi="Arial"/>
                <w:sz w:val="18"/>
                <w:szCs w:val="18"/>
                <w:color w:val="auto"/>
              </w:rPr>
              <w:t>553.4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-1130935</wp:posOffset>
            </wp:positionV>
            <wp:extent cx="711517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-814070</wp:posOffset>
            </wp:positionV>
            <wp:extent cx="711517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-471170</wp:posOffset>
            </wp:positionV>
            <wp:extent cx="711517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-153670</wp:posOffset>
            </wp:positionV>
            <wp:extent cx="711517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917" w:lineRule="exact"/>
        <w:rPr>
          <w:sz w:val="20"/>
          <w:szCs w:val="20"/>
          <w:color w:val="auto"/>
        </w:rPr>
      </w:pPr>
    </w:p>
    <w:p>
      <w:pPr>
        <w:sectPr>
          <w:pgSz w:w="11900" w:h="16838" w:orient="portrait"/>
          <w:cols w:equalWidth="0" w:num="2">
            <w:col w:w="4440" w:space="520"/>
            <w:col w:w="6280"/>
          </w:cols>
          <w:pgMar w:left="320" w:top="125" w:right="339" w:bottom="1440" w:gutter="0" w:footer="0" w:header="0"/>
          <w:type w:val="continuous"/>
        </w:sectPr>
      </w:pPr>
    </w:p>
    <w:p>
      <w:pPr>
        <w:ind w:left="6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1.15 million Active Devices compared to the same quarter last year of 1.11 million, an increase of approximately 36 thousand Active Devices, or 3%;</w:t>
      </w: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25,019 Active Customers on our service compared to the same quarter last year of 20,738, an increase of 4,281 Active Customers, or 21%; and</w:t>
      </w:r>
    </w:p>
    <w:p>
      <w:pPr>
        <w:spacing w:after="0" w:line="32" w:lineRule="exact"/>
        <w:rPr>
          <w:rFonts w:ascii="Arial" w:cs="Arial" w:eastAsia="Arial" w:hAnsi="Arial"/>
          <w:sz w:val="16"/>
          <w:szCs w:val="16"/>
          <w:color w:val="auto"/>
        </w:rPr>
      </w:pPr>
    </w:p>
    <w:p>
      <w:pPr>
        <w:jc w:val="both"/>
        <w:ind w:left="660" w:hanging="328"/>
        <w:spacing w:after="0" w:line="255" w:lineRule="auto"/>
        <w:tabs>
          <w:tab w:leader="none" w:pos="655"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$639.5 million in Total Dollar Volume of Transactions for the quarter ended September 30, 2022 compared to $553.4 million for the quarter ended September 30, 2021, an increase of $86.1 million, or 16%. See "Revenues and Gross Profit" in Management’s Discussion and Analysis of Financial Condition and Results of Operations below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PERFORMANCE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our results of operations and significant changes in our financial performance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5657850" cy="6644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6644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2022 Compared to Three Months Ended September 30,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Profit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15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6"/>
        </w:trPr>
        <w:tc>
          <w:tcPr>
            <w:tcW w:w="6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ind w:left="32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540" w:type="dxa"/>
            <w:vAlign w:val="bottom"/>
          </w:tcPr>
          <w:p>
            <w:pPr>
              <w:jc w:val="right"/>
              <w:ind w:right="45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6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gridSpan w:val="2"/>
          </w:tcPr>
          <w:p>
            <w:pPr>
              <w:ind w:left="140"/>
              <w:spacing w:after="0"/>
              <w:rPr>
                <w:sz w:val="20"/>
                <w:szCs w:val="20"/>
                <w:color w:val="auto"/>
              </w:rPr>
            </w:pPr>
            <w:r>
              <w:rPr>
                <w:rFonts w:ascii="Arial" w:cs="Arial" w:eastAsia="Arial" w:hAnsi="Arial"/>
                <w:sz w:val="18"/>
                <w:szCs w:val="18"/>
                <w:color w:val="auto"/>
              </w:rPr>
              <w:t>Subscription and transaction fees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ind w:left="500"/>
              <w:spacing w:after="0"/>
              <w:rPr>
                <w:sz w:val="20"/>
                <w:szCs w:val="20"/>
                <w:color w:val="auto"/>
              </w:rPr>
            </w:pPr>
            <w:r>
              <w:rPr>
                <w:rFonts w:ascii="Arial" w:cs="Arial" w:eastAsia="Arial" w:hAnsi="Arial"/>
                <w:sz w:val="18"/>
                <w:szCs w:val="18"/>
                <w:color w:val="auto"/>
              </w:rPr>
              <w:t>47,075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40,625</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15.9 %</w:t>
            </w: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Equipment sales</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10,707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5,155</w:t>
            </w:r>
          </w:p>
        </w:tc>
        <w:tc>
          <w:tcPr>
            <w:tcW w:w="12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107.7 %</w:t>
            </w:r>
          </w:p>
        </w:tc>
        <w:tc>
          <w:tcPr>
            <w:tcW w:w="0" w:type="dxa"/>
            <w:vAlign w:val="bottom"/>
          </w:tcPr>
          <w:p>
            <w:pPr>
              <w:spacing w:after="0"/>
              <w:rPr>
                <w:sz w:val="1"/>
                <w:szCs w:val="1"/>
                <w:color w:val="auto"/>
              </w:rPr>
            </w:pPr>
          </w:p>
        </w:tc>
      </w:tr>
      <w:tr>
        <w:trPr>
          <w:trHeight w:val="223"/>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Total revenues</w:t>
            </w:r>
          </w:p>
        </w:tc>
        <w:tc>
          <w:tcPr>
            <w:tcW w:w="300" w:type="dxa"/>
            <w:vAlign w:val="bottom"/>
          </w:tcPr>
          <w:p>
            <w:pPr>
              <w:spacing w:after="0"/>
              <w:rPr>
                <w:sz w:val="19"/>
                <w:szCs w:val="19"/>
                <w:color w:val="auto"/>
              </w:rPr>
            </w:pPr>
          </w:p>
        </w:tc>
        <w:tc>
          <w:tcPr>
            <w:tcW w:w="1220" w:type="dxa"/>
            <w:vAlign w:val="bottom"/>
          </w:tcPr>
          <w:p>
            <w:pPr>
              <w:ind w:left="500"/>
              <w:spacing w:after="0"/>
              <w:rPr>
                <w:sz w:val="20"/>
                <w:szCs w:val="20"/>
                <w:color w:val="auto"/>
              </w:rPr>
            </w:pPr>
            <w:r>
              <w:rPr>
                <w:rFonts w:ascii="Arial" w:cs="Arial" w:eastAsia="Arial" w:hAnsi="Arial"/>
                <w:sz w:val="18"/>
                <w:szCs w:val="18"/>
                <w:color w:val="auto"/>
              </w:rPr>
              <w:t>57,782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45,780</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26.2 %</w:t>
            </w:r>
          </w:p>
        </w:tc>
        <w:tc>
          <w:tcPr>
            <w:tcW w:w="0" w:type="dxa"/>
            <w:vAlign w:val="bottom"/>
          </w:tcPr>
          <w:p>
            <w:pPr>
              <w:spacing w:after="0"/>
              <w:rPr>
                <w:sz w:val="1"/>
                <w:szCs w:val="1"/>
                <w:color w:val="auto"/>
              </w:rPr>
            </w:pPr>
          </w:p>
        </w:tc>
      </w:tr>
      <w:tr>
        <w:trPr>
          <w:trHeight w:val="257"/>
        </w:trPr>
        <w:tc>
          <w:tcPr>
            <w:tcW w:w="6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Costs of sales: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Cost of subscription and transaction fees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30,370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26,024</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16.7 %</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Cost of equipment sales</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13,250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4,880</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171.5 %</w:t>
            </w:r>
          </w:p>
        </w:tc>
        <w:tc>
          <w:tcPr>
            <w:tcW w:w="0" w:type="dxa"/>
            <w:vAlign w:val="bottom"/>
          </w:tcPr>
          <w:p>
            <w:pPr>
              <w:spacing w:after="0"/>
              <w:rPr>
                <w:sz w:val="1"/>
                <w:szCs w:val="1"/>
                <w:color w:val="auto"/>
              </w:rPr>
            </w:pPr>
          </w:p>
        </w:tc>
      </w:tr>
      <w:tr>
        <w:trPr>
          <w:trHeight w:val="223"/>
        </w:trPr>
        <w:tc>
          <w:tcPr>
            <w:tcW w:w="6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costs of sales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43,620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30,904</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41.1 %</w:t>
            </w:r>
          </w:p>
        </w:tc>
        <w:tc>
          <w:tcPr>
            <w:tcW w:w="0" w:type="dxa"/>
            <w:vAlign w:val="bottom"/>
          </w:tcPr>
          <w:p>
            <w:pPr>
              <w:spacing w:after="0"/>
              <w:rPr>
                <w:sz w:val="1"/>
                <w:szCs w:val="1"/>
                <w:color w:val="auto"/>
              </w:rPr>
            </w:pPr>
          </w:p>
        </w:tc>
      </w:tr>
      <w:tr>
        <w:trPr>
          <w:trHeight w:val="256"/>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gridSpan w:val="2"/>
          </w:tcPr>
          <w:p>
            <w:pPr>
              <w:ind w:left="140"/>
              <w:spacing w:after="0"/>
              <w:rPr>
                <w:sz w:val="20"/>
                <w:szCs w:val="20"/>
                <w:color w:val="auto"/>
              </w:rPr>
            </w:pPr>
            <w:r>
              <w:rPr>
                <w:rFonts w:ascii="Arial" w:cs="Arial" w:eastAsia="Arial" w:hAnsi="Arial"/>
                <w:sz w:val="18"/>
                <w:szCs w:val="18"/>
                <w:color w:val="auto"/>
              </w:rPr>
              <w:t>Subscription and transaction fees</w:t>
            </w:r>
          </w:p>
        </w:tc>
        <w:tc>
          <w:tcPr>
            <w:tcW w:w="300" w:type="dxa"/>
            <w:vAlign w:val="bottom"/>
          </w:tcPr>
          <w:p>
            <w:pPr>
              <w:spacing w:after="0"/>
              <w:rPr>
                <w:sz w:val="19"/>
                <w:szCs w:val="19"/>
                <w:color w:val="auto"/>
              </w:rPr>
            </w:pPr>
          </w:p>
        </w:tc>
        <w:tc>
          <w:tcPr>
            <w:tcW w:w="1220" w:type="dxa"/>
            <w:vAlign w:val="bottom"/>
          </w:tcPr>
          <w:p>
            <w:pPr>
              <w:ind w:left="500"/>
              <w:spacing w:after="0"/>
              <w:rPr>
                <w:sz w:val="20"/>
                <w:szCs w:val="20"/>
                <w:color w:val="auto"/>
              </w:rPr>
            </w:pPr>
            <w:r>
              <w:rPr>
                <w:rFonts w:ascii="Arial" w:cs="Arial" w:eastAsia="Arial" w:hAnsi="Arial"/>
                <w:sz w:val="18"/>
                <w:szCs w:val="18"/>
                <w:color w:val="auto"/>
              </w:rPr>
              <w:t>16,705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14,601</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Equipment sales</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(2,543)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(1,024.7)%</w:t>
            </w:r>
          </w:p>
        </w:tc>
        <w:tc>
          <w:tcPr>
            <w:tcW w:w="0" w:type="dxa"/>
            <w:vAlign w:val="bottom"/>
          </w:tcPr>
          <w:p>
            <w:pPr>
              <w:spacing w:after="0"/>
              <w:rPr>
                <w:sz w:val="1"/>
                <w:szCs w:val="1"/>
                <w:color w:val="auto"/>
              </w:rPr>
            </w:pPr>
          </w:p>
        </w:tc>
      </w:tr>
      <w:tr>
        <w:trPr>
          <w:trHeight w:val="223"/>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Total gross profit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14,162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14,876</w:t>
            </w:r>
          </w:p>
        </w:tc>
        <w:tc>
          <w:tcPr>
            <w:tcW w:w="12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Subscription and transaction fees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35.9 %</w:t>
            </w:r>
          </w:p>
        </w:tc>
        <w:tc>
          <w:tcPr>
            <w:tcW w:w="1660" w:type="dxa"/>
            <w:vAlign w:val="bottom"/>
            <w:shd w:val="clear" w:color="auto" w:fill="CCEEFF"/>
          </w:tcPr>
          <w:p>
            <w:pPr>
              <w:spacing w:after="0"/>
              <w:rPr>
                <w:sz w:val="19"/>
                <w:szCs w:val="19"/>
                <w:color w:val="auto"/>
              </w:rPr>
            </w:pPr>
          </w:p>
        </w:tc>
      </w:tr>
      <w:tr>
        <w:trPr>
          <w:trHeight w:val="230"/>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Equipment sales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5.3 %</w:t>
            </w:r>
          </w:p>
        </w:tc>
        <w:tc>
          <w:tcPr>
            <w:tcW w:w="1660" w:type="dxa"/>
            <w:vAlign w:val="bottom"/>
            <w:tcBorders>
              <w:bottom w:val="single" w:sz="8" w:color="CCEEFF"/>
            </w:tcBorders>
          </w:tcPr>
          <w:p>
            <w:pPr>
              <w:spacing w:after="0"/>
              <w:rPr>
                <w:sz w:val="19"/>
                <w:szCs w:val="19"/>
                <w:color w:val="auto"/>
              </w:rPr>
            </w:pPr>
          </w:p>
        </w:tc>
      </w:tr>
      <w:tr>
        <w:trPr>
          <w:trHeight w:val="248"/>
        </w:trPr>
        <w:tc>
          <w:tcPr>
            <w:tcW w:w="6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gross margin</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32.5 %</w:t>
            </w:r>
          </w:p>
        </w:tc>
        <w:tc>
          <w:tcPr>
            <w:tcW w:w="1660" w:type="dxa"/>
            <w:vAlign w:val="bottom"/>
            <w:tcBorders>
              <w:bottom w:val="single" w:sz="8" w:color="CCEEFF"/>
            </w:tcBorders>
            <w:shd w:val="clear" w:color="auto" w:fill="CCEEFF"/>
          </w:tcPr>
          <w:p>
            <w:pPr>
              <w:spacing w:after="0"/>
              <w:rPr>
                <w:sz w:val="21"/>
                <w:szCs w:val="2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Total revenues increased by $12.0 million for the three months ended September 30, 2022 compared to the same period in 2021. The increase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is attributed to a $6.5 million and $5.6 million increase in subscription and transaction fees and equipment sales, respectively.</w:t>
      </w:r>
    </w:p>
    <w:p>
      <w:pPr>
        <w:spacing w:after="0" w:line="16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increase in subscription and transaction fees is primarily driven by increased processing volumes, with an approximately 16% increase in total dollar volumes for the three months ended September 30, 2022 compared to the same period in 2021. We continue to benefit as businesses, schools and other organizations across the country continue to maintain normal levels of operations. Our subscription fees have increased 11% for the three months ended September 30, 2022 compared to the same period in 2021 which is attributed to a continued focus of management to grow our recurring subscription services to our customer base. Lastly we have experienced a 3% increase in the Active Devices count compared to the same period last year which has also contributed to an increase in subscription and transaction fees.</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increase in equipment sales relates to more equipment shipments in the current period compared to the same period in the last year driven by continued upgrades by our customers from 3G to 4G network compatible devices and customers upgrading their hardware devices to the latest payment technology security standards. We expect equipment sales to continue to be a significant contributor to our total revenues through the 3G network discontinuation date in North America through the end of the 2022 calendar year.</w:t>
      </w:r>
    </w:p>
    <w:p>
      <w:pPr>
        <w:spacing w:after="0" w:line="20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Cost of sales</w:t>
      </w:r>
      <w:r>
        <w:rPr>
          <w:rFonts w:ascii="Arial" w:cs="Arial" w:eastAsia="Arial" w:hAnsi="Arial"/>
          <w:sz w:val="17"/>
          <w:szCs w:val="17"/>
          <w:color w:val="auto"/>
        </w:rPr>
        <w:t>. Cost of sales increased $12.7 million for the three months ended September 30, 2022 compared to the same period in 2021. The increase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cost of sales is attributed to a $4.3 million and $8.4 million increase in subscription and transaction costs and equipment costs respectively. The increase in subscription and transaction costs was primarily driven by an increase in transaction processing fees corresponding with an increase in processing volumes and an one-time costs of approximately $0.8 million incurred during the current fiscal quarter due to additional transaction processing fees that were related to implementing and stabilizing our platform as part of the AWS migration.</w:t>
      </w:r>
    </w:p>
    <w:p>
      <w:pPr>
        <w:spacing w:after="0" w:line="19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increase in cost of sales for equipment was primarily driven by $1.8 million of increased cost experienced within our supply chain due to inflation and unfavorable prices paid to secure certain key component parts to meet production and delivery timelines caused by a greater than anticipated surge in the demand for our ePort hardware products. The increased demand related to our customers upgrading their payment devices in anticipation of the 3G network discontinuation events described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above (See 3G Network discontinuation and upgrade cycle section). We have taken steps to mitigate the impact of the materials shortages on our business, including increasing the amount of inventory we have on hand and negotiating fixed pricing with suppliers. We do however anticipate higher pricing levels on certain component parts as we conclude the 3G upgrade cycle through the end of the calendar year.</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Total gross margin decreased from 32.5% for the three months ended September 30, 2021 to 24.5%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The decrease in gross margin was primarily a result of lower equipment sales margins due to increased supply chain costs compared to same period in the prior year.</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Subscription and transaction fees gross margin was relatively consistent for the three months ended September 30, 2022 compared to the same period in 2021. However, we incurred one-time processing costs of approximately $0.8 million during the current fiscal quarter as a result of additional transaction processing fees to implement and stabilize our platform as part of the AWS migration. The increase in transaction fees costs were offset with lower costs for our payment processor and payment networks which were a result of migrating payment processors and negotiating favorable rates with the card network providers. Additionally, we have seen an increase in average price per transaction relative to the same period in the prior year, which is additive to our gross margin.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158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6"/>
        </w:trPr>
        <w:tc>
          <w:tcPr>
            <w:tcW w:w="6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Category ($ in thousands)</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6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580" w:type="dxa"/>
            <w:vAlign w:val="bottom"/>
          </w:tcPr>
          <w:p>
            <w:pPr>
              <w:jc w:val="right"/>
              <w:ind w:right="47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64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30"/>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Technology and product development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5,389</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27.4 %</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59.4 %</w:t>
            </w:r>
          </w:p>
        </w:tc>
        <w:tc>
          <w:tcPr>
            <w:tcW w:w="0" w:type="dxa"/>
            <w:vAlign w:val="bottom"/>
          </w:tcPr>
          <w:p>
            <w:pPr>
              <w:spacing w:after="0"/>
              <w:rPr>
                <w:sz w:val="1"/>
                <w:szCs w:val="1"/>
                <w:color w:val="auto"/>
              </w:rPr>
            </w:pPr>
          </w:p>
        </w:tc>
      </w:tr>
      <w:tr>
        <w:trPr>
          <w:trHeight w:val="230"/>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Investigation, proxy solicitation and restatement expenses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28.7 %</w:t>
            </w:r>
          </w:p>
        </w:tc>
        <w:tc>
          <w:tcPr>
            <w:tcW w:w="0" w:type="dxa"/>
            <w:vAlign w:val="bottom"/>
          </w:tcPr>
          <w:p>
            <w:pPr>
              <w:spacing w:after="0"/>
              <w:rPr>
                <w:sz w:val="1"/>
                <w:szCs w:val="1"/>
                <w:color w:val="auto"/>
              </w:rPr>
            </w:pPr>
          </w:p>
        </w:tc>
      </w:tr>
      <w:tr>
        <w:trPr>
          <w:trHeight w:val="223"/>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22,680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16,014</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41.6 %</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i w:val="1"/>
          <w:iCs w:val="1"/>
          <w:color w:val="auto"/>
        </w:rPr>
        <w:t xml:space="preserve">Total operating expenses. </w:t>
      </w:r>
      <w:r>
        <w:rPr>
          <w:rFonts w:ascii="Arial" w:cs="Arial" w:eastAsia="Arial" w:hAnsi="Arial"/>
          <w:sz w:val="18"/>
          <w:szCs w:val="18"/>
          <w:color w:val="auto"/>
        </w:rPr>
        <w:t>Operating expenses increased by $6.7 million for the three months ended September 30, 2022 compared to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2021. This change is attributed to an increase of $4.3 million in general and administrative expenses, a $1.5 million increase in technology and product development expenses and a $0.4 million increase in investigation, proxy solicitation and restatement expenses. See further details on individual categories below.</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increased approximately $0.2 million for the three months ended September 30, 2022,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2021 and relates primarily to higher sales and marketing employee headcount in the current quarter to support our expanding business and service offerings in the United States and internationally.</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 xml:space="preserve">Technology and product development. </w:t>
      </w:r>
      <w:r>
        <w:rPr>
          <w:rFonts w:ascii="Arial" w:cs="Arial" w:eastAsia="Arial" w:hAnsi="Arial"/>
          <w:sz w:val="17"/>
          <w:szCs w:val="17"/>
          <w:color w:val="auto"/>
        </w:rPr>
        <w:t>Technology and product development expenses increased approximately $1.5 million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2022, as compared to the same period in 2021. We have continued to execute on our key objectives of investing in innovative technologies to further strengthen our network environment and platform. The primary increase in technology and product development expenses for the three months ended September 30, 2022 related to increase in professional services relating to the AWS migration, developing a payment gateway for international expansion initiatives and implementing tools to monitor our network and infrastructure.</w:t>
      </w:r>
    </w:p>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increased approximately $4.3 million for the three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2022, as compared to the same period in 2021. The increase in general and administrative expenses was primarily driven by a $0.9 million increase in bad debt expense due to higher receivable balances and an increase in the aging profile of receivable balances, $0.3 million impairment of rental equipment as part of a contract extension with a large customer of the Company, $1.1 million increase in professional services fees relating to financial and legal services to expand and strengthen our market position and additional compliance costs incurred as a result of our delayed annual report filing, and a one-time insurance recovery of $0.7 million in the prior year quarter which was recorded as a reduction of general and administrative expenses.</w:t>
      </w:r>
    </w:p>
    <w:p>
      <w:pPr>
        <w:spacing w:after="0" w:line="188"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i w:val="1"/>
          <w:iCs w:val="1"/>
          <w:color w:val="auto"/>
        </w:rPr>
        <w:t>Investigation, proxy solicitation, and restatement expenses</w:t>
      </w:r>
      <w:r>
        <w:rPr>
          <w:rFonts w:ascii="Arial" w:cs="Arial" w:eastAsia="Arial" w:hAnsi="Arial"/>
          <w:sz w:val="18"/>
          <w:szCs w:val="18"/>
          <w:color w:val="auto"/>
        </w:rPr>
        <w:t>. The Company did not incur any material investigation, proxy solicitation and restatement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for the three months ended September 30, 2021. For the three months ended September 30, 2022, the Company and former officers incurred additional legal charges primarily relating to responding to inquiries from the Securities and Exchange Commission (“SEC”) in regards to the 2019 Investigation as disclosed in the section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“Management’s Discussion and Analysis of Financial Condition and Results of Operations” in our Annual Report on Form 10-K for the fiscal year ended June 30, 2022.</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was predominantly consistent for the three months ended September 30, 2022 and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158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6"/>
        </w:trPr>
        <w:tc>
          <w:tcPr>
            <w:tcW w:w="6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580" w:type="dxa"/>
            <w:vAlign w:val="bottom"/>
          </w:tcPr>
          <w:p>
            <w:pPr>
              <w:jc w:val="right"/>
              <w:ind w:right="47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6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gridSpan w:val="2"/>
          </w:tcPr>
          <w:p>
            <w:pPr>
              <w:ind w:left="140"/>
              <w:spacing w:after="0"/>
              <w:rPr>
                <w:sz w:val="20"/>
                <w:szCs w:val="20"/>
                <w:color w:val="auto"/>
              </w:rPr>
            </w:pPr>
            <w:r>
              <w:rPr>
                <w:rFonts w:ascii="Arial" w:cs="Arial" w:eastAsia="Arial" w:hAnsi="Arial"/>
                <w:sz w:val="18"/>
                <w:szCs w:val="18"/>
                <w:color w:val="auto"/>
              </w:rPr>
              <w:t>Interest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30"/>
        </w:trPr>
        <w:tc>
          <w:tcPr>
            <w:tcW w:w="6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66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 income (expense)</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8"/>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expense,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Other expense, net</w:t>
      </w:r>
      <w:r>
        <w:rPr>
          <w:rFonts w:ascii="Arial" w:cs="Arial" w:eastAsia="Arial" w:hAnsi="Arial"/>
          <w:sz w:val="18"/>
          <w:szCs w:val="18"/>
          <w:color w:val="auto"/>
        </w:rPr>
        <w:t>. Other income (expense) was predominantly consistent as a whole for the three months ended September 30, 2022 and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 Adjusted EBITDA</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Adjusted earnings before income taxes, depreciation, and amortization (“Adjusted EBITDA”) is a non-GAAP financial measure which is not required by or defined under GAAP. We use this non-GAAP financial measure for financial and operational decision-making purposes and as a means to evaluate period-to-period comparisons. We believe that this non-GAAP financial measure provides useful information about our operating results, enhances the overall understanding of past financial performance and future prospects and allows for greater transparency with respect to metrics used by our management in its financial and operational decision making. The presentation of this financial measure is not intended to be considered in isolation or as a substitute for the financial measures prepared and presented in accordance with GAAP, including our net income or net loss or net cash used in operating activities. Management recognizes that non-GAAP financial measures have limitations in that they do not reflect all of the items associated with our net income or net loss as determined in accordance with GAAP, and are not a substitute for or a measure of our profitability or net earnings. Adjusted EBITDA is presented because we believe it is useful to investors as a measure of comparative operating performance. Additionally, we utilize Adjusted EBITDA as a metric in our executive officer and management incentive compensation plans.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define Adjusted EBITDA as U.S. GAAP net loss before (i) interest income (ii) interest expense on debt and reserves (iii) income tax expense (iv) depreciation (v) amortization (vi) stock-based compensation expense (vii) fees and charges that were incurred in connection with the 2019 Investigation and financial statement restatement activities as well as proxy solicitation costs that are not indicative of our core operations and (viii) certain other significant infrequent or unusual losses and gains that are not indicative of our core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Below is a reconciliation of U.S. GAAP net loss to Adjusted EBITDA for the three months ended September 30, 2022 and September 30, 2021:</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w w:val="96"/>
              </w:rPr>
              <w:t>Three months ended September 30,</w:t>
            </w:r>
          </w:p>
        </w:tc>
        <w:tc>
          <w:tcPr>
            <w:tcW w:w="0" w:type="dxa"/>
            <w:vAlign w:val="bottom"/>
          </w:tcPr>
          <w:p>
            <w:pPr>
              <w:spacing w:after="0"/>
              <w:rPr>
                <w:sz w:val="1"/>
                <w:szCs w:val="1"/>
                <w:color w:val="auto"/>
              </w:rPr>
            </w:pPr>
          </w:p>
        </w:tc>
      </w:tr>
      <w:tr>
        <w:trPr>
          <w:trHeight w:val="26"/>
        </w:trPr>
        <w:tc>
          <w:tcPr>
            <w:tcW w:w="8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2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8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GAAP net loss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30"/>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Less: interest income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Plus: interest expense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30"/>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Plus: income tax provision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Plus: depreciation expense included in costs of sales for rentals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Plus: depreciation and amortization expense in operating expenses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23"/>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9"/>
        </w:trPr>
        <w:tc>
          <w:tcPr>
            <w:tcW w:w="824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Plus: stock-based compensation </w:t>
            </w:r>
            <w:r>
              <w:rPr>
                <w:rFonts w:ascii="Arial" w:cs="Arial" w:eastAsia="Arial" w:hAnsi="Arial"/>
                <w:sz w:val="23"/>
                <w:szCs w:val="23"/>
                <w:color w:val="auto"/>
                <w:vertAlign w:val="superscript"/>
              </w:rPr>
              <w:t>(a)</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Plus: investigation, proxy solicitation and restatement expenses </w:t>
            </w:r>
            <w:r>
              <w:rPr>
                <w:rFonts w:ascii="Arial" w:cs="Arial" w:eastAsia="Arial" w:hAnsi="Arial"/>
                <w:sz w:val="23"/>
                <w:szCs w:val="23"/>
                <w:color w:val="auto"/>
                <w:vertAlign w:val="superscript"/>
              </w:rPr>
              <w:t>(b)</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Adjustments to EBITDA</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200" w:hanging="192"/>
        <w:spacing w:after="0"/>
        <w:tabs>
          <w:tab w:leader="none" w:pos="200"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an adjustment to EBITDA, we have excluded stock-based compensation, as it does not reflect our cash-based operations.</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9"/>
        </w:numPr>
        <w:rPr>
          <w:rFonts w:ascii="Arial" w:cs="Arial" w:eastAsia="Arial" w:hAnsi="Arial"/>
          <w:sz w:val="13"/>
          <w:szCs w:val="13"/>
          <w:color w:val="auto"/>
        </w:rPr>
      </w:pPr>
      <w:r>
        <w:rPr>
          <w:rFonts w:ascii="Arial" w:cs="Arial" w:eastAsia="Arial" w:hAnsi="Arial"/>
          <w:sz w:val="13"/>
          <w:szCs w:val="13"/>
          <w:color w:val="auto"/>
        </w:rPr>
        <w:t>As an adjustment to EBITDA, we have excluded the fees incurred in connection with the costs and expenses related to the 2019 Investigation, financial statement restatement activities, and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proxy solicitation costs because we believe that they represent charges that are not related to our core operations.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Historically, we have financed our operations primarily through cash from operating activities, debt financings, and equity issuances. The Company has the following primary sources of capital available: (1) cash and cash equivalents on hand of $50.8 million as of September 30, 2022; (2) the cash that may be provided by operating activities; (3) up to $15 million available to be drawn on the Amended Revolving Facility with JPMorgan Chase Bank, N.A.; and (4) up to an additional $10 million available through March 2023 to be drawn on the Amended Secured Term Facility with JPMorgan Chase Bank, N.A.</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also has estimated and recorded for potential sales tax and related interest and penalty liabilities of $14.9 million in the aggregate as of September 30, 2022. The Company continues to evaluate these liabilities and the amount and timing of any such payments.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believes that its current financial resources will be sufficient to fund its current twelve-month operating budget from the date of issuance of these condensed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Below are charts that reflect our cash liquidity and outstanding debt as of September 30, 2022 and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168910</wp:posOffset>
            </wp:positionV>
            <wp:extent cx="5572125" cy="25717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72125" cy="25717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Condensed Consolidated Statement of Cash Flows in Part I, Item 1 of this Quarterly Report for details on the changes in cash and cash equivalents classified by operating, investing and financing activities during our respective reporting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-19050</wp:posOffset>
            </wp:positionV>
            <wp:extent cx="2785745" cy="21170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8574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used in operating activities was $9.0 million for the three months ended September 30, 2022 compared to cash used in operating activities of $0.9 million in the same period in the prior year. The net cash used in operating activities reflects our net loss of $8.6 million adjusted by $5.2 million in non-cash operating charges and $5.7 million utilized by working capital accounts.</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Cash utilized by working capital accounts of approximately $5.7 million was principally a function of an increase of accounts receivable of $4.7 million, $3.9 million to increase our inventory on hand, offset by an increase of accounts payable and accrued expenses of approximately $3.6 million. Increase in inventory is driven by increased equipment sales as well as strategic planning to mitigate potential supply chain disruptions. The Company has increased inventory on hand in order to fulfill orders as they are placed and as we anticipate orders for customers who are continuing to upgrade 3G devices to 4G as the 3G network sunset date approaches near the end of calendar year 2022. Increase in cash utilized by accounts receivable was a result of increased sales and processing volumes during the fourth quarter of fiscal year 2022 and the first quarter for fiscal year 2023.</w:t>
      </w:r>
    </w:p>
    <w:p>
      <w:pPr>
        <w:spacing w:after="0" w:line="1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Non-cash operating charges primarily consisted of stock-based compensation, depreciation of property and equipment, amortization of our intangible assets, and provisions for expected losses.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Cash used in investing activities was $5.0 million for the three months ended September 30, 2022 compared to cash used in investing activities of $4.5 million in the same period in the prior year. Increase in cash used is due to a $3.3 million increase in property and equipment balances driven primarily by the Company's continued focus on investing in innovative technologies and products and an increase in rental devices enrolled in the Company's Cantaloupe One program. This is offset by cash paid for the Yoke acquisition of $2.9 million during the three months ended September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used in financing activities was $3.3 million for the three months ended September 30, 2022 compared to cash used in financing activities of $0.2 million in the same period in the prior year. For the three months ended September 30, 2022, the Company repurchased Series A Convertible Preferred Stock and paid out contingent consideration relating to its acquisition of Yoke Payments.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September 30, 2022, there were no significant changes to our contractual obligations from those disclosed in the section “Management’s Discussion and Analysis of Financial Condition and Results of Operations” in our Annual Report on Form 10-K for the fiscal year ended June 30, 2022.</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September 30, 2022, there were no significant changes to our critical accounting policies from those disclosed in the section “Management’s Discussion and Analysis of Financial Condition and Results of Operations” in our Annual Report on Form 10-K for the fiscal year ended June 30,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2 - Summary of Significant Accounting Policies</w:t>
      </w:r>
      <w:r>
        <w:rPr>
          <w:rFonts w:ascii="Arial" w:cs="Arial" w:eastAsia="Arial" w:hAnsi="Arial"/>
          <w:sz w:val="18"/>
          <w:szCs w:val="18"/>
          <w:color w:val="auto"/>
        </w:rPr>
        <w:t xml:space="preserve"> to the condensed consolidated financial statements for a description of recent accounting pronouncements.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quantitative and qualitative disclosures about market risk, see Item 7A, "Quantitative and Qualitative Disclosures About Market Risk," of our Annual Report on Form 10-K for the fiscal year ended June 30, 2022. Our exposures to market risk have not changed materially since June 30, 2022.</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Disclosure Controls and Procedures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disclosure controls and procedures to ensure that information required to be disclosed by us in the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as of the end of the period covered by this Form 10-Q of our disclosure controls and procedures as defined in Rule 13a-15(e) under the Exchange Act. Based on this evaluation, our management, including our chief executive officer and chief financial officer, has concluded that our disclosure controls and procedures were not effective as of September 30, 2022, as a result of the material weaknesses in our internal control over financial reporting, which are described in Item 9A. of our 2022 Form 10-K.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than the remediation plan disclosed in Item 9A. of our 2022 Form 10-K, there have been no changes in the Company’s internal control over financial reporting that occurred during the fiscal quarter ended September 30, 2022 that have materially affected, or are reasonably likely to materially affect, our internal controls over financial reporting.</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discussed in Item 9A. of our 2022 Form 10-K, we have begun remediation activities to alleviate the identified material weaknesses. The material weaknesses cannot be considered remediated until the related controls have operated for a sufficient period of time and until management has concluded, through testing, that the controls are operating effectively. The company anticipates completing the remediation of the controls related to revenue and associated accounts by the third quarter of fiscal year 2023. We also anticipate the remediation of the identified material weakness regarding information technology general controls and management’s design and monitoring activities of entity level controls to be remediated by the end of fiscal year 2023.</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information required by this Item is incorporated herein by reference to the Notes to condensed consolidated financial statements, </w:t>
      </w:r>
      <w:r>
        <w:rPr>
          <w:rFonts w:ascii="Arial" w:cs="Arial" w:eastAsia="Arial" w:hAnsi="Arial"/>
          <w:sz w:val="18"/>
          <w:szCs w:val="18"/>
          <w:i w:val="1"/>
          <w:iCs w:val="1"/>
          <w:color w:val="auto"/>
        </w:rPr>
        <w:t>Note 14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in Part I, Item 1, of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a discussion of the Company’s risk factors, see the information under the heading “Risk Factors” in the Company’s Annual Report on Form 10-K for the fiscal year ended June 30,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defaults on any senior securities. The total liquidation preference including accrued and unpaid dividends on our Series A Convertible Preferred Stock as of September 30, 2022 was $19.5 million. The dividend accrual dates for our Preferred Stock are February 1 and August 1. The annual cumulative dividend on our Preferred Stock is $1.50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12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auto"/>
              </w:rPr>
              <w:t>3.1</w:t>
            </w:r>
          </w:p>
        </w:tc>
        <w:tc>
          <w:tcPr>
            <w:tcW w:w="9880" w:type="dxa"/>
            <w:vAlign w:val="bottom"/>
            <w:gridSpan w:val="8"/>
          </w:tcPr>
          <w:p>
            <w:pPr>
              <w:spacing w:after="0"/>
              <w:rPr>
                <w:rFonts w:ascii="Arial" w:cs="Arial" w:eastAsia="Arial" w:hAnsi="Arial"/>
                <w:sz w:val="18"/>
                <w:szCs w:val="18"/>
                <w:color w:val="0000FF"/>
                <w:w w:val="95"/>
              </w:rPr>
            </w:pPr>
            <w:hyperlink r:id="rId63">
              <w:r>
                <w:rPr>
                  <w:rFonts w:ascii="Arial" w:cs="Arial" w:eastAsia="Arial" w:hAnsi="Arial"/>
                  <w:sz w:val="18"/>
                  <w:szCs w:val="18"/>
                  <w:color w:val="0000FF"/>
                  <w:w w:val="95"/>
                </w:rPr>
                <w:t>Amended and Restated Articles of Incorporation (incorporated by reference to Exhibit 3.1 to Form 10-Q filed on February 4, 2022).</w:t>
              </w:r>
            </w:hyperlink>
          </w:p>
        </w:tc>
      </w:tr>
      <w:tr>
        <w:trPr>
          <w:trHeight w:val="493"/>
        </w:trPr>
        <w:tc>
          <w:tcPr>
            <w:tcW w:w="1220" w:type="dxa"/>
            <w:vAlign w:val="bottom"/>
          </w:tcPr>
          <w:p>
            <w:pPr>
              <w:spacing w:after="0"/>
              <w:rPr>
                <w:sz w:val="20"/>
                <w:szCs w:val="20"/>
                <w:color w:val="auto"/>
              </w:rPr>
            </w:pPr>
            <w:r>
              <w:rPr>
                <w:rFonts w:ascii="Arial" w:cs="Arial" w:eastAsia="Arial" w:hAnsi="Arial"/>
                <w:sz w:val="18"/>
                <w:szCs w:val="18"/>
                <w:color w:val="auto"/>
              </w:rPr>
              <w:t>3.2</w:t>
            </w:r>
          </w:p>
        </w:tc>
        <w:tc>
          <w:tcPr>
            <w:tcW w:w="866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r:id="rId64">
              <w:r>
                <w:rPr>
                  <w:rFonts w:ascii="Arial" w:cs="Arial" w:eastAsia="Arial" w:hAnsi="Arial"/>
                  <w:sz w:val="18"/>
                  <w:szCs w:val="18"/>
                  <w:color w:val="0000FF"/>
                  <w:w w:val="91"/>
                </w:rPr>
                <w:t>Second Amended and Restated Bylaws (incorporated by reference to Exhibit 3.1 to Form 8-K filed on August 10, 2021)</w:t>
              </w:r>
            </w:hyperlink>
          </w:p>
        </w:tc>
        <w:tc>
          <w:tcPr>
            <w:tcW w:w="840" w:type="dxa"/>
            <w:vAlign w:val="bottom"/>
            <w:tcBorders>
              <w:top w:val="single" w:sz="8" w:color="0000FF"/>
            </w:tcBorders>
          </w:tcPr>
          <w:p>
            <w:pPr>
              <w:spacing w:after="0"/>
              <w:rPr>
                <w:sz w:val="24"/>
                <w:szCs w:val="24"/>
                <w:color w:val="auto"/>
              </w:rPr>
            </w:pPr>
          </w:p>
        </w:tc>
        <w:tc>
          <w:tcPr>
            <w:tcW w:w="380" w:type="dxa"/>
            <w:vAlign w:val="bottom"/>
            <w:gridSpan w:val="3"/>
          </w:tcPr>
          <w:p>
            <w:pPr>
              <w:spacing w:after="0"/>
              <w:rPr>
                <w:sz w:val="24"/>
                <w:szCs w:val="24"/>
                <w:color w:val="auto"/>
              </w:rPr>
            </w:pPr>
          </w:p>
        </w:tc>
      </w:tr>
      <w:tr>
        <w:trPr>
          <w:trHeight w:val="506"/>
        </w:trPr>
        <w:tc>
          <w:tcPr>
            <w:tcW w:w="1220" w:type="dxa"/>
            <w:vAlign w:val="bottom"/>
          </w:tcPr>
          <w:p>
            <w:pPr>
              <w:spacing w:after="0"/>
              <w:rPr>
                <w:sz w:val="20"/>
                <w:szCs w:val="20"/>
                <w:color w:val="auto"/>
              </w:rPr>
            </w:pPr>
            <w:r>
              <w:rPr>
                <w:rFonts w:ascii="Arial" w:cs="Arial" w:eastAsia="Arial" w:hAnsi="Arial"/>
                <w:sz w:val="18"/>
                <w:szCs w:val="18"/>
                <w:color w:val="auto"/>
              </w:rPr>
              <w:t>31.1*</w:t>
            </w:r>
          </w:p>
        </w:tc>
        <w:tc>
          <w:tcPr>
            <w:tcW w:w="9880" w:type="dxa"/>
            <w:vAlign w:val="bottom"/>
            <w:gridSpan w:val="8"/>
          </w:tcPr>
          <w:p>
            <w:pPr>
              <w:spacing w:after="0"/>
              <w:rPr>
                <w:sz w:val="20"/>
                <w:szCs w:val="20"/>
                <w:color w:val="auto"/>
              </w:rPr>
            </w:pPr>
            <w:r>
              <w:rPr>
                <w:rFonts w:ascii="Arial" w:cs="Arial" w:eastAsia="Arial" w:hAnsi="Arial"/>
                <w:sz w:val="18"/>
                <w:szCs w:val="18"/>
                <w:color w:val="0000FF"/>
              </w:rPr>
              <w:t>Certifications of Chief Executive Officer pursuant to Rule 13a-14(a) under the Securities Exchange Act of 1934.</w:t>
            </w:r>
          </w:p>
        </w:tc>
      </w:tr>
      <w:tr>
        <w:trPr>
          <w:trHeight w:val="466"/>
        </w:trPr>
        <w:tc>
          <w:tcPr>
            <w:tcW w:w="1220" w:type="dxa"/>
            <w:vAlign w:val="bottom"/>
          </w:tcPr>
          <w:p>
            <w:pPr>
              <w:spacing w:after="0"/>
              <w:rPr>
                <w:sz w:val="20"/>
                <w:szCs w:val="20"/>
                <w:color w:val="auto"/>
              </w:rPr>
            </w:pPr>
            <w:r>
              <w:rPr>
                <w:rFonts w:ascii="Arial" w:cs="Arial" w:eastAsia="Arial" w:hAnsi="Arial"/>
                <w:sz w:val="18"/>
                <w:szCs w:val="18"/>
                <w:color w:val="auto"/>
              </w:rPr>
              <w:t>31.2*</w:t>
            </w:r>
          </w:p>
        </w:tc>
        <w:tc>
          <w:tcPr>
            <w:tcW w:w="806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1"/>
              </w:rPr>
              <w:t>Certifications of Chief Financial Officer pursuant to Rule 13a-14(a) under the Securities Exchange Act of 1934.</w:t>
            </w:r>
          </w:p>
        </w:tc>
        <w:tc>
          <w:tcPr>
            <w:tcW w:w="40" w:type="dxa"/>
            <w:vAlign w:val="bottom"/>
            <w:tcBorders>
              <w:top w:val="single" w:sz="8" w:color="0000FF"/>
            </w:tcBorders>
          </w:tcPr>
          <w:p>
            <w:pPr>
              <w:spacing w:after="0"/>
              <w:rPr>
                <w:sz w:val="24"/>
                <w:szCs w:val="24"/>
                <w:color w:val="auto"/>
              </w:rPr>
            </w:pPr>
          </w:p>
        </w:tc>
        <w:tc>
          <w:tcPr>
            <w:tcW w:w="1780" w:type="dxa"/>
            <w:vAlign w:val="bottom"/>
            <w:gridSpan w:val="5"/>
          </w:tcPr>
          <w:p>
            <w:pPr>
              <w:spacing w:after="0"/>
              <w:rPr>
                <w:sz w:val="24"/>
                <w:szCs w:val="24"/>
                <w:color w:val="auto"/>
              </w:rPr>
            </w:pPr>
          </w:p>
        </w:tc>
      </w:tr>
      <w:tr>
        <w:trPr>
          <w:trHeight w:val="466"/>
        </w:trPr>
        <w:tc>
          <w:tcPr>
            <w:tcW w:w="1220" w:type="dxa"/>
            <w:vAlign w:val="bottom"/>
          </w:tcPr>
          <w:p>
            <w:pPr>
              <w:spacing w:after="0"/>
              <w:rPr>
                <w:sz w:val="20"/>
                <w:szCs w:val="20"/>
                <w:color w:val="auto"/>
              </w:rPr>
            </w:pPr>
            <w:r>
              <w:rPr>
                <w:rFonts w:ascii="Arial" w:cs="Arial" w:eastAsia="Arial" w:hAnsi="Arial"/>
                <w:sz w:val="18"/>
                <w:szCs w:val="18"/>
                <w:color w:val="auto"/>
              </w:rPr>
              <w:t>32.1*</w:t>
            </w:r>
          </w:p>
        </w:tc>
        <w:tc>
          <w:tcPr>
            <w:tcW w:w="9880" w:type="dxa"/>
            <w:vAlign w:val="bottom"/>
            <w:gridSpan w:val="8"/>
          </w:tcPr>
          <w:p>
            <w:pPr>
              <w:spacing w:after="0"/>
              <w:rPr>
                <w:sz w:val="20"/>
                <w:szCs w:val="20"/>
                <w:color w:val="auto"/>
              </w:rPr>
            </w:pPr>
            <w:r>
              <w:rPr>
                <w:rFonts w:ascii="Arial" w:cs="Arial" w:eastAsia="Arial" w:hAnsi="Arial"/>
                <w:sz w:val="18"/>
                <w:szCs w:val="18"/>
                <w:color w:val="0000FF"/>
                <w:w w:val="90"/>
              </w:rPr>
              <w:t>Certification of the Chief Executive Officer pursuant to 18 USC Section 1350, as adopted pursuant to Section 906 of the Sarbanes-Oxley</w:t>
            </w:r>
          </w:p>
        </w:tc>
      </w:tr>
      <w:tr>
        <w:trPr>
          <w:trHeight w:val="156"/>
        </w:trPr>
        <w:tc>
          <w:tcPr>
            <w:tcW w:w="1220" w:type="dxa"/>
            <w:vAlign w:val="bottom"/>
          </w:tcPr>
          <w:p>
            <w:pPr>
              <w:spacing w:after="0"/>
              <w:rPr>
                <w:sz w:val="13"/>
                <w:szCs w:val="13"/>
                <w:color w:val="auto"/>
              </w:rPr>
            </w:pPr>
          </w:p>
        </w:tc>
        <w:tc>
          <w:tcPr>
            <w:tcW w:w="9860" w:type="dxa"/>
            <w:vAlign w:val="bottom"/>
            <w:tcBorders>
              <w:top w:val="single" w:sz="8" w:color="0000FF"/>
            </w:tcBorders>
            <w:gridSpan w:val="7"/>
          </w:tcPr>
          <w:p>
            <w:pPr>
              <w:spacing w:after="0" w:line="156" w:lineRule="exact"/>
              <w:rPr>
                <w:sz w:val="20"/>
                <w:szCs w:val="20"/>
                <w:color w:val="auto"/>
              </w:rPr>
            </w:pPr>
            <w:r>
              <w:rPr>
                <w:rFonts w:ascii="Arial" w:cs="Arial" w:eastAsia="Arial" w:hAnsi="Arial"/>
                <w:sz w:val="18"/>
                <w:szCs w:val="18"/>
                <w:color w:val="0000FF"/>
              </w:rPr>
              <w:t>Act of 2002</w:t>
            </w:r>
            <w:r>
              <w:rPr>
                <w:rFonts w:ascii="Arial" w:cs="Arial" w:eastAsia="Arial" w:hAnsi="Arial"/>
                <w:sz w:val="18"/>
                <w:szCs w:val="18"/>
                <w:color w:val="000000"/>
              </w:rPr>
              <w:t>.</w:t>
            </w:r>
          </w:p>
        </w:tc>
        <w:tc>
          <w:tcPr>
            <w:tcW w:w="2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94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79"/>
        </w:trPr>
        <w:tc>
          <w:tcPr>
            <w:tcW w:w="1220" w:type="dxa"/>
            <w:vAlign w:val="bottom"/>
          </w:tcPr>
          <w:p>
            <w:pPr>
              <w:spacing w:after="0"/>
              <w:rPr>
                <w:sz w:val="20"/>
                <w:szCs w:val="20"/>
                <w:color w:val="auto"/>
              </w:rPr>
            </w:pPr>
            <w:r>
              <w:rPr>
                <w:rFonts w:ascii="Arial" w:cs="Arial" w:eastAsia="Arial" w:hAnsi="Arial"/>
                <w:sz w:val="18"/>
                <w:szCs w:val="18"/>
                <w:color w:val="auto"/>
              </w:rPr>
              <w:t>32.2*</w:t>
            </w:r>
          </w:p>
        </w:tc>
        <w:tc>
          <w:tcPr>
            <w:tcW w:w="9880" w:type="dxa"/>
            <w:vAlign w:val="bottom"/>
            <w:gridSpan w:val="8"/>
          </w:tcPr>
          <w:p>
            <w:pPr>
              <w:spacing w:after="0"/>
              <w:rPr>
                <w:sz w:val="20"/>
                <w:szCs w:val="20"/>
                <w:color w:val="auto"/>
              </w:rPr>
            </w:pPr>
            <w:r>
              <w:rPr>
                <w:rFonts w:ascii="Arial" w:cs="Arial" w:eastAsia="Arial" w:hAnsi="Arial"/>
                <w:sz w:val="18"/>
                <w:szCs w:val="18"/>
                <w:color w:val="0000FF"/>
                <w:w w:val="91"/>
              </w:rPr>
              <w:t>Certification of the Chief Financial Officer pursuant to 18 USC Section 1350, as adopted pursuant to Section 906 of the Sarbanes-Oxley</w:t>
            </w:r>
          </w:p>
        </w:tc>
      </w:tr>
      <w:tr>
        <w:trPr>
          <w:trHeight w:val="156"/>
        </w:trPr>
        <w:tc>
          <w:tcPr>
            <w:tcW w:w="1220" w:type="dxa"/>
            <w:vAlign w:val="bottom"/>
          </w:tcPr>
          <w:p>
            <w:pPr>
              <w:spacing w:after="0"/>
              <w:rPr>
                <w:sz w:val="13"/>
                <w:szCs w:val="13"/>
                <w:color w:val="auto"/>
              </w:rPr>
            </w:pPr>
          </w:p>
        </w:tc>
        <w:tc>
          <w:tcPr>
            <w:tcW w:w="9800" w:type="dxa"/>
            <w:vAlign w:val="bottom"/>
            <w:tcBorders>
              <w:top w:val="single" w:sz="8" w:color="0000FF"/>
            </w:tcBorders>
            <w:gridSpan w:val="6"/>
          </w:tcPr>
          <w:p>
            <w:pPr>
              <w:spacing w:after="0" w:line="156" w:lineRule="exact"/>
              <w:rPr>
                <w:sz w:val="20"/>
                <w:szCs w:val="20"/>
                <w:color w:val="auto"/>
              </w:rPr>
            </w:pPr>
            <w:r>
              <w:rPr>
                <w:rFonts w:ascii="Arial" w:cs="Arial" w:eastAsia="Arial" w:hAnsi="Arial"/>
                <w:sz w:val="18"/>
                <w:szCs w:val="18"/>
                <w:color w:val="0000FF"/>
              </w:rPr>
              <w:t>Act of 2002.</w:t>
            </w:r>
          </w:p>
        </w:tc>
        <w:tc>
          <w:tcPr>
            <w:tcW w:w="80" w:type="dxa"/>
            <w:vAlign w:val="bottom"/>
            <w:gridSpan w:val="2"/>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2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left="1240" w:hanging="1214"/>
        <w:spacing w:after="0" w:line="248" w:lineRule="auto"/>
        <w:tabs>
          <w:tab w:leader="none" w:pos="1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following financial information from our Quarterly Report on Form 10-Q for the quarter ended September 30, 2022, filed with the SEC on November 9, 2022, is formatted in Inline Extensible Business Reporting Language (“iXBRL”): (1) the Condensed Consolidated Balance Sheets as of September 30, 2022 and June 30, 2022, (2) the Condensed Consolidated Statements of Operations for the three-month periods ended September 30, 2022 and 2021, (3) the Condensed Consolidated Statements of Shareholders’ Equity for the three-month periods ended September 30, 2022 and 2021, (4) the Condensed Consolidated Statements of Cash Flows for the three-month periods ended September 30, 2022 and 2021, and (5) the Notes to Consolidated Financial Statements.</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18"/>
                <w:szCs w:val="18"/>
                <w:color w:val="auto"/>
              </w:rPr>
            </w:pPr>
          </w:p>
        </w:tc>
        <w:tc>
          <w:tcPr>
            <w:tcW w:w="9780" w:type="dxa"/>
            <w:vAlign w:val="bottom"/>
          </w:tcPr>
          <w:p>
            <w:pPr>
              <w:ind w:left="220"/>
              <w:spacing w:after="0"/>
              <w:rPr>
                <w:sz w:val="20"/>
                <w:szCs w:val="20"/>
                <w:color w:val="auto"/>
              </w:rPr>
            </w:pPr>
            <w:r>
              <w:rPr>
                <w:rFonts w:ascii="Arial" w:cs="Arial" w:eastAsia="Arial" w:hAnsi="Arial"/>
                <w:sz w:val="18"/>
                <w:szCs w:val="18"/>
                <w:color w:val="auto"/>
                <w:w w:val="89"/>
              </w:rPr>
              <w:t>XBRL Instance Document - the instance document does not appear in the Interactive Data File because its XBRL tags are embedded</w:t>
            </w:r>
          </w:p>
        </w:tc>
      </w:tr>
      <w:tr>
        <w:trPr>
          <w:trHeight w:val="243"/>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9780" w:type="dxa"/>
            <w:vAlign w:val="bottom"/>
          </w:tcPr>
          <w:p>
            <w:pPr>
              <w:ind w:left="220"/>
              <w:spacing w:after="0"/>
              <w:rPr>
                <w:sz w:val="20"/>
                <w:szCs w:val="20"/>
                <w:color w:val="auto"/>
              </w:rPr>
            </w:pPr>
            <w:r>
              <w:rPr>
                <w:rFonts w:ascii="Arial" w:cs="Arial" w:eastAsia="Arial" w:hAnsi="Arial"/>
                <w:sz w:val="18"/>
                <w:szCs w:val="18"/>
                <w:color w:val="auto"/>
              </w:rPr>
              <w:t>within the Inline XBRL document</w:t>
            </w:r>
          </w:p>
        </w:tc>
      </w:tr>
      <w:tr>
        <w:trPr>
          <w:trHeight w:val="486"/>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9780" w:type="dxa"/>
            <w:vAlign w:val="bottom"/>
          </w:tcPr>
          <w:p>
            <w:pPr>
              <w:ind w:left="220"/>
              <w:spacing w:after="0"/>
              <w:rPr>
                <w:sz w:val="20"/>
                <w:szCs w:val="20"/>
                <w:color w:val="auto"/>
              </w:rPr>
            </w:pPr>
            <w:r>
              <w:rPr>
                <w:rFonts w:ascii="Arial" w:cs="Arial" w:eastAsia="Arial" w:hAnsi="Arial"/>
                <w:sz w:val="18"/>
                <w:szCs w:val="18"/>
                <w:color w:val="auto"/>
              </w:rPr>
              <w:t>Inline XBRL Taxonomy Extension Schema</w:t>
            </w:r>
          </w:p>
        </w:tc>
      </w:tr>
      <w:tr>
        <w:trPr>
          <w:trHeight w:val="486"/>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9780" w:type="dxa"/>
            <w:vAlign w:val="bottom"/>
          </w:tcPr>
          <w:p>
            <w:pPr>
              <w:ind w:left="220"/>
              <w:spacing w:after="0"/>
              <w:rPr>
                <w:sz w:val="20"/>
                <w:szCs w:val="20"/>
                <w:color w:val="auto"/>
              </w:rPr>
            </w:pPr>
            <w:r>
              <w:rPr>
                <w:rFonts w:ascii="Arial" w:cs="Arial" w:eastAsia="Arial" w:hAnsi="Arial"/>
                <w:sz w:val="18"/>
                <w:szCs w:val="18"/>
                <w:color w:val="auto"/>
              </w:rPr>
              <w:t>Inline XBRL Taxonomy Extension Calculation Linkbase</w:t>
            </w:r>
          </w:p>
        </w:tc>
      </w:tr>
      <w:tr>
        <w:trPr>
          <w:trHeight w:val="486"/>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9780" w:type="dxa"/>
            <w:vAlign w:val="bottom"/>
          </w:tcPr>
          <w:p>
            <w:pPr>
              <w:ind w:left="220"/>
              <w:spacing w:after="0"/>
              <w:rPr>
                <w:sz w:val="20"/>
                <w:szCs w:val="20"/>
                <w:color w:val="auto"/>
              </w:rPr>
            </w:pPr>
            <w:r>
              <w:rPr>
                <w:rFonts w:ascii="Arial" w:cs="Arial" w:eastAsia="Arial" w:hAnsi="Arial"/>
                <w:sz w:val="18"/>
                <w:szCs w:val="18"/>
                <w:color w:val="auto"/>
              </w:rPr>
              <w:t>Inline XBRL Taxonomy Extension Definition Linkbase</w:t>
            </w:r>
          </w:p>
        </w:tc>
      </w:tr>
      <w:tr>
        <w:trPr>
          <w:trHeight w:val="486"/>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9780" w:type="dxa"/>
            <w:vAlign w:val="bottom"/>
          </w:tcPr>
          <w:p>
            <w:pPr>
              <w:ind w:left="220"/>
              <w:spacing w:after="0"/>
              <w:rPr>
                <w:sz w:val="20"/>
                <w:szCs w:val="20"/>
                <w:color w:val="auto"/>
              </w:rPr>
            </w:pPr>
            <w:r>
              <w:rPr>
                <w:rFonts w:ascii="Arial" w:cs="Arial" w:eastAsia="Arial" w:hAnsi="Arial"/>
                <w:sz w:val="18"/>
                <w:szCs w:val="18"/>
                <w:color w:val="auto"/>
              </w:rPr>
              <w:t>Inline XBRL Taxonomy Extension Label Linkbase</w:t>
            </w:r>
          </w:p>
        </w:tc>
      </w:tr>
      <w:tr>
        <w:trPr>
          <w:trHeight w:val="500"/>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9780" w:type="dxa"/>
            <w:vAlign w:val="bottom"/>
          </w:tcPr>
          <w:p>
            <w:pPr>
              <w:ind w:left="220"/>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269" w:lineRule="exact"/>
        <w:rPr>
          <w:sz w:val="20"/>
          <w:szCs w:val="20"/>
          <w:color w:val="auto"/>
        </w:rPr>
      </w:pPr>
    </w:p>
    <w:p>
      <w:pPr>
        <w:ind w:left="1240" w:right="180" w:hanging="1214"/>
        <w:spacing w:after="0" w:line="235"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cover page from our Quarterly Report on Form 10-Q for the quarter ended September 30, 2022, filed with the SEC on November 9, 2022, is formatted as Inline iXBRL and contained in Exhibit 101.</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Cantaloupe, Inc.</w:t>
            </w:r>
          </w:p>
        </w:tc>
      </w:tr>
      <w:tr>
        <w:trPr>
          <w:trHeight w:val="486"/>
        </w:trPr>
        <w:tc>
          <w:tcPr>
            <w:tcW w:w="5580" w:type="dxa"/>
            <w:vAlign w:val="bottom"/>
          </w:tcPr>
          <w:p>
            <w:pPr>
              <w:spacing w:after="0"/>
              <w:rPr>
                <w:sz w:val="20"/>
                <w:szCs w:val="20"/>
                <w:color w:val="auto"/>
              </w:rPr>
            </w:pPr>
            <w:r>
              <w:rPr>
                <w:rFonts w:ascii="Arial" w:cs="Arial" w:eastAsia="Arial" w:hAnsi="Arial"/>
                <w:sz w:val="18"/>
                <w:szCs w:val="18"/>
                <w:color w:val="auto"/>
              </w:rPr>
              <w:t>Date: November 9, 2022</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Ravi Venkatesan</w:t>
            </w:r>
          </w:p>
        </w:tc>
      </w:tr>
      <w:tr>
        <w:trPr>
          <w:trHeight w:val="222"/>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Ravi Venkatesan</w:t>
            </w:r>
          </w:p>
        </w:tc>
      </w:t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486"/>
        </w:trPr>
        <w:tc>
          <w:tcPr>
            <w:tcW w:w="5580" w:type="dxa"/>
            <w:vAlign w:val="bottom"/>
          </w:tcPr>
          <w:p>
            <w:pPr>
              <w:spacing w:after="0"/>
              <w:rPr>
                <w:sz w:val="20"/>
                <w:szCs w:val="20"/>
                <w:color w:val="auto"/>
              </w:rPr>
            </w:pPr>
            <w:r>
              <w:rPr>
                <w:rFonts w:ascii="Arial" w:cs="Arial" w:eastAsia="Arial" w:hAnsi="Arial"/>
                <w:sz w:val="18"/>
                <w:szCs w:val="18"/>
                <w:color w:val="auto"/>
              </w:rPr>
              <w:t>Date: November 9, 2022</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Scott Stewart</w:t>
            </w:r>
          </w:p>
        </w:tc>
      </w:tr>
      <w:tr>
        <w:trPr>
          <w:trHeight w:val="222"/>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Scott Stewart</w:t>
            </w:r>
          </w:p>
        </w:tc>
      </w:t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Ravi Venkatesan, certify that:</w:t>
      </w:r>
    </w:p>
    <w:p>
      <w:pPr>
        <w:spacing w:after="0" w:line="202" w:lineRule="exact"/>
        <w:rPr>
          <w:sz w:val="20"/>
          <w:szCs w:val="20"/>
          <w:color w:val="auto"/>
        </w:rPr>
      </w:pPr>
    </w:p>
    <w:p>
      <w:pPr>
        <w:ind w:left="660" w:hanging="652"/>
        <w:spacing w:after="0" w:line="253" w:lineRule="exact"/>
        <w:tabs>
          <w:tab w:leader="none" w:pos="660" w:val="left"/>
        </w:tabs>
        <w:numPr>
          <w:ilvl w:val="0"/>
          <w:numId w:val="12"/>
        </w:numPr>
        <w:rPr>
          <w:rFonts w:ascii="Arial" w:cs="Arial" w:eastAsia="Arial" w:hAnsi="Arial"/>
          <w:sz w:val="22"/>
          <w:szCs w:val="22"/>
          <w:color w:val="008080"/>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Cantaloupe, Inc.;</w:t>
      </w:r>
    </w:p>
    <w:p>
      <w:pPr>
        <w:spacing w:after="0" w:line="174" w:lineRule="exact"/>
        <w:rPr>
          <w:rFonts w:ascii="Arial" w:cs="Arial" w:eastAsia="Arial" w:hAnsi="Arial"/>
          <w:sz w:val="22"/>
          <w:szCs w:val="22"/>
          <w:color w:val="008080"/>
        </w:rPr>
      </w:pPr>
    </w:p>
    <w:p>
      <w:pPr>
        <w:jc w:val="both"/>
        <w:ind w:left="660" w:hanging="652"/>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9" w:lineRule="exact"/>
        <w:rPr>
          <w:rFonts w:ascii="Arial" w:cs="Arial" w:eastAsia="Arial" w:hAnsi="Arial"/>
          <w:sz w:val="18"/>
          <w:szCs w:val="18"/>
          <w:color w:val="auto"/>
        </w:rPr>
      </w:pPr>
    </w:p>
    <w:p>
      <w:pPr>
        <w:jc w:val="both"/>
        <w:ind w:left="660" w:hanging="652"/>
        <w:spacing w:after="0" w:line="224" w:lineRule="exact"/>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and internal control over financial reporting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83" w:lineRule="exact"/>
        <w:rPr>
          <w:rFonts w:ascii="Arial" w:cs="Arial" w:eastAsia="Arial" w:hAnsi="Arial"/>
          <w:sz w:val="16"/>
          <w:szCs w:val="16"/>
          <w:color w:val="auto"/>
        </w:rPr>
      </w:pPr>
    </w:p>
    <w:p>
      <w:pPr>
        <w:jc w:val="both"/>
        <w:ind w:left="1300" w:hanging="644"/>
        <w:spacing w:after="0" w:line="263" w:lineRule="auto"/>
        <w:tabs>
          <w:tab w:leader="none" w:pos="129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300" w:hanging="644"/>
        <w:spacing w:after="0" w:line="342" w:lineRule="auto"/>
        <w:tabs>
          <w:tab w:leader="none" w:pos="129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96"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4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29" w:lineRule="exact"/>
        <w:rPr>
          <w:rFonts w:ascii="Arial" w:cs="Arial" w:eastAsia="Arial" w:hAnsi="Arial"/>
          <w:sz w:val="18"/>
          <w:szCs w:val="18"/>
          <w:color w:val="auto"/>
        </w:rPr>
      </w:pPr>
    </w:p>
    <w:p>
      <w:pPr>
        <w:ind w:left="1300" w:right="20" w:hanging="644"/>
        <w:spacing w:after="0" w:line="308" w:lineRule="auto"/>
        <w:tabs>
          <w:tab w:leader="none" w:pos="129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19"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issuer’s internal control over financial reporting.</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284"/>
        </w:trPr>
        <w:tc>
          <w:tcPr>
            <w:tcW w:w="5940" w:type="dxa"/>
            <w:vAlign w:val="bottom"/>
          </w:tcPr>
          <w:p>
            <w:pPr>
              <w:spacing w:after="0"/>
              <w:rPr>
                <w:sz w:val="20"/>
                <w:szCs w:val="20"/>
                <w:color w:val="auto"/>
              </w:rPr>
            </w:pPr>
            <w:r>
              <w:rPr>
                <w:rFonts w:ascii="Arial" w:cs="Arial" w:eastAsia="Arial" w:hAnsi="Arial"/>
                <w:sz w:val="18"/>
                <w:szCs w:val="18"/>
                <w:color w:val="auto"/>
              </w:rPr>
              <w:t>Date: November 9, 2022</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Ravi Venkatesan</w:t>
            </w:r>
          </w:p>
        </w:tc>
      </w:tr>
      <w:tr>
        <w:trPr>
          <w:trHeight w:val="222"/>
        </w:trPr>
        <w:tc>
          <w:tcPr>
            <w:tcW w:w="594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Ravi Venkatesan</w:t>
            </w:r>
          </w:p>
        </w:tc>
      </w:tr>
      <w:tr>
        <w:trPr>
          <w:trHeight w:val="230"/>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904"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Scott Stewart, certify that:</w:t>
      </w:r>
    </w:p>
    <w:p>
      <w:pPr>
        <w:spacing w:after="0" w:line="202" w:lineRule="exact"/>
        <w:rPr>
          <w:sz w:val="20"/>
          <w:szCs w:val="20"/>
          <w:color w:val="auto"/>
        </w:rPr>
      </w:pPr>
    </w:p>
    <w:p>
      <w:pPr>
        <w:ind w:left="660" w:hanging="652"/>
        <w:spacing w:after="0" w:line="253" w:lineRule="exact"/>
        <w:tabs>
          <w:tab w:leader="none" w:pos="660" w:val="left"/>
        </w:tabs>
        <w:numPr>
          <w:ilvl w:val="0"/>
          <w:numId w:val="13"/>
        </w:numPr>
        <w:rPr>
          <w:rFonts w:ascii="Arial" w:cs="Arial" w:eastAsia="Arial" w:hAnsi="Arial"/>
          <w:sz w:val="22"/>
          <w:szCs w:val="22"/>
          <w:color w:val="008080"/>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Cantaloupe, Inc.;</w:t>
      </w:r>
    </w:p>
    <w:p>
      <w:pPr>
        <w:spacing w:after="0" w:line="174" w:lineRule="exact"/>
        <w:rPr>
          <w:rFonts w:ascii="Arial" w:cs="Arial" w:eastAsia="Arial" w:hAnsi="Arial"/>
          <w:sz w:val="22"/>
          <w:szCs w:val="22"/>
          <w:color w:val="008080"/>
        </w:rPr>
      </w:pPr>
    </w:p>
    <w:p>
      <w:pPr>
        <w:jc w:val="both"/>
        <w:ind w:left="660" w:hanging="652"/>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9" w:lineRule="exact"/>
        <w:rPr>
          <w:rFonts w:ascii="Arial" w:cs="Arial" w:eastAsia="Arial" w:hAnsi="Arial"/>
          <w:sz w:val="18"/>
          <w:szCs w:val="18"/>
          <w:color w:val="auto"/>
        </w:rPr>
      </w:pPr>
    </w:p>
    <w:p>
      <w:pPr>
        <w:jc w:val="both"/>
        <w:ind w:left="660" w:hanging="652"/>
        <w:spacing w:after="0" w:line="224" w:lineRule="exact"/>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and internal control over financial reporting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83" w:lineRule="exact"/>
        <w:rPr>
          <w:rFonts w:ascii="Arial" w:cs="Arial" w:eastAsia="Arial" w:hAnsi="Arial"/>
          <w:sz w:val="16"/>
          <w:szCs w:val="16"/>
          <w:color w:val="auto"/>
        </w:rPr>
      </w:pPr>
    </w:p>
    <w:p>
      <w:pPr>
        <w:jc w:val="both"/>
        <w:ind w:left="1300" w:hanging="644"/>
        <w:spacing w:after="0" w:line="263" w:lineRule="auto"/>
        <w:tabs>
          <w:tab w:leader="none" w:pos="129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300" w:hanging="644"/>
        <w:spacing w:after="0" w:line="342" w:lineRule="auto"/>
        <w:tabs>
          <w:tab w:leader="none" w:pos="129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96"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4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29" w:lineRule="exact"/>
        <w:rPr>
          <w:rFonts w:ascii="Arial" w:cs="Arial" w:eastAsia="Arial" w:hAnsi="Arial"/>
          <w:sz w:val="18"/>
          <w:szCs w:val="18"/>
          <w:color w:val="auto"/>
        </w:rPr>
      </w:pPr>
    </w:p>
    <w:p>
      <w:pPr>
        <w:ind w:left="1300" w:right="20" w:hanging="644"/>
        <w:spacing w:after="0" w:line="308" w:lineRule="auto"/>
        <w:tabs>
          <w:tab w:leader="none" w:pos="129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19"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issuer’s internal control over financial reporting.</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284"/>
        </w:trPr>
        <w:tc>
          <w:tcPr>
            <w:tcW w:w="5940" w:type="dxa"/>
            <w:vAlign w:val="bottom"/>
          </w:tcPr>
          <w:p>
            <w:pPr>
              <w:spacing w:after="0"/>
              <w:rPr>
                <w:sz w:val="20"/>
                <w:szCs w:val="20"/>
                <w:color w:val="auto"/>
              </w:rPr>
            </w:pPr>
            <w:r>
              <w:rPr>
                <w:rFonts w:ascii="Arial" w:cs="Arial" w:eastAsia="Arial" w:hAnsi="Arial"/>
                <w:sz w:val="18"/>
                <w:szCs w:val="18"/>
                <w:color w:val="auto"/>
              </w:rPr>
              <w:t>Date: November 9, 2022</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Scott Stewart</w:t>
            </w:r>
          </w:p>
        </w:tc>
      </w:tr>
      <w:tr>
        <w:trPr>
          <w:trHeight w:val="222"/>
        </w:trPr>
        <w:tc>
          <w:tcPr>
            <w:tcW w:w="594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Scott Stewart</w:t>
            </w:r>
          </w:p>
        </w:tc>
      </w:tr>
      <w:tr>
        <w:trPr>
          <w:trHeight w:val="230"/>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904"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02"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In connection with the accompanying Quarterly Report of Cantaloupe,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period ended September 30, 2022 (the “Report”), I, Ravi Venkatesan, Chief Executive Officer of the Company, hereby certify that to my knowledge:</w:t>
      </w:r>
    </w:p>
    <w:p>
      <w:pPr>
        <w:spacing w:after="0" w:line="189"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Date: November 9, 2022</w:t>
            </w:r>
          </w:p>
        </w:tc>
        <w:tc>
          <w:tcPr>
            <w:tcW w:w="5260" w:type="dxa"/>
            <w:vAlign w:val="bottom"/>
            <w:vMerge w:val="restart"/>
          </w:tcPr>
          <w:p>
            <w:pPr>
              <w:ind w:left="20"/>
              <w:spacing w:after="0"/>
              <w:rPr>
                <w:sz w:val="20"/>
                <w:szCs w:val="20"/>
                <w:color w:val="auto"/>
              </w:rPr>
            </w:pPr>
            <w:r>
              <w:rPr>
                <w:rFonts w:ascii="Arial" w:cs="Arial" w:eastAsia="Arial" w:hAnsi="Arial"/>
                <w:sz w:val="18"/>
                <w:szCs w:val="18"/>
                <w:color w:val="auto"/>
              </w:rPr>
              <w:t>/s/ Ravi Venkatesan</w:t>
            </w:r>
          </w:p>
        </w:tc>
        <w:tc>
          <w:tcPr>
            <w:tcW w:w="0" w:type="dxa"/>
            <w:vAlign w:val="bottom"/>
          </w:tcPr>
          <w:p>
            <w:pPr>
              <w:spacing w:after="0"/>
              <w:rPr>
                <w:sz w:val="1"/>
                <w:szCs w:val="1"/>
                <w:color w:val="auto"/>
              </w:rPr>
            </w:pPr>
          </w:p>
        </w:tc>
      </w:tr>
      <w:tr>
        <w:trPr>
          <w:trHeight w:val="73"/>
        </w:trPr>
        <w:tc>
          <w:tcPr>
            <w:tcW w:w="5940" w:type="dxa"/>
            <w:vAlign w:val="bottom"/>
          </w:tcPr>
          <w:p>
            <w:pPr>
              <w:spacing w:after="0"/>
              <w:rPr>
                <w:sz w:val="5"/>
                <w:szCs w:val="5"/>
                <w:color w:val="auto"/>
              </w:rPr>
            </w:pPr>
          </w:p>
        </w:tc>
        <w:tc>
          <w:tcPr>
            <w:tcW w:w="52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594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Ravi Venkatesan</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02"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In connection with the accompanying Quarterly Report of Cantaloupe,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period ended September 30, 2022 (the “Report”), I, Scott Stewart, Chief Financial Officer of the Company, hereby certify that to my knowledge:</w:t>
      </w:r>
    </w:p>
    <w:p>
      <w:pPr>
        <w:spacing w:after="0" w:line="189"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Date: November 9, 2022</w:t>
            </w:r>
          </w:p>
        </w:tc>
        <w:tc>
          <w:tcPr>
            <w:tcW w:w="5260" w:type="dxa"/>
            <w:vAlign w:val="bottom"/>
            <w:vMerge w:val="restart"/>
          </w:tcPr>
          <w:p>
            <w:pPr>
              <w:ind w:left="20"/>
              <w:spacing w:after="0"/>
              <w:rPr>
                <w:sz w:val="20"/>
                <w:szCs w:val="20"/>
                <w:color w:val="auto"/>
              </w:rPr>
            </w:pPr>
            <w:r>
              <w:rPr>
                <w:rFonts w:ascii="Arial" w:cs="Arial" w:eastAsia="Arial" w:hAnsi="Arial"/>
                <w:sz w:val="18"/>
                <w:szCs w:val="18"/>
                <w:color w:val="auto"/>
              </w:rPr>
              <w:t>/s/ Scott Stewart</w:t>
            </w:r>
          </w:p>
        </w:tc>
        <w:tc>
          <w:tcPr>
            <w:tcW w:w="0" w:type="dxa"/>
            <w:vAlign w:val="bottom"/>
          </w:tcPr>
          <w:p>
            <w:pPr>
              <w:spacing w:after="0"/>
              <w:rPr>
                <w:sz w:val="1"/>
                <w:szCs w:val="1"/>
                <w:color w:val="auto"/>
              </w:rPr>
            </w:pPr>
          </w:p>
        </w:tc>
      </w:tr>
      <w:tr>
        <w:trPr>
          <w:trHeight w:val="73"/>
        </w:trPr>
        <w:tc>
          <w:tcPr>
            <w:tcW w:w="5940" w:type="dxa"/>
            <w:vAlign w:val="bottom"/>
          </w:tcPr>
          <w:p>
            <w:pPr>
              <w:spacing w:after="0"/>
              <w:rPr>
                <w:sz w:val="5"/>
                <w:szCs w:val="5"/>
                <w:color w:val="auto"/>
              </w:rPr>
            </w:pPr>
          </w:p>
        </w:tc>
        <w:tc>
          <w:tcPr>
            <w:tcW w:w="52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594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Scott Stewart</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decimal"/>
      <w:start w:val="101"/>
    </w:lvl>
  </w:abstractNum>
  <w:abstractNum w:abstractNumId="10">
    <w:nsid w:val="3352255A"/>
    <w:multiLevelType w:val="hybridMultilevel"/>
    <w:lvl w:ilvl="0">
      <w:lvlJc w:val="left"/>
      <w:lvlText w:val="%1"/>
      <w:numFmt w:val="decimal"/>
      <w:start w:val="104"/>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5" Type="http://schemas.openxmlformats.org/officeDocument/2006/relationships/image" Target="media/image56.png"/><Relationship Id="rId63" Type="http://schemas.openxmlformats.org/officeDocument/2006/relationships/hyperlink" Target="https://www.sec.gov/Archives/edgar/data/896429/000091412120004117/us55454438-ex3_1.htm" TargetMode="External"/><Relationship Id="rId64" Type="http://schemas.openxmlformats.org/officeDocument/2006/relationships/hyperlink" Target="https://www.sec.gov/ix?doc=/Archives/edgar/data/0000896429/000091412121005445/p56531664-8k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2022-11-10T08:28:36Z</dcterms:created>
  <dcterms:modified xsi:type="dcterms:W3CDTF">2022-11-10T08:28:36Z</dcterms:modified>
</cp:coreProperties>
</file>