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740" w:right="1560" w:hanging="3732"/>
        <w:spacing w:after="0" w:line="534" w:lineRule="auto"/>
        <w:tabs>
          <w:tab w:leader="none" w:pos="652"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September 30,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jc w:val="right"/>
        <w:ind w:left="2660" w:right="2660" w:hanging="2652"/>
        <w:spacing w:after="0" w:line="56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p>
      <w:pPr>
        <w:jc w:val="center"/>
        <w:ind w:right="-19"/>
        <w:spacing w:after="0"/>
        <w:rPr>
          <w:sz w:val="20"/>
          <w:szCs w:val="20"/>
          <w:color w:val="auto"/>
        </w:rPr>
      </w:pPr>
      <w:r>
        <w:rPr>
          <w:rFonts w:ascii="Arial" w:cs="Arial" w:eastAsia="Arial" w:hAnsi="Arial"/>
          <w:sz w:val="18"/>
          <w:szCs w:val="18"/>
          <w:color w:val="auto"/>
        </w:rPr>
        <w:t>Commission file number 001-33365</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USA Technologies,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52" w:lineRule="exact"/>
        <w:rPr>
          <w:sz w:val="24"/>
          <w:szCs w:val="24"/>
          <w:color w:val="auto"/>
        </w:rPr>
      </w:pPr>
    </w:p>
    <w:tbl>
      <w:tblPr>
        <w:tblLayout w:type="fixed"/>
        <w:tblInd w:w="64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Pennsylvania</w:t>
            </w:r>
          </w:p>
        </w:tc>
        <w:tc>
          <w:tcPr>
            <w:tcW w:w="17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23-2679963</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30"/>
        </w:trPr>
        <w:tc>
          <w:tcPr>
            <w:tcW w:w="4340" w:type="dxa"/>
            <w:vAlign w:val="bottom"/>
            <w:gridSpan w:val="4"/>
          </w:tcPr>
          <w:p>
            <w:pPr>
              <w:jc w:val="center"/>
              <w:ind w:right="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40" w:type="dxa"/>
            <w:vAlign w:val="bottom"/>
            <w:gridSpan w:val="5"/>
          </w:tcPr>
          <w:p>
            <w:pPr>
              <w:ind w:left="2220"/>
              <w:spacing w:after="0"/>
              <w:rPr>
                <w:sz w:val="20"/>
                <w:szCs w:val="20"/>
                <w:color w:val="auto"/>
              </w:rPr>
            </w:pPr>
            <w:r>
              <w:rPr>
                <w:rFonts w:ascii="Arial" w:cs="Arial" w:eastAsia="Arial" w:hAnsi="Arial"/>
                <w:sz w:val="18"/>
                <w:szCs w:val="18"/>
                <w:color w:val="auto"/>
                <w:w w:val="93"/>
              </w:rPr>
              <w:t>(I.R.S. Employer Identification No.)</w:t>
            </w:r>
          </w:p>
        </w:tc>
      </w:tr>
      <w:tr>
        <w:trPr>
          <w:trHeight w:val="452"/>
        </w:trPr>
        <w:tc>
          <w:tcPr>
            <w:tcW w:w="400" w:type="dxa"/>
            <w:vAlign w:val="bottom"/>
          </w:tcPr>
          <w:p>
            <w:pPr>
              <w:spacing w:after="0"/>
              <w:rPr>
                <w:sz w:val="24"/>
                <w:szCs w:val="24"/>
                <w:color w:val="auto"/>
              </w:rPr>
            </w:pPr>
          </w:p>
        </w:tc>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100 Deerfield Lane, Suite 140, Malvern, Pennsylvania</w:t>
            </w:r>
          </w:p>
        </w:tc>
        <w:tc>
          <w:tcPr>
            <w:tcW w:w="3460" w:type="dxa"/>
            <w:vAlign w:val="bottom"/>
            <w:gridSpan w:val="2"/>
          </w:tcPr>
          <w:p>
            <w:pPr>
              <w:spacing w:after="0"/>
              <w:rPr>
                <w:sz w:val="24"/>
                <w:szCs w:val="2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19355</w:t>
            </w:r>
          </w:p>
        </w:tc>
        <w:tc>
          <w:tcPr>
            <w:tcW w:w="920" w:type="dxa"/>
            <w:vAlign w:val="bottom"/>
          </w:tcPr>
          <w:p>
            <w:pPr>
              <w:spacing w:after="0"/>
              <w:rPr>
                <w:sz w:val="24"/>
                <w:szCs w:val="24"/>
                <w:color w:val="auto"/>
              </w:rPr>
            </w:pPr>
          </w:p>
        </w:tc>
      </w:tr>
      <w:tr>
        <w:trPr>
          <w:trHeight w:val="230"/>
        </w:trPr>
        <w:tc>
          <w:tcPr>
            <w:tcW w:w="400" w:type="dxa"/>
            <w:vAlign w:val="bottom"/>
          </w:tcPr>
          <w:p>
            <w:pPr>
              <w:spacing w:after="0"/>
              <w:rPr>
                <w:sz w:val="20"/>
                <w:szCs w:val="20"/>
                <w:color w:val="auto"/>
              </w:rPr>
            </w:pPr>
          </w:p>
        </w:tc>
        <w:tc>
          <w:tcPr>
            <w:tcW w:w="394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1820" w:type="dxa"/>
            <w:vAlign w:val="bottom"/>
            <w:gridSpan w:val="4"/>
          </w:tcPr>
          <w:p>
            <w:pPr>
              <w:ind w:left="320"/>
              <w:spacing w:after="0"/>
              <w:rPr>
                <w:sz w:val="20"/>
                <w:szCs w:val="20"/>
                <w:color w:val="auto"/>
              </w:rPr>
            </w:pPr>
            <w:r>
              <w:rPr>
                <w:rFonts w:ascii="Arial" w:cs="Arial" w:eastAsia="Arial" w:hAnsi="Arial"/>
                <w:sz w:val="18"/>
                <w:szCs w:val="18"/>
                <w:color w:val="auto"/>
              </w:rPr>
              <w:t>(Zip Code)</w:t>
            </w:r>
          </w:p>
        </w:tc>
      </w:tr>
    </w:tbl>
    <w:p>
      <w:pPr>
        <w:spacing w:after="0" w:line="187" w:lineRule="exact"/>
        <w:rPr>
          <w:sz w:val="24"/>
          <w:szCs w:val="24"/>
          <w:color w:val="auto"/>
        </w:rPr>
      </w:pPr>
    </w:p>
    <w:p>
      <w:pPr>
        <w:jc w:val="center"/>
        <w:ind w:right="20"/>
        <w:spacing w:after="0"/>
        <w:rPr>
          <w:sz w:val="20"/>
          <w:szCs w:val="20"/>
          <w:color w:val="auto"/>
        </w:rPr>
      </w:pPr>
      <w:r>
        <w:rPr>
          <w:rFonts w:ascii="Arial" w:cs="Arial" w:eastAsia="Arial" w:hAnsi="Arial"/>
          <w:sz w:val="18"/>
          <w:szCs w:val="18"/>
          <w:u w:val="single" w:color="auto"/>
          <w:color w:val="auto"/>
        </w:rPr>
        <w:t>(610) 989-0340</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20" w:space="720"/>
            <w:col w:w="272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2, 2012, there were 32,951,742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0" w:type="dxa"/>
            <w:vAlign w:val="bottom"/>
            <w:gridSpan w:val="6"/>
          </w:tcPr>
          <w:p>
            <w:pPr>
              <w:jc w:val="center"/>
              <w:ind w:right="1940"/>
              <w:spacing w:after="0"/>
              <w:rPr>
                <w:sz w:val="20"/>
                <w:szCs w:val="20"/>
                <w:color w:val="auto"/>
              </w:rPr>
            </w:pPr>
            <w:r>
              <w:rPr>
                <w:rFonts w:ascii="Arial" w:cs="Arial" w:eastAsia="Arial" w:hAnsi="Arial"/>
                <w:sz w:val="18"/>
                <w:szCs w:val="18"/>
                <w:color w:val="auto"/>
                <w:w w:val="96"/>
              </w:rPr>
              <w:t>USA TECHNOLOGIES, INC.</w:t>
            </w:r>
          </w:p>
        </w:tc>
        <w:tc>
          <w:tcPr>
            <w:tcW w:w="2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0" w:type="dxa"/>
            <w:vAlign w:val="bottom"/>
            <w:gridSpan w:val="6"/>
          </w:tcPr>
          <w:p>
            <w:pPr>
              <w:jc w:val="center"/>
              <w:ind w:right="1940"/>
              <w:spacing w:after="0"/>
              <w:rPr>
                <w:sz w:val="20"/>
                <w:szCs w:val="20"/>
                <w:color w:val="auto"/>
              </w:rPr>
            </w:pPr>
            <w:r>
              <w:rPr>
                <w:rFonts w:ascii="Arial" w:cs="Arial" w:eastAsia="Arial" w:hAnsi="Arial"/>
                <w:sz w:val="18"/>
                <w:szCs w:val="18"/>
                <w:color w:val="auto"/>
                <w:w w:val="95"/>
              </w:rPr>
              <w:t>TABLE OF CONTENTS</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80" w:type="dxa"/>
            <w:vAlign w:val="bottom"/>
            <w:gridSpan w:val="14"/>
          </w:tcPr>
          <w:p>
            <w:pPr>
              <w:spacing w:after="0"/>
              <w:rPr>
                <w:sz w:val="20"/>
                <w:szCs w:val="20"/>
                <w:color w:val="auto"/>
              </w:rPr>
            </w:pPr>
            <w:r>
              <w:rPr>
                <w:rFonts w:ascii="Arial" w:cs="Arial" w:eastAsia="Arial" w:hAnsi="Arial"/>
                <w:sz w:val="18"/>
                <w:szCs w:val="18"/>
                <w:color w:val="auto"/>
              </w:rPr>
              <w:t>Part I - Financial Information</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360" w:type="dxa"/>
            <w:vAlign w:val="bottom"/>
            <w:gridSpan w:val="11"/>
          </w:tcPr>
          <w:p>
            <w:pPr>
              <w:spacing w:after="0"/>
              <w:rPr>
                <w:sz w:val="20"/>
                <w:szCs w:val="20"/>
                <w:color w:val="auto"/>
              </w:rPr>
            </w:pPr>
            <w:r>
              <w:rPr>
                <w:rFonts w:ascii="Arial" w:cs="Arial" w:eastAsia="Arial" w:hAnsi="Arial"/>
                <w:sz w:val="18"/>
                <w:szCs w:val="18"/>
                <w:color w:val="auto"/>
              </w:rPr>
              <w:t>Condensed Financial Statements (Unaudited)</w:t>
            </w: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September 30, 2012 and June 30, 2012</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months ended September 30, 2012 and 2011</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Three months ended September 30, 2012</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Three months ended September 30, 2012 and 2011</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F0FFFF"/>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5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Item 2.</w:t>
            </w:r>
          </w:p>
        </w:tc>
        <w:tc>
          <w:tcPr>
            <w:tcW w:w="8360" w:type="dxa"/>
            <w:vAlign w:val="bottom"/>
            <w:gridSpan w:val="11"/>
            <w:shd w:val="clear" w:color="auto" w:fill="F0FFFF"/>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14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5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F0FFFF"/>
          </w:tcPr>
          <w:p>
            <w:pPr>
              <w:spacing w:after="0" w:line="17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Item 4.</w:t>
              </w:r>
            </w:hyperlink>
          </w:p>
        </w:tc>
        <w:tc>
          <w:tcPr>
            <w:tcW w:w="400" w:type="dxa"/>
            <w:vAlign w:val="bottom"/>
            <w:tcBorders>
              <w:bottom w:val="single" w:sz="8" w:color="F0FFFF"/>
            </w:tcBorders>
            <w:shd w:val="clear" w:color="auto" w:fill="F0FFFF"/>
          </w:tcPr>
          <w:p>
            <w:pPr>
              <w:spacing w:after="0"/>
              <w:rPr>
                <w:sz w:val="17"/>
                <w:szCs w:val="17"/>
                <w:color w:val="auto"/>
              </w:rPr>
            </w:pPr>
          </w:p>
        </w:tc>
        <w:tc>
          <w:tcPr>
            <w:tcW w:w="1780" w:type="dxa"/>
            <w:vAlign w:val="bottom"/>
            <w:tcBorders>
              <w:bottom w:val="single" w:sz="8" w:color="0000EE"/>
            </w:tcBorders>
            <w:gridSpan w:val="3"/>
            <w:shd w:val="clear" w:color="auto" w:fill="F0FFFF"/>
          </w:tcPr>
          <w:p>
            <w:pPr>
              <w:spacing w:after="0" w:line="17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Controls and Procedures</w:t>
              </w:r>
            </w:hyperlink>
          </w:p>
        </w:tc>
        <w:tc>
          <w:tcPr>
            <w:tcW w:w="6580" w:type="dxa"/>
            <w:vAlign w:val="bottom"/>
            <w:tcBorders>
              <w:bottom w:val="single" w:sz="8" w:color="F0FFFF"/>
            </w:tcBorders>
            <w:gridSpan w:val="8"/>
            <w:shd w:val="clear" w:color="auto" w:fill="F0FFFF"/>
          </w:tcPr>
          <w:p>
            <w:pPr>
              <w:spacing w:after="0"/>
              <w:rPr>
                <w:sz w:val="17"/>
                <w:szCs w:val="17"/>
                <w:color w:val="auto"/>
              </w:rPr>
            </w:pPr>
          </w:p>
        </w:tc>
        <w:tc>
          <w:tcPr>
            <w:tcW w:w="2140" w:type="dxa"/>
            <w:vAlign w:val="bottom"/>
            <w:tcBorders>
              <w:bottom w:val="single" w:sz="8" w:color="F0FFFF"/>
            </w:tcBorders>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260" w:type="dxa"/>
            <w:vAlign w:val="bottom"/>
            <w:gridSpan w:val="13"/>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Part II - Other Information</w:t>
              </w:r>
            </w:hyperlink>
          </w:p>
        </w:tc>
        <w:tc>
          <w:tcPr>
            <w:tcW w:w="2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F0FFFF"/>
            </w:tcBorders>
          </w:tcPr>
          <w:p>
            <w:pPr>
              <w:spacing w:after="0"/>
              <w:rPr>
                <w:sz w:val="18"/>
                <w:szCs w:val="18"/>
                <w:color w:val="auto"/>
              </w:rPr>
            </w:pPr>
          </w:p>
        </w:tc>
        <w:tc>
          <w:tcPr>
            <w:tcW w:w="560" w:type="dxa"/>
            <w:vAlign w:val="bottom"/>
            <w:tcBorders>
              <w:top w:val="single" w:sz="8" w:color="F0FFFF"/>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5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2"/>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Item 3.</w:t>
              </w:r>
            </w:hyperlink>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400" w:type="dxa"/>
            <w:vAlign w:val="bottom"/>
            <w:tcBorders>
              <w:top w:val="single" w:sz="8" w:color="F0FFFF"/>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F0FFFF"/>
            </w:tcBorders>
          </w:tcPr>
          <w:p>
            <w:pPr>
              <w:spacing w:after="0"/>
              <w:rPr>
                <w:sz w:val="18"/>
                <w:szCs w:val="18"/>
                <w:color w:val="auto"/>
              </w:rPr>
            </w:pPr>
          </w:p>
        </w:tc>
        <w:tc>
          <w:tcPr>
            <w:tcW w:w="1200" w:type="dxa"/>
            <w:vAlign w:val="bottom"/>
            <w:tcBorders>
              <w:top w:val="single" w:sz="8" w:color="F0FFFF"/>
            </w:tcBorders>
          </w:tcPr>
          <w:p>
            <w:pPr>
              <w:spacing w:after="0"/>
              <w:rPr>
                <w:sz w:val="18"/>
                <w:szCs w:val="18"/>
                <w:color w:val="auto"/>
              </w:rPr>
            </w:pPr>
          </w:p>
        </w:tc>
        <w:tc>
          <w:tcPr>
            <w:tcW w:w="720" w:type="dxa"/>
            <w:vAlign w:val="bottom"/>
            <w:tcBorders>
              <w:top w:val="single" w:sz="8" w:color="F0FFFF"/>
            </w:tcBorders>
          </w:tcPr>
          <w:p>
            <w:pPr>
              <w:spacing w:after="0"/>
              <w:rPr>
                <w:sz w:val="18"/>
                <w:szCs w:val="18"/>
                <w:color w:val="auto"/>
              </w:rPr>
            </w:pPr>
          </w:p>
        </w:tc>
        <w:tc>
          <w:tcPr>
            <w:tcW w:w="1540" w:type="dxa"/>
            <w:vAlign w:val="bottom"/>
            <w:tcBorders>
              <w:top w:val="single" w:sz="8" w:color="F0FFFF"/>
            </w:tcBorders>
          </w:tcPr>
          <w:p>
            <w:pPr>
              <w:spacing w:after="0"/>
              <w:rPr>
                <w:sz w:val="18"/>
                <w:szCs w:val="18"/>
                <w:color w:val="auto"/>
              </w:rPr>
            </w:pPr>
          </w:p>
        </w:tc>
        <w:tc>
          <w:tcPr>
            <w:tcW w:w="40" w:type="dxa"/>
            <w:vAlign w:val="bottom"/>
            <w:tcBorders>
              <w:top w:val="single" w:sz="8" w:color="F0FFFF"/>
            </w:tcBorders>
          </w:tcPr>
          <w:p>
            <w:pPr>
              <w:spacing w:after="0"/>
              <w:rPr>
                <w:sz w:val="18"/>
                <w:szCs w:val="18"/>
                <w:color w:val="auto"/>
              </w:rPr>
            </w:pPr>
          </w:p>
        </w:tc>
        <w:tc>
          <w:tcPr>
            <w:tcW w:w="60" w:type="dxa"/>
            <w:vAlign w:val="bottom"/>
            <w:tcBorders>
              <w:top w:val="single" w:sz="8" w:color="F0FFFF"/>
            </w:tcBorders>
          </w:tcPr>
          <w:p>
            <w:pPr>
              <w:spacing w:after="0"/>
              <w:rPr>
                <w:sz w:val="18"/>
                <w:szCs w:val="18"/>
                <w:color w:val="auto"/>
              </w:rPr>
            </w:pPr>
          </w:p>
        </w:tc>
        <w:tc>
          <w:tcPr>
            <w:tcW w:w="1640" w:type="dxa"/>
            <w:vAlign w:val="bottom"/>
            <w:tcBorders>
              <w:top w:val="single" w:sz="8" w:color="F0FFFF"/>
            </w:tcBorders>
          </w:tcPr>
          <w:p>
            <w:pPr>
              <w:spacing w:after="0"/>
              <w:rPr>
                <w:sz w:val="18"/>
                <w:szCs w:val="18"/>
                <w:color w:val="auto"/>
              </w:rPr>
            </w:pPr>
          </w:p>
        </w:tc>
        <w:tc>
          <w:tcPr>
            <w:tcW w:w="214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2"/>
            <w:shd w:val="clear" w:color="auto" w:fill="F0FFFF"/>
          </w:tcPr>
          <w:p>
            <w:pPr>
              <w:spacing w:after="0"/>
              <w:rPr>
                <w:sz w:val="20"/>
                <w:szCs w:val="20"/>
                <w:color w:val="auto"/>
              </w:rPr>
            </w:pPr>
            <w:r>
              <w:rPr>
                <w:rFonts w:ascii="Arial" w:cs="Arial" w:eastAsia="Arial" w:hAnsi="Arial"/>
                <w:sz w:val="18"/>
                <w:szCs w:val="18"/>
                <w:color w:val="auto"/>
              </w:rPr>
              <w:t>Item 6.</w:t>
            </w:r>
          </w:p>
        </w:tc>
        <w:tc>
          <w:tcPr>
            <w:tcW w:w="8360" w:type="dxa"/>
            <w:vAlign w:val="bottom"/>
            <w:gridSpan w:val="11"/>
            <w:shd w:val="clear" w:color="auto" w:fill="F0FFFF"/>
          </w:tcPr>
          <w:p>
            <w:pPr>
              <w:spacing w:after="0"/>
              <w:rPr>
                <w:sz w:val="20"/>
                <w:szCs w:val="20"/>
                <w:color w:val="auto"/>
              </w:rPr>
            </w:pPr>
            <w:r>
              <w:rPr>
                <w:rFonts w:ascii="Arial" w:cs="Arial" w:eastAsia="Arial" w:hAnsi="Arial"/>
                <w:sz w:val="18"/>
                <w:szCs w:val="18"/>
                <w:color w:val="auto"/>
              </w:rPr>
              <w:t>Exhibits</w:t>
            </w:r>
          </w:p>
        </w:tc>
        <w:tc>
          <w:tcPr>
            <w:tcW w:w="2140" w:type="dxa"/>
            <w:vAlign w:val="bottom"/>
            <w:shd w:val="clear" w:color="auto" w:fill="F0FFFF"/>
          </w:tcPr>
          <w:p>
            <w:pPr>
              <w:jc w:val="right"/>
              <w:ind w:right="2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8360" w:type="dxa"/>
            <w:vAlign w:val="bottom"/>
            <w:gridSpan w:val="11"/>
            <w:shd w:val="clear" w:color="auto" w:fill="F0FF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Signatures</w:t>
              </w:r>
            </w:hyperlink>
          </w:p>
        </w:tc>
        <w:tc>
          <w:tcPr>
            <w:tcW w:w="2140" w:type="dxa"/>
            <w:vAlign w:val="bottom"/>
            <w:shd w:val="clear" w:color="auto" w:fill="F0FFFF"/>
          </w:tcPr>
          <w:p>
            <w:pPr>
              <w:jc w:val="right"/>
              <w:ind w:right="250"/>
              <w:spacing w:after="0" w:line="17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Borders>
              <w:top w:val="single" w:sz="8" w:color="F0FFFF"/>
            </w:tcBorders>
          </w:tcPr>
          <w:p>
            <w:pPr>
              <w:spacing w:after="0"/>
              <w:rPr>
                <w:sz w:val="24"/>
                <w:szCs w:val="24"/>
                <w:color w:val="auto"/>
              </w:rPr>
            </w:pPr>
          </w:p>
        </w:tc>
        <w:tc>
          <w:tcPr>
            <w:tcW w:w="400" w:type="dxa"/>
            <w:vAlign w:val="bottom"/>
            <w:tcBorders>
              <w:top w:val="single" w:sz="8" w:color="F0FFFF"/>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320" w:type="dxa"/>
            <w:vAlign w:val="bottom"/>
            <w:tcBorders>
              <w:top w:val="single" w:sz="8" w:color="F0FFFF"/>
            </w:tcBorders>
            <w:gridSpan w:val="6"/>
          </w:tcPr>
          <w:p>
            <w:pPr>
              <w:jc w:val="center"/>
              <w:ind w:left="3650"/>
              <w:spacing w:after="0"/>
              <w:rPr>
                <w:sz w:val="20"/>
                <w:szCs w:val="20"/>
                <w:color w:val="auto"/>
              </w:rPr>
            </w:pPr>
            <w:r>
              <w:rPr>
                <w:rFonts w:ascii="Arial" w:cs="Arial" w:eastAsia="Arial" w:hAnsi="Arial"/>
                <w:sz w:val="18"/>
                <w:szCs w:val="18"/>
                <w:color w:val="auto"/>
                <w:w w:val="99"/>
              </w:rPr>
              <w:t>2</w:t>
            </w:r>
          </w:p>
        </w:tc>
        <w:tc>
          <w:tcPr>
            <w:tcW w:w="1540" w:type="dxa"/>
            <w:vAlign w:val="bottom"/>
            <w:tcBorders>
              <w:top w:val="single" w:sz="8" w:color="F0FFFF"/>
            </w:tcBorders>
          </w:tcPr>
          <w:p>
            <w:pPr>
              <w:spacing w:after="0"/>
              <w:rPr>
                <w:sz w:val="24"/>
                <w:szCs w:val="24"/>
                <w:color w:val="auto"/>
              </w:rPr>
            </w:pPr>
          </w:p>
        </w:tc>
        <w:tc>
          <w:tcPr>
            <w:tcW w:w="40" w:type="dxa"/>
            <w:vAlign w:val="bottom"/>
            <w:tcBorders>
              <w:top w:val="single" w:sz="8" w:color="F0FFFF"/>
            </w:tcBorders>
          </w:tcPr>
          <w:p>
            <w:pPr>
              <w:spacing w:after="0"/>
              <w:rPr>
                <w:sz w:val="24"/>
                <w:szCs w:val="24"/>
                <w:color w:val="auto"/>
              </w:rPr>
            </w:pPr>
          </w:p>
        </w:tc>
        <w:tc>
          <w:tcPr>
            <w:tcW w:w="60" w:type="dxa"/>
            <w:vAlign w:val="bottom"/>
            <w:tcBorders>
              <w:top w:val="single" w:sz="8" w:color="F0FFFF"/>
            </w:tcBorders>
          </w:tcPr>
          <w:p>
            <w:pPr>
              <w:spacing w:after="0"/>
              <w:rPr>
                <w:sz w:val="24"/>
                <w:szCs w:val="24"/>
                <w:color w:val="auto"/>
              </w:rPr>
            </w:pPr>
          </w:p>
        </w:tc>
        <w:tc>
          <w:tcPr>
            <w:tcW w:w="1640" w:type="dxa"/>
            <w:vAlign w:val="bottom"/>
            <w:tcBorders>
              <w:top w:val="single" w:sz="8" w:color="F0FFFF"/>
            </w:tcBorders>
          </w:tcPr>
          <w:p>
            <w:pPr>
              <w:spacing w:after="0"/>
              <w:rPr>
                <w:sz w:val="24"/>
                <w:szCs w:val="24"/>
                <w:color w:val="auto"/>
              </w:rPr>
            </w:pPr>
          </w:p>
        </w:tc>
        <w:tc>
          <w:tcPr>
            <w:tcW w:w="2140" w:type="dxa"/>
            <w:vAlign w:val="bottom"/>
            <w:tcBorders>
              <w:top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80" w:type="dxa"/>
            <w:vAlign w:val="bottom"/>
            <w:gridSpan w:val="3"/>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2012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Assets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6,203,703</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6,426,645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w w:val="93"/>
              </w:rPr>
              <w:t>Accounts receivable, less allowance for uncollectible accounts of $19,000 and $25,000, respectively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2,366,750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2,441,941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Finance receivables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139,039</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206,649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Inventory</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1,185,917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2,511,748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603,893</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555,823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10,499,302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12,142,806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Finance receivables, less current portion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372,977</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Property and equipment, net</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13,037,458</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11,800,108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Intangibles, net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1,010,853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1,196,453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Goodwill</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7,663,208</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81,247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assets</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32,665,045</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Liabilities and shareholders’ equity</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Current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6,020,991</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6,136,443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1,933,093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3,342,456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Line of credit</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1,337,779</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483,934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466,056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current liabilities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9,775,797</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9,944,955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Long-term liabilities: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Long-term debt, less current portion</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210,642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262,274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384,158</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426,241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220"/>
              <w:spacing w:after="0"/>
              <w:rPr>
                <w:sz w:val="20"/>
                <w:szCs w:val="20"/>
                <w:color w:val="auto"/>
              </w:rPr>
            </w:pPr>
            <w:r>
              <w:rPr>
                <w:rFonts w:ascii="Arial" w:cs="Arial" w:eastAsia="Arial" w:hAnsi="Arial"/>
                <w:sz w:val="18"/>
                <w:szCs w:val="18"/>
                <w:color w:val="auto"/>
              </w:rPr>
              <w:t>Deferred tax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19,520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F0FFFF"/>
          </w:tcPr>
          <w:p>
            <w:pPr>
              <w:ind w:left="200"/>
              <w:spacing w:after="0"/>
              <w:rPr>
                <w:sz w:val="20"/>
                <w:szCs w:val="20"/>
                <w:color w:val="auto"/>
              </w:rPr>
            </w:pPr>
            <w:r>
              <w:rPr>
                <w:rFonts w:ascii="Arial" w:cs="Arial" w:eastAsia="Arial" w:hAnsi="Arial"/>
                <w:sz w:val="18"/>
                <w:szCs w:val="18"/>
                <w:color w:val="auto"/>
              </w:rPr>
              <w:t>Warrant liabilities, non-current</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455,433</w:t>
            </w: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918,566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Total long-term liabilities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1,069,753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1,619,680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w:t>
            </w:r>
          </w:p>
        </w:tc>
        <w:tc>
          <w:tcPr>
            <w:tcW w:w="1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10,845,550</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11,564,635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Commitments and contingencies</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Shareholders’ equity:</w:t>
            </w: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Preferred stock, no par value: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3"/>
            <w:shd w:val="clear" w:color="auto" w:fill="F0FFFF"/>
          </w:tcPr>
          <w:p>
            <w:pPr>
              <w:spacing w:after="0" w:line="201" w:lineRule="exact"/>
              <w:rPr>
                <w:sz w:val="20"/>
                <w:szCs w:val="20"/>
                <w:color w:val="auto"/>
              </w:rPr>
            </w:pPr>
            <w:r>
              <w:rPr>
                <w:rFonts w:ascii="Arial" w:cs="Arial" w:eastAsia="Arial" w:hAnsi="Arial"/>
                <w:sz w:val="18"/>
                <w:szCs w:val="18"/>
                <w:color w:val="auto"/>
                <w:w w:val="98"/>
              </w:rPr>
              <w:t>Authorized shares- 1,800,000 Series A convertible preferred- Authorized shares- 900,000 Issued and outstanding</w:t>
            </w:r>
          </w:p>
        </w:tc>
        <w:tc>
          <w:tcPr>
            <w:tcW w:w="10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shares- 442,968 (liquidation preference of $15,693,778 and $15,361,552, respectively)</w:t>
            </w:r>
          </w:p>
        </w:tc>
        <w:tc>
          <w:tcPr>
            <w:tcW w:w="114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3,138,056</w:t>
            </w:r>
          </w:p>
        </w:tc>
        <w:tc>
          <w:tcPr>
            <w:tcW w:w="8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60" w:type="dxa"/>
            <w:vAlign w:val="bottom"/>
          </w:tcPr>
          <w:p>
            <w:pPr>
              <w:spacing w:after="0" w:line="201" w:lineRule="exact"/>
              <w:rPr>
                <w:sz w:val="20"/>
                <w:szCs w:val="20"/>
                <w:color w:val="auto"/>
              </w:rPr>
            </w:pPr>
            <w:r>
              <w:rPr>
                <w:rFonts w:ascii="Arial" w:cs="Arial" w:eastAsia="Arial" w:hAnsi="Arial"/>
                <w:sz w:val="18"/>
                <w:szCs w:val="18"/>
                <w:color w:val="auto"/>
                <w:w w:val="90"/>
              </w:rPr>
              <w:t>Common stock, no par value: Authorized shares- 640,000,000 Issued and outstanding shares- 32,741,732</w:t>
            </w:r>
          </w:p>
        </w:tc>
        <w:tc>
          <w:tcPr>
            <w:tcW w:w="1240" w:type="dxa"/>
            <w:vAlign w:val="bottom"/>
            <w:gridSpan w:val="2"/>
          </w:tcPr>
          <w:p>
            <w:pPr>
              <w:jc w:val="right"/>
              <w:ind w:right="850"/>
              <w:spacing w:after="0" w:line="201" w:lineRule="exact"/>
              <w:rPr>
                <w:sz w:val="20"/>
                <w:szCs w:val="20"/>
                <w:color w:val="auto"/>
              </w:rPr>
            </w:pPr>
            <w:r>
              <w:rPr>
                <w:rFonts w:ascii="Arial" w:cs="Arial" w:eastAsia="Arial" w:hAnsi="Arial"/>
                <w:sz w:val="18"/>
                <w:szCs w:val="18"/>
                <w:color w:val="auto"/>
                <w:w w:val="93"/>
              </w:rPr>
              <w:t>and</w:t>
            </w: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32,510,069, respectively</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220,638,660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220,513,327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Accumulated deficit</w:t>
            </w:r>
          </w:p>
        </w:tc>
        <w:tc>
          <w:tcPr>
            <w:tcW w:w="1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6"/>
              </w:rPr>
              <w:t>(201,957,221)</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w w:val="94"/>
              </w:rPr>
              <w:t>(201,996,361)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shareholders’ equity</w:t>
            </w:r>
          </w:p>
        </w:tc>
        <w:tc>
          <w:tcPr>
            <w:tcW w:w="1140" w:type="dxa"/>
            <w:vAlign w:val="bottom"/>
            <w:shd w:val="clear" w:color="auto" w:fill="F0FFFF"/>
          </w:tcPr>
          <w:p>
            <w:pPr>
              <w:spacing w:after="0"/>
              <w:rPr>
                <w:sz w:val="19"/>
                <w:szCs w:val="19"/>
                <w:color w:val="auto"/>
              </w:rPr>
            </w:pPr>
          </w:p>
        </w:tc>
        <w:tc>
          <w:tcPr>
            <w:tcW w:w="100" w:type="dxa"/>
            <w:vAlign w:val="bottom"/>
            <w:shd w:val="clear" w:color="auto" w:fill="F0FFFF"/>
          </w:tcPr>
          <w:p>
            <w:pPr>
              <w:spacing w:after="0"/>
              <w:rPr>
                <w:sz w:val="19"/>
                <w:szCs w:val="19"/>
                <w:color w:val="auto"/>
              </w:rPr>
            </w:pP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21,819,495</w:t>
            </w:r>
          </w:p>
        </w:tc>
        <w:tc>
          <w:tcPr>
            <w:tcW w:w="80" w:type="dxa"/>
            <w:vAlign w:val="bottom"/>
            <w:shd w:val="clear" w:color="auto" w:fill="F0FFFF"/>
          </w:tcPr>
          <w:p>
            <w:pPr>
              <w:spacing w:after="0"/>
              <w:rPr>
                <w:sz w:val="19"/>
                <w:szCs w:val="19"/>
                <w:color w:val="auto"/>
              </w:rPr>
            </w:pPr>
          </w:p>
        </w:tc>
        <w:tc>
          <w:tcPr>
            <w:tcW w:w="120" w:type="dxa"/>
            <w:vAlign w:val="bottom"/>
            <w:shd w:val="clear" w:color="auto" w:fill="F0FFFF"/>
          </w:tcPr>
          <w:p>
            <w:pPr>
              <w:spacing w:after="0"/>
              <w:rPr>
                <w:sz w:val="19"/>
                <w:szCs w:val="19"/>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60" w:type="dxa"/>
            <w:vAlign w:val="bottom"/>
            <w:tcBorders>
              <w:top w:val="single" w:sz="8" w:color="F0FFFF"/>
            </w:tcBorders>
          </w:tcPr>
          <w:p>
            <w:pPr>
              <w:spacing w:after="0"/>
              <w:rPr>
                <w:sz w:val="18"/>
                <w:szCs w:val="18"/>
                <w:color w:val="auto"/>
              </w:rPr>
            </w:pPr>
          </w:p>
        </w:tc>
        <w:tc>
          <w:tcPr>
            <w:tcW w:w="1140" w:type="dxa"/>
            <w:vAlign w:val="bottom"/>
            <w:tcBorders>
              <w:top w:val="single" w:sz="8" w:color="F0FF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60" w:type="dxa"/>
            <w:vAlign w:val="bottom"/>
            <w:shd w:val="clear" w:color="auto" w:fill="F0FFFF"/>
          </w:tcPr>
          <w:p>
            <w:pPr>
              <w:spacing w:after="0"/>
              <w:rPr>
                <w:sz w:val="20"/>
                <w:szCs w:val="20"/>
                <w:color w:val="auto"/>
              </w:rPr>
            </w:pPr>
            <w:r>
              <w:rPr>
                <w:rFonts w:ascii="Arial" w:cs="Arial" w:eastAsia="Arial" w:hAnsi="Arial"/>
                <w:sz w:val="18"/>
                <w:szCs w:val="18"/>
                <w:color w:val="auto"/>
              </w:rPr>
              <w:t>Total liabilities and shareholders’ equity</w:t>
            </w:r>
          </w:p>
        </w:tc>
        <w:tc>
          <w:tcPr>
            <w:tcW w:w="12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32,665,045</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33,219,657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80" w:type="dxa"/>
            <w:vAlign w:val="bottom"/>
            <w:gridSpan w:val="2"/>
          </w:tcPr>
          <w:p>
            <w:pPr>
              <w:spacing w:after="0"/>
              <w:rPr>
                <w:sz w:val="20"/>
                <w:szCs w:val="20"/>
                <w:color w:val="auto"/>
              </w:rPr>
            </w:pPr>
            <w:r>
              <w:rPr>
                <w:rFonts w:ascii="Arial" w:cs="Arial" w:eastAsia="Arial" w:hAnsi="Arial"/>
                <w:sz w:val="18"/>
                <w:szCs w:val="18"/>
                <w:i w:val="1"/>
                <w:iCs w:val="1"/>
                <w:color w:val="auto"/>
              </w:rPr>
              <w:t>See accompanying notes.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680" w:type="dxa"/>
            <w:vAlign w:val="bottom"/>
            <w:gridSpan w:val="2"/>
          </w:tcPr>
          <w:p>
            <w:pPr>
              <w:jc w:val="right"/>
              <w:ind w:right="183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F0FFFF"/>
          </w:tcPr>
          <w:p>
            <w:pPr>
              <w:spacing w:after="0"/>
              <w:rPr>
                <w:sz w:val="20"/>
                <w:szCs w:val="20"/>
                <w:color w:val="auto"/>
              </w:rPr>
            </w:pPr>
            <w:r>
              <w:rPr>
                <w:rFonts w:ascii="Arial" w:cs="Arial" w:eastAsia="Arial" w:hAnsi="Arial"/>
                <w:sz w:val="18"/>
                <w:szCs w:val="18"/>
                <w:color w:val="auto"/>
              </w:rPr>
              <w:t>Revenues: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License and transaction fees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6,906,356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5,419,663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Equipment sales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1,483,921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1,286,085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revenues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8,390,277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6,705,748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4,192,360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3,761,577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Cost of equipment</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1,053,636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895,135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Gross profit</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3,144,281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2,049,036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3,215,125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3,468,070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343,388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403,232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F0FFFF"/>
          </w:tcPr>
          <w:p>
            <w:pPr>
              <w:spacing w:after="0"/>
              <w:rPr>
                <w:sz w:val="20"/>
                <w:szCs w:val="20"/>
                <w:color w:val="auto"/>
              </w:rPr>
            </w:pPr>
            <w:r>
              <w:rPr>
                <w:rFonts w:ascii="Arial" w:cs="Arial" w:eastAsia="Arial" w:hAnsi="Arial"/>
                <w:sz w:val="18"/>
                <w:szCs w:val="18"/>
                <w:color w:val="auto"/>
              </w:rPr>
              <w:t>Total operating expenses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3,558,513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3,871,302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Operating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(414,232)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(1,822,266)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Interest income</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20,166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(23,006)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ind w:left="220"/>
              <w:spacing w:after="0"/>
              <w:rPr>
                <w:sz w:val="20"/>
                <w:szCs w:val="20"/>
                <w:color w:val="auto"/>
              </w:rPr>
            </w:pPr>
            <w:r>
              <w:rPr>
                <w:rFonts w:ascii="Arial" w:cs="Arial" w:eastAsia="Arial" w:hAnsi="Arial"/>
                <w:sz w:val="18"/>
                <w:szCs w:val="18"/>
                <w:color w:val="auto"/>
              </w:rPr>
              <w:t>Change in fair value of warrant liabilities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463,133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1,736,609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Total other income (expense), net</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460,293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1,743,312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60" w:type="dxa"/>
            <w:vAlign w:val="bottom"/>
            <w:shd w:val="clear" w:color="auto" w:fill="F0FFFF"/>
          </w:tcPr>
          <w:p>
            <w:pPr>
              <w:spacing w:after="0"/>
              <w:rPr>
                <w:sz w:val="18"/>
                <w:szCs w:val="18"/>
                <w:color w:val="auto"/>
              </w:rPr>
            </w:pPr>
          </w:p>
        </w:tc>
        <w:tc>
          <w:tcPr>
            <w:tcW w:w="164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46,061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(6,921)</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Net income (loss)</w:t>
            </w:r>
          </w:p>
        </w:tc>
        <w:tc>
          <w:tcPr>
            <w:tcW w:w="1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39,140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F0FFFF"/>
          </w:tcPr>
          <w:p>
            <w:pPr>
              <w:spacing w:after="0"/>
              <w:rPr>
                <w:sz w:val="20"/>
                <w:szCs w:val="20"/>
                <w:color w:val="auto"/>
              </w:rPr>
            </w:pPr>
            <w:r>
              <w:rPr>
                <w:rFonts w:ascii="Arial" w:cs="Arial" w:eastAsia="Arial" w:hAnsi="Arial"/>
                <w:sz w:val="18"/>
                <w:szCs w:val="18"/>
                <w:color w:val="auto"/>
              </w:rPr>
              <w:t>Cumulative preferred dividends</w:t>
            </w:r>
          </w:p>
        </w:tc>
        <w:tc>
          <w:tcPr>
            <w:tcW w:w="164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(332,226)</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(332,226)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Loss applicable to common shares</w:t>
            </w:r>
          </w:p>
        </w:tc>
        <w:tc>
          <w:tcPr>
            <w:tcW w:w="1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(293,086)</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(411,180)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F0FFFF"/>
          </w:tcPr>
          <w:p>
            <w:pPr>
              <w:spacing w:after="0"/>
              <w:rPr>
                <w:sz w:val="20"/>
                <w:szCs w:val="20"/>
                <w:color w:val="auto"/>
              </w:rPr>
            </w:pPr>
            <w:r>
              <w:rPr>
                <w:rFonts w:ascii="Arial" w:cs="Arial" w:eastAsia="Arial" w:hAnsi="Arial"/>
                <w:sz w:val="18"/>
                <w:szCs w:val="18"/>
                <w:color w:val="auto"/>
              </w:rPr>
              <w:t>Loss per common share (basic and diluted)</w:t>
            </w:r>
          </w:p>
        </w:tc>
        <w:tc>
          <w:tcPr>
            <w:tcW w:w="18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(0.01)</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20"/>
                <w:szCs w:val="20"/>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Weighted average number of common shares outstanding (basic and diluted)</w:t>
            </w:r>
          </w:p>
        </w:tc>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32,518,230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32,288,638</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640" w:type="dxa"/>
            <w:vAlign w:val="bottom"/>
            <w:gridSpan w:val="3"/>
          </w:tcPr>
          <w:p>
            <w:pPr>
              <w:jc w:val="center"/>
              <w:ind w:left="810"/>
              <w:spacing w:after="0"/>
              <w:rPr>
                <w:sz w:val="20"/>
                <w:szCs w:val="20"/>
                <w:color w:val="auto"/>
              </w:rPr>
            </w:pPr>
            <w:r>
              <w:rPr>
                <w:rFonts w:ascii="Arial" w:cs="Arial" w:eastAsia="Arial" w:hAnsi="Arial"/>
                <w:sz w:val="18"/>
                <w:szCs w:val="18"/>
                <w:color w:val="auto"/>
                <w:w w:val="91"/>
              </w:rPr>
              <w:t>Series A</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780" w:type="dxa"/>
            <w:vAlign w:val="bottom"/>
            <w:gridSpan w:val="5"/>
          </w:tcPr>
          <w:p>
            <w:pPr>
              <w:jc w:val="center"/>
              <w:ind w:right="240"/>
              <w:spacing w:after="0"/>
              <w:rPr>
                <w:sz w:val="20"/>
                <w:szCs w:val="20"/>
                <w:color w:val="auto"/>
              </w:rPr>
            </w:pPr>
            <w:r>
              <w:rPr>
                <w:rFonts w:ascii="Arial" w:cs="Arial" w:eastAsia="Arial" w:hAnsi="Arial"/>
                <w:sz w:val="18"/>
                <w:szCs w:val="18"/>
                <w:color w:val="auto"/>
                <w:w w:val="94"/>
              </w:rPr>
              <w:t>Convertible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5"/>
          </w:tcPr>
          <w:p>
            <w:pPr>
              <w:jc w:val="center"/>
              <w:ind w:right="220"/>
              <w:spacing w:after="0"/>
              <w:rPr>
                <w:sz w:val="20"/>
                <w:szCs w:val="20"/>
                <w:color w:val="auto"/>
              </w:rPr>
            </w:pPr>
            <w:r>
              <w:rPr>
                <w:rFonts w:ascii="Arial" w:cs="Arial" w:eastAsia="Arial" w:hAnsi="Arial"/>
                <w:sz w:val="18"/>
                <w:szCs w:val="18"/>
                <w:color w:val="auto"/>
                <w:w w:val="89"/>
              </w:rPr>
              <w:t>Preferred Stock</w:t>
            </w:r>
          </w:p>
        </w:tc>
        <w:tc>
          <w:tcPr>
            <w:tcW w:w="2700" w:type="dxa"/>
            <w:vAlign w:val="bottom"/>
            <w:gridSpan w:val="6"/>
          </w:tcPr>
          <w:p>
            <w:pPr>
              <w:ind w:left="680"/>
              <w:spacing w:after="0"/>
              <w:rPr>
                <w:sz w:val="20"/>
                <w:szCs w:val="20"/>
                <w:color w:val="auto"/>
              </w:rPr>
            </w:pPr>
            <w:r>
              <w:rPr>
                <w:rFonts w:ascii="Arial" w:cs="Arial" w:eastAsia="Arial" w:hAnsi="Arial"/>
                <w:sz w:val="18"/>
                <w:szCs w:val="18"/>
                <w:color w:val="auto"/>
              </w:rPr>
              <w:t>Common Stock</w:t>
            </w:r>
          </w:p>
        </w:tc>
        <w:tc>
          <w:tcPr>
            <w:tcW w:w="128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Accumulated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2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Amount</w:t>
            </w:r>
          </w:p>
        </w:tc>
        <w:tc>
          <w:tcPr>
            <w:tcW w:w="220" w:type="dxa"/>
            <w:vAlign w:val="bottom"/>
          </w:tcPr>
          <w:p>
            <w:pPr>
              <w:spacing w:after="0"/>
              <w:rPr>
                <w:sz w:val="19"/>
                <w:szCs w:val="19"/>
                <w:color w:val="auto"/>
              </w:rPr>
            </w:pPr>
          </w:p>
        </w:tc>
        <w:tc>
          <w:tcPr>
            <w:tcW w:w="124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8"/>
                <w:szCs w:val="18"/>
                <w:color w:val="auto"/>
              </w:rPr>
              <w:t>Balance, June 30, 2012</w:t>
            </w:r>
          </w:p>
        </w:tc>
        <w:tc>
          <w:tcPr>
            <w:tcW w:w="11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32,510,069</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w w:val="95"/>
              </w:rPr>
              <w:t>220,513,327</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w w:val="92"/>
              </w:rPr>
              <w:t>(201,996,361)</w:t>
            </w: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21,655,022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2010 Stock</w:t>
            </w: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15,644</w:t>
            </w: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vesting of shares under the 2011 Stock</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59,165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64,689</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64,689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w w:val="96"/>
              </w:rPr>
              <w:t>Issuance of fully-vested shares of common</w:t>
            </w:r>
          </w:p>
        </w:tc>
        <w:tc>
          <w:tcPr>
            <w:tcW w:w="11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stock to employees and directors and</w:t>
            </w: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vesting of shares under the 2012 Stock</w:t>
            </w:r>
          </w:p>
        </w:tc>
        <w:tc>
          <w:tcPr>
            <w:tcW w:w="116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9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F0FFFF"/>
          </w:tcPr>
          <w:p>
            <w:pPr>
              <w:ind w:left="160"/>
              <w:spacing w:after="0"/>
              <w:rPr>
                <w:sz w:val="20"/>
                <w:szCs w:val="20"/>
                <w:color w:val="auto"/>
              </w:rPr>
            </w:pPr>
            <w:r>
              <w:rPr>
                <w:rFonts w:ascii="Arial" w:cs="Arial" w:eastAsia="Arial" w:hAnsi="Arial"/>
                <w:sz w:val="18"/>
                <w:szCs w:val="18"/>
                <w:color w:val="auto"/>
              </w:rPr>
              <w:t>Incentive Plan</w:t>
            </w:r>
          </w:p>
        </w:tc>
        <w:tc>
          <w:tcPr>
            <w:tcW w:w="11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920" w:type="dxa"/>
            <w:vAlign w:val="bottom"/>
            <w:shd w:val="clear" w:color="auto" w:fill="F0FFFF"/>
          </w:tcPr>
          <w:p>
            <w:pPr>
              <w:spacing w:after="0"/>
              <w:rPr>
                <w:sz w:val="20"/>
                <w:szCs w:val="20"/>
                <w:color w:val="auto"/>
              </w:rPr>
            </w:pPr>
          </w:p>
        </w:tc>
        <w:tc>
          <w:tcPr>
            <w:tcW w:w="220" w:type="dxa"/>
            <w:vAlign w:val="bottom"/>
            <w:shd w:val="clear" w:color="auto" w:fill="F0FFFF"/>
          </w:tcPr>
          <w:p>
            <w:pPr>
              <w:spacing w:after="0"/>
              <w:rPr>
                <w:sz w:val="20"/>
                <w:szCs w:val="20"/>
                <w:color w:val="auto"/>
              </w:rPr>
            </w:pP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171,998</w:t>
            </w:r>
          </w:p>
        </w:tc>
        <w:tc>
          <w:tcPr>
            <w:tcW w:w="120" w:type="dxa"/>
            <w:vAlign w:val="bottom"/>
            <w:shd w:val="clear" w:color="auto" w:fill="F0FFFF"/>
          </w:tcPr>
          <w:p>
            <w:pPr>
              <w:spacing w:after="0"/>
              <w:rPr>
                <w:sz w:val="20"/>
                <w:szCs w:val="20"/>
                <w:color w:val="auto"/>
              </w:rPr>
            </w:pPr>
          </w:p>
        </w:tc>
        <w:tc>
          <w:tcPr>
            <w:tcW w:w="160" w:type="dxa"/>
            <w:vAlign w:val="bottom"/>
            <w:shd w:val="clear" w:color="auto" w:fill="F0FFFF"/>
          </w:tcPr>
          <w:p>
            <w:pPr>
              <w:spacing w:after="0"/>
              <w:rPr>
                <w:sz w:val="20"/>
                <w:szCs w:val="20"/>
                <w:color w:val="auto"/>
              </w:rPr>
            </w:pPr>
          </w:p>
        </w:tc>
        <w:tc>
          <w:tcPr>
            <w:tcW w:w="1180" w:type="dxa"/>
            <w:vAlign w:val="bottom"/>
            <w:gridSpan w:val="2"/>
            <w:shd w:val="clear" w:color="auto" w:fill="F0FFFF"/>
          </w:tcPr>
          <w:p>
            <w:pPr>
              <w:jc w:val="right"/>
              <w:ind w:right="200"/>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F0FFFF"/>
          </w:tcPr>
          <w:p>
            <w:pPr>
              <w:spacing w:after="0"/>
              <w:rPr>
                <w:sz w:val="20"/>
                <w:szCs w:val="20"/>
                <w:color w:val="auto"/>
              </w:rPr>
            </w:pPr>
          </w:p>
        </w:tc>
        <w:tc>
          <w:tcPr>
            <w:tcW w:w="1000" w:type="dxa"/>
            <w:vAlign w:val="bottom"/>
            <w:shd w:val="clear" w:color="auto" w:fill="F0FFFF"/>
          </w:tcPr>
          <w:p>
            <w:pPr>
              <w:spacing w:after="0"/>
              <w:rPr>
                <w:sz w:val="20"/>
                <w:szCs w:val="20"/>
                <w:color w:val="auto"/>
              </w:rPr>
            </w:pPr>
          </w:p>
        </w:tc>
        <w:tc>
          <w:tcPr>
            <w:tcW w:w="14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200" w:type="dxa"/>
            <w:vAlign w:val="bottom"/>
            <w:shd w:val="clear" w:color="auto" w:fill="F0FFFF"/>
          </w:tcPr>
          <w:p>
            <w:pPr>
              <w:spacing w:after="0"/>
              <w:rPr>
                <w:sz w:val="20"/>
                <w:szCs w:val="20"/>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Net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39,140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39,140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F0FFFF"/>
          </w:tcPr>
          <w:p>
            <w:pPr>
              <w:spacing w:after="0"/>
              <w:rPr>
                <w:sz w:val="18"/>
                <w:szCs w:val="18"/>
                <w:color w:val="auto"/>
              </w:rPr>
            </w:pPr>
          </w:p>
        </w:tc>
        <w:tc>
          <w:tcPr>
            <w:tcW w:w="1160" w:type="dxa"/>
            <w:vAlign w:val="bottom"/>
            <w:tcBorders>
              <w:top w:val="single" w:sz="8" w:color="auto"/>
            </w:tcBorders>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4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1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60" w:type="dxa"/>
            <w:vAlign w:val="bottom"/>
            <w:tcBorders>
              <w:top w:val="single" w:sz="8" w:color="auto"/>
            </w:tcBorders>
            <w:shd w:val="clear" w:color="auto" w:fill="F0FFFF"/>
          </w:tcPr>
          <w:p>
            <w:pPr>
              <w:spacing w:after="0"/>
              <w:rPr>
                <w:sz w:val="18"/>
                <w:szCs w:val="18"/>
                <w:color w:val="auto"/>
              </w:rPr>
            </w:pPr>
          </w:p>
        </w:tc>
        <w:tc>
          <w:tcPr>
            <w:tcW w:w="980" w:type="dxa"/>
            <w:vAlign w:val="bottom"/>
            <w:tcBorders>
              <w:top w:val="single" w:sz="8" w:color="auto"/>
            </w:tcBorders>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40" w:type="dxa"/>
            <w:vAlign w:val="bottom"/>
            <w:tcBorders>
              <w:top w:val="single" w:sz="8" w:color="auto"/>
            </w:tcBorders>
            <w:shd w:val="clear" w:color="auto" w:fill="F0FFFF"/>
          </w:tcPr>
          <w:p>
            <w:pPr>
              <w:spacing w:after="0"/>
              <w:rPr>
                <w:sz w:val="18"/>
                <w:szCs w:val="18"/>
                <w:color w:val="auto"/>
              </w:rPr>
            </w:pPr>
          </w:p>
        </w:tc>
        <w:tc>
          <w:tcPr>
            <w:tcW w:w="100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 September 30, 2012</w:t>
            </w:r>
          </w:p>
        </w:tc>
        <w:tc>
          <w:tcPr>
            <w:tcW w:w="1160" w:type="dxa"/>
            <w:vAlign w:val="bottom"/>
          </w:tcPr>
          <w:p>
            <w:pPr>
              <w:jc w:val="right"/>
              <w:spacing w:after="0"/>
              <w:rPr>
                <w:sz w:val="20"/>
                <w:szCs w:val="20"/>
                <w:color w:val="auto"/>
              </w:rPr>
            </w:pPr>
            <w:r>
              <w:rPr>
                <w:rFonts w:ascii="Arial" w:cs="Arial" w:eastAsia="Arial" w:hAnsi="Arial"/>
                <w:sz w:val="18"/>
                <w:szCs w:val="18"/>
                <w:color w:val="auto"/>
              </w:rPr>
              <w:t>442,968</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3,138,056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32,741,732</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220,638,660</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(201,957,221)</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21,819,495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39,140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Adjustments to reconcile net income (loss) to net cash used in operating activities:</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w w:val="91"/>
              </w:rPr>
              <w:t>Charges incurred in connection with the vesting and issuance of common stock for employee and director compensation</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125,333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240,453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Charges reduced for change in fair value of warrants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(463,133)</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(1,736,609)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Depreciation, $676,218 and $418,493, respectively, of which is allocated to cost of services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834,006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185,600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Bad debt recoveries, net</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Provision for deferred tax liability</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6,921</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8"/>
                <w:szCs w:val="18"/>
                <w:color w:val="auto"/>
              </w:rPr>
              <w:t>81,320</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187,501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30,831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Inventory</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1,331,390</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160,798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79,629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(115,452)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(656,552)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(1,451,446)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582,357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678,010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(496,789)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(1,525)</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(60,348)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 of property for rental program, net</w:t>
            </w:r>
          </w:p>
        </w:tc>
        <w:tc>
          <w:tcPr>
            <w:tcW w:w="22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(2,075,390)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(1,234,608)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220" w:type="dxa"/>
            <w:vAlign w:val="bottom"/>
            <w:tcBorders>
              <w:top w:val="single" w:sz="8" w:color="auto"/>
            </w:tcBorders>
            <w:shd w:val="clear" w:color="auto" w:fill="F0FFFF"/>
          </w:tcPr>
          <w:p>
            <w:pPr>
              <w:spacing w:after="0"/>
              <w:rPr>
                <w:sz w:val="18"/>
                <w:szCs w:val="18"/>
                <w:color w:val="auto"/>
              </w:rPr>
            </w:pPr>
          </w:p>
        </w:tc>
        <w:tc>
          <w:tcPr>
            <w:tcW w:w="920" w:type="dxa"/>
            <w:vAlign w:val="bottom"/>
            <w:tcBorders>
              <w:top w:val="single" w:sz="8" w:color="auto"/>
            </w:tcBorders>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tcBorders>
              <w:top w:val="single" w:sz="8" w:color="auto"/>
            </w:tcBorders>
            <w:shd w:val="clear" w:color="auto" w:fill="F0FFFF"/>
          </w:tcPr>
          <w:p>
            <w:pPr>
              <w:spacing w:after="0"/>
              <w:rPr>
                <w:sz w:val="18"/>
                <w:szCs w:val="18"/>
                <w:color w:val="auto"/>
              </w:rPr>
            </w:pPr>
          </w:p>
        </w:tc>
        <w:tc>
          <w:tcPr>
            <w:tcW w:w="940" w:type="dxa"/>
            <w:vAlign w:val="bottom"/>
            <w:tcBorders>
              <w:top w:val="single" w:sz="8" w:color="auto"/>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(2,076,915)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(1,294,956)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Proceeds from the issuance of common stock</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Proceeds from line of credit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1,337,779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shd w:val="clear" w:color="auto" w:fill="F0FFFF"/>
          </w:tcPr>
          <w:p>
            <w:pPr>
              <w:spacing w:after="0"/>
              <w:rPr>
                <w:sz w:val="19"/>
                <w:szCs w:val="19"/>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(161,816)</w:t>
            </w: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(109,839)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shd w:val="clear" w:color="auto" w:fill="F0FFFF"/>
          </w:tcPr>
          <w:p>
            <w:pPr>
              <w:spacing w:after="0"/>
              <w:rPr>
                <w:sz w:val="19"/>
                <w:szCs w:val="19"/>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1,175,963</w:t>
            </w:r>
          </w:p>
        </w:tc>
        <w:tc>
          <w:tcPr>
            <w:tcW w:w="140" w:type="dxa"/>
            <w:vAlign w:val="bottom"/>
            <w:shd w:val="clear" w:color="auto" w:fill="F0FFFF"/>
          </w:tcPr>
          <w:p>
            <w:pPr>
              <w:spacing w:after="0"/>
              <w:rPr>
                <w:sz w:val="19"/>
                <w:szCs w:val="19"/>
                <w:color w:val="auto"/>
              </w:rPr>
            </w:pPr>
          </w:p>
        </w:tc>
        <w:tc>
          <w:tcPr>
            <w:tcW w:w="80" w:type="dxa"/>
            <w:vAlign w:val="bottom"/>
            <w:shd w:val="clear" w:color="auto" w:fill="F0FFFF"/>
          </w:tcPr>
          <w:p>
            <w:pPr>
              <w:spacing w:after="0"/>
              <w:rPr>
                <w:sz w:val="19"/>
                <w:szCs w:val="19"/>
                <w:color w:val="auto"/>
              </w:rPr>
            </w:pPr>
          </w:p>
        </w:tc>
        <w:tc>
          <w:tcPr>
            <w:tcW w:w="20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(99,829)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F0FFFF"/>
          </w:tcPr>
          <w:p>
            <w:pPr>
              <w:spacing w:after="0"/>
              <w:rPr>
                <w:sz w:val="18"/>
                <w:szCs w:val="18"/>
                <w:color w:val="auto"/>
              </w:rPr>
            </w:pPr>
          </w:p>
        </w:tc>
        <w:tc>
          <w:tcPr>
            <w:tcW w:w="10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(222,942)</w:t>
            </w: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104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(1,891,574)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6,426,645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12,991,511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6,203,703</w:t>
            </w:r>
          </w:p>
        </w:tc>
        <w:tc>
          <w:tcPr>
            <w:tcW w:w="140" w:type="dxa"/>
            <w:vAlign w:val="bottom"/>
            <w:shd w:val="clear" w:color="auto" w:fill="F0FFFF"/>
          </w:tcPr>
          <w:p>
            <w:pPr>
              <w:spacing w:after="0"/>
              <w:rPr>
                <w:sz w:val="22"/>
                <w:szCs w:val="22"/>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11,099,937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shd w:val="clear" w:color="auto" w:fill="F0FFFF"/>
          </w:tcPr>
          <w:p>
            <w:pPr>
              <w:spacing w:after="0"/>
              <w:rPr>
                <w:sz w:val="18"/>
                <w:szCs w:val="18"/>
                <w:color w:val="auto"/>
              </w:rPr>
            </w:pPr>
          </w:p>
        </w:tc>
        <w:tc>
          <w:tcPr>
            <w:tcW w:w="9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0" w:type="dxa"/>
            <w:vAlign w:val="bottom"/>
            <w:shd w:val="clear" w:color="auto" w:fill="F0FFFF"/>
          </w:tcPr>
          <w:p>
            <w:pPr>
              <w:spacing w:after="0"/>
              <w:rPr>
                <w:sz w:val="18"/>
                <w:szCs w:val="18"/>
                <w:color w:val="auto"/>
              </w:rPr>
            </w:pPr>
          </w:p>
        </w:tc>
        <w:tc>
          <w:tcPr>
            <w:tcW w:w="20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26,150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11,708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Equipment and software acquired under capital lease</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495,955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Prepaid insurance financed with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128,062</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90,372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F0FFFF"/>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F0FFFF"/>
          </w:tcPr>
          <w:p>
            <w:pPr>
              <w:spacing w:after="0"/>
              <w:rPr>
                <w:sz w:val="20"/>
                <w:szCs w:val="20"/>
                <w:color w:val="auto"/>
              </w:rPr>
            </w:pPr>
          </w:p>
        </w:tc>
        <w:tc>
          <w:tcPr>
            <w:tcW w:w="28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20,407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8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Reclass of rental program property to inventory</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5,559</w:t>
            </w:r>
          </w:p>
        </w:tc>
        <w:tc>
          <w:tcPr>
            <w:tcW w:w="14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USA Technologies, Inc. (the “Company”, “We” or “Our”), incorporated in the Commonwealth of Pennsylvania in January 1992, provides wireless networking, cashless transactions, asset monitoring and other value-added services principally to the small ticket unattended retail markets. Our ePort</w:t>
      </w:r>
      <w:r>
        <w:rPr>
          <w:rFonts w:ascii="Arial" w:cs="Arial" w:eastAsia="Arial" w:hAnsi="Arial"/>
          <w:sz w:val="17"/>
          <w:szCs w:val="17"/>
          <w:i w:val="1"/>
          <w:iCs w:val="1"/>
          <w:color w:val="auto"/>
        </w:rPr>
        <w:t>®</w:t>
      </w:r>
      <w:r>
        <w:rPr>
          <w:rFonts w:ascii="Arial" w:cs="Arial" w:eastAsia="Arial" w:hAnsi="Arial"/>
          <w:sz w:val="17"/>
          <w:szCs w:val="17"/>
          <w:color w:val="auto"/>
        </w:rPr>
        <w:t xml:space="preserve"> technology can be installed and/or embedded into everyday devices such as vending machines, kiosks, and our eSuds™ technology can be installed in for washer and dryers. Our associated network service, ePort Connect</w:t>
      </w:r>
      <w:r>
        <w:rPr>
          <w:rFonts w:ascii="Arial" w:cs="Arial" w:eastAsia="Arial" w:hAnsi="Arial"/>
          <w:sz w:val="17"/>
          <w:szCs w:val="17"/>
          <w:i w:val="1"/>
          <w:iCs w:val="1"/>
          <w:color w:val="auto"/>
        </w:rPr>
        <w:t>®</w:t>
      </w:r>
      <w:r>
        <w:rPr>
          <w:rFonts w:ascii="Arial" w:cs="Arial" w:eastAsia="Arial" w:hAnsi="Arial"/>
          <w:sz w:val="17"/>
          <w:szCs w:val="17"/>
          <w:color w:val="auto"/>
        </w:rPr>
        <w:t>, is a comprehensive service that provides wireless connectivity that facilitates electronic payment options as well as telemetry and machine-to-machine (“M2M”) services, including the ability to remotely monitor, control and report on the results of distributed assets containing our electronic payment solutions. In addition, the Company provides energy management products, such as its VendingMiser</w:t>
      </w:r>
      <w:r>
        <w:rPr>
          <w:rFonts w:ascii="Arial" w:cs="Arial" w:eastAsia="Arial" w:hAnsi="Arial"/>
          <w:sz w:val="17"/>
          <w:szCs w:val="17"/>
          <w:i w:val="1"/>
          <w:iCs w:val="1"/>
          <w:color w:val="auto"/>
        </w:rPr>
        <w:t>®</w:t>
      </w:r>
      <w:r>
        <w:rPr>
          <w:rFonts w:ascii="Arial" w:cs="Arial" w:eastAsia="Arial" w:hAnsi="Arial"/>
          <w:sz w:val="17"/>
          <w:szCs w:val="17"/>
          <w:color w:val="auto"/>
        </w:rPr>
        <w:t xml:space="preserve"> and CoolerMiser™, which reduce energy consumption in vending machines and coolers.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2012. In the opinion of management, all adjustments considered necessary for a fair presentation, consisting of normal recurring adjustments, have been included. Operating results for the three-month period ended September 30, 2012 are not necessarily indicative of the results that may be expected for the year ending June 30, 2013. The balance sheet at June 30, 2012 has been derived from the audited financial statements at that date, but does not include all of the information and footnotes required by U.S. generally accepted accounting principles for complete financial statements.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2012; the Company had net income of $39,140 for the fiscal quarter ended September 30, 2012. Although the Company anticipates nearing profitability during the 2013 fiscal year, profitability is not assured. The Company’s ability to meet its future obligations is dependent upon the success of its products and services in the marketplace and the available capital resources. Until the Company’s products and services can generate sufficient annual revenues, the Company will be required to use its cash and cash equivalents on hand, and its line of credit; and may be required to raise equity capital to meet its cash flow requirements.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preparation of the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prior period financial statements have been reclassified to conform to the current period presentation.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September 30, 2012 and June 30, 2012, none of the cash and cash equivalents of the Company was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offers extended payment terms to certain customers for equipment sales under its Quick Start Program. Notes receivable or Quick Start leases are generally for a 36 or 60 month term. Finance receivables are carried at their contractual amount and charged off against the allowance for credit losses when management determines that recovery is unlikely and the Company ceases collection efforts. The Company recognizes a portion of the note or lease payments as interest income in the accompanying consolidated financial statements based on the effective interest rate method.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Equity Awards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ASC 718, the cost of employee services received in exchange for an award of equity instruments is based on the grant-date fair value of the award and allocated over the vesting period of the award.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provision for income taxes of $6,921 (all deferred income taxes) was recorded for the three months ended September 30, 2012. The provision for income taxes is not a function of nor related to the income before provision for income taxes of $46,061 for the period because the Company has significant operating loss carryforwards that are available to negate any taxable income that would create current liabilities for income taxes. The provision for income taxes relates to the amortization of indefinite life intangible assets and goodwill that are being amortized for income tax purposes but not for financial reporting purposes giving rise to basis differences in such assets between financial and income tax reporting.</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substantial operating loss carryforwards and other items that create net deferred tax assets that have been offset by a valuation allowance as the realization of the deferred tax assets is not likely, principally due to a lack of earnings history. The deferred tax liabilities related to the amortization of the indefinite life assets are not subject to offset against deferred tax assets with finite lives. As of September 30, 2012 and June 30, 2012, deferred tax liabilities of $19,520 and $12,599, respectively, were recorded for the potential future state and federal income tax effects for these basis differences.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provision for income taxes was recorded for the three months ended September 30,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Basic earnings per share are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year plus the effect of potential common shares unless such effect is anti-dilutive. No exercise of stock options, stock purchase warrants, or the conversion of preferred stock or cumulative preferred dividends was assumed because the result would be anti-dilutive.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2. FINANCE RECEIVABLES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534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45"/>
        </w:trPr>
        <w:tc>
          <w:tcPr>
            <w:tcW w:w="2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June 30,</w:t>
            </w:r>
          </w:p>
        </w:tc>
      </w:tr>
      <w:tr>
        <w:trPr>
          <w:trHeight w:val="237"/>
        </w:trPr>
        <w:tc>
          <w:tcPr>
            <w:tcW w:w="28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9"/>
              </w:rPr>
              <w:t>2012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r>
      <w:tr>
        <w:trPr>
          <w:trHeight w:val="216"/>
        </w:trPr>
        <w:tc>
          <w:tcPr>
            <w:tcW w:w="28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2"/>
              </w:rPr>
              <w:t>(unaudited)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2460" w:type="dxa"/>
            <w:vAlign w:val="bottom"/>
            <w:shd w:val="clear" w:color="auto" w:fill="F0FFFF"/>
          </w:tcPr>
          <w:p>
            <w:pPr>
              <w:spacing w:after="0"/>
              <w:rPr>
                <w:sz w:val="20"/>
                <w:szCs w:val="20"/>
                <w:color w:val="auto"/>
              </w:rPr>
            </w:pPr>
            <w:r>
              <w:rPr>
                <w:rFonts w:ascii="Arial" w:cs="Arial" w:eastAsia="Arial" w:hAnsi="Arial"/>
                <w:sz w:val="18"/>
                <w:szCs w:val="18"/>
                <w:color w:val="auto"/>
              </w:rPr>
              <w:t>Total finance receivables</w:t>
            </w:r>
          </w:p>
        </w:tc>
        <w:tc>
          <w:tcPr>
            <w:tcW w:w="4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512,016</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542,847</w:t>
            </w:r>
          </w:p>
        </w:tc>
        <w:tc>
          <w:tcPr>
            <w:tcW w:w="120" w:type="dxa"/>
            <w:vAlign w:val="bottom"/>
            <w:shd w:val="clear" w:color="auto" w:fill="F0FFFF"/>
          </w:tcPr>
          <w:p>
            <w:pPr>
              <w:spacing w:after="0"/>
              <w:rPr>
                <w:sz w:val="18"/>
                <w:szCs w:val="18"/>
                <w:color w:val="auto"/>
              </w:rPr>
            </w:pPr>
          </w:p>
        </w:tc>
      </w:tr>
      <w:tr>
        <w:trPr>
          <w:trHeight w:val="223"/>
        </w:trPr>
        <w:tc>
          <w:tcPr>
            <w:tcW w:w="2880" w:type="dxa"/>
            <w:vAlign w:val="bottom"/>
          </w:tcPr>
          <w:p>
            <w:pPr>
              <w:spacing w:after="0"/>
              <w:rPr>
                <w:sz w:val="19"/>
                <w:szCs w:val="19"/>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Less current portion</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139,039</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206,649</w:t>
            </w:r>
          </w:p>
        </w:tc>
        <w:tc>
          <w:tcPr>
            <w:tcW w:w="120" w:type="dxa"/>
            <w:vAlign w:val="bottom"/>
          </w:tcPr>
          <w:p>
            <w:pPr>
              <w:spacing w:after="0"/>
              <w:rPr>
                <w:sz w:val="19"/>
                <w:szCs w:val="19"/>
                <w:color w:val="auto"/>
              </w:rPr>
            </w:pPr>
          </w:p>
        </w:tc>
      </w:tr>
      <w:tr>
        <w:trPr>
          <w:trHeight w:val="202"/>
        </w:trPr>
        <w:tc>
          <w:tcPr>
            <w:tcW w:w="2880" w:type="dxa"/>
            <w:vAlign w:val="bottom"/>
          </w:tcPr>
          <w:p>
            <w:pPr>
              <w:spacing w:after="0"/>
              <w:rPr>
                <w:sz w:val="17"/>
                <w:szCs w:val="17"/>
                <w:color w:val="auto"/>
              </w:rPr>
            </w:pPr>
          </w:p>
        </w:tc>
        <w:tc>
          <w:tcPr>
            <w:tcW w:w="246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Non-current portion of finance</w:t>
            </w:r>
          </w:p>
        </w:tc>
        <w:tc>
          <w:tcPr>
            <w:tcW w:w="2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3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r>
      <w:tr>
        <w:trPr>
          <w:trHeight w:val="251"/>
        </w:trPr>
        <w:tc>
          <w:tcPr>
            <w:tcW w:w="2880" w:type="dxa"/>
            <w:vAlign w:val="bottom"/>
          </w:tcPr>
          <w:p>
            <w:pPr>
              <w:spacing w:after="0"/>
              <w:rPr>
                <w:sz w:val="21"/>
                <w:szCs w:val="21"/>
                <w:color w:val="auto"/>
              </w:rPr>
            </w:pPr>
          </w:p>
        </w:tc>
        <w:tc>
          <w:tcPr>
            <w:tcW w:w="2460" w:type="dxa"/>
            <w:vAlign w:val="bottom"/>
            <w:shd w:val="clear" w:color="auto" w:fill="F0FFFF"/>
          </w:tcPr>
          <w:p>
            <w:pPr>
              <w:spacing w:after="0"/>
              <w:rPr>
                <w:sz w:val="20"/>
                <w:szCs w:val="20"/>
                <w:color w:val="auto"/>
              </w:rPr>
            </w:pPr>
            <w:r>
              <w:rPr>
                <w:rFonts w:ascii="Arial" w:cs="Arial" w:eastAsia="Arial" w:hAnsi="Arial"/>
                <w:sz w:val="18"/>
                <w:szCs w:val="18"/>
                <w:color w:val="auto"/>
              </w:rPr>
              <w:t>receivables</w:t>
            </w:r>
          </w:p>
        </w:tc>
        <w:tc>
          <w:tcPr>
            <w:tcW w:w="4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3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372,977</w:t>
            </w:r>
          </w:p>
        </w:tc>
        <w:tc>
          <w:tcPr>
            <w:tcW w:w="36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336,198</w:t>
            </w:r>
          </w:p>
        </w:tc>
        <w:tc>
          <w:tcPr>
            <w:tcW w:w="120" w:type="dxa"/>
            <w:vAlign w:val="bottom"/>
            <w:shd w:val="clear" w:color="auto" w:fill="F0FFFF"/>
          </w:tcPr>
          <w:p>
            <w:pPr>
              <w:spacing w:after="0"/>
              <w:rPr>
                <w:sz w:val="21"/>
                <w:szCs w:val="21"/>
                <w:color w:val="auto"/>
              </w:rPr>
            </w:pPr>
          </w:p>
        </w:tc>
      </w:tr>
      <w:tr>
        <w:trPr>
          <w:trHeight w:val="20"/>
        </w:trPr>
        <w:tc>
          <w:tcPr>
            <w:tcW w:w="2880" w:type="dxa"/>
            <w:vAlign w:val="bottom"/>
          </w:tcPr>
          <w:p>
            <w:pPr>
              <w:spacing w:after="0" w:line="20" w:lineRule="exact"/>
              <w:rPr>
                <w:sz w:val="1"/>
                <w:szCs w:val="1"/>
                <w:color w:val="auto"/>
              </w:rPr>
            </w:pPr>
          </w:p>
        </w:tc>
        <w:tc>
          <w:tcPr>
            <w:tcW w:w="246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2012 and June 30, 2012, there was no allowance for credit losses of finance receivables. As the Company collects monthly payments of the receivables from the customers’ transaction funds the risk of loss was determined to be remote.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FINANCE RECEIVABLES (CONTINUED)</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Credit Quality Indicators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As of September 30, 2012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80" w:type="dxa"/>
            <w:vAlign w:val="bottom"/>
            <w:gridSpan w:val="10"/>
          </w:tcPr>
          <w:p>
            <w:pPr>
              <w:jc w:val="center"/>
              <w:ind w:left="70"/>
              <w:spacing w:after="0"/>
              <w:rPr>
                <w:sz w:val="20"/>
                <w:szCs w:val="20"/>
                <w:color w:val="auto"/>
              </w:rPr>
            </w:pPr>
            <w:r>
              <w:rPr>
                <w:rFonts w:ascii="Arial" w:cs="Arial" w:eastAsia="Arial" w:hAnsi="Arial"/>
                <w:sz w:val="18"/>
                <w:szCs w:val="18"/>
                <w:color w:val="auto"/>
                <w:w w:val="92"/>
              </w:rPr>
              <w:t>Credit risk profile based on payment activity:</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color w:val="auto"/>
              </w:rPr>
              <w:t>Leases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tcBorders>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Performing</w:t>
            </w:r>
          </w:p>
        </w:tc>
        <w:tc>
          <w:tcPr>
            <w:tcW w:w="1000" w:type="dxa"/>
            <w:vAlign w:val="bottom"/>
            <w:shd w:val="clear" w:color="auto" w:fill="F0FFFF"/>
          </w:tcPr>
          <w:p>
            <w:pPr>
              <w:spacing w:after="0"/>
              <w:rPr>
                <w:sz w:val="18"/>
                <w:szCs w:val="18"/>
                <w:color w:val="auto"/>
              </w:rPr>
            </w:pP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512,016</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4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10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140" w:type="dxa"/>
            <w:vAlign w:val="bottom"/>
            <w:tcBorders>
              <w:bottom w:val="single" w:sz="8" w:color="F0FFFF"/>
              <w:right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Total</w:t>
            </w:r>
          </w:p>
        </w:tc>
        <w:tc>
          <w:tcPr>
            <w:tcW w:w="1000" w:type="dxa"/>
            <w:vAlign w:val="bottom"/>
            <w:tcBorders>
              <w:bottom w:val="single" w:sz="8" w:color="F0FFFF"/>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F0FFFF"/>
          </w:tcPr>
          <w:p>
            <w:pPr>
              <w:spacing w:after="0"/>
              <w:rPr>
                <w:sz w:val="22"/>
                <w:szCs w:val="22"/>
                <w:color w:val="auto"/>
              </w:rPr>
            </w:pPr>
          </w:p>
        </w:tc>
        <w:tc>
          <w:tcPr>
            <w:tcW w:w="140" w:type="dxa"/>
            <w:vAlign w:val="bottom"/>
            <w:tcBorders>
              <w:bottom w:val="single" w:sz="8" w:color="auto"/>
            </w:tcBorders>
            <w:shd w:val="clear" w:color="auto" w:fill="F0FFFF"/>
          </w:tcPr>
          <w:p>
            <w:pPr>
              <w:spacing w:after="0"/>
              <w:rPr>
                <w:sz w:val="22"/>
                <w:szCs w:val="22"/>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512,016</w:t>
            </w:r>
          </w:p>
        </w:tc>
        <w:tc>
          <w:tcPr>
            <w:tcW w:w="120" w:type="dxa"/>
            <w:vAlign w:val="bottom"/>
            <w:tcBorders>
              <w:bottom w:val="single" w:sz="8" w:color="F0FFFF"/>
            </w:tcBorders>
            <w:shd w:val="clear" w:color="auto" w:fill="F0FFFF"/>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980" w:type="dxa"/>
            <w:vAlign w:val="bottom"/>
            <w:gridSpan w:val="10"/>
          </w:tcPr>
          <w:p>
            <w:pPr>
              <w:jc w:val="center"/>
              <w:ind w:left="70"/>
              <w:spacing w:after="0"/>
              <w:rPr>
                <w:sz w:val="20"/>
                <w:szCs w:val="20"/>
                <w:color w:val="auto"/>
              </w:rPr>
            </w:pPr>
            <w:r>
              <w:rPr>
                <w:rFonts w:ascii="Arial" w:cs="Arial" w:eastAsia="Arial" w:hAnsi="Arial"/>
                <w:sz w:val="18"/>
                <w:szCs w:val="18"/>
                <w:color w:val="auto"/>
                <w:w w:val="90"/>
              </w:rPr>
              <w:t>Age Analysis of Past Due Finance Receivables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40" w:type="dxa"/>
            <w:vAlign w:val="bottom"/>
            <w:gridSpan w:val="8"/>
          </w:tcPr>
          <w:p>
            <w:pPr>
              <w:jc w:val="center"/>
              <w:ind w:right="760"/>
              <w:spacing w:after="0"/>
              <w:rPr>
                <w:sz w:val="20"/>
                <w:szCs w:val="20"/>
                <w:color w:val="auto"/>
              </w:rPr>
            </w:pPr>
            <w:r>
              <w:rPr>
                <w:rFonts w:ascii="Arial" w:cs="Arial" w:eastAsia="Arial" w:hAnsi="Arial"/>
                <w:sz w:val="18"/>
                <w:szCs w:val="18"/>
                <w:color w:val="auto"/>
                <w:w w:val="89"/>
              </w:rPr>
              <w:t>As of September 30, 2012</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jc w:val="center"/>
              <w:ind w:left="90"/>
              <w:spacing w:after="0"/>
              <w:rPr>
                <w:sz w:val="20"/>
                <w:szCs w:val="20"/>
                <w:color w:val="auto"/>
              </w:rPr>
            </w:pPr>
            <w:r>
              <w:rPr>
                <w:rFonts w:ascii="Arial" w:cs="Arial" w:eastAsia="Arial" w:hAnsi="Arial"/>
                <w:sz w:val="18"/>
                <w:szCs w:val="18"/>
                <w:color w:val="auto"/>
                <w:w w:val="89"/>
              </w:rPr>
              <w:t>31 – 60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2"/>
          </w:tcPr>
          <w:p>
            <w:pPr>
              <w:ind w:left="120"/>
              <w:spacing w:after="0"/>
              <w:rPr>
                <w:sz w:val="20"/>
                <w:szCs w:val="20"/>
                <w:color w:val="auto"/>
              </w:rPr>
            </w:pPr>
            <w:r>
              <w:rPr>
                <w:rFonts w:ascii="Arial" w:cs="Arial" w:eastAsia="Arial" w:hAnsi="Arial"/>
                <w:sz w:val="18"/>
                <w:szCs w:val="18"/>
                <w:color w:val="auto"/>
              </w:rPr>
              <w:t>61 – 90</w:t>
            </w:r>
          </w:p>
        </w:tc>
        <w:tc>
          <w:tcPr>
            <w:tcW w:w="240" w:type="dxa"/>
            <w:vAlign w:val="bottom"/>
          </w:tcPr>
          <w:p>
            <w:pPr>
              <w:spacing w:after="0"/>
              <w:rPr>
                <w:sz w:val="24"/>
                <w:szCs w:val="24"/>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9"/>
              </w:rPr>
              <w:t>Greater than</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85"/>
              </w:rPr>
              <w:t>Days Past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Days Past</w:t>
            </w:r>
          </w:p>
        </w:tc>
        <w:tc>
          <w:tcPr>
            <w:tcW w:w="240" w:type="dxa"/>
            <w:vAlign w:val="bottom"/>
          </w:tcPr>
          <w:p>
            <w:pPr>
              <w:spacing w:after="0"/>
              <w:rPr>
                <w:sz w:val="18"/>
                <w:szCs w:val="18"/>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7"/>
              </w:rPr>
              <w:t>90 Days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Total Past</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jc w:val="center"/>
              <w:ind w:left="50"/>
              <w:spacing w:after="0"/>
              <w:rPr>
                <w:sz w:val="20"/>
                <w:szCs w:val="20"/>
                <w:color w:val="auto"/>
              </w:rPr>
            </w:pPr>
            <w:r>
              <w:rPr>
                <w:rFonts w:ascii="Arial" w:cs="Arial" w:eastAsia="Arial" w:hAnsi="Arial"/>
                <w:sz w:val="18"/>
                <w:szCs w:val="18"/>
                <w:color w:val="auto"/>
                <w:w w:val="90"/>
              </w:rPr>
              <w:t>Due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Due</w:t>
            </w:r>
          </w:p>
        </w:tc>
        <w:tc>
          <w:tcPr>
            <w:tcW w:w="240" w:type="dxa"/>
            <w:vAlign w:val="bottom"/>
          </w:tcPr>
          <w:p>
            <w:pPr>
              <w:spacing w:after="0"/>
              <w:rPr>
                <w:sz w:val="20"/>
                <w:szCs w:val="20"/>
                <w:color w:val="auto"/>
              </w:rPr>
            </w:pPr>
          </w:p>
        </w:tc>
        <w:tc>
          <w:tcPr>
            <w:tcW w:w="1080" w:type="dxa"/>
            <w:vAlign w:val="bottom"/>
          </w:tcPr>
          <w:p>
            <w:pPr>
              <w:jc w:val="center"/>
              <w:ind w:left="10"/>
              <w:spacing w:after="0"/>
              <w:rPr>
                <w:sz w:val="20"/>
                <w:szCs w:val="20"/>
                <w:color w:val="auto"/>
              </w:rPr>
            </w:pPr>
            <w:r>
              <w:rPr>
                <w:rFonts w:ascii="Arial" w:cs="Arial" w:eastAsia="Arial" w:hAnsi="Arial"/>
                <w:sz w:val="18"/>
                <w:szCs w:val="18"/>
                <w:color w:val="auto"/>
                <w:w w:val="89"/>
              </w:rPr>
              <w:t>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Due</w:t>
            </w:r>
          </w:p>
        </w:tc>
        <w:tc>
          <w:tcPr>
            <w:tcW w:w="120" w:type="dxa"/>
            <w:vAlign w:val="bottom"/>
          </w:tcPr>
          <w:p>
            <w:pPr>
              <w:spacing w:after="0"/>
              <w:rPr>
                <w:sz w:val="20"/>
                <w:szCs w:val="20"/>
                <w:color w:val="auto"/>
              </w:rPr>
            </w:pP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89"/>
              </w:rPr>
              <w:t>Current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8"/>
                <w:szCs w:val="18"/>
                <w:color w:val="auto"/>
              </w:rPr>
              <w:t>Leases</w:t>
            </w:r>
          </w:p>
        </w:tc>
        <w:tc>
          <w:tcPr>
            <w:tcW w:w="1000" w:type="dxa"/>
            <w:vAlign w:val="bottom"/>
            <w:shd w:val="clear" w:color="auto" w:fill="F0FFFF"/>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F0FFFF"/>
          </w:tcPr>
          <w:p>
            <w:pPr>
              <w:jc w:val="right"/>
              <w:spacing w:after="0"/>
              <w:rPr>
                <w:sz w:val="20"/>
                <w:szCs w:val="20"/>
                <w:color w:val="auto"/>
              </w:rPr>
            </w:pPr>
            <w:r>
              <w:rPr>
                <w:rFonts w:ascii="Arial" w:cs="Arial" w:eastAsia="Arial" w:hAnsi="Arial"/>
                <w:sz w:val="18"/>
                <w:szCs w:val="18"/>
                <w:color w:val="auto"/>
              </w:rPr>
              <w:t>2,300</w:t>
            </w:r>
          </w:p>
        </w:tc>
        <w:tc>
          <w:tcPr>
            <w:tcW w:w="1320" w:type="dxa"/>
            <w:vAlign w:val="bottom"/>
            <w:tcBorders>
              <w:left w:val="single" w:sz="8" w:color="F0FFFF"/>
            </w:tcBorders>
            <w:gridSpan w:val="2"/>
            <w:shd w:val="clear" w:color="auto" w:fill="F0FFFF"/>
          </w:tcPr>
          <w:p>
            <w:pPr>
              <w:jc w:val="right"/>
              <w:ind w:right="890"/>
              <w:spacing w:after="0"/>
              <w:rPr>
                <w:sz w:val="20"/>
                <w:szCs w:val="20"/>
                <w:color w:val="auto"/>
              </w:rPr>
            </w:pPr>
            <w:r>
              <w:rPr>
                <w:rFonts w:ascii="Arial" w:cs="Arial" w:eastAsia="Arial" w:hAnsi="Arial"/>
                <w:sz w:val="18"/>
                <w:szCs w:val="18"/>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F0FFFF"/>
          </w:tcPr>
          <w:p>
            <w:pPr>
              <w:spacing w:after="0"/>
              <w:rPr>
                <w:sz w:val="18"/>
                <w:szCs w:val="18"/>
                <w:color w:val="auto"/>
              </w:rPr>
            </w:pPr>
          </w:p>
        </w:tc>
        <w:tc>
          <w:tcPr>
            <w:tcW w:w="26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509,716</w:t>
            </w:r>
          </w:p>
        </w:tc>
        <w:tc>
          <w:tcPr>
            <w:tcW w:w="30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512,016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40" w:type="dxa"/>
            <w:vAlign w:val="bottom"/>
            <w:vMerge w:val="restart"/>
          </w:tcPr>
          <w:p>
            <w:pPr>
              <w:spacing w:after="0"/>
              <w:rPr>
                <w:sz w:val="2"/>
                <w:szCs w:val="2"/>
                <w:color w:val="auto"/>
              </w:rPr>
            </w:pPr>
          </w:p>
        </w:tc>
        <w:tc>
          <w:tcPr>
            <w:tcW w:w="1000" w:type="dxa"/>
            <w:vAlign w:val="bottom"/>
            <w:tcBorders>
              <w:right w:val="single" w:sz="8" w:color="F0FFFF"/>
            </w:tcBorders>
            <w:shd w:val="clear" w:color="auto" w:fill="F0FF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tcBorders>
              <w:left w:val="single" w:sz="8" w:color="auto"/>
            </w:tcBorders>
            <w:shd w:val="clear" w:color="auto" w:fill="F0FF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tcBorders>
              <w:right w:val="single" w:sz="8" w:color="F0FFFF"/>
            </w:tcBorders>
            <w:shd w:val="clear" w:color="auto" w:fill="000000"/>
          </w:tcPr>
          <w:p>
            <w:pPr>
              <w:spacing w:after="0"/>
              <w:rPr>
                <w:sz w:val="2"/>
                <w:szCs w:val="2"/>
                <w:color w:val="auto"/>
              </w:rPr>
            </w:pPr>
          </w:p>
        </w:tc>
        <w:tc>
          <w:tcPr>
            <w:tcW w:w="200" w:type="dxa"/>
            <w:vAlign w:val="bottom"/>
            <w:tcBorders>
              <w:right w:val="single" w:sz="8" w:color="auto"/>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rPr>
              <w:t>Total</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2,300</w:t>
            </w:r>
          </w:p>
        </w:tc>
        <w:tc>
          <w:tcPr>
            <w:tcW w:w="1320" w:type="dxa"/>
            <w:vAlign w:val="bottom"/>
            <w:gridSpan w:val="2"/>
          </w:tcPr>
          <w:p>
            <w:pPr>
              <w:jc w:val="right"/>
              <w:ind w:right="89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509,716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512,016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1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9"/>
              </w:rPr>
              <w:t>3. ACCRUED EXPENSES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16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160" w:type="dxa"/>
            <w:vAlign w:val="bottom"/>
            <w:gridSpan w:val="4"/>
          </w:tcPr>
          <w:p>
            <w:pPr>
              <w:spacing w:after="0"/>
              <w:rPr>
                <w:sz w:val="20"/>
                <w:szCs w:val="20"/>
                <w:color w:val="auto"/>
              </w:rPr>
            </w:pPr>
            <w:r>
              <w:rPr>
                <w:rFonts w:ascii="Arial" w:cs="Arial" w:eastAsia="Arial" w:hAnsi="Arial"/>
                <w:sz w:val="18"/>
                <w:szCs w:val="18"/>
                <w:color w:val="auto"/>
                <w:w w:val="92"/>
              </w:rPr>
              <w:t>Accrued expenses consist of the following:</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9"/>
              </w:rPr>
              <w:t>2012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2"/>
              </w:rPr>
              <w:t>(unaudited)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740" w:type="dxa"/>
            <w:vAlign w:val="bottom"/>
            <w:gridSpan w:val="9"/>
            <w:shd w:val="clear" w:color="auto" w:fill="F0FFFF"/>
          </w:tcPr>
          <w:p>
            <w:pPr>
              <w:spacing w:after="0"/>
              <w:rPr>
                <w:sz w:val="20"/>
                <w:szCs w:val="20"/>
                <w:color w:val="auto"/>
              </w:rPr>
            </w:pPr>
            <w:r>
              <w:rPr>
                <w:rFonts w:ascii="Arial" w:cs="Arial" w:eastAsia="Arial" w:hAnsi="Arial"/>
                <w:sz w:val="18"/>
                <w:szCs w:val="18"/>
                <w:color w:val="auto"/>
              </w:rPr>
              <w:t>Accrued compensation and related sales commissions</w:t>
            </w: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jc w:val="right"/>
              <w:ind w:right="22"/>
              <w:spacing w:after="0"/>
              <w:rPr>
                <w:sz w:val="20"/>
                <w:szCs w:val="20"/>
                <w:color w:val="auto"/>
              </w:rPr>
            </w:pPr>
            <w:r>
              <w:rPr>
                <w:rFonts w:ascii="Arial" w:cs="Arial" w:eastAsia="Arial" w:hAnsi="Arial"/>
                <w:sz w:val="5"/>
                <w:szCs w:val="5"/>
                <w:color w:val="auto"/>
                <w:w w:val="70"/>
              </w:rPr>
              <w:t>$</w:t>
            </w: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437,264</w:t>
            </w:r>
          </w:p>
        </w:tc>
        <w:tc>
          <w:tcPr>
            <w:tcW w:w="300" w:type="dxa"/>
            <w:vAlign w:val="bottom"/>
            <w:gridSpan w:val="2"/>
            <w:shd w:val="clear" w:color="auto" w:fill="F0FF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767,926</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w w:val="95"/>
              </w:rPr>
              <w:t>Accrued professional fees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226,048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40" w:type="dxa"/>
            <w:vAlign w:val="bottom"/>
            <w:gridSpan w:val="3"/>
            <w:shd w:val="clear" w:color="auto" w:fill="F0FFFF"/>
          </w:tcPr>
          <w:p>
            <w:pPr>
              <w:spacing w:after="0"/>
              <w:rPr>
                <w:sz w:val="20"/>
                <w:szCs w:val="20"/>
                <w:color w:val="auto"/>
              </w:rPr>
            </w:pPr>
            <w:r>
              <w:rPr>
                <w:rFonts w:ascii="Arial" w:cs="Arial" w:eastAsia="Arial" w:hAnsi="Arial"/>
                <w:sz w:val="18"/>
                <w:szCs w:val="18"/>
                <w:color w:val="auto"/>
                <w:w w:val="92"/>
              </w:rPr>
              <w:t>Accrued taxes and filing fees</w:t>
            </w:r>
          </w:p>
        </w:tc>
        <w:tc>
          <w:tcPr>
            <w:tcW w:w="20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8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40" w:type="dxa"/>
            <w:vAlign w:val="bottom"/>
            <w:tcBorders>
              <w:left w:val="single" w:sz="8" w:color="F0FFFF"/>
            </w:tcBorders>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642,751</w:t>
            </w:r>
          </w:p>
        </w:tc>
        <w:tc>
          <w:tcPr>
            <w:tcW w:w="20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663,078</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w w:val="90"/>
              </w:rPr>
              <w:t>Advanced customer billings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334,264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311,767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20" w:type="dxa"/>
            <w:vAlign w:val="bottom"/>
            <w:gridSpan w:val="7"/>
            <w:shd w:val="clear" w:color="auto" w:fill="F0FFFF"/>
          </w:tcPr>
          <w:p>
            <w:pPr>
              <w:spacing w:after="0"/>
              <w:rPr>
                <w:sz w:val="20"/>
                <w:szCs w:val="20"/>
                <w:color w:val="auto"/>
              </w:rPr>
            </w:pPr>
            <w:r>
              <w:rPr>
                <w:rFonts w:ascii="Arial" w:cs="Arial" w:eastAsia="Arial" w:hAnsi="Arial"/>
                <w:sz w:val="18"/>
                <w:szCs w:val="18"/>
                <w:color w:val="auto"/>
              </w:rPr>
              <w:t>Accrued proxy contest and litigation costs</w:t>
            </w:r>
          </w:p>
        </w:tc>
        <w:tc>
          <w:tcPr>
            <w:tcW w:w="240" w:type="dxa"/>
            <w:vAlign w:val="bottom"/>
            <w:tcBorders>
              <w:left w:val="single" w:sz="8" w:color="F0FFFF"/>
            </w:tcBorders>
            <w:shd w:val="clear" w:color="auto" w:fill="F0FFFF"/>
          </w:tcPr>
          <w:p>
            <w:pPr>
              <w:spacing w:after="0"/>
              <w:rPr>
                <w:sz w:val="18"/>
                <w:szCs w:val="18"/>
                <w:color w:val="auto"/>
              </w:rPr>
            </w:pPr>
          </w:p>
        </w:tc>
        <w:tc>
          <w:tcPr>
            <w:tcW w:w="108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18"/>
                <w:szCs w:val="18"/>
                <w:color w:val="auto"/>
              </w:rPr>
            </w:pPr>
          </w:p>
        </w:tc>
        <w:tc>
          <w:tcPr>
            <w:tcW w:w="1020" w:type="dxa"/>
            <w:vAlign w:val="bottom"/>
            <w:shd w:val="clear" w:color="auto" w:fill="F0FFFF"/>
          </w:tcPr>
          <w:p>
            <w:pPr>
              <w:spacing w:after="0"/>
              <w:rPr>
                <w:sz w:val="18"/>
                <w:szCs w:val="18"/>
                <w:color w:val="auto"/>
              </w:rPr>
            </w:pPr>
          </w:p>
        </w:tc>
        <w:tc>
          <w:tcPr>
            <w:tcW w:w="220" w:type="dxa"/>
            <w:vAlign w:val="bottom"/>
            <w:tcBorders>
              <w:right w:val="single" w:sz="8" w:color="F0FFFF"/>
            </w:tcBorders>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1080" w:type="dxa"/>
            <w:vAlign w:val="bottom"/>
            <w:tcBorders>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121,530</w:t>
            </w:r>
          </w:p>
        </w:tc>
        <w:tc>
          <w:tcPr>
            <w:tcW w:w="200" w:type="dxa"/>
            <w:vAlign w:val="bottom"/>
            <w:tcBorders>
              <w:right w:val="single" w:sz="8" w:color="F0FFFF"/>
            </w:tcBorders>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992,520</w:t>
            </w:r>
          </w:p>
        </w:tc>
        <w:tc>
          <w:tcPr>
            <w:tcW w:w="10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20"/>
                <w:szCs w:val="20"/>
                <w:color w:val="auto"/>
              </w:rPr>
            </w:pPr>
            <w:r>
              <w:rPr>
                <w:rFonts w:ascii="Arial" w:cs="Arial" w:eastAsia="Arial" w:hAnsi="Arial"/>
                <w:sz w:val="18"/>
                <w:szCs w:val="18"/>
                <w:color w:val="auto"/>
                <w:w w:val="94"/>
              </w:rPr>
              <w:t>Accrued rent</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265,363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0" w:type="dxa"/>
            <w:vAlign w:val="bottom"/>
            <w:tcBorders>
              <w:bottom w:val="single" w:sz="8" w:color="F0FFFF"/>
            </w:tcBorders>
            <w:gridSpan w:val="2"/>
            <w:shd w:val="clear" w:color="auto" w:fill="F0FFFF"/>
          </w:tcPr>
          <w:p>
            <w:pPr>
              <w:spacing w:after="0"/>
              <w:rPr>
                <w:sz w:val="20"/>
                <w:szCs w:val="20"/>
                <w:color w:val="auto"/>
              </w:rPr>
            </w:pPr>
            <w:r>
              <w:rPr>
                <w:rFonts w:ascii="Arial" w:cs="Arial" w:eastAsia="Arial" w:hAnsi="Arial"/>
                <w:sz w:val="18"/>
                <w:szCs w:val="18"/>
                <w:color w:val="auto"/>
              </w:rPr>
              <w:t>Accrued other</w:t>
            </w:r>
          </w:p>
        </w:tc>
        <w:tc>
          <w:tcPr>
            <w:tcW w:w="140" w:type="dxa"/>
            <w:vAlign w:val="bottom"/>
            <w:tcBorders>
              <w:bottom w:val="single" w:sz="8" w:color="F0FFFF"/>
            </w:tcBorders>
            <w:shd w:val="clear" w:color="auto" w:fill="F0FFFF"/>
          </w:tcPr>
          <w:p>
            <w:pPr>
              <w:spacing w:after="0"/>
              <w:rPr>
                <w:sz w:val="19"/>
                <w:szCs w:val="19"/>
                <w:color w:val="auto"/>
              </w:rPr>
            </w:pPr>
          </w:p>
        </w:tc>
        <w:tc>
          <w:tcPr>
            <w:tcW w:w="200" w:type="dxa"/>
            <w:vAlign w:val="bottom"/>
            <w:tcBorders>
              <w:bottom w:val="single" w:sz="8" w:color="F0FFFF"/>
            </w:tcBorders>
            <w:shd w:val="clear" w:color="auto" w:fill="F0FFFF"/>
          </w:tcPr>
          <w:p>
            <w:pPr>
              <w:spacing w:after="0"/>
              <w:rPr>
                <w:sz w:val="19"/>
                <w:szCs w:val="19"/>
                <w:color w:val="auto"/>
              </w:rPr>
            </w:pPr>
          </w:p>
        </w:tc>
        <w:tc>
          <w:tcPr>
            <w:tcW w:w="140" w:type="dxa"/>
            <w:vAlign w:val="bottom"/>
            <w:tcBorders>
              <w:bottom w:val="single" w:sz="8" w:color="F0FFFF"/>
            </w:tcBorders>
            <w:shd w:val="clear" w:color="auto" w:fill="F0FFFF"/>
          </w:tcPr>
          <w:p>
            <w:pPr>
              <w:spacing w:after="0"/>
              <w:rPr>
                <w:sz w:val="19"/>
                <w:szCs w:val="19"/>
                <w:color w:val="auto"/>
              </w:rPr>
            </w:pPr>
          </w:p>
        </w:tc>
        <w:tc>
          <w:tcPr>
            <w:tcW w:w="82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240" w:type="dxa"/>
            <w:vAlign w:val="bottom"/>
            <w:tcBorders>
              <w:left w:val="single" w:sz="8" w:color="F0FFFF"/>
              <w:bottom w:val="single" w:sz="8" w:color="F0FFFF"/>
            </w:tcBorders>
            <w:shd w:val="clear" w:color="auto" w:fill="F0FFFF"/>
          </w:tcPr>
          <w:p>
            <w:pPr>
              <w:spacing w:after="0"/>
              <w:rPr>
                <w:sz w:val="19"/>
                <w:szCs w:val="19"/>
                <w:color w:val="auto"/>
              </w:rPr>
            </w:pPr>
          </w:p>
        </w:tc>
        <w:tc>
          <w:tcPr>
            <w:tcW w:w="108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F0FFFF"/>
            </w:tcBorders>
            <w:shd w:val="clear" w:color="auto" w:fill="F0FFFF"/>
          </w:tcPr>
          <w:p>
            <w:pPr>
              <w:spacing w:after="0"/>
              <w:rPr>
                <w:sz w:val="19"/>
                <w:szCs w:val="19"/>
                <w:color w:val="auto"/>
              </w:rPr>
            </w:pPr>
          </w:p>
        </w:tc>
        <w:tc>
          <w:tcPr>
            <w:tcW w:w="100" w:type="dxa"/>
            <w:vAlign w:val="bottom"/>
            <w:tcBorders>
              <w:bottom w:val="single" w:sz="8" w:color="F0FFFF"/>
            </w:tcBorders>
            <w:shd w:val="clear" w:color="auto" w:fill="F0FFFF"/>
          </w:tcPr>
          <w:p>
            <w:pPr>
              <w:spacing w:after="0"/>
              <w:rPr>
                <w:sz w:val="19"/>
                <w:szCs w:val="19"/>
                <w:color w:val="auto"/>
              </w:rPr>
            </w:pPr>
          </w:p>
        </w:tc>
        <w:tc>
          <w:tcPr>
            <w:tcW w:w="160" w:type="dxa"/>
            <w:vAlign w:val="bottom"/>
            <w:tcBorders>
              <w:bottom w:val="single" w:sz="8" w:color="F0FFFF"/>
            </w:tcBorders>
            <w:shd w:val="clear" w:color="auto" w:fill="F0FFFF"/>
          </w:tcPr>
          <w:p>
            <w:pPr>
              <w:spacing w:after="0"/>
              <w:rPr>
                <w:sz w:val="19"/>
                <w:szCs w:val="19"/>
                <w:color w:val="auto"/>
              </w:rPr>
            </w:pPr>
          </w:p>
        </w:tc>
        <w:tc>
          <w:tcPr>
            <w:tcW w:w="1020" w:type="dxa"/>
            <w:vAlign w:val="bottom"/>
            <w:tcBorders>
              <w:bottom w:val="single" w:sz="8" w:color="F0FFFF"/>
            </w:tcBorders>
            <w:shd w:val="clear" w:color="auto" w:fill="F0FFFF"/>
          </w:tcPr>
          <w:p>
            <w:pPr>
              <w:spacing w:after="0"/>
              <w:rPr>
                <w:sz w:val="19"/>
                <w:szCs w:val="19"/>
                <w:color w:val="auto"/>
              </w:rPr>
            </w:pPr>
          </w:p>
        </w:tc>
        <w:tc>
          <w:tcPr>
            <w:tcW w:w="220" w:type="dxa"/>
            <w:vAlign w:val="bottom"/>
            <w:tcBorders>
              <w:bottom w:val="single" w:sz="8" w:color="F0FFFF"/>
              <w:right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80" w:type="dxa"/>
            <w:vAlign w:val="bottom"/>
            <w:tcBorders>
              <w:bottom w:val="single" w:sz="8" w:color="auto"/>
              <w:right w:val="single" w:sz="8" w:color="F0FFFF"/>
            </w:tcBorders>
            <w:shd w:val="clear" w:color="auto" w:fill="F0FFFF"/>
          </w:tcPr>
          <w:p>
            <w:pPr>
              <w:jc w:val="right"/>
              <w:spacing w:after="0"/>
              <w:rPr>
                <w:sz w:val="20"/>
                <w:szCs w:val="20"/>
                <w:color w:val="auto"/>
              </w:rPr>
            </w:pPr>
            <w:r>
              <w:rPr>
                <w:rFonts w:ascii="Arial" w:cs="Arial" w:eastAsia="Arial" w:hAnsi="Arial"/>
                <w:sz w:val="18"/>
                <w:szCs w:val="18"/>
                <w:color w:val="auto"/>
              </w:rPr>
              <w:t>290,031</w:t>
            </w:r>
          </w:p>
        </w:tc>
        <w:tc>
          <w:tcPr>
            <w:tcW w:w="200" w:type="dxa"/>
            <w:vAlign w:val="bottom"/>
            <w:tcBorders>
              <w:bottom w:val="single" w:sz="8" w:color="F0FFFF"/>
              <w:right w:val="single" w:sz="8" w:color="F0FFFF"/>
            </w:tcBorders>
            <w:shd w:val="clear" w:color="auto" w:fill="F0FFFF"/>
          </w:tcPr>
          <w:p>
            <w:pPr>
              <w:spacing w:after="0"/>
              <w:rPr>
                <w:sz w:val="19"/>
                <w:szCs w:val="19"/>
                <w:color w:val="auto"/>
              </w:rPr>
            </w:pPr>
          </w:p>
        </w:tc>
        <w:tc>
          <w:tcPr>
            <w:tcW w:w="10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271,880</w:t>
            </w:r>
          </w:p>
        </w:tc>
        <w:tc>
          <w:tcPr>
            <w:tcW w:w="100" w:type="dxa"/>
            <w:vAlign w:val="bottom"/>
            <w:tcBorders>
              <w:bottom w:val="single" w:sz="8" w:color="F0FFFF"/>
            </w:tcBorders>
            <w:shd w:val="clear" w:color="auto" w:fill="F0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jc w:val="right"/>
              <w:ind w:right="22"/>
              <w:spacing w:after="0"/>
              <w:rPr>
                <w:sz w:val="20"/>
                <w:szCs w:val="20"/>
                <w:color w:val="auto"/>
              </w:rPr>
            </w:pPr>
            <w:r>
              <w:rPr>
                <w:rFonts w:ascii="Arial" w:cs="Arial" w:eastAsia="Arial" w:hAnsi="Arial"/>
                <w:sz w:val="5"/>
                <w:szCs w:val="5"/>
                <w:color w:val="auto"/>
                <w:w w:val="70"/>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2,317,251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3,768,697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July 10, 2012, the Company entered into a Loan and Security Agreement and other ancillary documents (the “Loan Documents”) with Avidbank Corporate Finance, a division of Avidbank (the “Bank”), providing for a secured asset-based revolving line of credit in an amount of up to $3.0 million (the “Line of Credit”). The Company intends to use advances under the Line of Credit towards the financing of growth initiatives like its JumpStart Program.</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LINE OF CREDIT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Loan Documents provide that the aggregate amount of advances under the Line of Credit shall not exceed the lesser of (i) $3.0 million, or (ii) 75% of eligible accounts receivable as defined in the Loan Documents plus 80% of the prior two months transaction processing revenues and networking service fees as defined in the Loan Documents, provided that the amounts advanced on account of such processing revenues and service fees shall not exceed $1,000,000 without the Bank’s prior consent.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outstanding balance of the amounts advanced under the Line of Credit will bear interest at 2% above the prime rate as published in </w:t>
      </w:r>
      <w:r>
        <w:rPr>
          <w:rFonts w:ascii="Arial" w:cs="Arial" w:eastAsia="Arial" w:hAnsi="Arial"/>
          <w:sz w:val="18"/>
          <w:szCs w:val="18"/>
          <w:u w:val="single" w:color="auto"/>
          <w:color w:val="auto"/>
        </w:rPr>
        <w:t>The Wall Street</w:t>
      </w:r>
      <w:r>
        <w:rPr>
          <w:rFonts w:ascii="Arial" w:cs="Arial" w:eastAsia="Arial" w:hAnsi="Arial"/>
          <w:sz w:val="18"/>
          <w:szCs w:val="18"/>
          <w:color w:val="auto"/>
        </w:rPr>
        <w:t xml:space="preserve"> </w:t>
      </w:r>
      <w:r>
        <w:rPr>
          <w:rFonts w:ascii="Arial" w:cs="Arial" w:eastAsia="Arial" w:hAnsi="Arial"/>
          <w:sz w:val="18"/>
          <w:szCs w:val="18"/>
          <w:u w:val="single" w:color="auto"/>
          <w:color w:val="auto"/>
        </w:rPr>
        <w:t>Journal</w:t>
      </w:r>
      <w:r>
        <w:rPr>
          <w:rFonts w:ascii="Arial" w:cs="Arial" w:eastAsia="Arial" w:hAnsi="Arial"/>
          <w:sz w:val="18"/>
          <w:szCs w:val="18"/>
          <w:color w:val="auto"/>
        </w:rPr>
        <w:t xml:space="preserve"> or 5% whichever is higher. Interest is payable by the Company to the Bank on a monthly basis, provided, that the minimum interest payable by the Company to the Bank with respect to each six month period shall be $20,000.</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Line of Credit and the Company’s obligations under the Loan Documents are secured by substantially all of the Company’s assets, including its intellectual property. The term of the Line of Credit is one year. At the time of maturity all outstanding advances under the Line of Credit as well as any unpaid interest is due and payable. Prior to maturity of the Line of Credit, the Company may prepay amounts due under the Line of Credit without penalty, and subject to the terms of the Loan Documents, may re-borrow any such amounts.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Loan Documents contain customary affirmative and negative covenants. The Loan Documents also require the Company to achieve a minimum Adjusted EBITDA, as defined in the Loan Documents, measured on a quarterly basis, and to maintain a balance of $3.0 million of unrestricted cash in accounts with the Bank. The Loan Documents also contain customary events of default, including, among other things, payment defaults, breaches of covenants, and bankruptcy and insolvency events, subject to grace periods in certain instances. Upon an event of default, the Bank may declare all of the outstanding obligations of the Company under the Line of Credit and Loan Documents to be immediately due and payable, and exercise any other rights provided for under the Loan Documents.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At September 30, 2012, the balance due on the Line of Credit was $1,337,779 and the Company satisfied all covenants contained in the Loan Documents.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5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accordance with the fair value hierarchy described in Note 2, the following table shows the fair value of the Company’s financial instruments that are required to be measured at fair value as of September 30, 2012 and June 30, 2012: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September 30, 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color w:val="auto"/>
              </w:rPr>
              <w:t>Level 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158,092</w:t>
            </w:r>
          </w:p>
        </w:tc>
        <w:tc>
          <w:tcPr>
            <w:tcW w:w="114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158,092</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140"/>
              <w:spacing w:after="0"/>
              <w:rPr>
                <w:sz w:val="20"/>
                <w:szCs w:val="20"/>
                <w:color w:val="auto"/>
              </w:rPr>
            </w:pPr>
            <w:r>
              <w:rPr>
                <w:rFonts w:ascii="Arial" w:cs="Arial" w:eastAsia="Arial" w:hAnsi="Arial"/>
                <w:sz w:val="18"/>
                <w:szCs w:val="18"/>
                <w:color w:val="auto"/>
                <w:w w:val="94"/>
              </w:rPr>
              <w:t>exercisable at $2.6058 from September 18, 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455,299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455,299</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w w:val="92"/>
              </w:rPr>
              <w:t>exercisable at $5.90 through September 14, 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F0FF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3680" w:type="dxa"/>
            <w:vAlign w:val="bottom"/>
            <w:shd w:val="clear" w:color="auto" w:fill="F0FFFF"/>
          </w:tcPr>
          <w:p>
            <w:pPr>
              <w:ind w:left="40"/>
              <w:spacing w:after="0"/>
              <w:rPr>
                <w:sz w:val="20"/>
                <w:szCs w:val="20"/>
                <w:color w:val="auto"/>
              </w:rPr>
            </w:pPr>
            <w:r>
              <w:rPr>
                <w:rFonts w:ascii="Arial" w:cs="Arial" w:eastAsia="Arial" w:hAnsi="Arial"/>
                <w:sz w:val="18"/>
                <w:szCs w:val="18"/>
                <w:color w:val="auto"/>
              </w:rPr>
              <w:t>June 30, 2012</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ind w:right="210"/>
              <w:spacing w:after="0"/>
              <w:rPr>
                <w:sz w:val="20"/>
                <w:szCs w:val="20"/>
                <w:color w:val="auto"/>
              </w:rPr>
            </w:pPr>
            <w:r>
              <w:rPr>
                <w:rFonts w:ascii="Arial" w:cs="Arial" w:eastAsia="Arial" w:hAnsi="Arial"/>
                <w:sz w:val="18"/>
                <w:szCs w:val="18"/>
                <w:color w:val="auto"/>
              </w:rPr>
              <w:t>Level 1</w:t>
            </w: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jc w:val="right"/>
              <w:ind w:right="30"/>
              <w:spacing w:after="0"/>
              <w:rPr>
                <w:sz w:val="20"/>
                <w:szCs w:val="20"/>
                <w:color w:val="auto"/>
              </w:rPr>
            </w:pPr>
            <w:r>
              <w:rPr>
                <w:rFonts w:ascii="Arial" w:cs="Arial" w:eastAsia="Arial" w:hAnsi="Arial"/>
                <w:sz w:val="18"/>
                <w:szCs w:val="18"/>
                <w:color w:val="auto"/>
              </w:rPr>
              <w:t>Level 2</w:t>
            </w:r>
          </w:p>
        </w:tc>
        <w:tc>
          <w:tcPr>
            <w:tcW w:w="18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80" w:type="dxa"/>
            <w:vAlign w:val="bottom"/>
            <w:shd w:val="clear" w:color="auto" w:fill="F0FFFF"/>
          </w:tcPr>
          <w:p>
            <w:pPr>
              <w:jc w:val="right"/>
              <w:ind w:right="230"/>
              <w:spacing w:after="0"/>
              <w:rPr>
                <w:sz w:val="20"/>
                <w:szCs w:val="20"/>
                <w:color w:val="auto"/>
              </w:rPr>
            </w:pPr>
            <w:r>
              <w:rPr>
                <w:rFonts w:ascii="Arial" w:cs="Arial" w:eastAsia="Arial" w:hAnsi="Arial"/>
                <w:sz w:val="18"/>
                <w:szCs w:val="18"/>
                <w:color w:val="auto"/>
              </w:rPr>
              <w:t>Level 3</w:t>
            </w:r>
          </w:p>
        </w:tc>
        <w:tc>
          <w:tcPr>
            <w:tcW w:w="220" w:type="dxa"/>
            <w:vAlign w:val="bottom"/>
            <w:shd w:val="clear" w:color="auto" w:fill="F0FFFF"/>
          </w:tcPr>
          <w:p>
            <w:pPr>
              <w:spacing w:after="0"/>
              <w:rPr>
                <w:sz w:val="19"/>
                <w:szCs w:val="19"/>
                <w:color w:val="auto"/>
              </w:rPr>
            </w:pPr>
          </w:p>
        </w:tc>
        <w:tc>
          <w:tcPr>
            <w:tcW w:w="240" w:type="dxa"/>
            <w:vAlign w:val="bottom"/>
            <w:shd w:val="clear" w:color="auto" w:fill="F0FFFF"/>
          </w:tcPr>
          <w:p>
            <w:pPr>
              <w:spacing w:after="0"/>
              <w:rPr>
                <w:sz w:val="19"/>
                <w:szCs w:val="19"/>
                <w:color w:val="auto"/>
              </w:rPr>
            </w:pPr>
          </w:p>
        </w:tc>
        <w:tc>
          <w:tcPr>
            <w:tcW w:w="1040" w:type="dxa"/>
            <w:vAlign w:val="bottom"/>
            <w:gridSpan w:val="2"/>
            <w:shd w:val="clear" w:color="auto" w:fill="F0FFFF"/>
          </w:tcPr>
          <w:p>
            <w:pPr>
              <w:ind w:left="16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36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F0FF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F0FF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141,107</w:t>
            </w:r>
          </w:p>
        </w:tc>
        <w:tc>
          <w:tcPr>
            <w:tcW w:w="114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141,107</w:t>
            </w:r>
          </w:p>
        </w:tc>
        <w:tc>
          <w:tcPr>
            <w:tcW w:w="100" w:type="dxa"/>
            <w:vAlign w:val="bottom"/>
            <w:shd w:val="clear" w:color="auto" w:fill="F0FF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80" w:type="dxa"/>
            <w:vAlign w:val="bottom"/>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40" w:type="dxa"/>
            <w:vAlign w:val="bottom"/>
            <w:gridSpan w:val="2"/>
          </w:tcPr>
          <w:p>
            <w:pPr>
              <w:ind w:left="1140"/>
              <w:spacing w:after="0"/>
              <w:rPr>
                <w:sz w:val="20"/>
                <w:szCs w:val="20"/>
                <w:color w:val="auto"/>
              </w:rPr>
            </w:pPr>
            <w:r>
              <w:rPr>
                <w:rFonts w:ascii="Arial" w:cs="Arial" w:eastAsia="Arial" w:hAnsi="Arial"/>
                <w:sz w:val="18"/>
                <w:szCs w:val="18"/>
                <w:color w:val="auto"/>
                <w:w w:val="94"/>
              </w:rPr>
              <w:t>exercisable at $2.6058 from September 18, 2011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ind w:left="1140"/>
              <w:spacing w:after="0"/>
              <w:rPr>
                <w:sz w:val="20"/>
                <w:szCs w:val="20"/>
                <w:color w:val="auto"/>
              </w:rPr>
            </w:pPr>
            <w:r>
              <w:rPr>
                <w:rFonts w:ascii="Arial" w:cs="Arial" w:eastAsia="Arial" w:hAnsi="Arial"/>
                <w:sz w:val="18"/>
                <w:szCs w:val="18"/>
                <w:color w:val="auto"/>
              </w:rPr>
              <w:t>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917,440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917,440</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3680" w:type="dxa"/>
            <w:vAlign w:val="bottom"/>
            <w:shd w:val="clear" w:color="auto" w:fill="F0FFFF"/>
          </w:tcPr>
          <w:p>
            <w:pPr>
              <w:spacing w:after="0" w:line="201" w:lineRule="exact"/>
              <w:rPr>
                <w:sz w:val="20"/>
                <w:szCs w:val="20"/>
                <w:color w:val="auto"/>
              </w:rPr>
            </w:pPr>
            <w:r>
              <w:rPr>
                <w:rFonts w:ascii="Arial" w:cs="Arial" w:eastAsia="Arial" w:hAnsi="Arial"/>
                <w:sz w:val="18"/>
                <w:szCs w:val="18"/>
                <w:color w:val="auto"/>
              </w:rPr>
              <w:t>Common stock warrant liability, warrants</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6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80" w:type="dxa"/>
            <w:vAlign w:val="bottom"/>
            <w:shd w:val="clear" w:color="auto" w:fill="F0FFFF"/>
          </w:tcPr>
          <w:p>
            <w:pPr>
              <w:spacing w:after="0"/>
              <w:rPr>
                <w:sz w:val="20"/>
                <w:szCs w:val="20"/>
                <w:color w:val="auto"/>
              </w:rPr>
            </w:pPr>
            <w:r>
              <w:rPr>
                <w:rFonts w:ascii="Arial" w:cs="Arial" w:eastAsia="Arial" w:hAnsi="Arial"/>
                <w:sz w:val="18"/>
                <w:szCs w:val="18"/>
                <w:color w:val="auto"/>
                <w:w w:val="92"/>
              </w:rPr>
              <w:t>exercisable at $5.90 through September 14, 2013</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F0FFFF"/>
          </w:tcPr>
          <w:p>
            <w:pPr>
              <w:jc w:val="right"/>
              <w:ind w:right="790"/>
              <w:spacing w:after="0"/>
              <w:rPr>
                <w:sz w:val="20"/>
                <w:szCs w:val="20"/>
                <w:color w:val="auto"/>
              </w:rPr>
            </w:pPr>
            <w:r>
              <w:rPr>
                <w:rFonts w:ascii="Arial" w:cs="Arial" w:eastAsia="Arial" w:hAnsi="Arial"/>
                <w:sz w:val="18"/>
                <w:szCs w:val="18"/>
                <w:color w:val="auto"/>
              </w:rPr>
              <w:t>$</w:t>
            </w:r>
          </w:p>
        </w:tc>
        <w:tc>
          <w:tcPr>
            <w:tcW w:w="1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8"/>
                <w:szCs w:val="18"/>
                <w:color w:val="auto"/>
              </w:rPr>
              <w:t>1,126</w:t>
            </w:r>
          </w:p>
        </w:tc>
        <w:tc>
          <w:tcPr>
            <w:tcW w:w="100" w:type="dxa"/>
            <w:vAlign w:val="bottom"/>
            <w:shd w:val="clear" w:color="auto" w:fill="F0FFFF"/>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11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808080"/>
            </w:tcBorders>
          </w:tcPr>
          <w:p>
            <w:pPr>
              <w:spacing w:after="0"/>
              <w:rPr>
                <w:sz w:val="9"/>
                <w:szCs w:val="9"/>
                <w:color w:val="auto"/>
              </w:rPr>
            </w:pPr>
          </w:p>
        </w:tc>
        <w:tc>
          <w:tcPr>
            <w:tcW w:w="36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5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As of September 30, 2012 and June 30, 2012, the fair values of the Company’s Level 1 financial instruments were $158,092 and $141,107, respectively. These financial instruments consist of cash equivalents, including certificates of deposit and money market accounts. As of September 30, 2012 and June 30, 2012, the Company held no Level 2 financial instruments.</w:t>
      </w:r>
    </w:p>
    <w:p>
      <w:pPr>
        <w:spacing w:after="0" w:line="20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September 30, 2012 and June 30, 2012, the fair values of the Company’s Level 3 financial instruments totaled $455,433 and $918,566,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As of September 30, 2012, the fair value of warrants issued in March 2007 to purchase</w:t>
      </w:r>
    </w:p>
    <w:p>
      <w:pPr>
        <w:spacing w:after="0" w:line="5"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903,955 shares of the Company’s common stock was estimated by the Company to be $134 using the Black-Scholes with the following assumptions: dividend yield of 0%, expected stock price volatility of 0.68, risk free interest rate of 0.17%, and an expected life of one year. There were no transfers of assets or liabilities between level 1, level 2, or level 3 during the periods ending September 30, 2012 and June 30, 2012.</w:t>
      </w:r>
    </w:p>
    <w:p>
      <w:pPr>
        <w:spacing w:after="0" w:line="20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changes in fair value of the Company’s Level 3 financial instruments for the three months ended September 30, 2012 and 2011:</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right"/>
              <w:ind w:right="620"/>
              <w:spacing w:after="0"/>
              <w:rPr>
                <w:sz w:val="20"/>
                <w:szCs w:val="20"/>
                <w:color w:val="auto"/>
              </w:rPr>
            </w:pPr>
            <w:r>
              <w:rPr>
                <w:rFonts w:ascii="Arial" w:cs="Arial" w:eastAsia="Arial" w:hAnsi="Arial"/>
                <w:sz w:val="18"/>
                <w:szCs w:val="18"/>
                <w:color w:val="auto"/>
              </w:rPr>
              <w:t>Three months ended</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color w:val="auto"/>
              </w:rPr>
              <w:t>September 30,</w:t>
            </w:r>
          </w:p>
        </w:tc>
      </w:tr>
      <w:tr>
        <w:trPr>
          <w:trHeight w:val="237"/>
        </w:trPr>
        <w:tc>
          <w:tcPr>
            <w:tcW w:w="20" w:type="dxa"/>
            <w:vAlign w:val="bottom"/>
          </w:tcPr>
          <w:p>
            <w:pPr>
              <w:spacing w:after="0"/>
              <w:rPr>
                <w:sz w:val="20"/>
                <w:szCs w:val="20"/>
                <w:color w:val="auto"/>
              </w:rPr>
            </w:pPr>
          </w:p>
        </w:tc>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w w:val="92"/>
              </w:rPr>
              <w:t>(unaudited)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ind w:right="90"/>
              <w:spacing w:after="0"/>
              <w:rPr>
                <w:sz w:val="20"/>
                <w:szCs w:val="20"/>
                <w:color w:val="auto"/>
              </w:rPr>
            </w:pPr>
            <w:r>
              <w:rPr>
                <w:rFonts w:ascii="Arial" w:cs="Arial" w:eastAsia="Arial" w:hAnsi="Arial"/>
                <w:sz w:val="18"/>
                <w:szCs w:val="18"/>
                <w:color w:val="auto"/>
                <w:w w:val="94"/>
              </w:rPr>
              <w:t>(unaudited)</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F0FFFF"/>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8"/>
                <w:szCs w:val="18"/>
                <w:color w:val="auto"/>
              </w:rPr>
              <w:t>(918,566)</w:t>
            </w:r>
          </w:p>
        </w:tc>
        <w:tc>
          <w:tcPr>
            <w:tcW w:w="1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(2,732,253)</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Purchase, sales, issuance, settlements, or transfers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2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8"/>
                <w:szCs w:val="18"/>
                <w:color w:val="auto"/>
              </w:rPr>
              <w:t>Gain due to change in fair value of warrant liabilities, net</w:t>
            </w:r>
          </w:p>
        </w:tc>
        <w:tc>
          <w:tcPr>
            <w:tcW w:w="120" w:type="dxa"/>
            <w:vAlign w:val="bottom"/>
            <w:tcBorders>
              <w:bottom w:val="single" w:sz="8" w:color="auto"/>
            </w:tcBorders>
            <w:shd w:val="clear" w:color="auto" w:fill="F0FFFF"/>
          </w:tcPr>
          <w:p>
            <w:pPr>
              <w:spacing w:after="0"/>
              <w:rPr>
                <w:sz w:val="19"/>
                <w:szCs w:val="19"/>
                <w:color w:val="auto"/>
              </w:rPr>
            </w:pPr>
          </w:p>
        </w:tc>
        <w:tc>
          <w:tcPr>
            <w:tcW w:w="10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463,133</w:t>
            </w:r>
          </w:p>
        </w:tc>
        <w:tc>
          <w:tcPr>
            <w:tcW w:w="120" w:type="dxa"/>
            <w:vAlign w:val="bottom"/>
            <w:tcBorders>
              <w:bottom w:val="single" w:sz="8" w:color="F0FFFF"/>
            </w:tcBorders>
            <w:shd w:val="clear" w:color="auto" w:fill="F0FFFF"/>
          </w:tcPr>
          <w:p>
            <w:pPr>
              <w:spacing w:after="0"/>
              <w:rPr>
                <w:sz w:val="19"/>
                <w:szCs w:val="19"/>
                <w:color w:val="auto"/>
              </w:rPr>
            </w:pPr>
          </w:p>
        </w:tc>
        <w:tc>
          <w:tcPr>
            <w:tcW w:w="60" w:type="dxa"/>
            <w:vAlign w:val="bottom"/>
            <w:tcBorders>
              <w:bottom w:val="single" w:sz="8" w:color="F0FFFF"/>
            </w:tcBorders>
            <w:shd w:val="clear" w:color="auto" w:fill="F0FFFF"/>
          </w:tcPr>
          <w:p>
            <w:pPr>
              <w:spacing w:after="0"/>
              <w:rPr>
                <w:sz w:val="19"/>
                <w:szCs w:val="19"/>
                <w:color w:val="auto"/>
              </w:rPr>
            </w:pPr>
          </w:p>
        </w:tc>
        <w:tc>
          <w:tcPr>
            <w:tcW w:w="120" w:type="dxa"/>
            <w:vAlign w:val="bottom"/>
            <w:tcBorders>
              <w:bottom w:val="single" w:sz="8" w:color="auto"/>
            </w:tcBorders>
            <w:shd w:val="clear" w:color="auto" w:fill="F0FFFF"/>
          </w:tcPr>
          <w:p>
            <w:pPr>
              <w:spacing w:after="0"/>
              <w:rPr>
                <w:sz w:val="19"/>
                <w:szCs w:val="19"/>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8"/>
                <w:szCs w:val="18"/>
                <w:color w:val="auto"/>
              </w:rPr>
              <w:t>1,736,609</w:t>
            </w:r>
          </w:p>
        </w:tc>
        <w:tc>
          <w:tcPr>
            <w:tcW w:w="100" w:type="dxa"/>
            <w:vAlign w:val="bottom"/>
            <w:tcBorders>
              <w:bottom w:val="single" w:sz="8" w:color="F0FFFF"/>
            </w:tcBorders>
            <w:shd w:val="clear" w:color="auto" w:fill="F0FF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Ending balance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(455,433)</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(995,644)</w:t>
            </w:r>
          </w:p>
        </w:tc>
      </w:tr>
      <w:tr>
        <w:trPr>
          <w:trHeight w:val="21"/>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AND COMMON STOCK WARRANTS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2010 Stock Incentive Plan, the Company recorded stock compensation expense of $15,644 and issued 500 shares of Common stock during the three months ended September 30, 2012. $9,792 of the expense related to the vesting of shares under employment agreements entered into with its executive officers in April 2011; and $5,852 of expenses related to vesting and issuance of shares to an employee and Directors of the Company granted in June 2011 and March 2012.</w:t>
      </w:r>
    </w:p>
    <w:p>
      <w:pPr>
        <w:spacing w:after="0" w:line="21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July 2012, the Board of Directors accepted the recommendation of the Compensation Committee that each of the three non-employee Directors who joined the Board after March 31, 2012 receive a stock award of 10,000 shares of Common Stock. Under the 2011 Stock Incentive Plan 30,000 shares of Common Stock were awarded with a grant date fair value of $1.45 per share, and vest as follows: 9,999 on August 10, 2012; 9,999 on August 10, 2013; and, 10,002 on August 10, 2014. The Company recorded stock compensation expense of $64,689 and issued 59,165 shares of Common stock during the three months ended September 30, 2012. $26,719 of the expense related to the vesting of shares under employment agreements entered into with its executive officers in September 2011, and 41,666 shares of Common Stock vested under these grants on September 27, 2012. $18,124 of expenses related to vesting of shares granted to Directors of the Company in July 2012; 9,999 shares of Common Stock vested under this grant in August 2012. $19,846 of expenses related to vesting of shares granted to employees in April 2012; 7,500 shares of Common Stock vested under these grants in September 2012.</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2012 Stock Incentive Plan, the Company recorded stock compensation expense of $45,000 and issued 171,998 shares of Common stock during the three months ended September 30, 2012. All of the expense and 35,713 shares of Common Stock were issued to Company Directors in lieu of cash payment for compensation for services to the Company in the three months ended September 30, 2012. The other 136,285 shares of Common Stock were issued to its executive officers under the Fiscal Year 2012 Performance Share Plan (the “2012 Plan”) after the filing of the Company’s form 10-K on September 26, 2012.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USA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 AND COMMON STOCK WARRANTS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5, 2012, at the recommendation of the Compensation Committee, the board of directors adopted the Fiscal Year 2013 Performance Share Plan (the “2013 Plan”) covering the Company’s executive officers. Under the 2013 Plan, each executive officer would be awarded common stock in the event the Company achieves certain performance goals during the fiscal year ending June 30, 2013. The metrics under the 2013 Plan as well as the relative weightings of these metrics are identical to those originally set forth in the 2012 Plan. No awards would be made under the 2013 Plan if either (i) none of the minimum, threshold performance target goals has been achieved, or (ii) if operating earnings for the 2013 fiscal year are not equal or better than those during the 2012 fiscal year.</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all of the target goals are achieved under the 2013 Plan, the executive officers would be awarded shares having the following value: Mr. Herbert – $275,000; and Mr. DeMedio – $100,000. If all of the minimum, threshold performance target goals are achieved, the executive officers would be awarded shares having the following value: Mr. Herbert – $75,000; and Mr. DeMedio – $25,000. If all of the maximum, distinguished performance target goals are achieved, the executive officers would be awarded shares having the following value: Mr. Herbert – $550,000; and Mr. DeMedio – $200,000. If the actual results for the fiscal year are less than the target goals (but greater than the minimum, threshold performance target goals), each executive would be awarded a lesser pro rata number of shares from the target goal, and if actual results are greater than the maximum, distinguished goals, each executive would be awarded a greater pro rata number of shares over the maximum distinguished goal.</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2012 and for the three months then ended the Company recorded a liability and expense of $43,868.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the same quarter a year ago for the 2012 Plan, the Company recorded a liability and expense of $47,582.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Warrants to purchase up to 291,432 shares of Common Stock, issued in conjunction with the 2009 Rights Offering, exercisable at $2.20 per share expired unexercised on August 6, 2012.</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September 30, 2011, the Company recorded stock compensation expense of $240,453 and issued 92,666 shares of Common stock. $66,094 and $156,749 of the expense related to the vesting of shares under employment agreements entered into with its executive officers in April and September 2011, respectively; and $17,610 of expenses related to vesting and issuance of shares to employees and Directors of the Company granted in June 2011.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9, 2012, USA Technologies, Inc. (the “Company”) and Visa U.S.A. Inc. (the “Network”), entered into a First Amendment (the “First Amendment”) to the agreement that had been previously entered into between them on October 12, 2011 (the “Agreement”). Pursuant to the First Amendment, the original one-year term of the Agreement has been extended until October 31, 2013, and will automatically renew for an additional year, or until October 31, 2014, unless either party would provide at least 60-days prior notice of non-renewal.</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previously reported, pursuant to regulations that were promulgated pursuant to the Durbin Amendment to the Dodd Frank Wall Street Reform And Consumer Protection Act of 2010, the interchange fees for small ticket debit card transactions increased effective October 1, 2011. Pursuant to the Agreement, the Network has agreed to make available to the Company reduced interchange fees for debit card transactions. These reduced interchange fees will allow the Company to continue to accept the Network’s debit card products during the term of the Agreement, as amended, without adversely impacting the Company’s historical gross profit from license and transaction fee revenues. During the term of the Agreement, as amended, the Company does not anticipate accepting any debit cards with interchange fees that are higher than the rates provided under the Agreement.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Form 10-Q contains certain forward-looking statements within the meaning of Section 21E of the Securities Exchange Act of 1934, as amended,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forward-looking information is based on various factors and was derived using numerous assumptions. Important factors that could cause the Company’s actual results to differ materially from those projected, include, for example:</w:t>
      </w:r>
    </w:p>
    <w:p>
      <w:pPr>
        <w:spacing w:after="0" w:line="205"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to conduct operations at a profit;</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 in order to sustain its operations if an unexpected or unusual event would occur;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our JumpStart Program;</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JumpStart Program or otherwise at levels currently anticipated by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the significant increase in the interchange fees charged by Visa and MasterCard for small ticket debit card transactions effective October 1, 2011, would adversely affect our business, including our revenues, gross profits, and anticipated future connections to our network;</w:t>
      </w:r>
    </w:p>
    <w:p>
      <w:pPr>
        <w:spacing w:after="0" w:line="150"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expenses;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incurrence by us of any unanticipated or unusual non-operating expenses, such as in connection with a proxy contest, which would require us to divert our cash resources from achieving our business plan;</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jc w:val="both"/>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whether the actions of the former CEO of the Company which resulted in his separation from the Company in October 2011 or the Securities and Exchange Commission’s investigation would have a material adverse effect on the future financial results or condition of the Company; and</w:t>
      </w:r>
    </w:p>
    <w:p>
      <w:pPr>
        <w:spacing w:after="0" w:line="150" w:lineRule="exact"/>
        <w:rPr>
          <w:rFonts w:ascii="Arial" w:cs="Arial" w:eastAsia="Arial" w:hAnsi="Arial"/>
          <w:sz w:val="16"/>
          <w:szCs w:val="16"/>
          <w:color w:val="auto"/>
        </w:rPr>
      </w:pPr>
    </w:p>
    <w:p>
      <w:pPr>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4" w:name="page15"/>
    <w:bookmarkEnd w:id="14"/>
    <w:p>
      <w:pPr>
        <w:jc w:val="both"/>
        <w:spacing w:after="0"/>
        <w:rPr>
          <w:sz w:val="20"/>
          <w:szCs w:val="20"/>
          <w:color w:val="auto"/>
        </w:rPr>
      </w:pPr>
      <w:r>
        <w:rPr>
          <w:rFonts w:ascii="Arial" w:cs="Arial" w:eastAsia="Arial" w:hAnsi="Arial"/>
          <w:sz w:val="22"/>
          <w:szCs w:val="22"/>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2012 compared to the three months ended September 30, 2011</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Results for the fiscal quarter ended September 30, 2012 continued to demonstrate significant growth and improvements in the Company’s operations.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Highlights of year over year improvements include:</w:t>
      </w:r>
    </w:p>
    <w:p>
      <w:pPr>
        <w:spacing w:after="0" w:line="23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up 25%;</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Recurring license and transaction fee revenue up 27%;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profit dollars up 53%.</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Revenues for the quarter ended September 30, 2012 were $8,390,277, consisting of $6,906,356 of license and transactions fees and $1,483,921 of equipment sales, compared to $6,705,748 for the quarter ended September 30, 2011, consisting of $5,419,663 of license and transaction fees and $1,286,085 of equipment sales. The increase in total revenue of $1,684,529, or 25%, was primarily due to an increase in license and transaction fees of $1,486,693, or 27%, and an increase in equipment sales of $197,836 or 15%, from the same period in the prior year.</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growing ePort Connect service base of connections drove the 27% increase in license and transaction fee revenue. Revenue from license and transaction fees, which is fueled primarily by monthly ePort Connect® service fees and transaction processing fees, grew to approximately $6.9 million for the first quarter of fiscal 2013 from $5.4 million for the same period a year ago. These recurring revenues represented 82% and 81% of total revenue for the first quarter of fiscal 2013 and 2012, respectively.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License and transaction fee highlights for the quarter ended September 30, 2012 included:</w:t>
      </w:r>
    </w:p>
    <w:p>
      <w:pPr>
        <w:spacing w:after="0" w:line="23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Margin improvement of approximately 8 percentage points to 39% gross margins for the first quarter fiscal 2013 compared to 31% a year ago.</w:t>
      </w:r>
    </w:p>
    <w:p>
      <w:pPr>
        <w:spacing w:after="0" w:line="34"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first quarter of 16% and 19%, respectively, compared to the same period a year ago; and,</w:t>
      </w:r>
    </w:p>
    <w:p>
      <w:pPr>
        <w:ind w:left="660" w:right="20" w:hanging="328"/>
        <w:spacing w:after="0" w:line="261"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64% growth in ePort Connect customers from the prior year first quarter, including 425 new customers in the fiscal 2013 first quarter, for 3,725 customers at September 30, 2012.</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increase in license and transaction fees was due to the growth in ePort Connect service fees and transaction dollar volume from the increased number of ePort® units connected to our ePort Connect service. As of September 30, 2012, the Company had approximately 174,000 connections to the ePort Connect service (including approximately 15,000 non-USAT, third party devices) as compared to approximately 129,000 connections to the ePort Connect service (including approximately 15,000 non-USAT, third party devices) as of September 30, 2011. During the quarters ended September 30, 2012 and 2011, the Company added approximately 10,000 net connections to our network. JumpStart units represented approximately 80% and 60% of connections added during the first quarters of the 2013 and 2012 fiscal years, respectively.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Compared to a quarter a year ago, overall net connections to the ePort Connect service remained flat at 10,000 connections quarter over quarter, due to fewer kiosk-related connections (that utilize the ePort SDK) and third party hardware connections during the September 30, 2012 quarter compared to the September 30, 2011 quarter.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5" w:name="page16"/>
    <w:bookmarkEnd w:id="15"/>
    <w:p>
      <w:pPr>
        <w:jc w:val="both"/>
        <w:spacing w:after="0" w:line="276" w:lineRule="auto"/>
        <w:rPr>
          <w:sz w:val="20"/>
          <w:szCs w:val="20"/>
          <w:color w:val="auto"/>
        </w:rPr>
      </w:pPr>
      <w:r>
        <w:rPr>
          <w:rFonts w:ascii="Arial" w:cs="Arial" w:eastAsia="Arial" w:hAnsi="Arial"/>
          <w:sz w:val="17"/>
          <w:szCs w:val="17"/>
          <w:color w:val="auto"/>
        </w:rPr>
        <w:t>Pursuant to its agreements with customers, the Company in addition to ePort Connect service fees earns transaction processing fees equal to a percentage of the dollar volume processed by the Company, which are included as licensing and transaction processing revenues in its Consolidated Statements of Operations. During the quarter ended September 30, 2012, the Company processed approximately 29 million transactions totaling approximately $50 million compared to approximately 25 million transactions totaling approximately $42 million during the quarter ended September 30, 2011, an increase of approximately 16% in the number of transactions and approximately 19% in the value of transactions processed.</w:t>
      </w:r>
    </w:p>
    <w:p>
      <w:pPr>
        <w:spacing w:after="0" w:line="20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It typically takes 30-60 days for a new connection to begin contributing to the Company’s license and transaction fee revenues. The Company counts its ePort Connect connections upon shipment of an active terminal to a customer under contract, at which time activation on its network is performed by the Company, and the terminal is capable of conducting business via the Company’s network and related services. An ePort Connect connection does not necessarily mean that the unit is actually installed by the customer on a machine, or that the unit has begun processing transactions, or that the Company has begun receiving monthly service fees in connection with the unit. Rather, at the time of shipment of the ePort, the customer becomes obligated to pay the one-time activation fee, and is obligated to pay monthly service fees in accordance with the terms of the customer’s contract with the Company. We anticipate that our license and transaction fee revenues would continue to increase if the number of connections to our network would continue to increase.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customer base increased with approximately 425 new ePort Connect customers added during the quarter ended September 30, 2012 bringing the total number of such customers to approximately 3,725 as of September 30, 2012. The Company added approximately 300 new customers in the quarter ended September 30, 2011. By comparison, the Company had approximately 2,275 customers as of September 30, 2011, representing a 64% increase during the past twelve months.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$197,836 increase in equipment sales was mainly a result of an increase of approximately $423,000 in ePort product sales, offset by a decrease of approximately $219,000 in Energy products. The $423,000 increase in ePort products was directly attributable selling more units during the quarter ended September 30, 2012 than during the quarter ended September 20, 2011, as well as a greater level of activation fees on connections in the quarter compared to the prior year. The $219,000 decrease in Energy products is directly attributable selling fewer units during the quarter ended September 30, 2012 than during the quarter ended September 30, 2011.</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 of sales consisted of cost of services for network and transaction fee related costs of $4,192,360 and $3,761,577 and equipment costs of $1,053,636 and $895,135, for the quarters ended September 30, 2012 and 2011, respectively. The increase in total cost of sales of $589,284 was due to an increase in cost of services of $430,783 and an increase in equipment costs of $158,501. The increase in cost of services was predominantly related to increases in units connected to the network and increases in transaction processing volume. The increase in equipment costs is directly attributable to selling more units during the quarter ended September 30, 2012 than during the quarter ended September 30, 2011.</w:t>
      </w:r>
    </w:p>
    <w:p>
      <w:pPr>
        <w:spacing w:after="0" w:line="20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(“GP”) for the quarter ended September 30, 2012 was $3,144,281 compared to GP of $2,049,036 for the previous corresponding quarter, an increase of $1,095,245, of which $1,055,910 represents increases attributable to license and transaction fees and $39,335 equipment sales GP. Overall margins increased from 31% to 37% due to license and transaction fees margins having increased from 31% to 39% offset by equipment sales margins having decreased from 30% to 29%. License and transaction fee margins increased due to improved efficiencies stemming from recent partnership agreements and a larger ePort Connect service base. The Company was anticipating margins on license and transaction fees to be slightly in excess of 40%, however a credit issued to customer during the quarter caused the margin to fall below 40%. The decrease in equipment sales margins was mainly due to increased costs associated with inventory and warranty reserves in the quarter ended September 30, 2012.</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(“SG&amp;A”) expenses of $3,215,125 for the quarter ended September 30, 2012, decreased by $252,945, or 7%, from the same quarter in the prior fiscal year. Included in the $3.2 million of SG&amp;A expenses during the quarter ended September 30, 2012 were approximately $328,000 in charges related to the proxy contest, related litigation and settlement.</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Outside of the proxy contest and litigation expenses, SG&amp;A expenses decreased approximately $581,000 in the first quarter as compared to the same quarter in the fiscal 2012. This decrease in expenses is due primarily to $180,000 decrease in employee compensation and benefit costs, mostly associated with the resignation of the Company's former CEO in October 2011, $160,000 of sales tax expenses in the quarter ended September 30, 2011, which we did not have in the current period and other net decreases of $241,000.</w:t>
      </w:r>
    </w:p>
    <w:p>
      <w:pPr>
        <w:spacing w:after="0" w:line="21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quarter ended September 30, 2012 resulted in net income of $39,140 compared to a net loss of $78,954 for the quarter ended September 30, 2011, an improvement of $118,094 from the prior corresponding fiscal quarter. For the fiscal quarters ended September 30, 2012 and 2011, the loss per common share was $0.01.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color w:val="auto"/>
        </w:rPr>
        <w:t>For the quarter ended September 30, 2012, the Company had a positive Adjusted EBITDA of $730,707 that includes approximately $328,000 of proxy related expenses. Reconciliation of net income (loss) to Adjusted EBITDA for the quarters ended September 30, 2012 and 2011 is as follows:</w:t>
      </w:r>
    </w:p>
    <w:p>
      <w:pPr>
        <w:spacing w:after="0" w:line="14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F0FF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39,140</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(78,954)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Less interest income</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(20,166)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(17,867)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interest expense</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23,006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11,164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income tax expense</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6,921</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depreciation expense</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834,006</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563,125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amortization expense</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185,600</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258,600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Less change in fair value of warrant liabilities</w:t>
            </w:r>
          </w:p>
        </w:tc>
        <w:tc>
          <w:tcPr>
            <w:tcW w:w="220" w:type="dxa"/>
            <w:vAlign w:val="bottom"/>
            <w:shd w:val="clear" w:color="auto" w:fill="F0FFFF"/>
          </w:tcPr>
          <w:p>
            <w:pPr>
              <w:spacing w:after="0"/>
              <w:rPr>
                <w:sz w:val="18"/>
                <w:szCs w:val="18"/>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8"/>
                <w:szCs w:val="18"/>
                <w:color w:val="auto"/>
              </w:rPr>
              <w:t>(463,133)</w:t>
            </w:r>
          </w:p>
        </w:tc>
        <w:tc>
          <w:tcPr>
            <w:tcW w:w="80" w:type="dxa"/>
            <w:vAlign w:val="bottom"/>
            <w:shd w:val="clear" w:color="auto" w:fill="F0FFFF"/>
          </w:tcPr>
          <w:p>
            <w:pPr>
              <w:spacing w:after="0"/>
              <w:rPr>
                <w:sz w:val="18"/>
                <w:szCs w:val="18"/>
                <w:color w:val="auto"/>
              </w:rPr>
            </w:pPr>
          </w:p>
        </w:tc>
        <w:tc>
          <w:tcPr>
            <w:tcW w:w="260" w:type="dxa"/>
            <w:vAlign w:val="bottom"/>
            <w:shd w:val="clear" w:color="auto" w:fill="F0FFFF"/>
          </w:tcPr>
          <w:p>
            <w:pPr>
              <w:spacing w:after="0"/>
              <w:rPr>
                <w:sz w:val="18"/>
                <w:szCs w:val="18"/>
                <w:color w:val="auto"/>
              </w:rPr>
            </w:pP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(1,736,609)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Plus stock-based compensation</w:t>
            </w:r>
          </w:p>
        </w:tc>
        <w:tc>
          <w:tcPr>
            <w:tcW w:w="220" w:type="dxa"/>
            <w:vAlign w:val="bottom"/>
            <w:shd w:val="clear" w:color="auto" w:fill="F0FFFF"/>
          </w:tcPr>
          <w:p>
            <w:pPr>
              <w:spacing w:after="0"/>
              <w:rPr>
                <w:sz w:val="19"/>
                <w:szCs w:val="19"/>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125,333</w:t>
            </w:r>
          </w:p>
        </w:tc>
        <w:tc>
          <w:tcPr>
            <w:tcW w:w="80" w:type="dxa"/>
            <w:vAlign w:val="bottom"/>
            <w:shd w:val="clear" w:color="auto" w:fill="F0FFFF"/>
          </w:tcPr>
          <w:p>
            <w:pPr>
              <w:spacing w:after="0"/>
              <w:rPr>
                <w:sz w:val="19"/>
                <w:szCs w:val="19"/>
                <w:color w:val="auto"/>
              </w:rPr>
            </w:pPr>
          </w:p>
        </w:tc>
        <w:tc>
          <w:tcPr>
            <w:tcW w:w="260" w:type="dxa"/>
            <w:vAlign w:val="bottom"/>
            <w:shd w:val="clear" w:color="auto" w:fill="F0FFFF"/>
          </w:tcPr>
          <w:p>
            <w:pPr>
              <w:spacing w:after="0"/>
              <w:rPr>
                <w:sz w:val="19"/>
                <w:szCs w:val="19"/>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8"/>
                <w:szCs w:val="18"/>
                <w:color w:val="auto"/>
              </w:rPr>
              <w:t>240,453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F0FF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F0FFFF"/>
            </w:tcBorders>
          </w:tcPr>
          <w:p>
            <w:pPr>
              <w:spacing w:after="0"/>
              <w:rPr>
                <w:sz w:val="18"/>
                <w:szCs w:val="18"/>
                <w:color w:val="auto"/>
              </w:rPr>
            </w:pPr>
          </w:p>
        </w:tc>
        <w:tc>
          <w:tcPr>
            <w:tcW w:w="80" w:type="dxa"/>
            <w:vAlign w:val="bottom"/>
            <w:tcBorders>
              <w:top w:val="single" w:sz="8" w:color="F0FF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F0FF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F0FFFF"/>
          </w:tcPr>
          <w:p>
            <w:pPr>
              <w:spacing w:after="0"/>
              <w:rPr>
                <w:sz w:val="20"/>
                <w:szCs w:val="20"/>
                <w:color w:val="auto"/>
              </w:rPr>
            </w:pPr>
            <w:r>
              <w:rPr>
                <w:rFonts w:ascii="Arial" w:cs="Arial" w:eastAsia="Arial" w:hAnsi="Arial"/>
                <w:sz w:val="18"/>
                <w:szCs w:val="18"/>
                <w:color w:val="auto"/>
              </w:rPr>
              <w:t>Adjusted EBITDA</w:t>
            </w:r>
          </w:p>
        </w:tc>
        <w:tc>
          <w:tcPr>
            <w:tcW w:w="220" w:type="dxa"/>
            <w:vAlign w:val="bottom"/>
            <w:shd w:val="clear" w:color="auto" w:fill="F0FF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8"/>
                <w:szCs w:val="18"/>
                <w:color w:val="auto"/>
              </w:rPr>
              <w:t>730,707</w:t>
            </w:r>
          </w:p>
        </w:tc>
        <w:tc>
          <w:tcPr>
            <w:tcW w:w="340" w:type="dxa"/>
            <w:vAlign w:val="bottom"/>
            <w:gridSpan w:val="2"/>
            <w:shd w:val="clear" w:color="auto" w:fill="F0FF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F0FFFF"/>
          </w:tcPr>
          <w:p>
            <w:pPr>
              <w:jc w:val="right"/>
              <w:ind w:right="40"/>
              <w:spacing w:after="0"/>
              <w:rPr>
                <w:sz w:val="20"/>
                <w:szCs w:val="20"/>
                <w:color w:val="auto"/>
              </w:rPr>
            </w:pPr>
            <w:r>
              <w:rPr>
                <w:rFonts w:ascii="Arial" w:cs="Arial" w:eastAsia="Arial" w:hAnsi="Arial"/>
                <w:sz w:val="18"/>
                <w:szCs w:val="18"/>
                <w:color w:val="auto"/>
              </w:rPr>
              <w:t>(760,088)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used herein, Adjusted EBITDA represents net income (loss) before interest income, interest expense, income taxes, depreciation, amortization, change in fair value of warrant liabilities, stock-based compensation expense, and impairment expense on intangible assets. We have excluded the non-operating item, change in fair value of warrant liabilities, because it represents a non-cash charge that is not related to the Company’s operations. We have excluded the non-cash expenses, stock-based compensation, and impairment expense, as they do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September 30, 2012, net cash provided by operating activities was $678,010 as result of net income of $39,140, which included non-cash charges of $682,598, offset by $43,728 net cash used by the change in operating assets and liabilities. The most significant non-cash charges during the quarter were of depreciation and amortization of assets, and charges for the vesting and issuance of common stock for employee and director compensation, offset by the reduction in fair value of warrant liabilities. The cash used for the $43,728 change in the Company’s operating assets and liabilities was primarily the result of decreases of $1,451,446 in accrued expenses and $115,452 in accounts payable, offset by decreases in inventory, receivables and other assets of $1,331,390, $112,151, and $79,629, respectively.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September 30, 2012, the Company used $2,076,915 for investing activities of which $2,075,390 related to the purchase of equipment for the JumpStart Program. The Company obtained net cash of $1,175,963 through financing activities, $1,337,779 of which are proceeds from the Line of Credit and $161,816 related to repayment of debt.</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incurred losses since inception. Our accumulated deficit through September 30, 2012 is composed of cumulative losses amounting to approximately $199,120,000, preferred dividends converted to common stock of approximately $2,690,000, and charges incurred for the open-market purchases of preferred stock of approximately $150,000. The Company has historically raised capital through equity offerings in order to fund operations.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spacing w:after="0" w:line="255" w:lineRule="auto"/>
        <w:rPr>
          <w:sz w:val="20"/>
          <w:szCs w:val="20"/>
          <w:color w:val="auto"/>
        </w:rPr>
      </w:pPr>
      <w:r>
        <w:rPr>
          <w:rFonts w:ascii="Arial" w:cs="Arial" w:eastAsia="Arial" w:hAnsi="Arial"/>
          <w:sz w:val="18"/>
          <w:szCs w:val="18"/>
          <w:color w:val="auto"/>
        </w:rPr>
        <w:t>As a result of the continued growth in connections to our ePort Connect service, recurring revenue from license and transaction fees increased from $5,419,663 for the three months ended September 30, 2011 to $6,906,356 for the three months ended September 30, 2012, an increase of 27%. In addition, total GP dollars and GP margins have increased from $2,049,036 and 31% for the three months ended September 30, 2011 to $3,144,281 and 37% for the three months ended September 30, 2012, an increase of 53% in GP dollars and a six-point improvement in margins. Our average monthly cash GP during the three months ended September 30, 2012, excluding non-cash depreciation expense included in cost of sales during the quarter of approximately $676,000, approximates $1,273,000 and is expected to increase in the next fiscal quarter due to recognizing recurring revenue on units shipped during the quarter ended September 30, 2012.</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average monthly SG&amp;A expenses during the three months ended September 30, 2012 were approximately $1,072,000. This includes charges during the quarter of approximately $328,000 related to the proxy contest matter, and other non-cash net charges of approximately $119,000. Excluding these charges, our average monthly cash-based SG&amp;A expenses during the three months ended September 30, 2012 was approximately $923,000.</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excess of cash-based GP over the cash-based SG&amp;A expenses described above resulted in positive Adjusted EBITDA during the quarter of $730,707 (see table above). The Company reports Adjusted EBITDA to reflect the liquidity of operations and a measure of operational cash flow. Adjusted EBITDA excludes significant non-cash charges such as depreciation, amortization of intangibles, fair value warrant liability changes and stock-based compensation from net income. We believe that, provided there are no unusual or unanticipated material non-operational expenses, achieving positive Adjusted EBITDA is sustainable predominately because the current connection base is driving the necessary level of recurring revenue from license and transaction fees and associated gross profits, and as our connection base increases, we believe Adjusted EBITDA will continue to grow as well.</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remaining 2013 fiscal year, and provided there are no unanticipated or unusual non-operational expenses, the Company anticipates utilizing substantial cash resources in connection with ePort units expected to be used in the JumpStart Program. In the event we incur any unanticipated or unusual non-operational expenses during the remaining 2013 fiscal year, the Company may reduce the ePort units used in the JumpStart Program, thereby also reducing or eliminating the cash used for the program. During the quarter ended September 30, 2012, the Company funded approximately 80% of its new connections through JumpStart. The Company anticipates using the JumpStart Program for approximately 55% to 60% of its anticipated connections in fiscal 2013 as a result of the potential diversification from the kiosk market, where many customers only require our ePort SDK or our newly introduced Quick Connect Web service.</w:t>
      </w:r>
    </w:p>
    <w:p>
      <w:pPr>
        <w:spacing w:after="0" w:line="2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Provided there are no unanticipated or unusual non-operational expenses during the remainder of the 2013 fiscal year, we believe we are adequately positioned to fund and grow the business including the JumpStart Program. The Company has three sources of cash available to fund and grow the business:</w:t>
      </w:r>
    </w:p>
    <w:p>
      <w:pPr>
        <w:jc w:val="both"/>
        <w:ind w:firstLine="8"/>
        <w:spacing w:after="0" w:line="273" w:lineRule="auto"/>
        <w:tabs>
          <w:tab w:leader="none" w:pos="261" w:val="left"/>
        </w:tabs>
        <w:numPr>
          <w:ilvl w:val="0"/>
          <w:numId w:val="6"/>
        </w:numPr>
        <w:rPr>
          <w:rFonts w:ascii="Arial" w:cs="Arial" w:eastAsia="Arial" w:hAnsi="Arial"/>
          <w:sz w:val="17"/>
          <w:szCs w:val="17"/>
          <w:color w:val="auto"/>
        </w:rPr>
      </w:pPr>
      <w:r>
        <w:rPr>
          <w:rFonts w:ascii="Arial" w:cs="Arial" w:eastAsia="Arial" w:hAnsi="Arial"/>
          <w:sz w:val="17"/>
          <w:szCs w:val="17"/>
          <w:color w:val="auto"/>
        </w:rPr>
        <w:t>cash on hand of $6,203,703 at September 30, 2012; (2) the anticipated growing level of Adjusted EBITDA which indicates the business has the potential to generate cash; and (3) the availability of the line of credit with Avidbank that was established in July 2012. Although the line initially has an availability of approximately $1.5 million, the Company anticipates that the availability would increase as our business and relationship with Avidbank grows, provided we continue to satisfy the various affirmative and negative covenants set forth in the loan agreement.</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Therefore, based upon the above assumptions, the Company believes its existing cash and cash equivalents as of September 30, 2012, would provide sufficient funds through at least July 1, 2013 in order to meet its cash requirements, including payment of its accrued expenses and payables, cash resources anticipated to be utilized for the JumpStart program and other anticipated capital expenditures, and the repayment of long-term debt.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investments in cash equivalents are not significant. The Company has no exposure to market risks related to Available-for-sale securities.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September 30, 2012.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(b) Changes in internal control over financial reporting.</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September 30, 2012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There were no defaults on any senior securities. However, on August 1, 2012 an additional $332,226 of dividends were accrued on our cumulative Series A Convertible Preferred Stock. The total accrued and unpaid dividends on our Series A Convertible Preferred Stock as of September 30, 2012 are $11,264,098. The dividend accrual dates for our Preferred Stock are February 1 and August 1. The annual cumulative dividend on our Preferred Stock is $1.50 per share.</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2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Number</w:t>
        <w:tab/>
        <w:t>Description</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Certifications of Chief Executive Officer pursuant to Rule 13a-14(a) under the Securities Exchange Act of 1934.</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Certifications of Chief Financial Officer pursuant to Rule 13a-14(a) under the Securities Exchange Act of 1934.</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18 USC Section 1350, as adopted pursuant to Section 906 of the Sarbanes-Oxley Act of</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USC Section 1350, as adopted pursuant to Section 906 of the Sarbanes-Oxley Act of</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346710</wp:posOffset>
            </wp:positionV>
            <wp:extent cx="147066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486" w:right="49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USA TECHNOLOGIES, INC.</w:t>
            </w:r>
          </w:p>
        </w:tc>
      </w:tr>
      <w:tr>
        <w:trPr>
          <w:trHeight w:val="439"/>
        </w:trPr>
        <w:tc>
          <w:tcPr>
            <w:tcW w:w="6380" w:type="dxa"/>
            <w:vAlign w:val="bottom"/>
          </w:tcPr>
          <w:p>
            <w:pPr>
              <w:spacing w:after="0"/>
              <w:rPr>
                <w:sz w:val="20"/>
                <w:szCs w:val="20"/>
                <w:color w:val="auto"/>
              </w:rPr>
            </w:pPr>
            <w:r>
              <w:rPr>
                <w:rFonts w:ascii="Arial" w:cs="Arial" w:eastAsia="Arial" w:hAnsi="Arial"/>
                <w:sz w:val="18"/>
                <w:szCs w:val="18"/>
                <w:color w:val="auto"/>
              </w:rPr>
              <w:t>Date: November 13, 2012</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2"/>
        </w:trPr>
        <w:tc>
          <w:tcPr>
            <w:tcW w:w="638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9"/>
        </w:trPr>
        <w:tc>
          <w:tcPr>
            <w:tcW w:w="6380" w:type="dxa"/>
            <w:vAlign w:val="bottom"/>
          </w:tcPr>
          <w:p>
            <w:pPr>
              <w:spacing w:after="0"/>
              <w:rPr>
                <w:sz w:val="20"/>
                <w:szCs w:val="20"/>
                <w:color w:val="auto"/>
              </w:rPr>
            </w:pPr>
            <w:r>
              <w:rPr>
                <w:rFonts w:ascii="Arial" w:cs="Arial" w:eastAsia="Arial" w:hAnsi="Arial"/>
                <w:sz w:val="18"/>
                <w:szCs w:val="18"/>
                <w:color w:val="auto"/>
              </w:rPr>
              <w:t>Date: November 13, 2012</w:t>
            </w:r>
          </w:p>
        </w:tc>
        <w:tc>
          <w:tcPr>
            <w:tcW w:w="3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202"/>
        </w:trPr>
        <w:tc>
          <w:tcPr>
            <w:tcW w:w="638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r>
      <w:tr>
        <w:trPr>
          <w:trHeight w:val="230"/>
        </w:trPr>
        <w:tc>
          <w:tcPr>
            <w:tcW w:w="6380" w:type="dxa"/>
            <w:vAlign w:val="bottom"/>
          </w:tcPr>
          <w:p>
            <w:pPr>
              <w:spacing w:after="0"/>
              <w:rPr>
                <w:sz w:val="20"/>
                <w:szCs w:val="20"/>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420"/>
          </w:cols>
          <w:pgMar w:left="240" w:top="490"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November 13, 2012</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120078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0078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43"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97"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November 13, 2012</w:t>
      </w:r>
      <w:r>
        <w:rPr>
          <w:sz w:val="20"/>
          <w:szCs w:val="20"/>
          <w:color w:val="auto"/>
        </w:rPr>
        <w:tab/>
      </w:r>
      <w:r>
        <w:rPr>
          <w:rFonts w:ascii="Arial" w:cs="Arial" w:eastAsia="Arial" w:hAnsi="Arial"/>
          <w:sz w:val="16"/>
          <w:szCs w:val="16"/>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12693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69365" cy="17145"/>
                    </a:xfrm>
                    <a:prstGeom prst="rect">
                      <a:avLst/>
                    </a:prstGeom>
                    <a:noFill/>
                  </pic:spPr>
                </pic:pic>
              </a:graphicData>
            </a:graphic>
          </wp:anchor>
        </w:drawing>
      </w:r>
    </w:p>
    <w:p>
      <w:pPr>
        <w:spacing w:after="0" w:line="16"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2012 (the “Report”), I, Stephen P. Herbert., Chief Executive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November 13, 2012</w:t>
      </w:r>
      <w:r>
        <w:rPr>
          <w:sz w:val="20"/>
          <w:szCs w:val="20"/>
          <w:color w:val="auto"/>
        </w:rPr>
        <w:tab/>
      </w:r>
      <w:r>
        <w:rPr>
          <w:rFonts w:ascii="Arial" w:cs="Arial" w:eastAsia="Arial" w:hAnsi="Arial"/>
          <w:sz w:val="15"/>
          <w:szCs w:val="15"/>
          <w:color w:val="auto"/>
        </w:rPr>
        <w:t>/s/Stephen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15265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243"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September 30, 2012 (the “Report”), I, David M. DeMedio, Chief Financial Officer of the Company, hereby certify that to my knowledge:</w:t>
      </w:r>
    </w:p>
    <w:p>
      <w:pPr>
        <w:spacing w:after="0" w:line="17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tabs>
          <w:tab w:leader="none" w:pos="5940" w:val="left"/>
        </w:tabs>
        <w:rPr>
          <w:sz w:val="20"/>
          <w:szCs w:val="20"/>
          <w:color w:val="auto"/>
        </w:rPr>
      </w:pPr>
      <w:r>
        <w:rPr>
          <w:rFonts w:ascii="Arial" w:cs="Arial" w:eastAsia="Arial" w:hAnsi="Arial"/>
          <w:sz w:val="18"/>
          <w:szCs w:val="18"/>
          <w:color w:val="auto"/>
        </w:rPr>
        <w:t>Date: November 13, 2012</w:t>
      </w:r>
      <w:r>
        <w:rPr>
          <w:sz w:val="20"/>
          <w:szCs w:val="20"/>
          <w:color w:val="auto"/>
        </w:rPr>
        <w:tab/>
      </w:r>
      <w:r>
        <w:rPr>
          <w:rFonts w:ascii="Arial" w:cs="Arial" w:eastAsia="Arial" w:hAnsi="Arial"/>
          <w:sz w:val="17"/>
          <w:szCs w:val="17"/>
          <w:color w:val="auto"/>
        </w:rPr>
        <w:t>/s/David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14605</wp:posOffset>
            </wp:positionV>
            <wp:extent cx="15265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654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5"/>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5"/>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2019-12-11T01:37:46Z</dcterms:created>
  <dcterms:modified xsi:type="dcterms:W3CDTF">2019-12-11T01:37:46Z</dcterms:modified>
</cp:coreProperties>
</file>