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0" w:lineRule="exact"/>
        <w:rPr>
          <w:sz w:val="24"/>
          <w:szCs w:val="24"/>
          <w:color w:val="auto"/>
        </w:rPr>
      </w:pPr>
    </w:p>
    <w:p>
      <w:pPr>
        <w:ind w:left="500" w:hanging="337"/>
        <w:spacing w:after="0"/>
        <w:tabs>
          <w:tab w:leader="none" w:pos="500" w:val="left"/>
        </w:tabs>
        <w:numPr>
          <w:ilvl w:val="0"/>
          <w:numId w:val="1"/>
        </w:numPr>
        <w:rPr>
          <w:rFonts w:ascii="MS PGothic" w:cs="MS PGothic" w:eastAsia="MS PGothic" w:hAnsi="MS PGothic"/>
          <w:sz w:val="32"/>
          <w:szCs w:val="32"/>
          <w:color w:val="auto"/>
          <w:vertAlign w:val="subscript"/>
        </w:rPr>
      </w:pPr>
      <w:r>
        <w:rPr>
          <w:rFonts w:ascii="Times New Roman" w:cs="Times New Roman" w:eastAsia="Times New Roman" w:hAnsi="Times New Roman"/>
          <w:sz w:val="18"/>
          <w:szCs w:val="18"/>
          <w:b w:val="1"/>
          <w:bCs w:val="1"/>
          <w:color w:val="auto"/>
        </w:rPr>
        <w:t>QUARTERLY REPORT PURSUANT TO SECTION 13 OR 15 (d) OF THE 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67" w:lineRule="exact"/>
        <w:rPr>
          <w:sz w:val="24"/>
          <w:szCs w:val="24"/>
          <w:color w:val="auto"/>
        </w:rPr>
      </w:pPr>
    </w:p>
    <w:p>
      <w:pPr>
        <w:ind w:left="500" w:hanging="343"/>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 (d) OF THE EXCHANGE ACT OF 1934</w:t>
      </w:r>
    </w:p>
    <w:p>
      <w:pPr>
        <w:spacing w:after="0" w:line="144"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2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24"/>
        </w:trPr>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740" w:type="dxa"/>
            <w:vAlign w:val="bottom"/>
            <w:gridSpan w:val="7"/>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 file number 001-33365</w:t>
            </w:r>
          </w:p>
        </w:tc>
      </w:tr>
      <w:tr>
        <w:trPr>
          <w:trHeight w:val="299"/>
        </w:trPr>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USA Technologies, Inc.</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0"/>
        </w:trPr>
        <w:tc>
          <w:tcPr>
            <w:tcW w:w="766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0"/>
        </w:trPr>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740" w:type="dxa"/>
            <w:vAlign w:val="bottom"/>
            <w:gridSpan w:val="7"/>
          </w:tcPr>
          <w:p>
            <w:pPr>
              <w:jc w:val="center"/>
              <w:ind w:right="18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38"/>
        </w:trPr>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460" w:type="dxa"/>
            <w:vAlign w:val="bottom"/>
            <w:gridSpan w:val="2"/>
          </w:tcPr>
          <w:p>
            <w:pPr>
              <w:spacing w:after="0"/>
              <w:rPr>
                <w:sz w:val="24"/>
                <w:szCs w:val="24"/>
                <w:color w:val="auto"/>
              </w:rPr>
            </w:pPr>
          </w:p>
        </w:tc>
        <w:tc>
          <w:tcPr>
            <w:tcW w:w="328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23-2679963</w:t>
            </w:r>
          </w:p>
        </w:tc>
      </w:tr>
      <w:tr>
        <w:trPr>
          <w:trHeight w:val="20"/>
        </w:trPr>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6120" w:type="dxa"/>
            <w:vAlign w:val="bottom"/>
            <w:gridSpan w:val="5"/>
          </w:tcPr>
          <w:p>
            <w:pPr>
              <w:jc w:val="center"/>
              <w:ind w:right="17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280" w:type="dxa"/>
            <w:vAlign w:val="bottom"/>
            <w:gridSpan w:val="5"/>
          </w:tcPr>
          <w:p>
            <w:pPr>
              <w:jc w:val="center"/>
              <w:ind w:left="5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65"/>
        </w:trPr>
        <w:tc>
          <w:tcPr>
            <w:tcW w:w="100" w:type="dxa"/>
            <w:vAlign w:val="bottom"/>
          </w:tcPr>
          <w:p>
            <w:pPr>
              <w:spacing w:after="0"/>
              <w:rPr>
                <w:sz w:val="24"/>
                <w:szCs w:val="24"/>
                <w:color w:val="auto"/>
              </w:rPr>
            </w:pPr>
          </w:p>
        </w:tc>
        <w:tc>
          <w:tcPr>
            <w:tcW w:w="6020" w:type="dxa"/>
            <w:vAlign w:val="bottom"/>
            <w:gridSpan w:val="4"/>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100 Deerfield Lane, Suite 300, Malvern, Pennsylvania</w:t>
            </w:r>
          </w:p>
        </w:tc>
        <w:tc>
          <w:tcPr>
            <w:tcW w:w="24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19355</w:t>
            </w:r>
          </w:p>
        </w:tc>
        <w:tc>
          <w:tcPr>
            <w:tcW w:w="8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4100" w:type="dxa"/>
            <w:vAlign w:val="bottom"/>
            <w:gridSpan w:val="3"/>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91"/>
        </w:trPr>
        <w:tc>
          <w:tcPr>
            <w:tcW w:w="100" w:type="dxa"/>
            <w:vAlign w:val="bottom"/>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color w:val="auto"/>
              </w:rPr>
              <w:t>(Zip Code)</w:t>
            </w:r>
          </w:p>
        </w:tc>
      </w:tr>
      <w:tr>
        <w:trPr>
          <w:trHeight w:val="236"/>
        </w:trPr>
        <w:tc>
          <w:tcPr>
            <w:tcW w:w="612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(610) 989-0340</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0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rPr>
              <w:t>Trading Symbol</w:t>
            </w:r>
          </w:p>
        </w:tc>
        <w:tc>
          <w:tcPr>
            <w:tcW w:w="48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4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09"/>
        </w:trPr>
        <w:tc>
          <w:tcPr>
            <w:tcW w:w="440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20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5"/>
              </w:rPr>
              <w:t>USAT</w:t>
            </w:r>
          </w:p>
        </w:tc>
        <w:tc>
          <w:tcPr>
            <w:tcW w:w="48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The NASDAQ Stock Market LLC The NASDAQ Stock Market LLC</w:t>
            </w:r>
          </w:p>
        </w:tc>
      </w:tr>
      <w:tr>
        <w:trPr>
          <w:trHeight w:val="210"/>
        </w:trPr>
        <w:tc>
          <w:tcPr>
            <w:tcW w:w="440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Series A Convertible Preferred Stock</w:t>
            </w:r>
          </w:p>
        </w:tc>
        <w:tc>
          <w:tcPr>
            <w:tcW w:w="220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8"/>
              </w:rPr>
              <w:t>USATP</w:t>
            </w:r>
          </w:p>
        </w:tc>
        <w:tc>
          <w:tcPr>
            <w:tcW w:w="4820" w:type="dxa"/>
            <w:vAlign w:val="bottom"/>
          </w:tcPr>
          <w:p>
            <w:pPr>
              <w:spacing w:after="0"/>
              <w:rPr>
                <w:sz w:val="18"/>
                <w:szCs w:val="18"/>
                <w:color w:val="auto"/>
              </w:rPr>
            </w:pPr>
          </w:p>
        </w:tc>
      </w:tr>
    </w:tbl>
    <w:p>
      <w:pPr>
        <w:spacing w:after="0" w:line="123"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40" w:type="dxa"/>
        <w:tblCellMar>
          <w:top w:w="0" w:type="dxa"/>
          <w:left w:w="0" w:type="dxa"/>
          <w:bottom w:w="0" w:type="dxa"/>
          <w:right w:w="0" w:type="dxa"/>
        </w:tblCellMar>
      </w:tblPr>
      <w:tr>
        <w:trPr>
          <w:trHeight w:val="282"/>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80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 (Do not check if a smaller reporting company)</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97"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302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As of September 19, 2019 there were 60,008,481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60" w:type="dxa"/>
            <w:vAlign w:val="bottom"/>
            <w:gridSpan w:val="18"/>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940" w:type="dxa"/>
            <w:vAlign w:val="bottom"/>
          </w:tcPr>
          <w:p>
            <w:pPr>
              <w:spacing w:after="0"/>
              <w:rPr>
                <w:sz w:val="17"/>
                <w:szCs w:val="17"/>
                <w:color w:val="auto"/>
              </w:rPr>
            </w:pPr>
          </w:p>
        </w:tc>
      </w:tr>
      <w:tr>
        <w:trPr>
          <w:trHeight w:val="457"/>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80" w:type="dxa"/>
            <w:vAlign w:val="bottom"/>
            <w:gridSpan w:val="7"/>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USA TECHNOLOGIES, INC.</w:t>
            </w:r>
          </w:p>
        </w:tc>
        <w:tc>
          <w:tcPr>
            <w:tcW w:w="194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80" w:type="dxa"/>
            <w:vAlign w:val="bottom"/>
            <w:gridSpan w:val="6"/>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4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2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Part I - Financial Information</w:t>
              </w:r>
            </w:hyperlink>
          </w:p>
        </w:tc>
        <w:tc>
          <w:tcPr>
            <w:tcW w:w="7300" w:type="dxa"/>
            <w:vAlign w:val="bottom"/>
            <w:gridSpan w:val="12"/>
          </w:tcPr>
          <w:p>
            <w:pPr>
              <w:spacing w:after="0"/>
              <w:rPr>
                <w:sz w:val="24"/>
                <w:szCs w:val="24"/>
                <w:color w:val="auto"/>
              </w:rPr>
            </w:pPr>
          </w:p>
        </w:tc>
        <w:tc>
          <w:tcPr>
            <w:tcW w:w="1940" w:type="dxa"/>
            <w:vAlign w:val="bottom"/>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81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w:t>
            </w:r>
          </w:p>
        </w:tc>
        <w:tc>
          <w:tcPr>
            <w:tcW w:w="19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Condensed Consolidated Balance Sheets (unaudited)</w:t>
            </w:r>
          </w:p>
        </w:tc>
        <w:tc>
          <w:tcPr>
            <w:tcW w:w="4380" w:type="dxa"/>
            <w:vAlign w:val="bottom"/>
            <w:gridSpan w:val="7"/>
          </w:tcPr>
          <w:p>
            <w:pPr>
              <w:spacing w:after="0"/>
              <w:rPr>
                <w:sz w:val="24"/>
                <w:szCs w:val="24"/>
                <w:color w:val="auto"/>
              </w:rPr>
            </w:pPr>
          </w:p>
        </w:tc>
        <w:tc>
          <w:tcPr>
            <w:tcW w:w="194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4</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Condensed Consolidated Statements of Operations (unaudited)</w:t>
            </w:r>
          </w:p>
        </w:tc>
        <w:tc>
          <w:tcPr>
            <w:tcW w:w="3660" w:type="dxa"/>
            <w:vAlign w:val="bottom"/>
            <w:gridSpan w:val="4"/>
          </w:tcPr>
          <w:p>
            <w:pPr>
              <w:spacing w:after="0"/>
              <w:rPr>
                <w:sz w:val="24"/>
                <w:szCs w:val="24"/>
                <w:color w:val="auto"/>
              </w:rPr>
            </w:pPr>
          </w:p>
        </w:tc>
        <w:tc>
          <w:tcPr>
            <w:tcW w:w="194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Shareholders’ Equity (unaudited)</w:t>
            </w:r>
          </w:p>
        </w:tc>
        <w:tc>
          <w:tcPr>
            <w:tcW w:w="2920" w:type="dxa"/>
            <w:vAlign w:val="bottom"/>
            <w:gridSpan w:val="2"/>
          </w:tcPr>
          <w:p>
            <w:pPr>
              <w:spacing w:after="0"/>
              <w:rPr>
                <w:sz w:val="24"/>
                <w:szCs w:val="24"/>
                <w:color w:val="auto"/>
              </w:rPr>
            </w:pPr>
          </w:p>
        </w:tc>
        <w:tc>
          <w:tcPr>
            <w:tcW w:w="194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6</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Condensed Consolidated Statements of Cash Flows (unaudited)</w:t>
            </w:r>
          </w:p>
        </w:tc>
        <w:tc>
          <w:tcPr>
            <w:tcW w:w="3600" w:type="dxa"/>
            <w:vAlign w:val="bottom"/>
            <w:gridSpan w:val="3"/>
          </w:tcPr>
          <w:p>
            <w:pPr>
              <w:spacing w:after="0"/>
              <w:rPr>
                <w:sz w:val="24"/>
                <w:szCs w:val="24"/>
                <w:color w:val="auto"/>
              </w:rPr>
            </w:pPr>
          </w:p>
        </w:tc>
        <w:tc>
          <w:tcPr>
            <w:tcW w:w="194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7</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1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1940" w:type="dxa"/>
            <w:vAlign w:val="bottom"/>
          </w:tcPr>
          <w:p>
            <w:pPr>
              <w:jc w:val="right"/>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8</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2.</w:t>
              </w:r>
            </w:hyperlink>
          </w:p>
        </w:tc>
        <w:tc>
          <w:tcPr>
            <w:tcW w:w="8160" w:type="dxa"/>
            <w:vAlign w:val="bottom"/>
            <w:gridSpan w:val="15"/>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94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Item 3.</w:t>
              </w:r>
            </w:hyperlink>
          </w:p>
        </w:tc>
        <w:tc>
          <w:tcPr>
            <w:tcW w:w="8160" w:type="dxa"/>
            <w:vAlign w:val="bottom"/>
            <w:gridSpan w:val="15"/>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Quantitative and Qualitative Disclosures About Market Risk</w:t>
              </w:r>
            </w:hyperlink>
          </w:p>
        </w:tc>
        <w:tc>
          <w:tcPr>
            <w:tcW w:w="1940" w:type="dxa"/>
            <w:vAlign w:val="bottom"/>
          </w:tcPr>
          <w:p>
            <w:pPr>
              <w:jc w:val="right"/>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42</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Item 4.</w:t>
              </w:r>
            </w:hyperlink>
          </w:p>
        </w:tc>
        <w:tc>
          <w:tcPr>
            <w:tcW w:w="8160" w:type="dxa"/>
            <w:vAlign w:val="bottom"/>
            <w:gridSpan w:val="15"/>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Controls and Procedures</w:t>
              </w:r>
            </w:hyperlink>
          </w:p>
        </w:tc>
        <w:tc>
          <w:tcPr>
            <w:tcW w:w="1940" w:type="dxa"/>
            <w:vAlign w:val="bottom"/>
          </w:tcPr>
          <w:p>
            <w:pPr>
              <w:jc w:val="right"/>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42</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9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Part II - Other Information</w:t>
              </w:r>
            </w:hyperlink>
          </w:p>
        </w:tc>
        <w:tc>
          <w:tcPr>
            <w:tcW w:w="7440" w:type="dxa"/>
            <w:vAlign w:val="bottom"/>
            <w:gridSpan w:val="13"/>
          </w:tcPr>
          <w:p>
            <w:pPr>
              <w:spacing w:after="0"/>
              <w:rPr>
                <w:sz w:val="24"/>
                <w:szCs w:val="24"/>
                <w:color w:val="auto"/>
              </w:rPr>
            </w:pPr>
          </w:p>
        </w:tc>
        <w:tc>
          <w:tcPr>
            <w:tcW w:w="1940" w:type="dxa"/>
            <w:vAlign w:val="bottom"/>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1.</w:t>
              </w:r>
            </w:hyperlink>
          </w:p>
        </w:tc>
        <w:tc>
          <w:tcPr>
            <w:tcW w:w="8160" w:type="dxa"/>
            <w:vAlign w:val="bottom"/>
            <w:gridSpan w:val="15"/>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Legal Proceedings</w:t>
              </w:r>
            </w:hyperlink>
          </w:p>
        </w:tc>
        <w:tc>
          <w:tcPr>
            <w:tcW w:w="1940" w:type="dxa"/>
            <w:vAlign w:val="bottom"/>
          </w:tcPr>
          <w:p>
            <w:pPr>
              <w:jc w:val="right"/>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43</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3.</w:t>
              </w:r>
            </w:hyperlink>
          </w:p>
        </w:tc>
        <w:tc>
          <w:tcPr>
            <w:tcW w:w="8160" w:type="dxa"/>
            <w:vAlign w:val="bottom"/>
            <w:gridSpan w:val="15"/>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Defaults Upon Senior Securities</w:t>
              </w:r>
            </w:hyperlink>
          </w:p>
        </w:tc>
        <w:tc>
          <w:tcPr>
            <w:tcW w:w="1940" w:type="dxa"/>
            <w:vAlign w:val="bottom"/>
          </w:tcPr>
          <w:p>
            <w:pPr>
              <w:jc w:val="right"/>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43</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6.</w:t>
              </w:r>
            </w:hyperlink>
          </w:p>
        </w:tc>
        <w:tc>
          <w:tcPr>
            <w:tcW w:w="8160" w:type="dxa"/>
            <w:vAlign w:val="bottom"/>
            <w:gridSpan w:val="15"/>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Exhibits</w:t>
              </w:r>
            </w:hyperlink>
          </w:p>
        </w:tc>
        <w:tc>
          <w:tcPr>
            <w:tcW w:w="1940" w:type="dxa"/>
            <w:vAlign w:val="bottom"/>
          </w:tcPr>
          <w:p>
            <w:pPr>
              <w:jc w:val="right"/>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44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40" w:type="dxa"/>
            <w:vAlign w:val="bottom"/>
            <w:gridSpan w:val="1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160" w:type="dxa"/>
            <w:vAlign w:val="bottom"/>
            <w:gridSpan w:val="15"/>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Signatures</w:t>
              </w:r>
            </w:hyperlink>
          </w:p>
        </w:tc>
        <w:tc>
          <w:tcPr>
            <w:tcW w:w="1940" w:type="dxa"/>
            <w:vAlign w:val="bottom"/>
          </w:tcPr>
          <w:p>
            <w:pPr>
              <w:jc w:val="right"/>
              <w:spacing w:after="0"/>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45</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of USA Technologies, Inc. (the “Company”, “we”, and “us”) for the three and nine months ended March 31, 2019, includes restatement of the following previously filed condensed consolidated unaudited financial statements and data (and related disclosures): (1) the condensed consolidated statements of operations and cash flows for the three and nine months ended March 31, 2018; and (2) our management’s discussion and analysis of financial condition and results of operations as of and for the three and nine month periods ended March 31, 2018, located in Part I Item 2 of this Form 10-Q. The restatement results from the adjustments proposed as a result of the Audit Committee’s internal investigation. See Note 2, Restatement of Condensed Consolidated Financial Statements in Part I, Item 1 of this Form 10-Q for a detailed discussion of the review and effect of the restatement.</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information included in the Quarterly Report on Form 10-Q for the fiscal quarter ended March 31, 2018, and any related press releases, earnings releases, management’s report on the effectiveness of internal control over financial reporting, or investor communications should no longer be relied upon.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restatement and the basis therefore, see the “Explanatory Note” contained in our Annual Report on Form 10-K for the fiscal year ended June 30, 2019 which has been filed concurrently with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20"/>
        </w:trPr>
        <w:tc>
          <w:tcPr>
            <w:tcW w:w="8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32,788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83,964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less allowance of $3,714 and $2,754, respectively</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20,492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15,748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receivables,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4,603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8,038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73,765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113,282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13,246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11,273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Intangibles, net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26,956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29,325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64,149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64,149</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113,505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118,713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187,270</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231,995</w:t>
            </w:r>
          </w:p>
        </w:tc>
        <w:tc>
          <w:tcPr>
            <w:tcW w:w="0" w:type="dxa"/>
            <w:vAlign w:val="bottom"/>
          </w:tcPr>
          <w:p>
            <w:pPr>
              <w:spacing w:after="0"/>
              <w:rPr>
                <w:sz w:val="1"/>
                <w:szCs w:val="1"/>
                <w:color w:val="auto"/>
              </w:rPr>
            </w:pPr>
          </w:p>
        </w:tc>
      </w:tr>
      <w:tr>
        <w:trPr>
          <w:trHeight w:val="67"/>
        </w:trPr>
        <w:tc>
          <w:tcPr>
            <w:tcW w:w="84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8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Liabilities, convertible preferred stock and shareholders’ equity</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26,058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30,468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19,291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lease obligations and current obligations under long-term debt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34,639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60,598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84,909</w:t>
            </w:r>
          </w:p>
        </w:tc>
        <w:tc>
          <w:tcPr>
            <w:tcW w:w="0" w:type="dxa"/>
            <w:vAlign w:val="bottom"/>
          </w:tcPr>
          <w:p>
            <w:pPr>
              <w:spacing w:after="0"/>
              <w:rPr>
                <w:sz w:val="1"/>
                <w:szCs w:val="1"/>
                <w:color w:val="auto"/>
              </w:rPr>
            </w:pPr>
          </w:p>
        </w:tc>
      </w:tr>
      <w:tr>
        <w:trPr>
          <w:trHeight w:val="270"/>
        </w:trPr>
        <w:tc>
          <w:tcPr>
            <w:tcW w:w="8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lease obligations and long-term debt, less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less current portion</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122"/>
        </w:trPr>
        <w:tc>
          <w:tcPr>
            <w:tcW w:w="84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61,291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86,169</w:t>
            </w:r>
          </w:p>
        </w:tc>
        <w:tc>
          <w:tcPr>
            <w:tcW w:w="0" w:type="dxa"/>
            <w:vAlign w:val="bottom"/>
          </w:tcPr>
          <w:p>
            <w:pPr>
              <w:spacing w:after="0"/>
              <w:rPr>
                <w:sz w:val="1"/>
                <w:szCs w:val="1"/>
                <w:color w:val="auto"/>
              </w:rPr>
            </w:pPr>
          </w:p>
        </w:tc>
      </w:tr>
      <w:tr>
        <w:trPr>
          <w:trHeight w:val="22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Series A convertible preferred stock, 900,000 shares authorized, 445,063 issued and outstanding, with liquidation</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preferences of $20,111 and $19,443 at March 31, 2019 and June 30, 2018, respectively</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stock, no par value, 1,800,000 shares authorized, no shares issued</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no par value, 640,000,000 shares authorized, 60,019,438 and 59,998,811 shares issued and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March 31, 2019 and June 30, 2018,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376,700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375,436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(232,748)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122,841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142,688</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liabilities, convertible preferred stock and shareholders’ equity</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187,270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231,995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420"/>
          </w:cols>
          <w:pgMar w:left="240" w:top="121" w:right="239" w:bottom="617"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617"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56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31,630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25,381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90,438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68,292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15,136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22,091</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37,646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33,592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105,574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90,383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20,423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58,542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43,640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equipment</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17,900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21,545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 of sales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27,867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76,442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65,185</w:t>
            </w:r>
          </w:p>
        </w:tc>
        <w:tc>
          <w:tcPr>
            <w:tcW w:w="0" w:type="dxa"/>
            <w:vAlign w:val="bottom"/>
          </w:tcPr>
          <w:p>
            <w:pPr>
              <w:spacing w:after="0"/>
              <w:rPr>
                <w:sz w:val="1"/>
                <w:szCs w:val="1"/>
                <w:color w:val="auto"/>
              </w:rPr>
            </w:pPr>
          </w:p>
        </w:tc>
      </w:tr>
      <w:tr>
        <w:trPr>
          <w:trHeight w:val="31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29,132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25,198</w:t>
            </w: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31,537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25,558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Investigation and restatement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5,774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13,671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12,411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49,145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33,419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31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dividends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60,065,053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53,637,085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60,059,594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51,101,813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60,065,053</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53,637,085</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60,059,594</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51,101,813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420"/>
          </w:cols>
          <w:pgMar w:left="240" w:top="12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 Period Ended March 31,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Borders>
              <w:bottom w:val="single" w:sz="8" w:color="auto"/>
            </w:tcBorders>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gridSpan w:val="2"/>
            <w:vMerge w:val="restart"/>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gridSpan w:val="2"/>
            <w:vMerge w:val="restart"/>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9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2017</w:t>
            </w:r>
          </w:p>
        </w:tc>
        <w:tc>
          <w:tcPr>
            <w:tcW w:w="3040" w:type="dxa"/>
            <w:vAlign w:val="bottom"/>
            <w:tcBorders>
              <w:bottom w:val="single" w:sz="8" w:color="CCEEFF"/>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40,331,645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245,999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24,468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0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Issuance of common stock in relation to public offering, net of offering</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 of $3,237</w:t>
            </w:r>
          </w:p>
        </w:tc>
        <w:tc>
          <w:tcPr>
            <w:tcW w:w="304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9,583,332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39,888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39,888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40" w:type="dxa"/>
            <w:vAlign w:val="bottom"/>
            <w:tcBorders>
              <w:bottom w:val="single" w:sz="8" w:color="CCEEFF"/>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279,754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tax benefit from stock plans</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2017</w:t>
            </w:r>
          </w:p>
        </w:tc>
        <w:tc>
          <w:tcPr>
            <w:tcW w:w="1680" w:type="dxa"/>
            <w:vAlign w:val="bottom"/>
            <w:gridSpan w:val="2"/>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50,194,731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286,296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62,661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as merger consideration</w:t>
            </w:r>
          </w:p>
        </w:tc>
        <w:tc>
          <w:tcPr>
            <w:tcW w:w="3040" w:type="dxa"/>
            <w:vAlign w:val="bottom"/>
            <w:tcBorders>
              <w:bottom w:val="single" w:sz="8" w:color="CCEEFF"/>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3,423,367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23,279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23,279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4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1,800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2017</w:t>
            </w:r>
          </w:p>
        </w:tc>
        <w:tc>
          <w:tcPr>
            <w:tcW w:w="1680" w:type="dxa"/>
            <w:vAlign w:val="bottom"/>
            <w:gridSpan w:val="2"/>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53,619,898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310,150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82,321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40" w:type="dxa"/>
            <w:vAlign w:val="bottom"/>
            <w:tcBorders>
              <w:bottom w:val="single" w:sz="8" w:color="CCEEFF"/>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66,421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common stock</w:t>
            </w:r>
          </w:p>
        </w:tc>
        <w:tc>
          <w:tcPr>
            <w:tcW w:w="3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(19,601)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2018</w:t>
            </w:r>
          </w:p>
        </w:tc>
        <w:tc>
          <w:tcPr>
            <w:tcW w:w="1680" w:type="dxa"/>
            <w:vAlign w:val="bottom"/>
            <w:gridSpan w:val="2"/>
          </w:tcPr>
          <w:p>
            <w:pPr>
              <w:spacing w:after="0"/>
              <w:rPr>
                <w:sz w:val="22"/>
                <w:szCs w:val="22"/>
                <w:color w:val="auto"/>
              </w:rPr>
            </w:pP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53,666,718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310,522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(231,052)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79,470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8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 Period Ended March 31, 2019</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Borders>
              <w:bottom w:val="single" w:sz="8" w:color="auto"/>
            </w:tcBorders>
            <w:gridSpan w:val="7"/>
          </w:tcPr>
          <w:p>
            <w:pPr>
              <w:ind w:left="9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940" w:type="dxa"/>
            <w:vAlign w:val="bottom"/>
            <w:tcBorders>
              <w:bottom w:val="single" w:sz="8" w:color="auto"/>
            </w:tcBorders>
            <w:gridSpan w:val="2"/>
            <w:vMerge w:val="continue"/>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June 30, 2018</w:t>
            </w:r>
          </w:p>
        </w:tc>
        <w:tc>
          <w:tcPr>
            <w:tcW w:w="3040" w:type="dxa"/>
            <w:vAlign w:val="bottom"/>
            <w:tcBorders>
              <w:bottom w:val="single" w:sz="8" w:color="CCEEFF"/>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59,998,811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375,436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142,688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Cumulative effect adjustment for ASC 606 adoption</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gridSpan w:val="2"/>
          </w:tcPr>
          <w:p>
            <w:pPr>
              <w:spacing w:after="0"/>
              <w:rPr>
                <w:sz w:val="2"/>
                <w:szCs w:val="2"/>
                <w:color w:val="auto"/>
              </w:rPr>
            </w:pPr>
          </w:p>
        </w:tc>
        <w:tc>
          <w:tcPr>
            <w:tcW w:w="30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40" w:type="dxa"/>
            <w:vAlign w:val="bottom"/>
            <w:tcBorders>
              <w:bottom w:val="single" w:sz="8" w:color="CCEEFF"/>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13,344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gridSpan w:val="2"/>
          </w:tcPr>
          <w:p>
            <w:pPr>
              <w:spacing w:after="0"/>
              <w:rPr>
                <w:sz w:val="2"/>
                <w:szCs w:val="2"/>
                <w:color w:val="auto"/>
              </w:rPr>
            </w:pPr>
          </w:p>
        </w:tc>
        <w:tc>
          <w:tcPr>
            <w:tcW w:w="168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September 30, 2018</w:t>
            </w:r>
          </w:p>
        </w:tc>
        <w:tc>
          <w:tcPr>
            <w:tcW w:w="3040" w:type="dxa"/>
            <w:vAlign w:val="bottom"/>
            <w:tcBorders>
              <w:bottom w:val="single" w:sz="8" w:color="CCEEFF"/>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60,012,155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375,806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4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1,563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December 31, 2018</w:t>
            </w:r>
          </w:p>
        </w:tc>
        <w:tc>
          <w:tcPr>
            <w:tcW w:w="1680" w:type="dxa"/>
            <w:vAlign w:val="bottom"/>
            <w:gridSpan w:val="2"/>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60,013,718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376,363</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(249,349)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127,014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gridSpan w:val="2"/>
          </w:tcPr>
          <w:p>
            <w:pPr>
              <w:spacing w:after="0"/>
              <w:rPr>
                <w:sz w:val="2"/>
                <w:szCs w:val="2"/>
                <w:color w:val="auto"/>
              </w:rPr>
            </w:pPr>
          </w:p>
        </w:tc>
        <w:tc>
          <w:tcPr>
            <w:tcW w:w="30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40" w:type="dxa"/>
            <w:vAlign w:val="bottom"/>
            <w:tcBorders>
              <w:bottom w:val="single" w:sz="8" w:color="CCEEFF"/>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gridSpan w:val="2"/>
          </w:tcPr>
          <w:p>
            <w:pPr>
              <w:spacing w:after="0"/>
              <w:rPr>
                <w:sz w:val="2"/>
                <w:szCs w:val="2"/>
                <w:color w:val="auto"/>
              </w:rPr>
            </w:pPr>
          </w:p>
        </w:tc>
        <w:tc>
          <w:tcPr>
            <w:tcW w:w="168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March 31, 2019</w:t>
            </w:r>
          </w:p>
        </w:tc>
        <w:tc>
          <w:tcPr>
            <w:tcW w:w="304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60,019,438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376,700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(253,859)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122,841</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264"/>
        </w:trPr>
        <w:tc>
          <w:tcPr>
            <w:tcW w:w="8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(21,487)</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(9,588)</w:t>
            </w:r>
          </w:p>
        </w:tc>
      </w:tr>
      <w:tr>
        <w:trPr>
          <w:trHeight w:val="275"/>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Non-cash stock based compensation</w:t>
            </w: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1,424</w:t>
            </w:r>
          </w:p>
        </w:tc>
      </w:tr>
      <w:tr>
        <w:trPr>
          <w:trHeight w:val="27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disposal of property and equipment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65"/>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Non-cash interest and amortization of debt discount</w:t>
            </w: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w:t>
            </w:r>
          </w:p>
        </w:tc>
      </w:tr>
      <w:tr>
        <w:trPr>
          <w:trHeight w:val="27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Bad debt expense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510</w:t>
            </w:r>
          </w:p>
        </w:tc>
      </w:tr>
      <w:tr>
        <w:trPr>
          <w:trHeight w:val="265"/>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2,699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1,361</w:t>
            </w:r>
          </w:p>
        </w:tc>
      </w:tr>
      <w:tr>
        <w:trPr>
          <w:trHeight w:val="27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6,300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5,586</w:t>
            </w:r>
          </w:p>
        </w:tc>
      </w:tr>
      <w:tr>
        <w:trPr>
          <w:trHeight w:val="265"/>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Excess tax benefits</w:t>
            </w:r>
          </w:p>
        </w:tc>
        <w:tc>
          <w:tcPr>
            <w:tcW w:w="3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r>
      <w:tr>
        <w:trPr>
          <w:trHeight w:val="27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265"/>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(9,964)</w:t>
            </w:r>
          </w:p>
        </w:tc>
      </w:tr>
      <w:tr>
        <w:trPr>
          <w:trHeight w:val="265"/>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Finance receivables, net</w:t>
            </w:r>
          </w:p>
        </w:tc>
        <w:tc>
          <w:tcPr>
            <w:tcW w:w="32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8,202</w:t>
            </w:r>
          </w:p>
        </w:tc>
      </w:tr>
      <w:tr>
        <w:trPr>
          <w:trHeight w:val="27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 of finance receivables</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2,051</w:t>
            </w:r>
          </w:p>
        </w:tc>
      </w:tr>
      <w:tr>
        <w:trPr>
          <w:trHeight w:val="265"/>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Inventory, net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(7,777)</w:t>
            </w:r>
          </w:p>
        </w:tc>
      </w:tr>
      <w:tr>
        <w:trPr>
          <w:trHeight w:val="27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355</w:t>
            </w:r>
          </w:p>
        </w:tc>
      </w:tr>
      <w:tr>
        <w:trPr>
          <w:trHeight w:val="265"/>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15,255</w:t>
            </w:r>
          </w:p>
        </w:tc>
      </w:tr>
      <w:tr>
        <w:trPr>
          <w:trHeight w:val="275"/>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351</w:t>
            </w:r>
          </w:p>
        </w:tc>
      </w:tr>
      <w:tr>
        <w:trPr>
          <w:trHeight w:val="265"/>
        </w:trPr>
        <w:tc>
          <w:tcPr>
            <w:tcW w:w="85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55"/>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7,668</w:t>
            </w:r>
          </w:p>
        </w:tc>
      </w:tr>
      <w:tr>
        <w:trPr>
          <w:trHeight w:val="243"/>
        </w:trPr>
        <w:tc>
          <w:tcPr>
            <w:tcW w:w="8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Purchase of property and equipment, including rentals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(3,138)</w:t>
            </w:r>
          </w:p>
        </w:tc>
      </w:tr>
      <w:tr>
        <w:trPr>
          <w:trHeight w:val="275"/>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sale of property and equipment, including rentals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252</w:t>
            </w:r>
          </w:p>
        </w:tc>
      </w:tr>
      <w:tr>
        <w:trPr>
          <w:trHeight w:val="265"/>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3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(65,181)</w:t>
            </w:r>
          </w:p>
        </w:tc>
      </w:tr>
      <w:tr>
        <w:trPr>
          <w:trHeight w:val="255"/>
        </w:trPr>
        <w:tc>
          <w:tcPr>
            <w:tcW w:w="858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(68,067)</w:t>
            </w:r>
          </w:p>
        </w:tc>
      </w:tr>
      <w:tr>
        <w:trPr>
          <w:trHeight w:val="243"/>
        </w:trPr>
        <w:tc>
          <w:tcPr>
            <w:tcW w:w="8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Proceeds from collateralized borrowing from the transfer of finance receivables</w:t>
            </w:r>
          </w:p>
        </w:tc>
        <w:tc>
          <w:tcPr>
            <w:tcW w:w="3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1,075</w:t>
            </w:r>
          </w:p>
        </w:tc>
      </w:tr>
      <w:tr>
        <w:trPr>
          <w:trHeight w:val="275"/>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r>
      <w:tr>
        <w:trPr>
          <w:trHeight w:val="265"/>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Issuance of common stock in public offering, net</w:t>
            </w:r>
          </w:p>
        </w:tc>
        <w:tc>
          <w:tcPr>
            <w:tcW w:w="3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39,888</w:t>
            </w:r>
          </w:p>
        </w:tc>
      </w:tr>
      <w:tr>
        <w:trPr>
          <w:trHeight w:val="275"/>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issuance of long-term debt</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25,100</w:t>
            </w:r>
          </w:p>
        </w:tc>
      </w:tr>
      <w:tr>
        <w:trPr>
          <w:trHeight w:val="265"/>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3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12,500</w:t>
            </w:r>
          </w:p>
        </w:tc>
      </w:tr>
      <w:tr>
        <w:trPr>
          <w:trHeight w:val="275"/>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revolving credit facility</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265"/>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Repayment of line of credit, net</w:t>
            </w:r>
          </w:p>
        </w:tc>
        <w:tc>
          <w:tcPr>
            <w:tcW w:w="3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(7,111)</w:t>
            </w:r>
          </w:p>
        </w:tc>
      </w:tr>
      <w:tr>
        <w:trPr>
          <w:trHeight w:val="275"/>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capital lease obligations and long-term debt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w:t>
            </w:r>
          </w:p>
        </w:tc>
      </w:tr>
      <w:tr>
        <w:trPr>
          <w:trHeight w:val="265"/>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Cash used in retirement of common stock</w:t>
            </w:r>
          </w:p>
        </w:tc>
        <w:tc>
          <w:tcPr>
            <w:tcW w:w="32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70"/>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exercise of common stock options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w:t>
            </w:r>
          </w:p>
        </w:tc>
      </w:tr>
      <w:tr>
        <w:trPr>
          <w:trHeight w:val="250"/>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64,709</w:t>
            </w:r>
          </w:p>
        </w:tc>
      </w:tr>
      <w:tr>
        <w:trPr>
          <w:trHeight w:val="248"/>
        </w:trPr>
        <w:tc>
          <w:tcPr>
            <w:tcW w:w="8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5"/>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(51,176)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4,310</w:t>
            </w:r>
          </w:p>
        </w:tc>
      </w:tr>
      <w:tr>
        <w:trPr>
          <w:trHeight w:val="270"/>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83,964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12,745</w:t>
            </w:r>
          </w:p>
        </w:tc>
      </w:tr>
      <w:tr>
        <w:trPr>
          <w:trHeight w:val="282"/>
        </w:trPr>
        <w:tc>
          <w:tcPr>
            <w:tcW w:w="8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32,788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17,055</w:t>
            </w:r>
          </w:p>
        </w:tc>
      </w:tr>
      <w:tr>
        <w:trPr>
          <w:trHeight w:val="224"/>
        </w:trPr>
        <w:tc>
          <w:tcPr>
            <w:tcW w:w="8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5"/>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i w:val="1"/>
                <w:iCs w:val="1"/>
                <w:color w:val="auto"/>
              </w:rPr>
              <w:t>Supplemental disclosures of cash flow information</w:t>
            </w: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62"/>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paid in cash</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1,873</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8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Income taxes paid in cash</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r>
      <w:tr>
        <w:trPr>
          <w:trHeight w:val="251"/>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Supplemental disclosures of noncash financing and investing activities: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Equity issued in connection with Cantaloupe Acquisition, net of post-working capital adjustment for retired shares</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23,279</w:t>
            </w:r>
          </w:p>
        </w:tc>
      </w:tr>
      <w:tr>
        <w:trPr>
          <w:trHeight w:val="210"/>
        </w:trPr>
        <w:tc>
          <w:tcPr>
            <w:tcW w:w="8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Settlement of collateralized borrowing from the sale of finance receivables</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Equipment and software acquired under capital lease</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227</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 w:lineRule="exact"/>
        <w:rPr>
          <w:sz w:val="20"/>
          <w:szCs w:val="20"/>
          <w:color w:val="auto"/>
        </w:rPr>
      </w:pPr>
    </w:p>
    <w:p>
      <w:pPr>
        <w:sectPr>
          <w:pgSz w:w="11900" w:h="16838" w:orient="portrait"/>
          <w:cols w:equalWidth="0" w:num="1">
            <w:col w:w="11420"/>
          </w:cols>
          <w:pgMar w:left="240" w:top="121" w:right="239" w:bottom="11"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420"/>
          </w:cols>
          <w:pgMar w:left="240" w:top="121" w:right="239" w:bottom="11"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019"/>
          </w:cols>
          <w:pgMar w:left="1440" w:top="121" w:right="1440"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USA Technologies, Inc. (the “Company”, “We”, “USAT”, or “Our”) was incorporated in the Commonwealth of Pennsylvania in January 1992. We are a provider of technology-enabled solutions and value-added services that facilitate electronic payment transactions and consumer engagement services primarily within the unattended Point of Sale (“POS”) market. We are a leading provider in the small ticket, beverage and food vending industry in the United States and are expanding our solutions and services to other unattended market segments, such as amusement, commercial laundry, kiosk and others. Since our founding, we have designed and marketed systems and solutions that facilitate electronic payment options, as well as telemetry and IoT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 The connection to the ePort Connect platform also enables consumer loyalty programs, national rewards programs and digital content, including advertisements and product information to be delivered at the point of sale.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9, 2017, the Company acquired all of the outstanding equity interests of Cantaloupe Systems, Inc. (“Cantaloupe”), pursuant to the Agreement and Plan of Merger (“Merger Agreement”). Cantaloupe is a premier provider of cloud and mobile solutions for vending, micro markets, and office coffee service. 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The combined companies complete the value chain for customers by providing both top-line revenue generating services as well as bottom line business efficiency services to help operators of unattended retail machines run their business better. The combined product offering provides the data-rich Seed system with USAT’s consumer benefits, providing operators with valuable consumer data that results in customized experiences. In addition to new technology and services, due to Cantaloupe’s existing customer base, the acquisition expands the Company’s footprint into new global markets.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FINANCIAL INFORMATION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2018 Annual Report on Form 10-K, which has been filed concurrently with this Form 10-Q. In the opinion of management, all adjustments considered necessary for a fair presentation, consisting of normal recurring adjustments, have been included. Operating results for the three and nine months ended March 31, 2019 are not necessarily indicative of the results that may be expected for the year ending June 30, 2019. The balance sheet at June 30, 2018 has been derived from the audited consolidated financial statements at that date, but does not include all disclosures required by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RESTATEMENT OF CONSOLIDATED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Concurrently with the filing of this Form 10-Q, the Company filed its Annual Report on Form 10-K for the fiscal year ended June 30, 2019 containing our audited consolidated financial statements for the fiscal years ended June 30, 2019 and 2018, which have not previously been filed, as well as restatements of the following previously filed consolidated financial statements: (i) our audited consolidated financial statements for the fiscal year ended June 30, 2017; (ii) our selected financial data as of and for the fiscal years ended June 30, 2017, 2016 and 2015 contained in Item 6 of the Form 10-K; and (iii) our unaudited condensed consolidated financial statements for the fiscal quarters ended September 30, 2017 and 2016, December 31, 2017 and 2016, and March 31, 2018 and 2017 in Note 20, “Unaudited Quarterly Data” of the Notes to Consolidated Financial Statements.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filed and do not intend to file amendments to any of our previously filed Annual Reports on Form 10-K or Quarterly Reports on Form 10-Q for the periods affected by the restatements of our consolidated financial statements. In addition, we have not filed and do not intend to file a separate Annual Report on Form 10-K for the fiscal year ended June 30, 2018. Concurrent with this filing, we are filing our Quarterly Reports on Form 10-Q for each of the fiscal quarters ended September 30, 2018 and December 31, 2018 (together with this Form 10-Q, the “Fiscal Year 2019 Form 10-Qs”). We have not timely filed our Annual Report on Form 10-K for the fiscal year ended June 30, 2018 and the Fiscal Year 2019 Form 10-Qs as a result of the internal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investigation of the Audit Committee of the Company’s Board of Directors (the “Audit Committee”) and the subsequent restatement of certain of our prior period financial statements as more fully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Background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11, 2018, the Company announced that the Audit Committee with the assistance of independent legal and forensic accounting advisors, was in the process of conducting an internal investigation of current and prior period matters relating to certain of the Company’s contractual arrangements, including the accounting treatment, financial reporting and internal controls related to such arrangements. The Audit Committee’s investigation focused principally on certain customer transactions entered into by the Company during fiscal years 2017 and 2018.</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14, 2019, the Company reported that the Audit Committee’s internal investigation was substantially completed, the principal findings of the internal investigation, and the remedial actions to be implemented by the Company as a result of the internal investigation. The Audit Committee found that, for certain of the customer transactions under review, the Company had prematurely recognized revenue. The Audit Committee proposed certain adjustments to previously reported revenues related to fiscal quarters occurring during the 2017 and 2018 fiscal years of the Company. In most cases, revenues that had been recognized prematurely were, or were expected to be, recognized in subsequent quarters, including quarters subsequent to the quarters impacted by the investigative findings. The investigation further found that certain items that had been recorded as expenses, such as the payment of marketing or servicing fees, were more appropriately treated as contra-revenue items in earlier fiscal quarters.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4, 2019, the Board of Directors of the Company, upon the recommendation of the Audit Committee, and based upon the adjustments to previously reported revenues proposed by the Audit Committee, determined that the following financial statements previously issued by the Company should no longer be relied upon: (1) the audited consolidated financial statements for the fiscal year ended June 30, 2017; and (2) the quarterly and year-to-date unaudited condensed consolidated financial statements for September 30, 2017, December 31, 2017, and March 31, 2018.</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2019, the Board of Directors of the Company, upon the recommendation of the Audit Committee, and based upon the non-investigatory adjustments described below, determined that the following financial statements previously issued by the Company should no longer be relied upon: (1) the audited consolidated financial statements for the fiscal year ended June 30, 2015; (2) the audited consolidated financial statements for the fiscal year ended June 30, 2016; and (3) the quarterly and year-to-date unaudited condensed consolidated financial statements for September 30, 2016, December 31, 2016, and March 31, 2017.</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Audit Committee investigation matter described above, the Company also corrected for (i) out of period adjustments and errors related to the Company's acquisition and financial integration of Cantaloupe and (ii) out of period adjustments and errors identified during management's review of significant accounts and transactions.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and financial integration-related adjustments referred to in (i) above were made in the restatement and relate to errors in the purchase accounting for our acquisition of Cantaloupe and errors in periods subsequent to the acquisition resulting from an ineffective integration of the financial systems and processes of the acquired entity with those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significant account and transaction review adjustments referred to in (ii) above were made in the restatement and relate to revenue recognition, deferred income tax accounting, sales-tax reserves, reserves for bad debts, inventory reserves, sale-leaseback accounting, balance sheet classification of preferred stock, and various other matters.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Effect of Restatement on Previously Filed March 31, 2018 Form 10-Q</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impact of these matters on income (loss) before taxes is presented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020" w:type="dxa"/>
            <w:vAlign w:val="bottom"/>
          </w:tcPr>
          <w:p>
            <w:pPr>
              <w:spacing w:after="0"/>
              <w:rPr>
                <w:sz w:val="13"/>
                <w:szCs w:val="13"/>
                <w:color w:val="auto"/>
              </w:rPr>
            </w:pP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 (Decrease) Restatement</w:t>
            </w:r>
          </w:p>
        </w:tc>
        <w:tc>
          <w:tcPr>
            <w:tcW w:w="0" w:type="dxa"/>
            <w:vAlign w:val="bottom"/>
          </w:tcPr>
          <w:p>
            <w:pPr>
              <w:spacing w:after="0"/>
              <w:rPr>
                <w:sz w:val="1"/>
                <w:szCs w:val="1"/>
                <w:color w:val="auto"/>
              </w:rPr>
            </w:pPr>
          </w:p>
        </w:tc>
      </w:tr>
      <w:tr>
        <w:trPr>
          <w:trHeight w:val="195"/>
        </w:trPr>
        <w:tc>
          <w:tcPr>
            <w:tcW w:w="5120" w:type="dxa"/>
            <w:vAlign w:val="bottom"/>
            <w:vMerge w:val="continue"/>
          </w:tcPr>
          <w:p>
            <w:pPr>
              <w:spacing w:after="0"/>
              <w:rPr>
                <w:sz w:val="16"/>
                <w:szCs w:val="16"/>
                <w:color w:val="auto"/>
              </w:rPr>
            </w:pPr>
          </w:p>
        </w:tc>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5"/>
        </w:trPr>
        <w:tc>
          <w:tcPr>
            <w:tcW w:w="5120" w:type="dxa"/>
            <w:vAlign w:val="bottom"/>
            <w:tcBorders>
              <w:bottom w:val="single" w:sz="8" w:color="CCEEFF"/>
            </w:tcBorders>
          </w:tcPr>
          <w:p>
            <w:pPr>
              <w:spacing w:after="0"/>
              <w:rPr>
                <w:sz w:val="16"/>
                <w:szCs w:val="16"/>
                <w:color w:val="auto"/>
              </w:rPr>
            </w:pPr>
          </w:p>
        </w:tc>
        <w:tc>
          <w:tcPr>
            <w:tcW w:w="4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4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Audit Committee Investigation-related Adjustments:</w:t>
            </w:r>
          </w:p>
        </w:tc>
        <w:tc>
          <w:tcPr>
            <w:tcW w:w="4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2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Acquisition and Financial Integration-related Adjustments:</w:t>
            </w:r>
          </w:p>
        </w:tc>
        <w:tc>
          <w:tcPr>
            <w:tcW w:w="4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324"/>
        </w:trPr>
        <w:tc>
          <w:tcPr>
            <w:tcW w:w="5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Significant Account and Transaction Review and Other:</w:t>
            </w:r>
          </w:p>
        </w:tc>
        <w:tc>
          <w:tcPr>
            <w:tcW w:w="4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4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486"/>
        </w:trPr>
        <w:tc>
          <w:tcPr>
            <w:tcW w:w="5120" w:type="dxa"/>
            <w:vAlign w:val="bottom"/>
          </w:tcPr>
          <w:p>
            <w:pPr>
              <w:spacing w:after="0"/>
              <w:rPr>
                <w:sz w:val="24"/>
                <w:szCs w:val="24"/>
                <w:color w:val="auto"/>
              </w:rPr>
            </w:pPr>
          </w:p>
        </w:tc>
        <w:tc>
          <w:tcPr>
            <w:tcW w:w="4020" w:type="dxa"/>
            <w:vAlign w:val="bottom"/>
          </w:tcPr>
          <w:p>
            <w:pPr>
              <w:jc w:val="right"/>
              <w:ind w:right="325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020" w:type="dxa"/>
            <w:vAlign w:val="bottom"/>
          </w:tcPr>
          <w:p>
            <w:pPr>
              <w:spacing w:after="0"/>
              <w:rPr>
                <w:sz w:val="13"/>
                <w:szCs w:val="13"/>
                <w:color w:val="auto"/>
              </w:rPr>
            </w:pP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 (Decrease) Restatement</w:t>
            </w:r>
          </w:p>
        </w:tc>
        <w:tc>
          <w:tcPr>
            <w:tcW w:w="0" w:type="dxa"/>
            <w:vAlign w:val="bottom"/>
          </w:tcPr>
          <w:p>
            <w:pPr>
              <w:spacing w:after="0"/>
              <w:rPr>
                <w:sz w:val="1"/>
                <w:szCs w:val="1"/>
                <w:color w:val="auto"/>
              </w:rPr>
            </w:pPr>
          </w:p>
        </w:tc>
      </w:tr>
      <w:tr>
        <w:trPr>
          <w:trHeight w:val="195"/>
        </w:trPr>
        <w:tc>
          <w:tcPr>
            <w:tcW w:w="5120" w:type="dxa"/>
            <w:vAlign w:val="bottom"/>
            <w:vMerge w:val="continue"/>
          </w:tcPr>
          <w:p>
            <w:pPr>
              <w:spacing w:after="0"/>
              <w:rPr>
                <w:sz w:val="16"/>
                <w:szCs w:val="16"/>
                <w:color w:val="auto"/>
              </w:rPr>
            </w:pPr>
          </w:p>
        </w:tc>
        <w:tc>
          <w:tcPr>
            <w:tcW w:w="40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431"/>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tcPr>
          <w:p>
            <w:pPr>
              <w:spacing w:after="0"/>
              <w:rPr>
                <w:sz w:val="21"/>
                <w:szCs w:val="21"/>
                <w:color w:val="auto"/>
              </w:rPr>
            </w:pPr>
          </w:p>
        </w:tc>
        <w:tc>
          <w:tcPr>
            <w:tcW w:w="4020" w:type="dxa"/>
            <w:vAlign w:val="bottom"/>
            <w:tcBorders>
              <w:bottom w:val="single" w:sz="8" w:color="CCEEFF"/>
            </w:tcBorders>
          </w:tcPr>
          <w:p>
            <w:pPr>
              <w:spacing w:after="0"/>
              <w:rPr>
                <w:sz w:val="21"/>
                <w:szCs w:val="21"/>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March 31, 2018</w:t>
            </w:r>
          </w:p>
        </w:tc>
        <w:tc>
          <w:tcPr>
            <w:tcW w:w="0" w:type="dxa"/>
            <w:vAlign w:val="bottom"/>
          </w:tcPr>
          <w:p>
            <w:pPr>
              <w:spacing w:after="0"/>
              <w:rPr>
                <w:sz w:val="1"/>
                <w:szCs w:val="1"/>
                <w:color w:val="auto"/>
              </w:rPr>
            </w:pPr>
          </w:p>
        </w:tc>
      </w:tr>
      <w:tr>
        <w:trPr>
          <w:trHeight w:val="249"/>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Audit Committee Investigation-related Adjustments:</w:t>
            </w:r>
          </w:p>
        </w:tc>
        <w:tc>
          <w:tcPr>
            <w:tcW w:w="4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5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45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45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45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5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2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Acquisition and Financial Integration-related Adjustments:</w:t>
            </w:r>
          </w:p>
        </w:tc>
        <w:tc>
          <w:tcPr>
            <w:tcW w:w="4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5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45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45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45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5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324"/>
        </w:trPr>
        <w:tc>
          <w:tcPr>
            <w:tcW w:w="5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Significant Account and Transaction Review and Other:</w:t>
            </w:r>
          </w:p>
        </w:tc>
        <w:tc>
          <w:tcPr>
            <w:tcW w:w="4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5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45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45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45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5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486"/>
        </w:trPr>
        <w:tc>
          <w:tcPr>
            <w:tcW w:w="5120" w:type="dxa"/>
            <w:vAlign w:val="bottom"/>
          </w:tcPr>
          <w:p>
            <w:pPr>
              <w:spacing w:after="0"/>
              <w:rPr>
                <w:sz w:val="24"/>
                <w:szCs w:val="24"/>
                <w:color w:val="auto"/>
              </w:rPr>
            </w:pPr>
          </w:p>
        </w:tc>
        <w:tc>
          <w:tcPr>
            <w:tcW w:w="4020" w:type="dxa"/>
            <w:vAlign w:val="bottom"/>
          </w:tcPr>
          <w:p>
            <w:pPr>
              <w:jc w:val="right"/>
              <w:ind w:right="3250"/>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impact of these matters on the condensed consolidated balance sheet is presented below, excluding any tax effect from the restatement adjustments in the aggregate:</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 (Decrease) Restatement</w:t>
            </w:r>
          </w:p>
        </w:tc>
        <w:tc>
          <w:tcPr>
            <w:tcW w:w="0" w:type="dxa"/>
            <w:vAlign w:val="bottom"/>
          </w:tcPr>
          <w:p>
            <w:pPr>
              <w:spacing w:after="0"/>
              <w:rPr>
                <w:sz w:val="1"/>
                <w:szCs w:val="1"/>
                <w:color w:val="auto"/>
              </w:rPr>
            </w:pPr>
          </w:p>
        </w:tc>
      </w:tr>
      <w:tr>
        <w:trPr>
          <w:trHeight w:val="195"/>
        </w:trPr>
        <w:tc>
          <w:tcPr>
            <w:tcW w:w="908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50"/>
        </w:trPr>
        <w:tc>
          <w:tcPr>
            <w:tcW w:w="90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As of March 31, 2018</w:t>
            </w:r>
          </w:p>
        </w:tc>
        <w:tc>
          <w:tcPr>
            <w:tcW w:w="0" w:type="dxa"/>
            <w:vAlign w:val="bottom"/>
          </w:tcPr>
          <w:p>
            <w:pPr>
              <w:spacing w:after="0"/>
              <w:rPr>
                <w:sz w:val="1"/>
                <w:szCs w:val="1"/>
                <w:color w:val="auto"/>
              </w:rPr>
            </w:pPr>
          </w:p>
        </w:tc>
      </w:tr>
      <w:tr>
        <w:trPr>
          <w:trHeight w:val="249"/>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Audit Committee Investigation-related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receivables, net</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2,459</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324"/>
        </w:trPr>
        <w:tc>
          <w:tcPr>
            <w:tcW w:w="9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 and Financial Integration-related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receivables, net</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4,121</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3,469</w:t>
            </w:r>
          </w:p>
        </w:tc>
        <w:tc>
          <w:tcPr>
            <w:tcW w:w="0" w:type="dxa"/>
            <w:vAlign w:val="bottom"/>
          </w:tcPr>
          <w:p>
            <w:pPr>
              <w:spacing w:after="0"/>
              <w:rPr>
                <w:sz w:val="1"/>
                <w:szCs w:val="1"/>
                <w:color w:val="auto"/>
              </w:rPr>
            </w:pPr>
          </w:p>
        </w:tc>
      </w:tr>
      <w:tr>
        <w:trPr>
          <w:trHeight w:val="324"/>
        </w:trPr>
        <w:tc>
          <w:tcPr>
            <w:tcW w:w="9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Account and Transaction Review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receivables, net</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9,877</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lease obligation and current obligations under long-term debt</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gain from sale-leaseback transactions</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7"/>
        </w:trPr>
        <w:tc>
          <w:tcPr>
            <w:tcW w:w="9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restatement adjustments were tax effected and any tax adjustments reflected in the condensed consolidated financial statements in this note relate entirely to the tax effect on the restatement adjustments.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below present the effect of the financial statement adjustments related to the restatement discussed above of the Company's previously reported financial statements as of and for the three and nine months ended March 31, 2018.</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condensed consolidated balance sheet as of March 31, 2018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 2018</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2"/>
                <w:szCs w:val="12"/>
                <w:color w:val="auto"/>
              </w:rPr>
            </w:pPr>
          </w:p>
        </w:tc>
        <w:tc>
          <w:tcPr>
            <w:tcW w:w="11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17,107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17,055</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23,166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19,443</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2,234</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11,923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1,869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1,278</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57,076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51,933</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Non-current assets: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receivables due after one year,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9,679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9,870</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12,198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12,243</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16,911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30,119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30,119</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64,196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64,149</w:t>
            </w:r>
          </w:p>
        </w:tc>
        <w:tc>
          <w:tcPr>
            <w:tcW w:w="0" w:type="dxa"/>
            <w:vAlign w:val="bottom"/>
          </w:tcPr>
          <w:p>
            <w:pPr>
              <w:spacing w:after="0"/>
              <w:rPr>
                <w:sz w:val="1"/>
                <w:szCs w:val="1"/>
                <w:color w:val="auto"/>
              </w:rPr>
            </w:pPr>
          </w:p>
        </w:tc>
      </w:tr>
      <w:tr>
        <w:trPr>
          <w:trHeight w:val="25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134,317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116,795</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191,393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168,728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Liabilities, convertible preferred stock and shareholders’ equity</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29,446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29,574</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10,547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18,508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lease obligations and current obligations under long-term debt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4,470</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Deferred gain from sale-leaseback transactions</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42,521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53,063</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65"/>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 lease obligations and long-term debt, less current portion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22,895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22,895</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 less current portion</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32,961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33,057</w:t>
            </w:r>
          </w:p>
        </w:tc>
        <w:tc>
          <w:tcPr>
            <w:tcW w:w="0" w:type="dxa"/>
            <w:vAlign w:val="bottom"/>
          </w:tcPr>
          <w:p>
            <w:pPr>
              <w:spacing w:after="0"/>
              <w:rPr>
                <w:sz w:val="1"/>
                <w:szCs w:val="1"/>
                <w:color w:val="auto"/>
              </w:rPr>
            </w:pPr>
          </w:p>
        </w:tc>
      </w:tr>
      <w:tr>
        <w:trPr>
          <w:trHeight w:val="140"/>
        </w:trPr>
        <w:tc>
          <w:tcPr>
            <w:tcW w:w="7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75,482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10,638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86,120</w:t>
            </w:r>
          </w:p>
        </w:tc>
        <w:tc>
          <w:tcPr>
            <w:tcW w:w="0" w:type="dxa"/>
            <w:vAlign w:val="bottom"/>
          </w:tcPr>
          <w:p>
            <w:pPr>
              <w:spacing w:after="0"/>
              <w:rPr>
                <w:sz w:val="1"/>
                <w:szCs w:val="1"/>
                <w:color w:val="auto"/>
              </w:rPr>
            </w:pP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74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3,138</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$19,443 at March 31, 2018</w:t>
            </w:r>
          </w:p>
        </w:tc>
        <w:tc>
          <w:tcPr>
            <w:tcW w:w="1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Shareholders’ equity:</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1,800,000 shares authorized, no shares issued</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74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3,138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$19,443 at March 31, 2018</w:t>
            </w: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no par value, 640,000,000 shares authorized, 53,666,718 shares issued and outstanding at March 31, 2018</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307,634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310,522</w:t>
            </w:r>
          </w:p>
        </w:tc>
        <w:tc>
          <w:tcPr>
            <w:tcW w:w="0" w:type="dxa"/>
            <w:vAlign w:val="bottom"/>
          </w:tcPr>
          <w:p>
            <w:pPr>
              <w:spacing w:after="0"/>
              <w:rPr>
                <w:sz w:val="1"/>
                <w:szCs w:val="1"/>
                <w:color w:val="auto"/>
              </w:rPr>
            </w:pPr>
          </w:p>
        </w:tc>
      </w:tr>
      <w:tr>
        <w:trPr>
          <w:trHeight w:val="265"/>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(194,861)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(36,191)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(231,052)</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115,911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(36,441)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79,470</w:t>
            </w:r>
          </w:p>
        </w:tc>
        <w:tc>
          <w:tcPr>
            <w:tcW w:w="0" w:type="dxa"/>
            <w:vAlign w:val="bottom"/>
          </w:tcPr>
          <w:p>
            <w:pPr>
              <w:spacing w:after="0"/>
              <w:rPr>
                <w:sz w:val="1"/>
                <w:szCs w:val="1"/>
                <w:color w:val="auto"/>
              </w:rPr>
            </w:pPr>
          </w:p>
        </w:tc>
      </w:tr>
      <w:tr>
        <w:trPr>
          <w:trHeight w:val="242"/>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liabilities, convertible preferred stock and shareholders’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191,393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(22,665)</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168,728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effect of the restatement on the previously filed condensed consolidated statement of operations for the three and nine months ended March 31, 2018 is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2"/>
                <w:szCs w:val="12"/>
                <w:color w:val="auto"/>
              </w:rPr>
            </w:pPr>
          </w:p>
        </w:tc>
        <w:tc>
          <w:tcPr>
            <w:tcW w:w="106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90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5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35,832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33,592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equipment</w:t>
            </w:r>
          </w:p>
        </w:tc>
        <w:tc>
          <w:tcPr>
            <w:tcW w:w="25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costs of sales</w:t>
            </w:r>
          </w:p>
        </w:tc>
        <w:tc>
          <w:tcPr>
            <w:tcW w:w="2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23,888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23,747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shd w:val="clear" w:color="auto" w:fill="CCEEFF"/>
          </w:tcPr>
          <w:p>
            <w:pPr>
              <w:spacing w:after="0"/>
              <w:rPr>
                <w:sz w:val="22"/>
                <w:szCs w:val="22"/>
                <w:color w:val="auto"/>
              </w:rPr>
            </w:pPr>
          </w:p>
        </w:tc>
        <w:tc>
          <w:tcPr>
            <w:tcW w:w="2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dividends</w:t>
            </w:r>
          </w:p>
        </w:tc>
        <w:tc>
          <w:tcPr>
            <w:tcW w:w="25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(loss) applicable to common shares</w:t>
            </w:r>
          </w:p>
        </w:tc>
        <w:tc>
          <w:tcPr>
            <w:tcW w:w="25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00" w:type="dxa"/>
            <w:vAlign w:val="bottom"/>
            <w:vMerge w:val="continue"/>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53,637,085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53,637,085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5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54,234,566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(597,481)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53,637,085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4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1" w:right="2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Nine months ended March 31, 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2"/>
                <w:szCs w:val="12"/>
                <w:color w:val="auto"/>
              </w:rPr>
            </w:pPr>
          </w:p>
        </w:tc>
        <w:tc>
          <w:tcPr>
            <w:tcW w:w="106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90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5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68,292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22,091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93,955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90,383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43,640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equipment</w:t>
            </w:r>
          </w:p>
        </w:tc>
        <w:tc>
          <w:tcPr>
            <w:tcW w:w="25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21,909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costs of sales</w:t>
            </w:r>
          </w:p>
        </w:tc>
        <w:tc>
          <w:tcPr>
            <w:tcW w:w="2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65,609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65,185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28,346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25,198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24,647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25,558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32,598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shd w:val="clear" w:color="auto" w:fill="CCEEFF"/>
          </w:tcPr>
          <w:p>
            <w:pPr>
              <w:spacing w:after="0"/>
              <w:rPr>
                <w:sz w:val="22"/>
                <w:szCs w:val="22"/>
                <w:color w:val="auto"/>
              </w:rPr>
            </w:pPr>
          </w:p>
        </w:tc>
        <w:tc>
          <w:tcPr>
            <w:tcW w:w="2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dividends</w:t>
            </w:r>
          </w:p>
        </w:tc>
        <w:tc>
          <w:tcPr>
            <w:tcW w:w="25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applicable to common shares</w:t>
            </w:r>
          </w:p>
        </w:tc>
        <w:tc>
          <w:tcPr>
            <w:tcW w:w="25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00" w:type="dxa"/>
            <w:vAlign w:val="bottom"/>
            <w:vMerge w:val="continue"/>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51,101,813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51,101,813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51,101,813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51,101,813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4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1" w:right="2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restatement on the previously filed condensed consolidated statement of cash flows for the nine months ended March 31, 2018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Nine months ended March 31, 2018</w:t>
            </w:r>
          </w:p>
        </w:tc>
        <w:tc>
          <w:tcPr>
            <w:tcW w:w="0" w:type="dxa"/>
            <w:vAlign w:val="bottom"/>
          </w:tcPr>
          <w:p>
            <w:pPr>
              <w:spacing w:after="0"/>
              <w:rPr>
                <w:sz w:val="1"/>
                <w:szCs w:val="1"/>
                <w:color w:val="auto"/>
              </w:rPr>
            </w:pPr>
          </w:p>
        </w:tc>
      </w:tr>
      <w:tr>
        <w:trPr>
          <w:trHeight w:val="149"/>
        </w:trPr>
        <w:tc>
          <w:tcPr>
            <w:tcW w:w="7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(11,569)</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1,981</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interest and amortization of debt discount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Bad debt expense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inventory reserve</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5,858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5,586</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Excess tax benefits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Recognition of deferred gain from sale-leaseback transactions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(9,964)</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Finance receivables,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8,202</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Sale of finance receivables</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2,051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Inventory,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(7,777)</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15,255</w:t>
            </w:r>
          </w:p>
        </w:tc>
        <w:tc>
          <w:tcPr>
            <w:tcW w:w="0" w:type="dxa"/>
            <w:vAlign w:val="bottom"/>
          </w:tcPr>
          <w:p>
            <w:pPr>
              <w:spacing w:after="0"/>
              <w:rPr>
                <w:sz w:val="1"/>
                <w:szCs w:val="1"/>
                <w:color w:val="auto"/>
              </w:rPr>
            </w:pPr>
          </w:p>
        </w:tc>
      </w:tr>
      <w:tr>
        <w:trPr>
          <w:trHeight w:val="265"/>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8,689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7,668</w:t>
            </w:r>
          </w:p>
        </w:tc>
        <w:tc>
          <w:tcPr>
            <w:tcW w:w="0" w:type="dxa"/>
            <w:vAlign w:val="bottom"/>
          </w:tcPr>
          <w:p>
            <w:pPr>
              <w:spacing w:after="0"/>
              <w:rPr>
                <w:sz w:val="1"/>
                <w:szCs w:val="1"/>
                <w:color w:val="auto"/>
              </w:rPr>
            </w:pPr>
          </w:p>
        </w:tc>
      </w:tr>
      <w:tr>
        <w:trPr>
          <w:trHeight w:val="248"/>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 of property and equipment, including rentals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sale of property and equipment, including rentals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(65,181)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(65,181)</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(67,934)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(68,067)</w:t>
            </w:r>
          </w:p>
        </w:tc>
        <w:tc>
          <w:tcPr>
            <w:tcW w:w="0" w:type="dxa"/>
            <w:vAlign w:val="bottom"/>
          </w:tcPr>
          <w:p>
            <w:pPr>
              <w:spacing w:after="0"/>
              <w:rPr>
                <w:sz w:val="1"/>
                <w:szCs w:val="1"/>
                <w:color w:val="auto"/>
              </w:rPr>
            </w:pPr>
          </w:p>
        </w:tc>
      </w:tr>
      <w:tr>
        <w:trPr>
          <w:trHeight w:val="248"/>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collateralized borrowing from the transfer of finance receivables</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1,075</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exercise of common stock options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issuance of long-term debt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25,100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Proceeds from revolving credit facility</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12,500</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 of revolving credit facility</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common stock in public offering, net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39,888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39,888</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Repayment of line of credit</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(7,111)</w:t>
            </w:r>
          </w:p>
        </w:tc>
        <w:tc>
          <w:tcPr>
            <w:tcW w:w="0" w:type="dxa"/>
            <w:vAlign w:val="bottom"/>
          </w:tcPr>
          <w:p>
            <w:pPr>
              <w:spacing w:after="0"/>
              <w:rPr>
                <w:sz w:val="1"/>
                <w:szCs w:val="1"/>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Repayment of capital lease obligations and long-term debt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used in retirement of common stock</w:t>
            </w:r>
          </w:p>
        </w:tc>
        <w:tc>
          <w:tcPr>
            <w:tcW w:w="1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55"/>
        </w:trPr>
        <w:tc>
          <w:tcPr>
            <w:tcW w:w="7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63,607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64,709</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4,310</w:t>
            </w:r>
          </w:p>
        </w:tc>
        <w:tc>
          <w:tcPr>
            <w:tcW w:w="0" w:type="dxa"/>
            <w:vAlign w:val="bottom"/>
          </w:tcPr>
          <w:p>
            <w:pPr>
              <w:spacing w:after="0"/>
              <w:rPr>
                <w:sz w:val="1"/>
                <w:szCs w:val="1"/>
                <w:color w:val="auto"/>
              </w:rPr>
            </w:pPr>
          </w:p>
        </w:tc>
      </w:tr>
      <w:tr>
        <w:trPr>
          <w:trHeight w:val="265"/>
        </w:trPr>
        <w:tc>
          <w:tcPr>
            <w:tcW w:w="7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12,745</w:t>
            </w:r>
          </w:p>
        </w:tc>
        <w:tc>
          <w:tcPr>
            <w:tcW w:w="0" w:type="dxa"/>
            <w:vAlign w:val="bottom"/>
          </w:tcPr>
          <w:p>
            <w:pPr>
              <w:spacing w:after="0"/>
              <w:rPr>
                <w:sz w:val="1"/>
                <w:szCs w:val="1"/>
                <w:color w:val="auto"/>
              </w:rPr>
            </w:pPr>
          </w:p>
        </w:tc>
      </w:tr>
      <w:tr>
        <w:trPr>
          <w:trHeight w:val="242"/>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17,055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2017, the Financial Accounting Standards Board (the "FASB") issued Accounting Standards Update No. 2017-04, Intangibles - Goodwill and Other (Topic 350) - Simplifying the Test for Goodwill Impairment ("ASU 2017-04"), which eliminates Step 2 from the goodwill impairment test. Under ASU 2017-04, an entity should perform its annual, or interim, goodwill impairment test by comparing the fair value of a reporting unit with its carrying amount. An entity should recognize an impairment charge for</w:t>
      </w:r>
    </w:p>
    <w:p>
      <w:pPr>
        <w:sectPr>
          <w:pgSz w:w="11900" w:h="16838" w:orient="portrait"/>
          <w:cols w:equalWidth="0" w:num="1">
            <w:col w:w="11420"/>
          </w:cols>
          <w:pgMar w:left="240" w:top="121" w:right="239" w:bottom="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the amount by which the carrying amount exceeds the reporting unit’s fair value; however, the loss recognized should not exceed the total amount of goodwill allocated to that reporting unit. Additionally, an entity should consider income tax effects from any tax deductible goodwill on the carrying amount of the reporting unit when measuring the goodwill impairment loss, if applicable. ASU 2017-04 is effective for annual or any interim goodwill impairment tests in fiscal years beginning after December 15, 2019. We early adopted ASU 2017-04 for impairment tests to be performed on testing dates after July 1, 2017, which did not impact our condensed consolidated financial statements.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2016, the FASB issued ASU No. 2016-09, Compensation - Stock Compensation (Topic 718), Improvements to Employee Share-Based Payment Accounting, which modifies the accounting for certain aspects of share-based payments to employees. The new guidance requires excess tax benefits and tax deficiencies to be recorded in the income statement when stock awards vest or are settled. In addition, cash flows related to excess tax benefits are to be separately classified as an operating activity apart from other income tax cash flows. The standard also allows the Company to repurchase more of an employee’s vested shares for tax withholding purposes without triggering liability accounting, and clarifies that all cash payments made to tax authorities on an employee’s behalf for withheld shares should be presented as a financing activity on the statement of cash flows. The Company adopted this standard as of July 1, 2017.</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primary impact of adoption was the recognition of excess tax benefits in the Company's provision for income taxes which is applied prospectively starting July 1, 2017 in accordance with the guidance. Adoption of the new standard resulted in the recognition of $31 thousand of excess tax benefits in the Company's provision for income taxes for the year ended June 30, 2018. Through June 30, 2017 excess tax benefits were reflected as a reduction of deferred tax assets via reducing actual operating loss carryforwards because such benefits had not reduced income taxes payable. Under the new standard the treatment of excess tax benefits changed and the cumulative excess tax benefits as of June 30, 2017 amounting to $67 thousand were credited to accumulated deficit. The adoption of ASU No. 2016-09 did not impact our statement of cash flows for the nine months ended March 31, 2019 and 2018.</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2018, the FASB issued ASU No. 2018-05, "Income Taxes (Topic 740), Amendments to SEC Paragraphs Pursuant to SEC Staff Accounting Bulletin No. 118." The standard adds guidance to ASC 740, Income Taxes, that contain SEC guidance related to SAB 118. The standard is effective upon issuance. Refer to Note 12 for further information regarding the impact of the standard.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2017, the FASB issued ASU No. 2017-01, “Business Combinations (Topic 805), Clarifying the Definition of a Business.” ASU 2017-01 provides guidance in ascertaining whether a collection of assets and activities is considered a business. The Company adopted this standard as of July 1, 2018, and its adoption did not have a material effect on the Company’s condensed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2017, the FASB issued ASU No. 2017-09, “Compensation - Stock Compensation (Topic 718), Scope of Modification Accounting.” The standard provides guidance about which changes to the terms or conditions of a share-based payment award require modification accounting, which may result in a different fair value for the award. The Company adopted this standard as of July 1, 2018, and it will be applied prospectively to awards modified on or after the adoption date. Its adoption did not have a material effect on the Company's condensed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2016, the FASB issued ASU No. 2016-15, “Statement of Cash Flows (Topic 230), Classification of Certain Cash Receipts and Cash Payments.” The new guidance makes eight targeted changes to how cash receipts and cash payments are presented and classified in the statement of cash flows. The Company adopted this standard as of July 1, 2018 on a retrospective basis, and its adoption did not have a material effect on the Company’s condensed consolidated financial statements.</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(Topic 606) (“the New Standard”). The New Standard provides a single model for entities to use in accounting for revenue arising from contracts with customers and will supersede most current revenue recognition guidance. The New Standard also requires expanded qualitative and quantitative disclosures about the nature, timing and uncertainty of revenue and cash flows rising from contracts with customers. The Company adopted the New Standard on July 1, 2018, using the modified retrospective method applied to those contracts which were not completed as of July 1, 2018. Results for reporting periods beginning after July 1, 2018 are presented under ASC 606, while prior period amounts are not adjusted and continue to be reported in accordance with the Company’s historic revenue recognition methodology under ASC 605. Refer to Note 5 for further discussion.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to be adopted</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evaluating whether the effects of the following recent accounting pronouncements, or any other recently issued but not yet effective accounting standards, will have a material effect on the Company’s condensed consolidated financial position, results of operations or cash flows.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97"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which will require, among other items, lessees to recognize a right of use asset and a related lease liability for most leases on the balance sheet. Qualitative and quantitative disclosures will be enhanced to better understand the amount, timing and uncertainty of cash flows arising from leases. The Company adopted this new guidance on July 1, 2019, using the optional modified retrospective transition method. The Company expects the adoption to result in gross up on its consolidated balance sheets from the recognition of assets and liabilities arising out of operating leases. The Company will recognize assets for the right to use the underlying leased property during the lease term and will recognize liabilities for the corresponding financial obligation to make lease payments to the lessor.</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plans to elect the transition package of practical expedients permitted within the standard, which eliminates the requirements to reassess prior conclusions about lease identification, lease classification, and initial direct costs. The Company is substantially complete with the evaluation of the impact on the condensed consolidated financial statements of adopting the new lease standard and does not anticipate a material impact on the condensed consolidated statements of operations, shareholders’ equity, and cash flows or to retained earnings. Additionally, the Company does not anticipate the adoption of the standard will impact any debt covenants or result in significant changes to the internal processes, including the internal control over financial reporting. The Company’s operating leases primarily comprise of office facilities, with the most significant leases relating to corporate headquarters in Malvern, Pennsylvania and an office in San Francisco, California. The Company is in the process of finalizing changes to its systems and processes in conjunction with its review of lease agreements and will disclose the actual impact of adopting ASU 2016-02 in its interim report on Form 10-Q for the quarter ended September 30, 2019.</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2018, the FASB issued ASU No. 2018-09, “Codification Improvements”. These amendments provide clarifications and corrections to certain ASC subtopics including “Compensation - Stock Compensation - Income Taxes” (Topic 718-740), “Business Combinations - Income Taxes” (Topic 805-740) and “Fair Value Measurement - Overall” (Topic 820-10). The majority of the amendments in ASU 2018-09 will be effective in annual periods beginning after December 15, 2018. The Company is currently evaluating and assessing the impact this guidance will have on its condensed consolidated financial statements.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The new guidance changes the accounting for estimated credit losses pertaining to certain types of financial instruments including, but not limited to, trade and lease receivables. This pronouncement will be effective for fiscal years beginning after December 15, 2019. Early adoption of the guidance is permitted for fiscal years beginning after December 15, 2018. The Company is currently evaluating and assessing the impact this guidance will have on its condensed consolidated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2018, the FASB issued ASU No. 2018-07, “Compensation - Stock Compensation (Topic 718), Improvements to Nonemployee Share-Based Payment Accounting.” The standard simplifies the accounting for share-based payments granted to nonemployees for goods and services. Under the ASU, most of the guidance on such payments to nonemployees would be aligned with the requirements for share-based payments granted to employees. The changes take effect for public companies for fiscal years starting after December 15, 2018, including interim periods within that fiscal year. The Company expects that the adoption of this ASU would not have a material impact on the Company’s condensed consolidated financial statements.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No. 2018-15, “Intangibles—Goodwill and Other (Topic 350): Internal-Use Software.” This standard aligns the requirements for capitalizing implementation costs incurred in a cloud computing arrangement that is a service contract with the requirements for capitalizing implementation costs incurred to develop or obtain internal-use software. The standard is effective for fiscal years beginning after December 15, 2019, including interim periods within those fiscal years, which means that it will be effective for us in the first quarter of our fiscal year beginning July 1, 2020. The Company is currently evaluating and assessing the impact this guidance will have on its condensed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 OF CANTALOUPE SYSTEMS, INC.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9, 2017, the Company acquired all of the outstanding equity interests of Cantaloupe pursuant to the Merger Agreement, for approximately $88.2 million in aggregate consideration. Cantaloupe is a premier provider of cloud and mobile solutions for vending, micro markets, and office coffee service.</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In addition to new technology and services, due to Cantaloupe’s existing customer base, the acquisition expands the Company’s footprint into new global markets.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purchase price consideration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r>
      <w:tr>
        <w:trPr>
          <w:trHeight w:val="249"/>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consideration, net of cash acquired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65,181</w:t>
            </w:r>
          </w:p>
        </w:tc>
      </w:tr>
      <w:tr>
        <w:trPr>
          <w:trHeight w:val="243"/>
        </w:trPr>
        <w:tc>
          <w:tcPr>
            <w:tcW w:w="10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USAT shares issued as stock consideration (As Restated)</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23,279</w:t>
            </w: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Post-closing adjustment for working capital</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57"/>
        </w:trPr>
        <w:tc>
          <w:tcPr>
            <w:tcW w:w="10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consideration (As Restated)</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88,207</w:t>
            </w:r>
          </w:p>
        </w:tc>
      </w:tr>
      <w:tr>
        <w:trPr>
          <w:trHeight w:val="20"/>
        </w:trPr>
        <w:tc>
          <w:tcPr>
            <w:tcW w:w="9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financed a portion of the purchase price with proceeds from a $25.0 million term loan (“Term Loan”) and $10.0 million of borrowings under a line of credit (“Revolving Credit Facility”), provided by JPMorgan Chase Bank, N.A., for an aggregate principal amount of $35.0 million. Refer to Note 10 for additional details.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of Cantaloupe was accounted for as a business combination using the acquisition method. Under the acquisition method of accounting, the assets acquired and liabilities assumed in the transaction were recorded at the date of acquisition at their respective fair values using assumptions that are subject to change. The Company has finalized its valuation of certain assets and liabilities recorded in connection with this transaction as of June 30, 2018.</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total consideration transferred to the holders of all of the outstanding equity interests of Cantaloupe at the acquisition date of November 9, 2017:</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November 9, 2017</w:t>
            </w:r>
          </w:p>
        </w:tc>
        <w:tc>
          <w:tcPr>
            <w:tcW w:w="0" w:type="dxa"/>
            <w:vAlign w:val="bottom"/>
          </w:tcPr>
          <w:p>
            <w:pPr>
              <w:spacing w:after="0"/>
              <w:rPr>
                <w:sz w:val="1"/>
                <w:szCs w:val="1"/>
                <w:color w:val="auto"/>
              </w:rPr>
            </w:pPr>
          </w:p>
        </w:tc>
      </w:tr>
      <w:tr>
        <w:trPr>
          <w:trHeight w:val="195"/>
        </w:trPr>
        <w:tc>
          <w:tcPr>
            <w:tcW w:w="9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49"/>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Finance receivables</w:t>
            </w:r>
          </w:p>
        </w:tc>
        <w:tc>
          <w:tcPr>
            <w:tcW w:w="3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receivables due after one year</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Intangibles</w:t>
            </w:r>
          </w:p>
        </w:tc>
        <w:tc>
          <w:tcPr>
            <w:tcW w:w="3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30,800</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42,016</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obligations and current obligations under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Capital lease obligations and long-term debt, less current portion</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7"/>
        </w:trPr>
        <w:tc>
          <w:tcPr>
            <w:tcW w:w="9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3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35,549</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52,658</w:t>
            </w:r>
          </w:p>
        </w:tc>
        <w:tc>
          <w:tcPr>
            <w:tcW w:w="0" w:type="dxa"/>
            <w:vAlign w:val="bottom"/>
          </w:tcPr>
          <w:p>
            <w:pPr>
              <w:spacing w:after="0"/>
              <w:rPr>
                <w:sz w:val="1"/>
                <w:szCs w:val="1"/>
                <w:color w:val="auto"/>
              </w:rPr>
            </w:pPr>
          </w:p>
        </w:tc>
      </w:tr>
      <w:tr>
        <w:trPr>
          <w:trHeight w:val="257"/>
        </w:trPr>
        <w:tc>
          <w:tcPr>
            <w:tcW w:w="9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fair value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88,207</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Amounts allocated to intangible assets included $18.9 million related to customer relationships, $10.3 million related to developed technology, and $1.6 million related to trade names. The fair value of the acquired customer relationships was determined using the excess earnings method. The fair value of both the acquired developed technology and the acquired trade names was determined using the relief from royalty method. The estimated useful life of the acquired intangible assets ranged from 6 to 18 years, with a weighted average estimated useful life of 13 years. The related amortization will be recorded on a straight-line basis.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of $52.7 million arising from the acquisition includes the expected synergies between Cantaloupe and the Company, the value of the employee workforce, and intangible assets that do not qualify for separate recognition at the time of acquisition. The goodwill, which is not deductible for income tax purposes, was assigned to the Company’s only reporting unit.</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Cantaloupe revenue included in the Company’s Condensed Consolidated Statements of Operations for the three and nine months ended March 31, 2018 is $7.3 million and $12.0 million, respectively. The amount of Cantaloupe (loss) earnings included in the Company’s Condensed Consolidated Statements of Operations for the three and nine months ended March 31, 2018 is $(0.5) million and $1.0 million, respectively.</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disclosure of pro forma information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supplemental unaudited pro forma information presents the combined results of USAT and Cantaloupe as if the acquisition of Cantaloupe occurred on July 1, 2016. This supplemental pro forma information has been prepared for comparative purposes and does not purport to be indicative of what would have occurred had the acquisition been made on July 1, 2016, nor are they indicative of any future results.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 forma results include adjustments for the preliminary purchase accounting impact of the Cantaloupe acquisition (including, but not limited to, amortization associated with the acquired intangible assets, and the interest expense and amortization of deferred financing fees associated with the Term Loan and Revolving Credit Facility that were used to finance a portion of the purchase price, along with the related tax impacts) and the alignment of accounting policies. Other material non-recurring adjustments are reflected in the pro forma and described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0"/>
        </w:trPr>
        <w:tc>
          <w:tcPr>
            <w:tcW w:w="7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4"/>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49"/>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98,451</w:t>
            </w:r>
          </w:p>
        </w:tc>
      </w:tr>
      <w:tr>
        <w:trPr>
          <w:trHeight w:val="243"/>
        </w:trPr>
        <w:tc>
          <w:tcPr>
            <w:tcW w:w="8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attributable to USAT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USAT common shares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w:t>
            </w:r>
          </w:p>
        </w:tc>
      </w:tr>
      <w:tr>
        <w:trPr>
          <w:trHeight w:val="243"/>
        </w:trPr>
        <w:tc>
          <w:tcPr>
            <w:tcW w:w="8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per share:</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8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91"/>
        </w:trPr>
        <w:tc>
          <w:tcPr>
            <w:tcW w:w="80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37"/>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304"/>
        </w:trPr>
        <w:tc>
          <w:tcPr>
            <w:tcW w:w="80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53,637,085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53,601,684</w:t>
            </w:r>
          </w:p>
        </w:tc>
      </w:tr>
      <w:tr>
        <w:trPr>
          <w:trHeight w:val="251"/>
        </w:trPr>
        <w:tc>
          <w:tcPr>
            <w:tcW w:w="8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53,637,085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53,601,684</w:t>
            </w:r>
          </w:p>
        </w:tc>
      </w:tr>
      <w:tr>
        <w:trPr>
          <w:trHeight w:val="20"/>
        </w:trPr>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supplemental unaudited pro forma earnings for the three and nine months ended March 31, 2018 were adjusted to exclude $1.7 million and $5.8 million of integration and acquisition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ASC 606, Revenue from Contracts with Customers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applying the new revenue guidance, the Company evaluated its population of open contracts with customers on July 1, 2018. The effect of adoption of this new guidance on the Condensed Consolidated Balance Sheet as of July 1, 2018 was to increase prepaid expenses and other current assets, other assets, and deferred revenue, with an offsetting decrease in the opening accumulated deficit, as follows: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July 1, 2018</w:t>
            </w:r>
          </w:p>
        </w:tc>
      </w:tr>
      <w:tr>
        <w:trPr>
          <w:trHeight w:val="250"/>
        </w:trPr>
        <w:tc>
          <w:tcPr>
            <w:tcW w:w="4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Pr>
          <w:p>
            <w:pPr>
              <w:spacing w:after="0"/>
              <w:rPr>
                <w:sz w:val="21"/>
                <w:szCs w:val="21"/>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60" w:type="dxa"/>
            <w:vAlign w:val="bottom"/>
          </w:tcPr>
          <w:p>
            <w:pPr>
              <w:spacing w:after="0"/>
              <w:rPr>
                <w:sz w:val="21"/>
                <w:szCs w:val="21"/>
                <w:color w:val="auto"/>
              </w:rPr>
            </w:pPr>
          </w:p>
        </w:tc>
        <w:tc>
          <w:tcPr>
            <w:tcW w:w="12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Revised</w:t>
            </w:r>
          </w:p>
        </w:tc>
      </w:tr>
      <w:tr>
        <w:trPr>
          <w:trHeight w:val="120"/>
        </w:trPr>
        <w:tc>
          <w:tcPr>
            <w:tcW w:w="43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1,180</w:t>
            </w:r>
          </w:p>
        </w:tc>
      </w:tr>
      <w:tr>
        <w:trPr>
          <w:trHeight w:val="27"/>
        </w:trPr>
        <w:tc>
          <w:tcPr>
            <w:tcW w:w="43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1,974</w:t>
            </w:r>
          </w:p>
        </w:tc>
      </w:tr>
      <w:tr>
        <w:trPr>
          <w:trHeight w:val="243"/>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1,638</w:t>
            </w:r>
          </w:p>
        </w:tc>
      </w:tr>
      <w:tr>
        <w:trPr>
          <w:trHeight w:val="243"/>
        </w:trPr>
        <w:tc>
          <w:tcPr>
            <w:tcW w:w="4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(232,372)</w:t>
            </w:r>
          </w:p>
        </w:tc>
      </w:tr>
      <w:tr>
        <w:trPr>
          <w:trHeight w:val="459"/>
        </w:trPr>
        <w:tc>
          <w:tcPr>
            <w:tcW w:w="4380" w:type="dxa"/>
            <w:vAlign w:val="bottom"/>
          </w:tcPr>
          <w:p>
            <w:pPr>
              <w:spacing w:after="0"/>
              <w:rPr>
                <w:sz w:val="24"/>
                <w:szCs w:val="24"/>
                <w:color w:val="auto"/>
              </w:rPr>
            </w:pPr>
          </w:p>
        </w:tc>
        <w:tc>
          <w:tcPr>
            <w:tcW w:w="23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the adoption of ASC 606 by financial statement line item within the Condensed Consolidated Balance Sheet as of March 31,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 of Operations for the nine months ended March 31, 2019 is as follows:</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149"/>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2"/>
                <w:szCs w:val="12"/>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0" w:type="dxa"/>
            <w:vAlign w:val="bottom"/>
          </w:tcPr>
          <w:p>
            <w:pPr>
              <w:spacing w:after="0"/>
              <w:rPr>
                <w:sz w:val="12"/>
                <w:szCs w:val="1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2"/>
                <w:szCs w:val="12"/>
                <w:color w:val="auto"/>
              </w:rPr>
            </w:pPr>
          </w:p>
        </w:tc>
        <w:tc>
          <w:tcPr>
            <w:tcW w:w="13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Under Legacy</w:t>
            </w:r>
          </w:p>
        </w:tc>
        <w:tc>
          <w:tcPr>
            <w:tcW w:w="0" w:type="dxa"/>
            <w:vAlign w:val="bottom"/>
          </w:tcPr>
          <w:p>
            <w:pPr>
              <w:spacing w:after="0"/>
              <w:rPr>
                <w:sz w:val="1"/>
                <w:szCs w:val="1"/>
                <w:color w:val="auto"/>
              </w:rPr>
            </w:pPr>
          </w:p>
        </w:tc>
      </w:tr>
      <w:tr>
        <w:trPr>
          <w:trHeight w:val="195"/>
        </w:trPr>
        <w:tc>
          <w:tcPr>
            <w:tcW w:w="6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0" w:type="dxa"/>
            <w:vAlign w:val="bottom"/>
          </w:tcPr>
          <w:p>
            <w:pPr>
              <w:spacing w:after="0"/>
              <w:rPr>
                <w:sz w:val="1"/>
                <w:szCs w:val="1"/>
                <w:color w:val="auto"/>
              </w:rPr>
            </w:pPr>
          </w:p>
        </w:tc>
      </w:tr>
      <w:tr>
        <w:trPr>
          <w:trHeight w:val="120"/>
        </w:trPr>
        <w:tc>
          <w:tcPr>
            <w:tcW w:w="67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(254,427)</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90,320</w:t>
            </w: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31,537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31,609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(21,677)</w:t>
            </w:r>
          </w:p>
        </w:tc>
        <w:tc>
          <w:tcPr>
            <w:tcW w:w="0" w:type="dxa"/>
            <w:vAlign w:val="bottom"/>
          </w:tcPr>
          <w:p>
            <w:pPr>
              <w:spacing w:after="0"/>
              <w:rPr>
                <w:sz w:val="1"/>
                <w:szCs w:val="1"/>
                <w:color w:val="auto"/>
              </w:rPr>
            </w:pPr>
          </w:p>
        </w:tc>
      </w:tr>
      <w:tr>
        <w:trPr>
          <w:trHeight w:val="27"/>
        </w:trPr>
        <w:tc>
          <w:tcPr>
            <w:tcW w:w="6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impact of the adoption of ASC 606 by financial statement line item within the Condensed Consolidated Statement of Operations for the three months ended March 31, 2019 is as follows:</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149"/>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2"/>
                <w:szCs w:val="12"/>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0" w:type="dxa"/>
            <w:vAlign w:val="bottom"/>
          </w:tcPr>
          <w:p>
            <w:pPr>
              <w:spacing w:after="0"/>
              <w:rPr>
                <w:sz w:val="12"/>
                <w:szCs w:val="1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2"/>
                <w:szCs w:val="12"/>
                <w:color w:val="auto"/>
              </w:rPr>
            </w:pPr>
          </w:p>
        </w:tc>
        <w:tc>
          <w:tcPr>
            <w:tcW w:w="130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Under Legacy</w:t>
            </w:r>
          </w:p>
        </w:tc>
        <w:tc>
          <w:tcPr>
            <w:tcW w:w="0" w:type="dxa"/>
            <w:vAlign w:val="bottom"/>
          </w:tcPr>
          <w:p>
            <w:pPr>
              <w:spacing w:after="0"/>
              <w:rPr>
                <w:sz w:val="1"/>
                <w:szCs w:val="1"/>
                <w:color w:val="auto"/>
              </w:rPr>
            </w:pPr>
          </w:p>
        </w:tc>
      </w:tr>
      <w:tr>
        <w:trPr>
          <w:trHeight w:val="195"/>
        </w:trPr>
        <w:tc>
          <w:tcPr>
            <w:tcW w:w="6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0" w:type="dxa"/>
            <w:vAlign w:val="bottom"/>
          </w:tcPr>
          <w:p>
            <w:pPr>
              <w:spacing w:after="0"/>
              <w:rPr>
                <w:sz w:val="1"/>
                <w:szCs w:val="1"/>
                <w:color w:val="auto"/>
              </w:rPr>
            </w:pPr>
          </w:p>
        </w:tc>
      </w:tr>
      <w:tr>
        <w:trPr>
          <w:trHeight w:val="120"/>
        </w:trPr>
        <w:tc>
          <w:tcPr>
            <w:tcW w:w="67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31,630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31,559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11,156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11,214</w:t>
            </w: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adoption of ASC 606 had no effect on the cash flows from operating activities, investing activities or financing activities included in the Condensed Consolidated Statement of Cash Flows for the nine months ended March 31,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Under ASC 606 (Periods commencing after July 1, 2018)</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an end-to-end payment solution which integrates hardware, software, and payment processing in the self-service retail market. The Company has contractual agreements with customers that set forth the general terms and conditions of the relationship, including pricing of goods and services, payment terms and contract duration. Revenue is recognized when the obligation under the terms of the Company’s contract with its customer is satisfied and is measured as the amount of consideration the Company expects to receive in exchange for transferring goods or providing services.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foundation of the Company’s business model is to act as the Merchant of Record for its sellers. We provide cashless vending payment services in exchange for monthly service fees, in addition to collecting usage-based consideration for completed transactions. The contracts we enter into with third-party suppliers provide us with the right to access and direct their services when processing a transaction. The Company combines the services provided by third-party suppliers to enable customers to accept cashless payment transactions, indicating that it controls all inputs in directing their use to create the combined service. Additionally, we sell cashless payment devices (e.g., e-Ports, Seed), which are either directly sold or leased through the Company’s QuickStart or JumpStart programs.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Cashless vending services represent a single performance obligation as the combination of the services provided gives the customer the ability to accept cashless payments. Certain services are distinct, but are not accounted for separately as the rights are conterminous, they are transferred concurrently and the outcome is the same as accounting for the services as individual performance obligations. The single performance obligation is determined to be a stand-ready obligation to process payments whenever a consumer intends to make a purchase at a point-of-sale device. As the Company is unable to predict the timing and quantity of transactions to be processed, the assessment of the nature of the performance obligation is focused on each time increment rather than the underlying activity. Therefore, cashless vending services are viewed to comprise a series of distinct days of service that are substantially the same and have the same pattern of transfer to the customer. As a result, the promise to stand ready is accounted for as a single performance obligation.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related to cashless vending services is recognized over the period in which services are provided, with usage-based revenue recognized as transactions occur. Consideration for this service includes fixed fees for standing ready to process transactions, and generally also includes usage-based fees, priced as a percentage of transaction value and/or a specified fee per transaction processed. The total transaction price of usage-based services is determined to be variable consideration as it is based on unknown quantities of services to be performed over the contract term. The underlying variability is satisfied each day the service is performed and provided to the customer. Clients are billed for cashless vending services on a monthly basis and for transaction processing as transactions occur.</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Equipment sales represent a separate performance obligation, the majority of which is satisfied at a point in time through outright sales or sales-type leases (ASC 840) when the equipment is delivered to the customer. Revenues related to JumpStart equipment are recognized over time as the customer obtains the right to use the equipment through an operating leases, however these are not significant to the Company’s total revenue.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USAT will occasionally offer volume discounts, rebates or credits on certain contracts, which is considered variable consideration. USAT uses either the most-likely or estimated value method to estimate the amount of the consideration, based on what the Company expects to better predict the amount of consideration to which it will be entitled to on a contract-by-contract basis. The Company will qualitatively assess if the variable consideration should be constrained to prevent possible significant reversal of revenue, as applicable.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goods and/or services promised in each customer the contract and separately identifies a performance obligation for each promise to transfer to the customer a distinct good or service. The Company then allocates the transaction price to each performance obligation in the contract using relative standalone selling prices.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fees charged to our customers primarily on a gross basis as transaction revenue when we are the principal in respect of completing a payment transaction. As a principal to the transaction, we control the service of completing payments for our customers through the payment ecosystem. The fees paid to payment processors and other financial institutions are recognized as transaction expense. For certain transactions in which we act in the capacity as an agent, those transactions are recorded on a net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similar operational and economic characteristics, the Company’s revenue from contracts with customers is disaggregated by License and Transaction Fees and Equipment Sales, as reported in the Company’s Condensed Consolidated Statements of Operations. The Company believes these revenue categories depict how the nature, amount, timing, and uncertainty of its revenue and cash flows are influenced by economic factors, and also represents the level at which management makes operating decisions and assesses financial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transaction price allocated to unsatisfied performance obligations, we did not include non-recurring charges. Further, we applied the practical expedient to not consider arrangements with an original expected duration of one year or less, which are primarily month to month rental agreements. The majority of contracts are considered to have a contractual term of between 36 and 60 months based on implied and explicit termination penalties. These amounts will be converted into revenue in future periods as work is performed, primarily based on the services provided or at delivery and acceptance of products, depending on the applicable accounting method.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estimated fees to be recognized in the future related to performance obligations that are unsatisfied at the end of the period: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As of March 31, 2019</w:t>
            </w:r>
          </w:p>
        </w:tc>
      </w:tr>
      <w:tr>
        <w:trPr>
          <w:trHeight w:val="120"/>
        </w:trPr>
        <w:tc>
          <w:tcPr>
            <w:tcW w:w="9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2,865</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10,853</w:t>
            </w: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9,032</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7,413</w:t>
            </w: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 and 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5,799</w:t>
            </w:r>
          </w:p>
        </w:tc>
      </w:tr>
      <w:tr>
        <w:trPr>
          <w:trHeight w:val="257"/>
        </w:trPr>
        <w:tc>
          <w:tcPr>
            <w:tcW w:w="9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35,962</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 and Returns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offers standard warranties that provide the customer with assurance that its equipment will function in accordance with contract specifications. The Company’s standard warranties are not sold separately, but are included with each customer purchase. Warranties are not considered separate performance obligations, and therefore, are estimated and recorded at the time of sale. The Company estimates an allowance for equipment returns at the date of sale on a monthly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Contract Assets and Contract Liabilitie</w:t>
      </w:r>
      <w:r>
        <w:rPr>
          <w:rFonts w:ascii="Times New Roman" w:cs="Times New Roman" w:eastAsia="Times New Roman" w:hAnsi="Times New Roman"/>
          <w:sz w:val="18"/>
          <w:szCs w:val="18"/>
          <w:color w:val="auto"/>
        </w:rPr>
        <w: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contract with a customer creates legal rights and obligations. As the Company performs performance obligations under customer contracts, a right to unconditional consideration is recorded as an account receivable.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represent consideration received from customers in excess of revenues recognized (i.e., deferred revenue). Contract liabilities are classified as current or noncurrent based on the nature of the underlying contractual rights and obligations. The Company’s contract liability (i.e., deferred revenue) balances are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March</w:t>
            </w:r>
          </w:p>
        </w:tc>
      </w:tr>
      <w:tr>
        <w:trPr>
          <w:trHeight w:val="195"/>
        </w:trPr>
        <w:tc>
          <w:tcPr>
            <w:tcW w:w="7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31,</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31,</w:t>
            </w:r>
          </w:p>
        </w:tc>
        <w:tc>
          <w:tcPr>
            <w:tcW w:w="360" w:type="dxa"/>
            <w:vAlign w:val="bottom"/>
            <w:tcBorders>
              <w:bottom w:val="single" w:sz="8" w:color="auto"/>
            </w:tcBorders>
          </w:tcPr>
          <w:p>
            <w:pPr>
              <w:spacing w:after="0"/>
              <w:rPr>
                <w:sz w:val="16"/>
                <w:szCs w:val="16"/>
                <w:color w:val="auto"/>
              </w:rPr>
            </w:pPr>
          </w:p>
        </w:tc>
      </w:tr>
      <w:tr>
        <w:trPr>
          <w:trHeight w:val="250"/>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21"/>
                <w:szCs w:val="21"/>
                <w:color w:val="auto"/>
              </w:rPr>
            </w:pPr>
          </w:p>
        </w:tc>
      </w:tr>
      <w:tr>
        <w:trPr>
          <w:trHeight w:val="120"/>
        </w:trPr>
        <w:tc>
          <w:tcPr>
            <w:tcW w:w="7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beginning of the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shd w:val="clear" w:color="auto" w:fill="CCEEFF"/>
              </w:rPr>
              <w:t>1,437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shd w:val="clear" w:color="auto" w:fill="CCEEFF"/>
              </w:rPr>
              <w:t>511</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Plus: adjustment for adoption of ASC 606</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1,127</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beginning of the period, as adjusted</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1,638</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 end of the period</w:t>
            </w:r>
          </w:p>
        </w:tc>
        <w:tc>
          <w:tcPr>
            <w:tcW w:w="120" w:type="dxa"/>
            <w:vAlign w:val="bottom"/>
          </w:tcPr>
          <w:p>
            <w:pPr>
              <w:spacing w:after="0"/>
              <w:rPr>
                <w:sz w:val="21"/>
                <w:szCs w:val="21"/>
                <w:color w:val="auto"/>
              </w:rPr>
            </w:pP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1,322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1,322</w:t>
            </w: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25"/>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 beginning of the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4"/>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r>
      <w:tr>
        <w:trPr>
          <w:trHeight w:val="27"/>
        </w:trPr>
        <w:tc>
          <w:tcPr>
            <w:tcW w:w="7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the contract liabilities period-over-period is primarily the result of timing difference between the Company’s satisfaction of a performance obligation and payment from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incurs costs to obtain contracts with customers, primarily in the form of commissions to sales employees. The Company recognizes as an asset the incremental costs of obtaining a contract with a customer if it expects to recover these costs. The Company currently does not incur material costs to fulfill its obligations under a contract once it is obtained but before transferring goods or services to the customer. At March 31, 2019, the Company had net capitalized costs to obtain contracts of $0.3 million and $1.3 million included in prepaid expenses and other current assets and other noncurrent assets on the condensed consolidated balance sheet, respectively.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costs are amortized on a systematic basis consistent with the transfer to the customer of the goods or services to which the asset relates. A straight-line or proportional amortization method is used depending upon which method best depicts the pattern of transfer of the goods or services to the customer. In addition, these contract costs are evaluated for impairment by comparing, on a pooled basis, the expected future net cash flows from underlying customer relationships to the carrying amount of the capitalized contract costs.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order to determine the appropriate amortization period for contract costs, the Company considers a number of factors, including expected early terminations, estimated terms of customer relationships, the useful lives of technology USAT uses to provide goods and services to its customers, whether future contract renewals are expected and if there is any incremental commission to be paid on a contract renewal. The Company amortizes these assets over the expected period of benefit. Costs to obtain a contract with an expected period of benefit of one year or less are expensed when incurred. During the three and nine months ended March 31, 2019, amortization of capitalized contract costs was $0.1 million and $0.2 million,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RESTRUCTURING/INTEGRATION COSTS</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Subsequent to the Cantaloupe acquisition, the Company initiated workforce reductions to integrate the Cantaloupe business for which costs totaled $2.1 million for the year ended June 30, 2018. The Company included these severance charges under “Integration and acquisition costs” within the Condensed Consolidated Statements of Operations, with the remaining outstanding balance included within “Accrued expenses” on the Condensed Consolidated Balance Sheet. Liabilities for severance will generally be paid during the next twelve months.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severance activity for the three and nine months ended March 31,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0" w:type="dxa"/>
            <w:vAlign w:val="bottom"/>
          </w:tcPr>
          <w:p>
            <w:pPr>
              <w:spacing w:after="0"/>
              <w:rPr>
                <w:sz w:val="1"/>
                <w:szCs w:val="1"/>
                <w:color w:val="auto"/>
              </w:rPr>
            </w:pPr>
          </w:p>
        </w:tc>
      </w:tr>
      <w:tr>
        <w:trPr>
          <w:trHeight w:val="195"/>
        </w:trPr>
        <w:tc>
          <w:tcPr>
            <w:tcW w:w="85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July 1, 2018</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right w:val="single" w:sz="8" w:color="D9D9D9"/>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37"/>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Plus: additions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D9D9D9"/>
            </w:tcBorders>
          </w:tcPr>
          <w:p>
            <w:pPr>
              <w:spacing w:after="0"/>
              <w:rPr>
                <w:sz w:val="20"/>
                <w:szCs w:val="20"/>
                <w:color w:val="auto"/>
              </w:rPr>
            </w:pPr>
          </w:p>
        </w:tc>
        <w:tc>
          <w:tcPr>
            <w:tcW w:w="1140" w:type="dxa"/>
            <w:vAlign w:val="bottom"/>
            <w:tcBorders>
              <w:top w:val="single" w:sz="8" w:color="D9D9D9"/>
              <w:right w:val="single" w:sz="8" w:color="D9D9D9"/>
            </w:tcBorders>
          </w:tcPr>
          <w:p>
            <w:pPr>
              <w:jc w:val="right"/>
              <w:ind w:right="34"/>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D9D9D9"/>
            </w:tcBorders>
          </w:tcPr>
          <w:p>
            <w:pPr>
              <w:spacing w:after="0"/>
              <w:rPr>
                <w:sz w:val="2"/>
                <w:szCs w:val="2"/>
                <w:color w:val="auto"/>
              </w:rPr>
            </w:pPr>
          </w:p>
        </w:tc>
        <w:tc>
          <w:tcPr>
            <w:tcW w:w="1140" w:type="dxa"/>
            <w:vAlign w:val="bottom"/>
            <w:tcBorders>
              <w:bottom w:val="single" w:sz="8" w:color="D9D9D9"/>
              <w:right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cash payments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D9D9D9"/>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40" w:type="dxa"/>
            <w:vAlign w:val="bottom"/>
            <w:tcBorders>
              <w:top w:val="single" w:sz="8" w:color="auto"/>
              <w:right w:val="single" w:sz="8" w:color="D9D9D9"/>
            </w:tcBorders>
          </w:tcPr>
          <w:p>
            <w:pPr>
              <w:jc w:val="right"/>
              <w:ind w:right="34"/>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additions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cash payments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Borders>
              <w:right w:val="single" w:sz="8" w:color="D9D9D9"/>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D9D9D9"/>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37"/>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Plus: additions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D9D9D9"/>
            </w:tcBorders>
          </w:tcPr>
          <w:p>
            <w:pPr>
              <w:spacing w:after="0"/>
              <w:rPr>
                <w:sz w:val="20"/>
                <w:szCs w:val="20"/>
                <w:color w:val="auto"/>
              </w:rPr>
            </w:pPr>
          </w:p>
        </w:tc>
        <w:tc>
          <w:tcPr>
            <w:tcW w:w="1140" w:type="dxa"/>
            <w:vAlign w:val="bottom"/>
            <w:tcBorders>
              <w:top w:val="single" w:sz="8" w:color="D9D9D9"/>
              <w:right w:val="single" w:sz="8" w:color="D9D9D9"/>
            </w:tcBorders>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D9D9D9"/>
            </w:tcBorders>
          </w:tcPr>
          <w:p>
            <w:pPr>
              <w:spacing w:after="0"/>
              <w:rPr>
                <w:sz w:val="2"/>
                <w:szCs w:val="2"/>
                <w:color w:val="auto"/>
              </w:rPr>
            </w:pPr>
          </w:p>
        </w:tc>
        <w:tc>
          <w:tcPr>
            <w:tcW w:w="1140" w:type="dxa"/>
            <w:vAlign w:val="bottom"/>
            <w:tcBorders>
              <w:bottom w:val="single" w:sz="8" w:color="D9D9D9"/>
              <w:right w:val="single" w:sz="8" w:color="D9D9D9"/>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cash payments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right w:val="single" w:sz="8" w:color="D9D9D9"/>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5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right w:val="single" w:sz="8" w:color="D9D9D9"/>
            </w:tcBorders>
          </w:tcPr>
          <w:p>
            <w:pPr>
              <w:jc w:val="right"/>
              <w:ind w:right="34"/>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FINANCE RECEIVABLES</w:t>
            </w: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5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receivables consist of the following:</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24"/>
                <w:szCs w:val="24"/>
                <w:color w:val="auto"/>
              </w:rPr>
            </w:pPr>
          </w:p>
        </w:tc>
        <w:tc>
          <w:tcPr>
            <w:tcW w:w="114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receivables,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6,119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right w:val="single" w:sz="8" w:color="D9D9D9"/>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4,603</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24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11,362</w:t>
            </w:r>
          </w:p>
        </w:tc>
        <w:tc>
          <w:tcPr>
            <w:tcW w:w="120" w:type="dxa"/>
            <w:vAlign w:val="bottom"/>
          </w:tcPr>
          <w:p>
            <w:pPr>
              <w:spacing w:after="0"/>
              <w:rPr>
                <w:sz w:val="20"/>
                <w:szCs w:val="20"/>
                <w:color w:val="auto"/>
              </w:rPr>
            </w:pPr>
          </w:p>
        </w:tc>
        <w:tc>
          <w:tcPr>
            <w:tcW w:w="240" w:type="dxa"/>
            <w:vAlign w:val="bottom"/>
            <w:tcBorders>
              <w:top w:val="single" w:sz="8" w:color="D9D9D9"/>
            </w:tcBorders>
          </w:tcPr>
          <w:p>
            <w:pPr>
              <w:spacing w:after="0"/>
              <w:rPr>
                <w:sz w:val="20"/>
                <w:szCs w:val="20"/>
                <w:color w:val="auto"/>
              </w:rPr>
            </w:pPr>
          </w:p>
        </w:tc>
        <w:tc>
          <w:tcPr>
            <w:tcW w:w="1140" w:type="dxa"/>
            <w:vAlign w:val="bottom"/>
            <w:tcBorders>
              <w:top w:val="single" w:sz="8" w:color="D9D9D9"/>
            </w:tcBorders>
          </w:tcPr>
          <w:p>
            <w:pPr>
              <w:jc w:val="right"/>
              <w:ind w:right="34"/>
              <w:spacing w:after="0"/>
              <w:rPr>
                <w:sz w:val="20"/>
                <w:szCs w:val="20"/>
                <w:color w:val="auto"/>
              </w:rPr>
            </w:pPr>
            <w:r>
              <w:rPr>
                <w:rFonts w:ascii="Times New Roman" w:cs="Times New Roman" w:eastAsia="Times New Roman" w:hAnsi="Times New Roman"/>
                <w:sz w:val="18"/>
                <w:szCs w:val="18"/>
                <w:color w:val="auto"/>
              </w:rPr>
              <w:t>13,246</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finance receivables, net of allowance of $601 and $12, respectively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17,481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17,849</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routinely evaluates outstanding finance receivables for impairment based on past due balances or accounts otherwise determined to be at a higher risk of loss. A finance receivable is classified as nonperforming if it is considered probable the Company will be unable to collect all contractual interest and principal payments as scheduled.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2019 and June 30, 2018, credit quality indicators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1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3380" w:type="dxa"/>
            <w:vAlign w:val="bottom"/>
            <w:tcBorders>
              <w:bottom w:val="single" w:sz="8" w:color="auto"/>
            </w:tcBorders>
            <w:vMerge w:val="continue"/>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Performing</w:t>
            </w:r>
          </w:p>
        </w:tc>
        <w:tc>
          <w:tcPr>
            <w:tcW w:w="5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17,481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17,849</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Nonperforming</w:t>
            </w:r>
          </w:p>
        </w:tc>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18,082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17,861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bottom w:val="single" w:sz="8" w:color="CCEEFF"/>
            </w:tcBorders>
            <w:vMerge w:val="restart"/>
          </w:tcPr>
          <w:p>
            <w:pPr>
              <w:jc w:val="right"/>
              <w:ind w:right="257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8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1" w:right="2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Age Analysis of Past Due Finance Receivables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March 31, 2019</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30 and Under</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31 – 60</w:t>
            </w:r>
          </w:p>
        </w:tc>
        <w:tc>
          <w:tcPr>
            <w:tcW w:w="340" w:type="dxa"/>
            <w:vAlign w:val="bottom"/>
          </w:tcPr>
          <w:p>
            <w:pPr>
              <w:spacing w:after="0"/>
              <w:rPr>
                <w:sz w:val="13"/>
                <w:szCs w:val="13"/>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61 – 90</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220" w:type="dxa"/>
            <w:vAlign w:val="bottom"/>
          </w:tcPr>
          <w:p>
            <w:pPr>
              <w:spacing w:after="0"/>
              <w:rPr>
                <w:sz w:val="13"/>
                <w:szCs w:val="13"/>
                <w:color w:val="auto"/>
              </w:rPr>
            </w:pPr>
          </w:p>
        </w:tc>
        <w:tc>
          <w:tcPr>
            <w:tcW w:w="11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34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90 Days Past</w:t>
            </w:r>
          </w:p>
        </w:tc>
        <w:tc>
          <w:tcPr>
            <w:tcW w:w="220" w:type="dxa"/>
            <w:vAlign w:val="bottom"/>
          </w:tcPr>
          <w:p>
            <w:pPr>
              <w:spacing w:after="0"/>
              <w:rPr>
                <w:sz w:val="12"/>
                <w:szCs w:val="12"/>
                <w:color w:val="auto"/>
              </w:rPr>
            </w:pPr>
          </w:p>
        </w:tc>
        <w:tc>
          <w:tcPr>
            <w:tcW w:w="114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95"/>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Due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0" w:type="dxa"/>
            <w:vAlign w:val="bottom"/>
          </w:tcPr>
          <w:p>
            <w:pPr>
              <w:spacing w:after="0"/>
              <w:rPr>
                <w:sz w:val="1"/>
                <w:szCs w:val="1"/>
                <w:color w:val="auto"/>
              </w:rPr>
            </w:pPr>
          </w:p>
        </w:tc>
      </w:tr>
      <w:tr>
        <w:trPr>
          <w:trHeight w:val="262"/>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QuickStart Leases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17,423</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18,082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8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w w:val="99"/>
              </w:rPr>
              <w:t>Age Analysis of Past Due Finance Receivables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6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color w:val="auto"/>
                <w:w w:val="99"/>
              </w:rPr>
              <w:t>As of June 30, 2018</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30 and Under</w:t>
            </w:r>
          </w:p>
        </w:tc>
        <w:tc>
          <w:tcPr>
            <w:tcW w:w="2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31 – 60</w:t>
            </w:r>
          </w:p>
        </w:tc>
        <w:tc>
          <w:tcPr>
            <w:tcW w:w="340" w:type="dxa"/>
            <w:vAlign w:val="bottom"/>
          </w:tcPr>
          <w:p>
            <w:pPr>
              <w:spacing w:after="0"/>
              <w:rPr>
                <w:sz w:val="15"/>
                <w:szCs w:val="15"/>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61 – 90</w:t>
            </w:r>
          </w:p>
        </w:tc>
        <w:tc>
          <w:tcPr>
            <w:tcW w:w="2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220" w:type="dxa"/>
            <w:vAlign w:val="bottom"/>
          </w:tcPr>
          <w:p>
            <w:pPr>
              <w:spacing w:after="0"/>
              <w:rPr>
                <w:sz w:val="15"/>
                <w:szCs w:val="15"/>
                <w:color w:val="auto"/>
              </w:rPr>
            </w:pPr>
          </w:p>
        </w:tc>
        <w:tc>
          <w:tcPr>
            <w:tcW w:w="11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34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90 Days Past</w:t>
            </w:r>
          </w:p>
        </w:tc>
        <w:tc>
          <w:tcPr>
            <w:tcW w:w="220" w:type="dxa"/>
            <w:vAlign w:val="bottom"/>
          </w:tcPr>
          <w:p>
            <w:pPr>
              <w:spacing w:after="0"/>
              <w:rPr>
                <w:sz w:val="12"/>
                <w:szCs w:val="12"/>
                <w:color w:val="auto"/>
              </w:rPr>
            </w:pPr>
          </w:p>
        </w:tc>
        <w:tc>
          <w:tcPr>
            <w:tcW w:w="114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95"/>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Due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64"/>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0" w:type="dxa"/>
            <w:vAlign w:val="bottom"/>
          </w:tcPr>
          <w:p>
            <w:pPr>
              <w:spacing w:after="0"/>
              <w:rPr>
                <w:sz w:val="1"/>
                <w:szCs w:val="1"/>
                <w:color w:val="auto"/>
              </w:rPr>
            </w:pPr>
          </w:p>
        </w:tc>
      </w:tr>
      <w:tr>
        <w:trPr>
          <w:trHeight w:val="262"/>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QuickStart Leases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17,609</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17,861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Finance Receivables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transfers of finance receivables as sales when it has surrendered control over the related assets. Whether control has been relinquished requires, among other things, an evaluation of relevant legal considerations and an assessment of the nature and extent of the Company’s continuing involvement with the assets transferred. During the three months ended March 31, 2018, the Company transferred certain groups of finance receivables with no recourse to third-party financing entities for approximately $2.1 million. The transfers were accounted for as sales with derecognition of the associated finance receivables. Gains and losses stemming from such transfers are immaterial.</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Transfers of finance receivables that do not qualify for sale accounting are reported as collateralized borrowings. Accordingly, the related assets remain on the Company’s balance sheet and continue to be reported and accounted for as if the transfer had not occurred. Cash proceeds from these transfers are reported as financing obligations (debt), with attributable interest expense recognized over the life of the related transactions. During December 2017, the Company transferred certain groups of finance receivables to third-party financing entities for approximately $1.1 million. Such transfers are subject to recourse provisions for the first 3 months after the date of transfer, after which the recourse provisions expire. Accordingly, the related finance receivables remained on the balance sheet at December 31, 2017 and the cash proceeds of approximately $1.1 million were reported as financing obligations at December 31, 2017. During March 2018, the recourse provisions expired resulting in the finance receivables and financing obligations being derecognized.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(LOSS)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earnings (loss) per share (“EPS”) and diluted EPS are presented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20"/>
        </w:trPr>
        <w:tc>
          <w:tcPr>
            <w:tcW w:w="8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 for basic and diluted loss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dividends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available to common shareholders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0" w:type="dxa"/>
            <w:vAlign w:val="bottom"/>
          </w:tcPr>
          <w:p>
            <w:pPr>
              <w:spacing w:after="0"/>
              <w:rPr>
                <w:sz w:val="1"/>
                <w:szCs w:val="1"/>
                <w:color w:val="auto"/>
              </w:rPr>
            </w:pPr>
          </w:p>
        </w:tc>
      </w:tr>
      <w:tr>
        <w:trPr>
          <w:trHeight w:val="311"/>
        </w:trPr>
        <w:tc>
          <w:tcPr>
            <w:tcW w:w="8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Denominator for basic loss per share </w:t>
            </w:r>
            <w:r>
              <w:rPr>
                <w:rFonts w:ascii="Times New Roman" w:cs="Times New Roman" w:eastAsia="Times New Roman" w:hAnsi="Times New Roman"/>
                <w:sz w:val="18"/>
                <w:szCs w:val="18"/>
                <w:color w:val="auto"/>
              </w:rPr>
              <w:t>- Weighted average shares outstanding</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60,065,053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53,637,085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Denominator for diluted loss per share </w:t>
            </w:r>
            <w:r>
              <w:rPr>
                <w:rFonts w:ascii="Times New Roman" w:cs="Times New Roman" w:eastAsia="Times New Roman" w:hAnsi="Times New Roman"/>
                <w:sz w:val="18"/>
                <w:szCs w:val="18"/>
                <w:color w:val="auto"/>
              </w:rPr>
              <w:t>- Adjusted weighted average shares outstanding</w:t>
            </w: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60,065,053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53,637,085</w:t>
            </w:r>
          </w:p>
        </w:tc>
        <w:tc>
          <w:tcPr>
            <w:tcW w:w="0" w:type="dxa"/>
            <w:vAlign w:val="bottom"/>
          </w:tcPr>
          <w:p>
            <w:pPr>
              <w:spacing w:after="0"/>
              <w:rPr>
                <w:sz w:val="1"/>
                <w:szCs w:val="1"/>
                <w:color w:val="auto"/>
              </w:rPr>
            </w:pPr>
          </w:p>
        </w:tc>
      </w:tr>
      <w:tr>
        <w:trPr>
          <w:trHeight w:val="311"/>
        </w:trPr>
        <w:tc>
          <w:tcPr>
            <w:tcW w:w="8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loss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264"/>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20"/>
        </w:trPr>
        <w:tc>
          <w:tcPr>
            <w:tcW w:w="8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 for basic and diluted loss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dividends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available to common shareholders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(10,256)</w:t>
            </w:r>
          </w:p>
        </w:tc>
      </w:tr>
      <w:tr>
        <w:trPr>
          <w:trHeight w:val="311"/>
        </w:trPr>
        <w:tc>
          <w:tcPr>
            <w:tcW w:w="8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Denominator for basic loss per share </w:t>
            </w:r>
            <w:r>
              <w:rPr>
                <w:rFonts w:ascii="Times New Roman" w:cs="Times New Roman" w:eastAsia="Times New Roman" w:hAnsi="Times New Roman"/>
                <w:sz w:val="18"/>
                <w:szCs w:val="18"/>
                <w:color w:val="auto"/>
              </w:rPr>
              <w:t>- Weighted average shares outstanding</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60,059,594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51,101,813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Denominator for diluted loss per share </w:t>
            </w:r>
            <w:r>
              <w:rPr>
                <w:rFonts w:ascii="Times New Roman" w:cs="Times New Roman" w:eastAsia="Times New Roman" w:hAnsi="Times New Roman"/>
                <w:sz w:val="18"/>
                <w:szCs w:val="18"/>
                <w:color w:val="auto"/>
              </w:rPr>
              <w:t>- Adjusted weighted average shares outstanding</w:t>
            </w: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60,059,594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51,101,813</w:t>
            </w:r>
          </w:p>
        </w:tc>
      </w:tr>
      <w:tr>
        <w:trPr>
          <w:trHeight w:val="311"/>
        </w:trPr>
        <w:tc>
          <w:tcPr>
            <w:tcW w:w="8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304"/>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loss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51"/>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Antidilutive shares excluded from the calculation of diluted loss per share were 1,240,302 and 1,240,302 for the three and nine months ended March 31, 2019 and 1,090,455 and 1,090,455 for the three and nine months ended March 31,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balances and goodwill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March 31, 2019</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3"/>
                <w:szCs w:val="13"/>
                <w:color w:val="auto"/>
              </w:rPr>
            </w:pPr>
          </w:p>
        </w:tc>
        <w:tc>
          <w:tcPr>
            <w:tcW w:w="148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Non-compete agreements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Brand and tradenames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1,282</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8,135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 years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17,539</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- 18 years</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31,685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26,956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64,149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64,149</w:t>
            </w:r>
          </w:p>
        </w:tc>
        <w:tc>
          <w:tcPr>
            <w:tcW w:w="10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intangible assets &amp; goodwill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95,834</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91,105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June 30, 2018</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3"/>
                <w:szCs w:val="13"/>
                <w:color w:val="auto"/>
              </w:rPr>
            </w:pPr>
          </w:p>
        </w:tc>
        <w:tc>
          <w:tcPr>
            <w:tcW w:w="148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Non-compete agreements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Brand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1,469</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9,518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 years</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18,338</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- 18 years</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31,685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29,325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64,149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64,149</w:t>
            </w:r>
          </w:p>
        </w:tc>
        <w:tc>
          <w:tcPr>
            <w:tcW w:w="10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gridSpan w:val="2"/>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intangible assets &amp; goodwill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95,834</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93,474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March 31, 2019 there was $0.8 million and $2.4 million in amortization expense related to intangible assets, respectively, as compared to the three and nine months ended March 31, 2018, for which there was $0.8 million and $1.3 million in amortization expense related to intangible assets, respectively.</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set forth in the Merger Agreement, the Company finalized a post-working capital adjustment of $0.3 million during the quarter ended March 31, 2018. Accordingly, this post-working capital adjustment is reflected within goodwill as of June 30, 2018.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 AND OTHER FINANCING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and other financing arrangements as of March 31, 2019 and June 30, 2018 consisted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275"/>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including capital lease obligations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debt and other financing arrangements, current</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and other financing arrangements, noncurrent</w:t>
            </w: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Details of interest expense presented on the Condensed Consolidated Statements of Operations are as follows:</w:t>
            </w: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040" w:type="dxa"/>
            <w:vAlign w:val="bottom"/>
            <w:gridSpan w:val="6"/>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Heritage Line of Credit</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9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9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2,518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Avidbank Line of Credit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15, 2016, the Company and Avidbank Corporate Finance, a division of Avidbank (“Avidbank”) entered into a Fifteenth Amendment (the “Amendment”) to the Loan and Security Agreement (as amended, the “Avidbank Loan Agreement”) previously entered into between them. The Avidbank Loan Agreement provided for a secured revolving line of credit facility (the “Avidbank Line of Credit”) of up to $7.0 million and a three-year term loan to the Company in the principal amount of $3.0 million (the “Avidbank Term Loan”). The Amendment increased the amount available under the Avidbank Line of Credit to $7.5 million less the amount then outstanding under the Avidbank Term Loan. The outstanding balance of the amounts advanced under the Avidbank Line of Credit bear interest at 2% above the prime rate as published in The Wall Street Journal or five percent (5%), whichever is higher. The Avidbank Term Loan was used by the Company to repay to Avidbank an advance that had been made to the Company under the Avidbank Line of Credit in December 2015, and which had been used by the Company to pay for the VendScreen business. The Avidbank Term Loan provides that interest only is payable monthly during year one, interest and principal is payable monthly during years two and three, and all outstanding principal and accrued interest is due and payable on the third anniversary of the Avidbank Term Loan. The Avidbank Term Loan bears interest at an annual rate equal to 1.75% above the prime rate as published from time to time by The Wall Street Journal, or five percent (5%), whichever is higher.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Heritage Line of Credit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2016, the Company entered into a Loan and Security Agreement with Heritage Bank of Commerce (“Heritage Bank”), providing for a secured revolving line of credit in an amount of up to $12.0 million (the “Heritage Line of Credit”) at an interest rate calculated based on the Federal Reserve’s Prime plus 2.25%. The Heritage Line of Credit and the Company’s obligations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Heritage Loan Documents were secured by substantially all of the Company’s assets, including its intellectual property. The Company utilized approximately $7.0 million under the Heritage Line of Credit to satisfy the existing Avidbank Line of Credit and related Avidbank Term Loan.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March 2017, the Company entered into the third amendment with Heritage Bank that extended the maturity date of the Line of Credit from March 29, 2017 to September 30, 2018.</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9, 2017, the Company paid all amounts due on the Loan and Security Agreement with Heritage Bank of Commerce. The Company recorded a charge of $0.1 million to write-off any remaining debt issuance costs related to the Line of Credit to interest expense in the quarter ending December 31, 2017. Pursuant to such payment, all commitments of Heritage Bank of Commerce were terminated, and the Heritage Loan and Security Agreement was terminated.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and Term Loan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9, 2017, in connection with the acquisition of Cantaloupe, the Company entered into a five year credit agreement among the Company, as the borrower, its subsidiaries, as guarantors, and JPMorgan Chase Bank, N.A., as the lender and administrative agent for the lender (the “Lender”), pursuant to which the Lender (i) made a $25 million Term Loan to the Company and (ii) provided the Company with the Revolving Credit Facility under which the Company may borrow revolving credit loans in an aggregate principal amount not to exceed $12.5 million at any time.</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proceeds of the Term Loan and borrowings under the Revolving Credit Facility, in an aggregate principal amount equal to $35.0 million, were used by the Company to finance a portion of the purchase price for the acquisition of Cantaloupe ($27.8 million) and repay existing indebtedness to Heritage Bank of Commerce ($7.2 million). Future borrowings under the Revolving Credit Facility may be used by the Company for working capital and general corporate purposes of the Company and its subsidiaries. The principal amount of the Term Loan is payable quarterly beginning on December 31, 2017 and the Term Loan, all advances under the Revolving Credit Facility, and all other obligations must be paid in full at maturity, on November 9, 2022.</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under the five year credit agreement bear interest, at the Company's option, by reference to a base rate or a rate based on LIBOR, in either case, plus an applicable margin determined quarterly based on the Company's Total Leverage Ratio as of the last day of each fiscal quarter. The applicable interest rate on the loans for the three and nine months ended March 31, 2019 is LIBOR plus 4%. The Term Loan and Revolving Credit Facility contain customary representations and warranties and affirmative and negative covenants and require the Company to maintain a minimum quarterly Total Leverage Ratio and Fixed Charge Coverage Ratio. The Revolving Credit Facility and Term Loan also require the Company to furnish various financial information on a quarterly and annual basis.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Company's delay in filing its periodic reports, between September 28, 2018, and September 30, 2019, the parties entered into various agreements to provide for the extension of the delivery of the Company’s financial information required under the terms of the credit agreement. In connection with these agreements, the Company incurred extension fees due to the lender, totaling $0.2 million, between September 28, 2018 and June 30, 2019. Additionally, during the quarter ended March 31, 2019 the Company prepaid $20.0 million of the balance outstanding under the Term Loan, $0.6 million of which was applied to the installment payment due on March 31, 2019 and the remainder of which was applied to the last repayment installment obligations due under the Term Loan. On September 30, 2019, the Company prepaid the remaining principal balance of the Term Loan of $1.5 million and agreed to permanently reduce the amount available under the Revolving Credit Facility to $10 million which represented the outstanding balance on the date thereof. The agreements also provide that the Company cannot incur additional borrowings on the Revolving Credit Facility without the Lender‘s prior consent. Further, the parties agreed that the applicable interest rate on the Revolving Credit Facility and Term Loan will be LIBOR plus 4% until such time as the Company delivers certain financial information required under the credit agreement.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29, 2019 and September 18, 2019, the Company obtained waivers of an event of default under the credit agreement. The event of default is the result of the Company having maintained deposits on account with a financial institution in excess of the amounts permitted by the credit agreement and not having transferred certain deposit accounts to the Lender. The waiver requires the Company to remedy the event of default by March 31, 2020 by which time the Company expects to be in compliance with the underlying covenant. As of June 30, 2019, the Company is not in compliance with the fixed charge coverage ratio and the total leverage ratio, which represents an event of default under the credit agreement. The Company has classified all amounts outstanding under the Revolving Credit Facility and Term Loan as current liabilities as of March 31, 2019 and June 30, 2018.</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Borrowings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of Cantaloupe, the Company assumed debt of $1.8 million with an outstanding balance of $0.9 million and $1.4 million as of March 31, 2019 and June 30, 2018 respectively, comprised of: (i) $0.3 million and $0.4 million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promissory notes bearing an interest rate of 5% and maturing on April 5, 2020 with principal and interest payments due monthly; (ii) $0.5 million and $0.7 million of promissory notes bearing an interest rate of 10% and maturing on April 1, 2021 with principal and interest payments due quarterly; and (iii) $0.2 million and $0.3 million of promissory notes bearing an interest rate of 12% and maturing on December 15, 2019 with principal and interest payments due quarterly.</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enters into capital lease obligations to finance certain office and network equipment for use in its daily operations. At March 31, 2019 and June 30, 2018, such capital lease obligations were $0.2 million and $0.4 million, respectively. The interest rates on these obligations range from approximately 5.6% to 9.0% and the lease terms range from 2 to 5 years.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principally accounts receivable, cash equivalents, accounts payable, accrued expenses, and short-term finance receivables, are carried at cost which approximates fair value due to the short-term maturity of these instruments. The fair value of the Company’s obligations under its long-term debt agreements approximate their carrying value as such instruments are at market rates currently available to the Company.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2017, the “Tax Cuts and Jobs Act” (the “Act”) was signed into law. Substantially all of the provisions of the Act are effective for taxable years beginning after December 31, 2017. The Act includes significant changes to the Internal Revenue Code of 1986 (as amended, the “Code”), including amendments which significantly change the taxation of individuals and business entities. The Act contains numerous provisions impacting the Company, the most significant of which reduces the Federal corporate statutory tax rate from 34% to 21%, as well as the elimination of the corporate alternative minimum tax ("AMT") and changing how existing AMT credits can be realized, the creation of a new limitation on deductible interest expense, and the change in rules related to uses and limitations of net operating loss carryforwards created in tax years beginning after December 31, 2017.</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various provisions under the Act deemed most relevant to the Company have been considered in preparation of its condensed consolidated financial statements as of March 31, 2019. To the extent that clarifications or interpretations materialize in the future that would impact upon the effects of the Act incorporated into the March 31, 2019 financial statements, those effects will be reflected in the future as or if they materialize.</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2019, the Company recorded an income tax provision of $23 thousand, which primarily relates to state income and franchise taxes. For the nine months ended March 31, 2019, the Company recorded an income tax provision of $60 thousand. The provisions are based upon actual loss before income taxes for the nine months ended March 31, 2019, as the use of an estimated annual effective income tax rate does not provide a reliable estimate of the income tax provision.</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accounting for deferred income taxes in the acquisition of Cantaloupe did not consider the potential effects of IRS Code Section 382 relating to the limitation on use of operating loss carryforwards created by Cantaloupe for its changes in ownership because the analysis required for such determination has not yet been completed. If upon completion of such analysis there are limitations on the use of operating loss carryforwards created by Cantaloupe totaling approximately $16.3 million. The potential impact is immaterial to the condensed consolidated financial statements due to the existing valuation allowance recorded against the Company’s deferred tax assets.</w:t>
      </w:r>
    </w:p>
    <w:p>
      <w:pPr>
        <w:spacing w:after="0" w:line="1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March 31, 2018, an income tax provision and benefit of $20 thousand and $109 thousand, respectively, were recorded. The provisions are based upon actual loss before income taxes for the nine months ended March 31, 2018, as the use of an estimated annual effective income tax rate does not provide a reliable estimate of the income tax provision.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25, 2017, the Company closed its underwritten public offering of 9,583,332 shares of its common stock at a public offering price of $4.50 per share. The foregoing included the full exercise of the underwriters' option to purchase 1,249,999 additional shares from the Company. The gross proceeds to the Company from the offering, before deducting underwriting discounts and commissions and other offering expenses, was approximately $43.1 million.</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6, 2017, the Company entered into a Merger Agreement with Cantaloupe for cash and 3,423,367 shares of the company’s stock valued at $23.3 million. Refer to Note 4 for details on the Merger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23,978 warrants outstanding as of March 31, 2019 and June 30, 2018, all of which were exercisable at $5.00 per share. The warrants have an expiration date of March 29,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2017, 135,000 stock options were granted for 11 employees vesting 1/3 on July 26, 2018, 1/3 on July 26, 2019 and 1/3 on July 26, 2020 expiring if not exercised prior to July 26, 2022. The options are intended to qualify as incentive stock options under Section 422 of the Internal Revenue Code of 1986, as amended.</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2017, the Company awarded stock options to its Chief Executive Officer and Chief Financial Officer to purchase up to 19,047 and 25,000 shares respectively of common stock at an exercise price of $5.25 per share. The Chief Executive Officer options vest on August 16, 2018, expiring if not exercised prior to August 16, 2024. The Chief Financial Officer options vest 1/3 on August 16, 2018, 1/3 on August 16, 2019 and 1/3 on August 16, 2020, expiring if not exercised prior to August 16, 2024. The Chief Executive Officer options are intended to qualify as incentive stock options under Section 422 of the Internal Revenue Code of 1986, as amended, and the Chief Financial Officer options are non-qualified stock options.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2018, the Company awarded stock options to 102 employees to purchase up to 400,000 shares of common stock at an exercise price of $8.75.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options granted during the nine months ended March 31, 2019 and 2018 was determined using the following assumptions:</w:t>
      </w:r>
    </w:p>
    <w:p>
      <w:pPr>
        <w:spacing w:after="0" w:line="165"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13335</wp:posOffset>
            </wp:positionV>
            <wp:extent cx="2195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 (percent)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58.4 - 70.9%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50.2 - 50.9%</w:t>
            </w:r>
          </w:p>
        </w:tc>
      </w:tr>
      <w:tr>
        <w:trPr>
          <w:trHeight w:val="243"/>
        </w:trPr>
        <w:tc>
          <w:tcPr>
            <w:tcW w:w="7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life (years)</w:t>
            </w:r>
          </w:p>
        </w:tc>
        <w:tc>
          <w:tcPr>
            <w:tcW w:w="340" w:type="dxa"/>
            <w:vAlign w:val="bottom"/>
          </w:tcPr>
          <w:p>
            <w:pPr>
              <w:spacing w:after="0"/>
              <w:rPr>
                <w:sz w:val="21"/>
                <w:szCs w:val="21"/>
                <w:color w:val="auto"/>
              </w:rPr>
            </w:pP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43"/>
        </w:trPr>
        <w:tc>
          <w:tcPr>
            <w:tcW w:w="7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 (percent)</w:t>
            </w:r>
          </w:p>
        </w:tc>
        <w:tc>
          <w:tcPr>
            <w:tcW w:w="340" w:type="dxa"/>
            <w:vAlign w:val="bottom"/>
          </w:tcPr>
          <w:p>
            <w:pPr>
              <w:spacing w:after="0"/>
              <w:rPr>
                <w:sz w:val="21"/>
                <w:szCs w:val="21"/>
                <w:color w:val="auto"/>
              </w:rPr>
            </w:pP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2.23 - 2.91%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1.64 - 1.75%</w:t>
            </w:r>
          </w:p>
        </w:tc>
      </w:tr>
      <w:tr>
        <w:trPr>
          <w:trHeight w:val="27"/>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options granted</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179,047</w:t>
            </w:r>
          </w:p>
        </w:tc>
      </w:tr>
      <w:tr>
        <w:trPr>
          <w:trHeight w:val="243"/>
        </w:trPr>
        <w:tc>
          <w:tcPr>
            <w:tcW w:w="7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5.66</w:t>
            </w:r>
          </w:p>
        </w:tc>
      </w:tr>
      <w:tr>
        <w:trPr>
          <w:trHeight w:val="27"/>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7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2.42</w:t>
            </w:r>
          </w:p>
        </w:tc>
      </w:tr>
      <w:tr>
        <w:trPr>
          <w:trHeight w:val="27"/>
        </w:trPr>
        <w:tc>
          <w:tcPr>
            <w:tcW w:w="7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based compensation related to all stock options for the three and nine months ended March 31, 2019 was $0.2 million and $0.6 million, respectively, and $0.1 million and $0.4 million for the three and nine months ended March 31, 2018,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 2018, 6,677 shares were awarded to each non-employee director for a total of 40,062 shares. The shares vest on a monthly basis over the two year period following July 2, 2018. The total expense recognized for these grants for the nine months ended March 31, 2019 was $0.4 million.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March 31, 2019, the Company awarded an aggregate of 7,282 shares to two non-employee directors in satisfaction of board fees.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 TERM INCENTIVE PLANS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approved the Fiscal Year 2018 Long-Term Stock Incentive Plan (the “2018 LTI Stock Plan”) which provides that executive officers would be awarded shares of common stock of the Company in the event that certain metrics relating to the Company’s 2018 fiscal year would result in specified ranges of year-over-year percentage growth. The metrics are total number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 connections as of June 30, 2018 as compared to total number of connections as of June 30, 2017 (40% weighting) and adjusted EBITDA earned during the 2018 fiscal year as compared to the adjusted EBITDA earned during the 2018 fiscal year (60% weighting). If none of the minimum threshold year-over-year percentage target goals are achieved, the executive officers would not be awarded any shares. If all of the year-over-year percentage target goals are achieved, the executive officers would be awarded shares having the following value: Chief Executive Officer - $840,000 (160% of base salary), Chief Financial Officer - $300,000 (100% of base salary), Chief Services Officer - $275,000 (100% of base salary), and Chief Product Officer - $280,000 (100% of base salary and to be prorated to reflect the actual period of employment during the fiscal year). If all of the maximum distinguished year over year percentage target goals are achieved, the executive officers would be awarded shares having the following value: Chief Executive Officer - $1,260,000 (240% of base salary), Chief Financial Officer - $450,000 (150% of base salary), Chief Services Officer - $412,500 (150% of base salary), and Chief Product Officer - $420,000 (150% of base salary and to be prorated to reflect the actual period of employment during the fiscal year).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2018 LTI Stock Plan would vest as follows: one-third at the time of issuance; one-third on June 30, 2019; and one-third on June 30, 2020.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award any long-term stock incentive compensation to its executive officers during the 2019 fiscal year.</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long-term stock incentive plans (“LTI”) in prior fiscal years for its then executive officers. Stock based compensation related to the LTI plans was as follows in the three and nine months ended March 31, 2019 and 2018:</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60" w:type="dxa"/>
            <w:vAlign w:val="bottom"/>
          </w:tcPr>
          <w:p>
            <w:pPr>
              <w:spacing w:after="0"/>
              <w:rPr>
                <w:sz w:val="13"/>
                <w:szCs w:val="13"/>
                <w:color w:val="auto"/>
              </w:rPr>
            </w:pPr>
          </w:p>
        </w:tc>
      </w:t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6"/>
                <w:szCs w:val="16"/>
                <w:color w:val="auto"/>
              </w:rPr>
            </w:pPr>
          </w:p>
        </w:tc>
      </w:tr>
      <w:tr>
        <w:trPr>
          <w:trHeight w:val="264"/>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r>
      <w:tr>
        <w:trPr>
          <w:trHeight w:val="24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FY18 LTI Plan</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FY17 LTI Plan</w:t>
            </w:r>
          </w:p>
        </w:tc>
        <w:tc>
          <w:tcPr>
            <w:tcW w:w="960" w:type="dxa"/>
            <w:vAlign w:val="bottom"/>
          </w:tcPr>
          <w:p>
            <w:pPr>
              <w:spacing w:after="0"/>
              <w:rPr>
                <w:sz w:val="21"/>
                <w:szCs w:val="21"/>
                <w:color w:val="auto"/>
              </w:rPr>
            </w:pPr>
          </w:p>
        </w:tc>
        <w:tc>
          <w:tcPr>
            <w:tcW w:w="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FY16 LTI Plan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64"/>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2"/>
                <w:szCs w:val="22"/>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2"/>
                <w:szCs w:val="22"/>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415</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current fiscal year, the Company entered into a lease agreement for its operations in Denver, Colorado, which commenced on August 1, 2019. The new location consists of 16,713 square feet and will expire on December 31, 2026. The lease includes monthly rental payments, commencing on January 1, 2020, of $45 thousand, and will increase each year up to a maximum base rent of approximately $53 thousand.</w:t>
      </w:r>
    </w:p>
    <w:p>
      <w:pPr>
        <w:spacing w:after="0" w:line="13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fiscal year 2018, the Company expanded the leased space for its headquarters in Malvern, Pennsylvania to a total of 23,138 square feet. The Company’s monthly base rent is approximately $48 thousand with a lease expiration date of November 30,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the Cantaloupe acquisition, during fiscal year 2018, the Company acquired a noncancelable operating lease pertaining to Cantaloupe’s headquarters based in San Francisco, California. The leased premise consists of approximately 8,400 square feet and calls for rental payments of approximately $45 thousand due each month up to a maximum monthly base rent of approximately $47 thousand through its January 31, 2020 expiration date.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involved in various legal proceedings which are described in Item 1 of Part II of this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the Company's significant subsequent events, please refer to the Company's Annual Report on Form 10-K for the fiscal year ended June 30, 2019 which has been filed concurrently with this Form 10-Q.</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right="4000"/>
        <w:spacing w:after="0" w:line="45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49" w:lineRule="exact"/>
        <w:rPr>
          <w:sz w:val="20"/>
          <w:szCs w:val="20"/>
          <w:color w:val="auto"/>
        </w:rPr>
      </w:pPr>
    </w:p>
    <w:p>
      <w:pPr>
        <w:ind w:left="500" w:hanging="316"/>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unrelated to our operating performance;</w:t>
      </w:r>
    </w:p>
    <w:p>
      <w:pPr>
        <w:spacing w:after="0" w:line="184"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raise funds in the future through sales of securities or debt financing in order to sustain its operations if an unexpected or unusual event would occur;</w:t>
      </w:r>
    </w:p>
    <w:p>
      <w:pPr>
        <w:spacing w:after="0" w:line="121"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compete with its competitors to obtain market share;</w:t>
      </w:r>
    </w:p>
    <w:p>
      <w:pPr>
        <w:spacing w:after="0" w:line="184"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Company’s current or future customers purchase, lease, rent or utilize ePort devices or our other products in the future at levels currently anticipated by our Company;</w:t>
      </w:r>
    </w:p>
    <w:p>
      <w:pPr>
        <w:spacing w:after="0" w:line="121"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21"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satisfy its trade obligations included in accounts payable and accrued expenses;</w:t>
      </w:r>
    </w:p>
    <w:p>
      <w:pPr>
        <w:spacing w:after="0" w:line="184"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sell to third party lenders all or a portion of our finance receivables;</w:t>
      </w:r>
    </w:p>
    <w:p>
      <w:pPr>
        <w:spacing w:after="0" w:line="184"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 sufficient number of our customers to utilize third party financing companies under our QuickStart program in order to improve our net cash used by operating activities;</w:t>
      </w:r>
    </w:p>
    <w:p>
      <w:pPr>
        <w:spacing w:after="0" w:line="121"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us of any unanticipated or unusual non-operating expenses which would require us to divert our cash resources from achieving our business plan;</w:t>
      </w:r>
    </w:p>
    <w:p>
      <w:pPr>
        <w:spacing w:after="0" w:line="121" w:lineRule="exact"/>
        <w:rPr>
          <w:rFonts w:ascii="Times New Roman" w:cs="Times New Roman" w:eastAsia="Times New Roman" w:hAnsi="Times New Roman"/>
          <w:sz w:val="18"/>
          <w:szCs w:val="18"/>
          <w:color w:val="auto"/>
        </w:rPr>
      </w:pPr>
    </w:p>
    <w:p>
      <w:pPr>
        <w:ind w:left="500" w:right="20" w:hanging="316"/>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predict or estimate its future quarterly or annual revenue and expenses given the developing and unpredictable market for its products;</w:t>
      </w:r>
    </w:p>
    <w:p>
      <w:pPr>
        <w:spacing w:after="0" w:line="121"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retain key customers from whom a significant portion of its revenue are derived;</w:t>
      </w:r>
    </w:p>
    <w:p>
      <w:pPr>
        <w:spacing w:after="0" w:line="184"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 key customer to reduce or delay purchasing products from the Company;</w:t>
      </w:r>
    </w:p>
    <w:p>
      <w:pPr>
        <w:spacing w:after="0" w:line="184"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obtain widespread commercial acceptance of its products and service offerings such as ePort QuickConnect, mobile payment and loyalty programs;</w:t>
      </w:r>
    </w:p>
    <w:p>
      <w:pPr>
        <w:spacing w:after="0" w:line="121"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21"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operate without infringing the intellectual property rights of others;</w:t>
      </w:r>
    </w:p>
    <w:p>
      <w:pPr>
        <w:spacing w:after="0" w:line="184"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avoid unauthorized hacking or credit card fraud;</w:t>
      </w:r>
    </w:p>
    <w:p>
      <w:pPr>
        <w:spacing w:after="0" w:line="184"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continue to experience material weaknesses in our internal controls over financial reporting in the future, and are not able to accurately or timely report our financial condition or results of operations;</w:t>
      </w:r>
    </w:p>
    <w:p>
      <w:pPr>
        <w:spacing w:after="0" w:line="121"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suppliers would increase their prices, reduce their output or change their terms of sale;</w:t>
      </w:r>
    </w:p>
    <w:p>
      <w:pPr>
        <w:spacing w:after="0" w:line="184" w:lineRule="exact"/>
        <w:rPr>
          <w:rFonts w:ascii="Times New Roman" w:cs="Times New Roman" w:eastAsia="Times New Roman" w:hAnsi="Times New Roman"/>
          <w:sz w:val="18"/>
          <w:szCs w:val="18"/>
          <w:color w:val="auto"/>
        </w:rPr>
      </w:pPr>
    </w:p>
    <w:p>
      <w:pPr>
        <w:ind w:left="500" w:right="20" w:hanging="316"/>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in the future for working capital, capital expenditures, acquisitions, general corporate purposes or other purposes may be impaired;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left="500" w:hanging="316"/>
        <w:spacing w:after="0" w:line="261"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currently pending litigation or possible regulatory action arising from the internal investigation and its findings, from the failure to timely file our periodic reports with the SEC, from the restatement of the affected financial statements, from allegations related to the registration statement for the follow-on public offering, or from potential litigation or other claims arising from the shareholder demands for derivative action.</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Item 1A. “Risk Factors” in our Annual Report on Form 10-K for the fiscal year ended June 30, 2019 which has been filed concurrently with this Form 10-Q.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USA Technologies, Inc. provides wireless networking, cashless transactions, asset monitoring, and other value-added services principally to the small ticket, unattended Point of Sale (“POS”) market. Our ePort® technology can be installed and/or embedded into everyday devices such as vending machines, a variety of kiosks, amusement games, and commercial laundry via either our ePort hardware or our Quick Connect solution. Our associated service, ePort Connect®, is a PCI-compliant, comprehensive service that includes simplified credit/debit card processing and support, consumer engagement services as well as telemetry, Internet of Things (“IoT”), and machine-to-machine (“M2M”) services, including the ability to remotely monitor, control and report on the results of distributed assets containing our electronic payment solutions.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generates revenue in multiple ways. During the three and nine months ended March 31, 2019, we derived approximately 84% and 86% of our revenue from recurring license and transaction fees related to our ePort Connect service and approximately 16% and 14% of our revenue from equipment sales. Connections to our service stem from the sale or lease of our POS electronic payment devices, certified payment software, or the servicing of similar third-party installed POS terminals. Connections to the ePort Connect service are the most significant driver of the Company’s revenue, particularly the recurring revenue from license and transaction fees. Customers can obtain POS electronic payment devices from us in the following ways:</w:t>
      </w:r>
    </w:p>
    <w:p>
      <w:pPr>
        <w:sectPr>
          <w:pgSz w:w="11900" w:h="16838" w:orient="portrait"/>
          <w:cols w:equalWidth="0" w:num="1">
            <w:col w:w="11420"/>
          </w:cols>
          <w:pgMar w:left="240" w:top="121" w:right="239" w:bottom="1440" w:gutter="0" w:footer="0" w:header="0"/>
        </w:sectPr>
      </w:pP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Purchasing devices directly from the Company or one of its authorized resellers;</w:t>
      </w:r>
    </w:p>
    <w:p>
      <w:pPr>
        <w:spacing w:after="0" w:line="198" w:lineRule="exact"/>
        <w:rPr>
          <w:sz w:val="20"/>
          <w:szCs w:val="20"/>
          <w:color w:val="auto"/>
        </w:rPr>
      </w:pPr>
    </w:p>
    <w:p>
      <w:pPr>
        <w:ind w:right="20"/>
        <w:spacing w:after="0" w:line="376" w:lineRule="auto"/>
        <w:rPr>
          <w:sz w:val="20"/>
          <w:szCs w:val="20"/>
          <w:color w:val="auto"/>
        </w:rPr>
      </w:pPr>
      <w:r>
        <w:rPr>
          <w:rFonts w:ascii="Times New Roman" w:cs="Times New Roman" w:eastAsia="Times New Roman" w:hAnsi="Times New Roman"/>
          <w:sz w:val="18"/>
          <w:szCs w:val="18"/>
          <w:color w:val="auto"/>
        </w:rPr>
        <w:t>Financing devices under the Company’s QuickStart Program, which are non-cancellable sixty month sales-type leases, through an unrelated equipment financing company, if available, or directly from the Company; and</w:t>
      </w:r>
    </w:p>
    <w:p>
      <w:pPr>
        <w:spacing w:after="0" w:line="54" w:lineRule="exact"/>
        <w:rPr>
          <w:sz w:val="20"/>
          <w:szCs w:val="20"/>
          <w:color w:val="auto"/>
        </w:rPr>
      </w:pPr>
    </w:p>
    <w:p>
      <w:pPr>
        <w:sectPr>
          <w:pgSz w:w="11900" w:h="16838" w:orient="portrait"/>
          <w:cols w:equalWidth="0" w:num="2">
            <w:col w:w="420" w:space="240"/>
            <w:col w:w="10760"/>
          </w:cols>
          <w:pgMar w:left="240" w:top="121" w:right="239" w:bottom="1440" w:gutter="0" w:footer="0" w:header="0"/>
          <w:type w:val="continuous"/>
        </w:sectPr>
      </w:pPr>
    </w:p>
    <w:p>
      <w:pPr>
        <w:ind w:right="2460" w:firstLine="332"/>
        <w:spacing w:after="0" w:line="345" w:lineRule="auto"/>
        <w:tabs>
          <w:tab w:leader="none" w:pos="648" w:val="left"/>
        </w:tabs>
        <w:numPr>
          <w:ilvl w:val="0"/>
          <w:numId w:val="5"/>
        </w:numPr>
        <w:rPr>
          <w:rFonts w:ascii="Times New Roman" w:cs="Times New Roman" w:eastAsia="Times New Roman" w:hAnsi="Times New Roman"/>
          <w:sz w:val="25"/>
          <w:szCs w:val="25"/>
          <w:color w:val="auto"/>
        </w:rPr>
      </w:pPr>
      <w:r>
        <w:rPr>
          <w:rFonts w:ascii="Times New Roman" w:cs="Times New Roman" w:eastAsia="Times New Roman" w:hAnsi="Times New Roman"/>
          <w:sz w:val="18"/>
          <w:szCs w:val="18"/>
          <w:color w:val="auto"/>
        </w:rPr>
        <w:t>Renting devices under the Company’s JumpStart Program, which are cancellable month-to-month operating leases. As of March 31, 2019, highlights of the Company are below:</w:t>
      </w:r>
    </w:p>
    <w:p>
      <w:pPr>
        <w:sectPr>
          <w:pgSz w:w="11900" w:h="16838" w:orient="portrait"/>
          <w:cols w:equalWidth="0" w:num="1">
            <w:col w:w="11420"/>
          </w:cols>
          <w:pgMar w:left="240" w:top="121" w:right="2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Headquarters in Malvern, Pennsylvania;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120 employees;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18,500 customers and approximately 1,126,000 connections to our service;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Three direct sales teams at the national, regional, and local customer-level and a growing number of OEMs and national distribution partners;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fiscal year ends June 30th.</w:t>
      </w:r>
    </w:p>
    <w:p>
      <w:pPr>
        <w:spacing w:after="0" w:line="157" w:lineRule="exact"/>
        <w:rPr>
          <w:sz w:val="20"/>
          <w:szCs w:val="20"/>
          <w:color w:val="auto"/>
        </w:rPr>
      </w:pPr>
    </w:p>
    <w:p>
      <w:pPr>
        <w:sectPr>
          <w:pgSz w:w="11900" w:h="16838" w:orient="portrait"/>
          <w:cols w:equalWidth="0" w:num="2">
            <w:col w:w="420" w:space="240"/>
            <w:col w:w="10760"/>
          </w:cols>
          <w:pgMar w:left="240" w:top="121" w:right="239" w:bottom="1440" w:gutter="0" w:footer="0" w:header="0"/>
          <w:type w:val="continuous"/>
        </w:sectPr>
      </w:pPr>
    </w:p>
    <w:p>
      <w:pPr>
        <w:ind w:left="60"/>
        <w:spacing w:after="0" w:line="282" w:lineRule="auto"/>
        <w:rPr>
          <w:sz w:val="20"/>
          <w:szCs w:val="20"/>
          <w:color w:val="auto"/>
        </w:rPr>
      </w:pPr>
      <w:r>
        <w:rPr>
          <w:rFonts w:ascii="Times New Roman" w:cs="Times New Roman" w:eastAsia="Times New Roman" w:hAnsi="Times New Roman"/>
          <w:sz w:val="18"/>
          <w:szCs w:val="18"/>
          <w:color w:val="auto"/>
        </w:rPr>
        <w:t>As indicated in our Annual Report on Form 10-K for the fiscal year ended June 30, 2019, as a result of our failure to comply with our periodic report obligations, on September 26, 2019, our securities were suspended from trading on Nasdaq and are currently quoted on the OTC Markets.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Investigation and Subsequent Restatement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11, 2018, the Company announced that the Audit Committee with the assistance of independent legal and forensic accounting advisors, was in the process of conducting an internal investigation of current and prior period matters relating to certain of the Company’s contractual arrangements, including the accounting treatment, financial reporting and internal controls related to such arrangements. The Audit Committee’s investigation focused principally on certain customer transactions entered into by the Company during fiscal years 2017 and 2018.</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14, 2019, the Company reported that the Audit Committee’s internal investigation was substantially completed, the principal findings of the internal investigation, and the remedial actions to be implemented by the Company as a result of the internal investigation. The Audit Committee proposed certain adjustments to previously reported revenues related to fiscal quarters occurring during the 2017 and 2018 fiscal years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 2019, the Company’s former independent auditor notified the Audit Committee of its resignation. The former auditor also indicated that reliance should not be placed on: (i) the Report of Independent Public Accounting Firm dated August 22, 2017 relating to the Company’s internal control over financial reporting and consolidated financial statements for the year ended June 30, 2017; and (ii) the completed interim reviews for the periods ended March 31, 2018. The auditor also recalled its previously issued audit report on the Company’s internal control over financial reporting and consolidated financial statements for the fiscal year ended June 30, 2017.</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4, 2019, the Board of Directors of the Company, upon the recommendation of the Audit Committee, and based upon the adjustments to previously reported revenues proposed by the Audit Committee, determined that the following financial statements previously issued by the Company should no longer be relied upon: (1) the audited consolidated financial statements for the fiscal year ended June 30, 2017; and (2) the quarterly and year-to-date unaudited condensed consolidated financial statements for September 30, 2017, December 31, 2017, and March 31, 2018. The Board also determined that related press releases, earnings releases, management’s report on the effectiveness of internal control over financial reporting as of June 30, 2017, and investor communications describing the Company’s financial statements for these periods should no longer be relied upon.</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8, 2019, the Audit Committee approved the engagement of BDO USA, LLP as the Company’s new independent registered public accounting firm effective as of the same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Non-Investigatory Adjustments Resulting From Financial Reporting Issues Identified During the Audit Process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audit process, significant financial reporting issues were identified by current management, including our new interim Chief Financial Officer (the “CFO”), and our new independent auditor, which were unrelated to the internal investigation and which resulted in further adjustments to the Company’s previously issued or prior fiscal years’ unissued financial statements. These issues were primarily due to the lack of supporting documentation for various historical accounting reserves and policies, failure to adequately and consistently complete the financial integration of Cantaloupe, and the inadequate performance of our internal controls during the 2019 fiscal year.</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these non-investigatory adjustments, on October 7, 2019, the Board of Directors of the Company, upon the recommendation of the Audit Committee, determined that the following financial statements previously issued by the Company should no longer be relied upon: (1) the audited consolidated financial statements for the fiscal year ended June 30, 2015; (2) the audited consolidated financial statements for the fiscal year ended June 30, 2016; and (3) the quarterly and year-to-date condensed unaudited consolidated financial statements for September 30, 2016, December 31, 2016, and March 31, 2017.</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 aforementioned restatements and adjustments, refer to Note 2, “Restatement of Consolidated Financial Statements”, and Note 20, “Unaudited Quarterly Data” of the Notes to Consolidated Financial Statements in Item 8, and Item 9A. "Controls and Procedures," of our Annual Report on Form 10-K for the fiscal year ended June 30, 2019 which has been filed concurrently with this Form 10-Q (the “2019 Form 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critical accounting policies disclosed in “Management’s Discussion and Analysis of Financial Condition and Results of Operations” in our Annual Report on Form 10-K for the fiscal year ended June 30, 2019 filed concurrently herewith.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to the interim Condensed Consolidated Financial Statements for a description of recent accounting pronouncements.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TRENDING QUARTERLY FINANCIAL DATA</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tables show certain financial and non-financial data that management believes give readers insight into certain trends and relationships about the Company’s financial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Five Quarter Select Key Performance Indicators including Connections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49"/>
        </w:trPr>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4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4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2"/>
                <w:szCs w:val="12"/>
                <w:color w:val="auto"/>
              </w:rPr>
            </w:pPr>
          </w:p>
        </w:tc>
        <w:tc>
          <w:tcPr>
            <w:tcW w:w="1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2"/>
                <w:szCs w:val="12"/>
                <w:color w:val="auto"/>
              </w:rPr>
            </w:pPr>
          </w:p>
        </w:tc>
        <w:tc>
          <w:tcPr>
            <w:tcW w:w="1260" w:type="dxa"/>
            <w:vAlign w:val="bottom"/>
          </w:tcPr>
          <w:p>
            <w:pPr>
              <w:jc w:val="right"/>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3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Connections: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new connections</w:t>
            </w:r>
          </w:p>
        </w:tc>
        <w:tc>
          <w:tcPr>
            <w:tcW w:w="28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36,000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75,000</w:t>
            </w:r>
          </w:p>
        </w:tc>
      </w:tr>
      <w:tr>
        <w:trPr>
          <w:trHeight w:val="27"/>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new connections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46,000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19,000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59,000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64,000</w:t>
            </w: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connections</w:t>
            </w:r>
          </w:p>
        </w:tc>
        <w:tc>
          <w:tcPr>
            <w:tcW w:w="28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1,126,000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1,080,000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1,047,000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1,028,000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969,000</w:t>
            </w:r>
          </w:p>
        </w:tc>
      </w:tr>
      <w:tr>
        <w:trPr>
          <w:trHeight w:val="27"/>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customers added</w:t>
            </w:r>
          </w:p>
        </w:tc>
        <w:tc>
          <w:tcPr>
            <w:tcW w:w="28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550</w:t>
            </w:r>
          </w:p>
        </w:tc>
      </w:tr>
      <w:tr>
        <w:trPr>
          <w:trHeight w:val="27"/>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customers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18,575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17,650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15,600</w:t>
            </w: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Volumes: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number of transactions (millions)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170.6</w:t>
            </w: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volume (millions)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420.3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367.1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318.0</w:t>
            </w:r>
          </w:p>
        </w:tc>
      </w:tr>
      <w:tr>
        <w:trPr>
          <w:trHeight w:val="27"/>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structure of connections: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JumpStart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3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QuickStart &amp; all others </w:t>
            </w:r>
            <w:r>
              <w:rPr>
                <w:rFonts w:ascii="Times New Roman" w:cs="Times New Roman" w:eastAsia="Times New Roman" w:hAnsi="Times New Roman"/>
                <w:sz w:val="25"/>
                <w:szCs w:val="25"/>
                <w:color w:val="auto"/>
                <w:vertAlign w:val="superscript"/>
              </w:rPr>
              <w:t>(a)</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57"/>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3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bl>
    <w:p>
      <w:pPr>
        <w:spacing w:after="0" w:line="13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credit sales with standard trade receivable terms.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USAT’s connections for the quarter ended March 31, 2019 include:</w:t>
      </w:r>
    </w:p>
    <w:p>
      <w:pPr>
        <w:spacing w:after="0" w:line="18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46,000 additional net new connections during the quarter; and</w:t>
      </w:r>
    </w:p>
    <w:p>
      <w:pPr>
        <w:spacing w:after="0" w:line="27"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1,126,000 total connections to our service compared to the same quarter last year of approximately 969,000 total connections to our service, an increase of 247,000 connections, or 25.5%.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right="4560"/>
        <w:spacing w:after="0" w:line="484" w:lineRule="auto"/>
        <w:rPr>
          <w:sz w:val="20"/>
          <w:szCs w:val="20"/>
          <w:color w:val="auto"/>
        </w:rPr>
      </w:pPr>
      <w:r>
        <w:rPr>
          <w:rFonts w:ascii="Times New Roman" w:cs="Times New Roman" w:eastAsia="Times New Roman" w:hAnsi="Times New Roman"/>
          <w:sz w:val="18"/>
          <w:szCs w:val="18"/>
          <w:b w:val="1"/>
          <w:bCs w:val="1"/>
          <w:color w:val="auto"/>
        </w:rPr>
        <w:t>Three Months Ended March 31, 2019 Compared to Three Months Ended March 31, 2018 Revenue and Gross Profit</w:t>
      </w: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6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40" w:type="dxa"/>
            <w:vAlign w:val="bottom"/>
            <w:tcBorders>
              <w:top w:val="single" w:sz="8" w:color="auto"/>
            </w:tcBorders>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31,630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25,381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8,211</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37,646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33,592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20,423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16,037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7,444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7,710</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costs of sales</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27,867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23,747</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9,344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5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gross profit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9,779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9,845</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increased $4.1 million for the three months ended March 31, 2019 compared to the same period in 2018. The growth in total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resulted from a $6.2 million increase in license and transaction fee revenue for the quarter ended March 31, 2019 compared to the same period in 2018, partially offset by a $2.2 million decrease in equipment revenue for the three months ended March 31, 2019 compared to the same period last year. This decrease was driven by lower shipments year over year in 2019.</w:t>
      </w:r>
    </w:p>
    <w:p>
      <w:pPr>
        <w:spacing w:after="0" w:line="14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by $4.1 million for the three months ended March 31, 2019 compared to the same period last year. The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increased license and transaction fee costs due to increased processing revenue resulting from an increase in connections.</w:t>
      </w:r>
    </w:p>
    <w:p>
      <w:pPr>
        <w:spacing w:after="0" w:line="1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The total gross margin decreased 3.3% from 29.3% for the three months ended March 31, 2018 to 26.0%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This decrease was driven by the increased transaction processing mix.</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6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Category ($ in thousands)</w:t>
            </w:r>
          </w:p>
        </w:tc>
        <w:tc>
          <w:tcPr>
            <w:tcW w:w="120" w:type="dxa"/>
            <w:vAlign w:val="bottom"/>
            <w:vMerge w:val="restart"/>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40" w:type="dxa"/>
            <w:vAlign w:val="bottom"/>
            <w:tcBorders>
              <w:top w:val="single" w:sz="8" w:color="auto"/>
            </w:tcBorders>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11,156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9,629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Investigation and restatement expenses</w:t>
            </w:r>
          </w:p>
        </w:tc>
        <w:tc>
          <w:tcPr>
            <w:tcW w:w="2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55"/>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13,671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12,411</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____________</w:t>
            </w: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5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666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and administrative expenses increased approximately $1.5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2019, as compared to the same period in 2018. This change was primarily driven by an increase in professional services costs.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Investigation and restatement expenses</w:t>
      </w:r>
      <w:r>
        <w:rPr>
          <w:rFonts w:ascii="Times New Roman" w:cs="Times New Roman" w:eastAsia="Times New Roman" w:hAnsi="Times New Roman"/>
          <w:sz w:val="18"/>
          <w:szCs w:val="18"/>
          <w:color w:val="auto"/>
        </w:rPr>
        <w:t>. Investigation and restatement expenses were $1.4 million for the three months ended March 31, 2019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incurred by the Company in connection with the Audit Committee's investigation, the review of our accounting, the restatements of previously filed financial statements, bank consents, and the ongoing remediation of deficiencies in our internal control over financial reporting.</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Integration and acquisition costs</w:t>
      </w:r>
      <w:r>
        <w:rPr>
          <w:rFonts w:ascii="Times New Roman" w:cs="Times New Roman" w:eastAsia="Times New Roman" w:hAnsi="Times New Roman"/>
          <w:sz w:val="18"/>
          <w:szCs w:val="18"/>
          <w:color w:val="auto"/>
        </w:rPr>
        <w:t>. Integration and acquisition costs decreased $1.7 million for the three months ended March 31, 2019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2018, due to the Cantaloupe acquisition in fiscal year 2018.</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unchanged from the same period in 2018.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40" w:type="dxa"/>
            <w:vAlign w:val="bottom"/>
          </w:tcPr>
          <w:p>
            <w:pPr>
              <w:spacing w:after="0"/>
              <w:rPr>
                <w:sz w:val="16"/>
                <w:szCs w:val="16"/>
                <w:color w:val="auto"/>
              </w:rPr>
            </w:pPr>
          </w:p>
        </w:tc>
        <w:tc>
          <w:tcPr>
            <w:tcW w:w="156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70"/>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gridSpan w:val="2"/>
            <w:vMerge w:val="restart"/>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318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57"/>
        </w:trPr>
        <w:tc>
          <w:tcPr>
            <w:tcW w:w="6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top w:val="single" w:sz="8" w:color="auto"/>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top w:val="single" w:sz="8" w:color="auto"/>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net was consistent with the same period in 2018.</w:t>
            </w: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6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40" w:type="dxa"/>
            <w:vAlign w:val="bottom"/>
          </w:tcPr>
          <w:p>
            <w:pPr>
              <w:spacing w:after="0"/>
              <w:rPr>
                <w:sz w:val="24"/>
                <w:szCs w:val="24"/>
                <w:color w:val="auto"/>
              </w:rPr>
            </w:pPr>
          </w:p>
        </w:tc>
        <w:tc>
          <w:tcPr>
            <w:tcW w:w="156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220" w:type="dxa"/>
            <w:vAlign w:val="bottom"/>
            <w:tcBorders>
              <w:top w:val="single" w:sz="8" w:color="auto"/>
            </w:tcBorders>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080" w:type="dxa"/>
            <w:vAlign w:val="bottom"/>
            <w:tcBorders>
              <w:top w:val="single" w:sz="8" w:color="auto"/>
            </w:tcBorders>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6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62"/>
        </w:trPr>
        <w:tc>
          <w:tcPr>
            <w:tcW w:w="6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the three months ended March 31, 2019, the Company recorded an income tax provision of $23 thousand, which primarily relates to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and franchise taxes. The benefit is based upon actual income (loss) before income taxes for the three months ended March 31, 2019, as the use of an estimated annual effective income tax rate does not provide a reliable estimate of the income tax provision.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2018, the Company recorded income tax provision of $20 thousand which primarily relates to state income and franchise taxes. The provision is based upon actual income (loss) before income taxes for the three months ended March 31, 2018 as the use of an estimated annual effective income tax rate does not provide a reliable estimate of the income tax provision.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EBITDA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interest income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863</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Plus: income tax provision</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depreciation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1,516</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Plus: amortization expense</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7"/>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Plus: stock-based compensation</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litigation related professional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Plus: investigation and restatement expenses</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integration and acquisition costs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1,677</w:t>
            </w:r>
          </w:p>
        </w:tc>
      </w:tr>
      <w:tr>
        <w:trPr>
          <w:trHeight w:val="237"/>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Adjustments to EBITDA</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2,117</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1,859</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used herein, Adjusted EBITDA represents net loss before interest income, interest expense, income taxes, depreciation, amortization, non-recurring fees and charges that were incurred in connection with the acquisition and integration of businesses, non-recurring fees and charges that were incurred in connection with the Audit Committee investigation and financial statement restatement activities, class action litigation expenses, and stock-based compensation expense. We have excluded the non-cash expense, stock-based compensation, as it does not reflect our cash-based operations. We have excluded the non-recurring costs and expenses incurred in connection with business acquisitions in order to allow more accurate comparison of the financial results to historical operations. We have excluded the professional fees incurred in connection with the class action litigation as well as the non-recurring costs and expenses related to the Audit Committee investigation and financial statement restatement activities</w:t>
      </w:r>
    </w:p>
    <w:p>
      <w:pPr>
        <w:sectPr>
          <w:pgSz w:w="11900" w:h="16838" w:orient="portrait"/>
          <w:cols w:equalWidth="0" w:num="1">
            <w:col w:w="11420"/>
          </w:cols>
          <w:pgMar w:left="240" w:top="121"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believe that they represent charges that are not related to our operations. Adjusted EBITDA is a non-GAAP financial measure which is not required by or defined under GAAP (Generally Accepted Accounting Principles).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Non-GAAP Net Loss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Non-GAAP adjustments: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portion of income tax provision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440</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Litigation related professional fees</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Investigation and restatement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1,677</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Non-GAAP net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used herein, non-GAAP net loss represents GAAP net loss excluding costs or benefits relating to any non-cash portions of the Company’s income tax benefit (provision), amortization expense related to our acquisition-related intangibles, non-recurring fees and charges that were incurred in connection with the acquisition and integration of businesses, non-recurring fees and charges that were incurred in connection with the Audit Committee investigation and financial statement restatement activities, and class-action litigation expenses. Management believes that non-GAAP net loss is an important measure of USAT’s business. Non-GAAP net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loss is an important measure of the Company’s business. Management uses the aforementioned non-GAAP measures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loss as a metric in its executive officer and management incentive compensation plans.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right="4760"/>
        <w:spacing w:after="0" w:line="484" w:lineRule="auto"/>
        <w:rPr>
          <w:sz w:val="20"/>
          <w:szCs w:val="20"/>
          <w:color w:val="auto"/>
        </w:rPr>
      </w:pPr>
      <w:r>
        <w:rPr>
          <w:rFonts w:ascii="Times New Roman" w:cs="Times New Roman" w:eastAsia="Times New Roman" w:hAnsi="Times New Roman"/>
          <w:sz w:val="18"/>
          <w:szCs w:val="18"/>
          <w:b w:val="1"/>
          <w:bCs w:val="1"/>
          <w:color w:val="auto"/>
        </w:rPr>
        <w:t>Nine Months Ended March 31, 2019 Compared to Nine Months Ended March 31, 2018 Revenue and Gross Profit</w:t>
      </w: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nine months ended March 31,</w:t>
            </w:r>
          </w:p>
        </w:tc>
        <w:tc>
          <w:tcPr>
            <w:tcW w:w="16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vMerge w:val="restart"/>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220" w:type="dxa"/>
            <w:vAlign w:val="bottom"/>
            <w:tcBorders>
              <w:top w:val="single" w:sz="8" w:color="auto"/>
            </w:tcBorders>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90,438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68,292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15,136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22,091</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105,574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90,383</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Costs of sales: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58,542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43,640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equipment</w:t>
            </w: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17,900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21,545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costs of sales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76,442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65,185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97"/>
        </w:trPr>
        <w:tc>
          <w:tcPr>
            <w:tcW w:w="6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and transaction fees</w:t>
            </w: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31,896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24,652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sales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0" w:type="dxa"/>
            <w:vAlign w:val="bottom"/>
          </w:tcPr>
          <w:p>
            <w:pPr>
              <w:spacing w:after="0"/>
              <w:rPr>
                <w:sz w:val="1"/>
                <w:szCs w:val="1"/>
                <w:color w:val="auto"/>
              </w:rPr>
            </w:pPr>
          </w:p>
        </w:tc>
      </w:tr>
      <w:tr>
        <w:trPr>
          <w:trHeight w:val="257"/>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29,132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25,198</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increased $15.2 million for the nine months ended March 31, 2019 compared to the same period in 2018. The growth in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resulted from a $22.1 million increase in license and transaction fee revenue for the nine months ended March 31, 2019 compared to the same period in 2018, mostly driven by the increase in connection count which caused an increase in license fee and processing fees, partially offset by a $7.0 million decrease in equipment revenue for the nine months ended March 31, 2019 compared to the same period last year, driven by lower shipments in fiscal year 2019.</w:t>
      </w:r>
    </w:p>
    <w:p>
      <w:pPr>
        <w:spacing w:after="0" w:line="3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$11.3 million for nine months ended March 31, 2019 compared to the same period last year. The increase was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$14.9 million increase in cost of services driven by an increase in transaction processing costs partially offset by a $3.6 million decrease in cost of equipment sales, resulting from lower equipment sales in fiscal year 2019.</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Total gross margin decreased 0.3%, from 27.9% for the nine months ended March 31, 2018 to 27.6% for the nine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The increase was driven by a shift to higher-margin revenue from license and transaction fees.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nine months ended March 31,</w:t>
            </w:r>
          </w:p>
        </w:tc>
        <w:tc>
          <w:tcPr>
            <w:tcW w:w="16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Category ($ in thousands)</w:t>
            </w:r>
          </w:p>
        </w:tc>
        <w:tc>
          <w:tcPr>
            <w:tcW w:w="120" w:type="dxa"/>
            <w:vAlign w:val="bottom"/>
            <w:vMerge w:val="restart"/>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220" w:type="dxa"/>
            <w:vAlign w:val="bottom"/>
            <w:tcBorders>
              <w:top w:val="single" w:sz="8" w:color="auto"/>
            </w:tcBorders>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31,537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25,558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Investigation and restatement expenses</w:t>
            </w:r>
          </w:p>
        </w:tc>
        <w:tc>
          <w:tcPr>
            <w:tcW w:w="2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13,122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55"/>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5,774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49,145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33,419</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____________</w:t>
            </w: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5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666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and administrative expenses increased approximately $6.0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2019, as compared to the same period in 2018. This change was primarily driven by an increase in professional services costs partially offset by savings in employee-related expenses driven by employee attrition and lower commissions due to lower net new connections in fiscal year 2019.</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Investigation and restatement expenses</w:t>
      </w:r>
      <w:r>
        <w:rPr>
          <w:rFonts w:ascii="Times New Roman" w:cs="Times New Roman" w:eastAsia="Times New Roman" w:hAnsi="Times New Roman"/>
          <w:sz w:val="18"/>
          <w:szCs w:val="18"/>
          <w:color w:val="auto"/>
        </w:rPr>
        <w:t>. Investigation and restatement expenses were $13.1 million for the nine months ended March 31, 2019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incurred by the Company in connection with the Audit Committee's investigation,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restatements of previously filed financial statements, bank consents, and the ongoing remediation of deficiencies in our internal control over financial reporting.</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Integration and acquisition costs</w:t>
      </w:r>
      <w:r>
        <w:rPr>
          <w:rFonts w:ascii="Times New Roman" w:cs="Times New Roman" w:eastAsia="Times New Roman" w:hAnsi="Times New Roman"/>
          <w:sz w:val="18"/>
          <w:szCs w:val="18"/>
          <w:color w:val="auto"/>
        </w:rPr>
        <w:t>. Integration and acquisition costs decreased by $4.6 million for nine months ended March 31, 2019 as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2018, due to the completion of the Cantaloupe acquisition and no new acquisition activity.</w:t>
      </w:r>
    </w:p>
    <w:p>
      <w:pPr>
        <w:spacing w:after="0" w:line="11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increased approximately $1.3 million for the nine months ended March 31,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intangible asset amortization resulting from the Cantaloupe acquisition.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nine months ended March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restart"/>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70"/>
        </w:trPr>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gridSpan w:val="2"/>
            <w:vMerge w:val="restart"/>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tcPr>
          <w:p>
            <w:pPr>
              <w:spacing w:after="0"/>
              <w:rPr>
                <w:sz w:val="21"/>
                <w:szCs w:val="21"/>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75.2 %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57"/>
        </w:trPr>
        <w:tc>
          <w:tcPr>
            <w:tcW w:w="6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net was consistent with the same period in 2018.</w:t>
            </w: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6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nine months ended March 31,</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vMerge w:val="restart"/>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6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640" w:type="dxa"/>
            <w:vAlign w:val="bottom"/>
            <w:tcBorders>
              <w:bottom w:val="single" w:sz="8" w:color="auto"/>
            </w:tcBorders>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2"/>
        </w:trPr>
        <w:tc>
          <w:tcPr>
            <w:tcW w:w="6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b w:val="1"/>
          <w:bCs w:val="1"/>
          <w:color w:val="auto"/>
        </w:rPr>
        <w:t>____________</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1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For the nine months ended March 31, 2019, a tax provision of $0.1 million was recorded which primarily relates to state income and franchise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The provision is based upon actual income (loss) before income taxes for the nine months ended March 31, 2019, as the use of an estimated annual effective income tax rate does not provide a reliable estimate of the income tax provision.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March 31, 2018, a tax benefit of $0.1 million was recorded which included a benefit of $107 thousand due to the ability to recognized additional deferred tax assets related to the Company’s alternative minimum tax credit as result of the Act. The benefit is based upon actual income (loss) before income taxes for the nine months ended March 31, 2018, as the use of an estimated annual effective income tax rate does not provide a reliable estimate of the income tax provision.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EBITDA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For the nine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interest income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2,106</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Plus (less): income tax provision (benefit)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depreciation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4,282</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Plus: amortization expense</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Plus: stock-based compensation</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litigation related professional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Plus: investigation and restatement expenses</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integration and acquisition costs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5,774</w:t>
            </w:r>
          </w:p>
        </w:tc>
      </w:tr>
      <w:tr>
        <w:trPr>
          <w:trHeight w:val="237"/>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Adjustments to EBITDA</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15,931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7,198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4,563</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used herein, Adjusted EBITDA represents net loss before interest income, interest expense, income taxes, depreciation, amortization, non-recurring fees and charges that were incurred in connection with the acquisition and integration of businesses, non-recurring fees and charges that were incurred in connection with the Audit Committee investigation and financial statement restatement activities, class action litigation expenses, and stock-based compensation expense. We have excluded the non-cash expense, stock-based compensation, as it does not reflect our cash-based operations. We have excluded the non-recurring costs and expenses incurred in connection with business acquisitions in order to allow more accurate comparison of the financial results to historical operations. We have excluded the professional fees incurred in connection with the class action litigation as well as the non-recurring costs and expenses related to the Audit Committee investigation and financial statement restatement activities because we believe that they represent charges that are not related to our operations. Adjusted EBITDA is a non-GAAP financial measure which is not required by or defined under GAAP (Generally Accepted Accounting Principles).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Non-GAAP Net Loss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For the nine months ended March 31,</w:t>
            </w:r>
          </w:p>
        </w:tc>
        <w:tc>
          <w:tcPr>
            <w:tcW w:w="0" w:type="dxa"/>
            <w:vAlign w:val="bottom"/>
          </w:tcPr>
          <w:p>
            <w:pPr>
              <w:spacing w:after="0"/>
              <w:rPr>
                <w:sz w:val="1"/>
                <w:szCs w:val="1"/>
                <w:color w:val="auto"/>
              </w:rPr>
            </w:pPr>
          </w:p>
        </w:tc>
      </w:tr>
      <w:tr>
        <w:trPr>
          <w:trHeight w:val="264"/>
        </w:trPr>
        <w:tc>
          <w:tcPr>
            <w:tcW w:w="4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Non-GAAP adjustments:</w:t>
            </w:r>
          </w:p>
        </w:tc>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portion of income tax provision (benefit)</w:t>
            </w:r>
          </w:p>
        </w:tc>
        <w:tc>
          <w:tcPr>
            <w:tcW w:w="3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4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related professional fees</w:t>
            </w:r>
          </w:p>
        </w:tc>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Investigation and restatement expenses</w:t>
            </w:r>
          </w:p>
        </w:tc>
        <w:tc>
          <w:tcPr>
            <w:tcW w:w="3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Integration and acquisition costs</w:t>
            </w:r>
          </w:p>
        </w:tc>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5,774</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Non-GAAP net loss</w:t>
            </w:r>
          </w:p>
        </w:tc>
        <w:tc>
          <w:tcPr>
            <w:tcW w:w="3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4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used herein, non-GAAP net loss represents GAAP net loss excluding costs or benefits relating to any non-cash portions of the Company’s income tax benefit (provision), amortization expense related to our acquisition-related intangibles, non-recurring fees and charges that were incurred in connection with the acquisition and integration of businesses, non-recurring fees and charges that were incurred in connection with the Audit Committee investigation and financial statement restatement activities, and class-action litigation expenses. Management believes that non-GAAP net loss is an important measure of USAT’s business. Non-GAAP net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loss is an important measure of the Company’s business. Management uses the aforementioned non-GAAP measure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loss as a metric in its executive officer and management incentive compensation plans.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was $26.2 million for the nine months ended March 31, 2019 compared to cash provided of $7.7 million in the same period in fiscal year 2018. The change reflects a change in net expense for non-cash operating activities of $3.4 million, and net cash used by the change in various operating assets and liabilities of $25.4 million. The change in non-cash expense is primarily due to primarily due to an increase in bad debt and inventory obsolescence expense and the amortization of intangibles related to our acquisition of Cantaloupe in fiscal year 2018. The change in operating assets and liabilities is primarily driven by a decrease in the change of finance receivables of $7.8 million and a decrease in the change of accounts payable and accrued expenses of $19.1 million.</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$2.5 million for the nine months ended March 31, 2019 compared to cash used of $68.1 million in the same period in fiscal year 2018. The decrease is primarily related to net cash consideration paid for the acquisition of Cantaloupe in fiscal year 2018.</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$22.4 million for the nine months ended March 31, 2019 compared to cash provided of $64.7 million in the same period in fiscal year 2018. The change was primarily due to $39.9 million of cash proceeds from the issuance of common stock in a public offering and $37.6 million of net cash proceeds received in connection with the term loan and line of credit under the November 2017 credit agreement, as well as an additional $11.5 million in repayments on capital lease obligations and long term debt during fiscal year 2019.</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Due to the Company's delay in filing its periodic reports, between September 28, 2018, and September 30, 2019, the parties entered into various agreements to provide for the extension of the delivery of the Company’s financial information and related compliance certificates required under the terms of the credit agreement which are required to be delivered to the Lender by no later than October 31, 2019. In connection with these agreements, the Company incurred extension fees due to the lender, totaling $0.2 million, between September 28, 2018 and June 30, 2019. Additionally, during the quarter ended March 31, 2019 the Company prepaid $20.0 million of the balance outstanding under the Term Loan, $0.6 million of which was applied to the installment payment due on March 31, 2019 and the remainder of which was applied to the last repayment installment obligations due under the term loan. On September 30, 2019, the Company prepaid the remaining principal balance of the term loan of $1.5 million and agreed to permanently reduce the amount available under the Revolving Credit Facility to $10 million which represented the outstanding balance on the date thereof. The agreements also provide that the Company cannot incur additional borrowings on the Revolving Credit Facility without the Lender‘s prior consent. Further, the parties agreed that the applicable interest rate on the Revolving Credit Facility and Term Loan will be LIBOR plus 4% until such time as the Company delivers certain financial information required under the credit agreement.</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2019 and September 18, 2019, the Company obtained waivers of an event of default under the credit agreement. The event of default is the result of the Company having maintained deposits on account with a financial institution in excess of the amounts permitted by the credit agreement and not having transferred certain deposit accounts to the Lender. The waiver requires the Company to remedy the event of default by March 31, 2020 by which time the Company expects to be in compliance with the underlying covenant. Although as of June 30, 2019 the Company was not in compliance with the fixed charge coverage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ratio and the total leverage ratio financial covenants under the credit agreement, pursuant to the September 30, 2019 extension agreement, the lender agreed that any such failure would not constitute an event of default pending the delivery to the lender of our financial statements and related compliance certificates by no later than October 31, 2019. The Company has classified all amounts outstanding under the Revolving Credit Facility and Term Loan as current liabilities as of March 31, 2019 and June 30, 2018.</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a Stock Purchase Agreement dated October 9, 2019 between the Company and Antara Capital Master Fund LP (“Antara”), on October 9, 2019, the Company sold to Antara 3,800,000 shares of the Company’s common stock at a price of $5.25 per share for gross proceeds of $19,950,000. On October 9, 2019, the Company entered into a commitment letter (“Commitment Letter”) with Antara, pursuant to which Antara has committed to extend to the Company a $30 million senior secured term loan facility (“Term Facility”). The Term Facility is subject to various closing conditions, including the execution and delivery of definitive loan documentation on or before October 31, 2019. Pursuant to the Commitment Letter, the Company would draw $15 million of the Term Facility concurrently with the execution of the definitive loan documentation, and subject to the terms of the definitive loan documentation, would draw an additional $15 million during the period commencing on the nine-month anniversary and terminating on the eighteen-month anniversary of the execution of the definitive loan documentation.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the following primary sources of capital available: (1) cash and cash equivalents on hand of $32.8 million as of March 31, 2019 which was $27.5 million as of June 30, 2019; (2) the cash which may be provided by operating activities in the 2020 fiscal year; (3) potential sales to third party lenders of all or a portion of our finance receivables; and (4) gross cash proceeds of $19,950,000 from the issuance of our shares to Antara as referred to above; and (5) an aggregate amount of $30 million under the Term Facility as described above.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more fully set forth in the 2019 Form 10-K that has been filed concurrently with this Form 10-Q, management anticipates that during the 2020 fiscal year, the Company would have to satisfy its bank debt of $10.0 million, sales tax liability estimated to be no more than $16 million, and the additional costs of preparing the 2019 Form 10-K and related activities which will be incurred primarily during the first fiscal quarter of fiscal year 2020. In addition, management has recently implemented efficiencies in working capital that are designed to increase our cash balances.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Therefore, the Company believes its existing cash and cash equivalents and available cash resources described above would provide sufficient capital resources to operate its anticipated business over the next 12 months.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refer to Part II, Item 7A. “Quantitative and Qualitative Disclosures about Market Risk,” contained in our 2019 Form 10-K filed concurrently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Disclosure Controls and Procedures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evaluated, with the participation of our chief executive officer and interim chief financial officer, the effectiveness as of the end of the period covered by this Form 10-Q of our disclosure controls and procedures (as defined in Rule 13a-15(e) under the Securities Exchange Act of 1934 (the "Exchange Act"). We maintain disclosure controls and procedures to ensure that information required to be disclosed by us in reports that we file or submit under the Exchange Act is recorded, processed, summarized and reported within the time periods specified in Securities and Exchange Commission rules, and that such information is accumulated and communicated to our management, including our chief executive officer and interim chief financial officer, to allow timely decisions regarding required disclosure. Based on this evaluation, our management, including our chief executive officer and interim chief financial officer, has concluded that our disclosure controls and procedures were not effective as of the end of such period as a result of the material weaknesses in our internal control over financial reporting, which are described in Item 9A. of our 2019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than the remediation actions disclosed in Item 9A. of the 2019 Form 10-K, there were no changes in our internal controls over financial reporting that occurred during the quarter ended March 31, 2019 that materially affected, or are reasonably likely to materially affect, our internal controls over financial reporting. As discussed in Item 9A. of our 2019 Form 10-K, we have undertaken a broad range of remedial procedures to address the material weaknesses in our internal control over financial reporting. These remedial procedures entailed significant changes in our internal control over financial reporting throughout the course of the fiscal year ended June 30, 2019, and will continue through fiscal year 2020, with the goal to fully remediate all remaining material weaknesses by fiscal year end.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Class Actions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11, 2018, Stéphane Gouet filed a putative class action complaint against the Company, Stephen P. Herbert (“Herbert”), our Chief Executive Officer, and Priyanka Singh (“Singh”), our former Chief Financial Officer, in the United States District Court for the District of New Jersey, Docket No. 2:18-cv-13759. The class is defined as purchaser's of USAT's publicly traded securities from November 9, 2017 through September 11, 2018 (“the Class Period”). It is alleged that the Company disclosed on September 11, 2018 that it was unable to timely file its Annual Report on Form 10-K with the Securities Exchange Commission for the fiscal year ended June 30, 2018 and that the Audit Committee of the Company’s Board of Directors was in the process of conducting an internal investigation of current and prior period matters relating to certain of the Company’s contractual arrangements, including the accounting treatment, financial reporting and internal controls related to such arrangements. The Gouet complaint alleges that the defendants disseminated false statements and failed to disclose material facts and engaged in practices that operated as a fraud or deceit upon Gouet and others similarly situated in connection with their purchases of the Company’s securities during the Class Period. Gouet alleges that Herbert and Singh had actual knowledge of the material omissions and/or falsity of the material statements and intended to deceive the purported class members or acted with reckless disregard of the truth. It is further alleged that as a result of this conduct, the market price of the Company’s securities was artificially inflated during the Class Period. The Gouet complaint alleges violations of Sections 10(b) and 20(a) of the Securities Exchange Act and Rule 10b-5 promulgated thereunder.</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Two additional class action complaints, containing substantially the same factual allegations and legal claims were filed against USAT, Herbert and Singh. On September 13, 2018, David Gray filed a putative class action complaint in the United States District Court for the District of New Jersey, Docket No. 2:18-cv-13860. On October 3, 2018, Anthony E. Phillips filed a putative class action complaint in the United States District Court for the District of New Jersey, Docket No. 2:18-cv-14590.</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Subsequently multiple USAT shareholders moved to be appointed lead plaintiff, and on December 19, 2018, the Court consolidated the three actions, appointed Pinkesh Nahar as Lead Plaintiff, and appointed the Rosen Law Firm as Lead Counsel for the consolidated actions. On February 28, 2019, the Court approved a Stipulation agreed to by the parties for the filing of an amended complaint within fourteen days after the Company filed the 2019 Form 10-K.</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22, 2019, USAT and Herbert filed a motion to transfer the consolidated actions to the United States District Court for the Eastern District of Pennsylvania. On February 5, 2019, the Lead Plaintiff filed its opposition to the Motion to Transfer. The Court has not yet ruled on the Motion to Transfer.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plans to vigorously defend against these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Shareholder Demand Letters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letter dated October 12, 2018, Peter D’Arcy, a purported shareholder of the Company, demanded that the Board of Directors investigate, remedy and commence proceedings against certain of the Company’s current and former officers and directors for breach of fiduciary duties in connection with the Company’s internal controls over financial reporting in connection with the Company’s 2018 fiscal year. The demand alleged the officers and directors made false and misleading statements that failed to disclose that the Company’s accounting treatment, financial reporting and internal controls related to certain of the Company’s contractual agreements would result in an internal investigation and would delay the Company’s filing of its annual report on Form 10-K for the fiscal year ending June 30, 2018, and that the Company failed to maintain adequate internal controls.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letter dated October 18, 2018, Chiu Jen-Ting, a purported shareholder of the Company, demanded that the Board of Directors investigate, remedy and commence proceedings against certain of the Company’s current and former officers and directors for breach of fiduciary duties in connection with the issues stated asserted by Mr. D’Arcy.</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response to the demand letters, the Board of Directors formed a special litigation committee (“the SLC”) consisting of Joel Brooks and William Reilly, Jr., in order to investigate and evaluate the demand letters. The SLC has retained counsel and the SLC and its counsel are currently investigating the claims.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defaults on any senior securities. On February 1, 2019, an additional $334 thousand of dividends were accrued on our cumulative Series A Convertible Preferred Stock. The total accrued and unpaid dividends on our Series A Convertible Preferred Stock as of March 31, 2019 was $15.66 million. The dividend accrual dates for our Preferred Stock are February 1 and August 1. The annual cumulative dividend on our Preferred Stock is $1.50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31.1</w:t>
            </w:r>
          </w:p>
        </w:tc>
        <w:tc>
          <w:tcPr>
            <w:tcW w:w="81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48">
              <w:r>
                <w:rPr>
                  <w:rFonts w:ascii="Times New Roman" w:cs="Times New Roman" w:eastAsia="Times New Roman" w:hAnsi="Times New Roman"/>
                  <w:sz w:val="18"/>
                  <w:szCs w:val="18"/>
                  <w:color w:val="0000FF"/>
                  <w:w w:val="99"/>
                </w:rPr>
                <w:t>Certifications of Chief Executive Officer pursuant to Rule 13a-14(a) under the Securities Exchange Act of 1934.</w:t>
              </w:r>
            </w:hyperlink>
          </w:p>
        </w:tc>
        <w:tc>
          <w:tcPr>
            <w:tcW w:w="2200" w:type="dxa"/>
            <w:vAlign w:val="bottom"/>
            <w:gridSpan w:val="2"/>
          </w:tcPr>
          <w:p>
            <w:pPr>
              <w:spacing w:after="0"/>
              <w:rPr>
                <w:sz w:val="17"/>
                <w:szCs w:val="17"/>
                <w:color w:val="auto"/>
              </w:rPr>
            </w:pPr>
          </w:p>
        </w:tc>
      </w:tr>
      <w:tr>
        <w:trPr>
          <w:trHeight w:val="547"/>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31.2</w:t>
            </w:r>
          </w:p>
        </w:tc>
        <w:tc>
          <w:tcPr>
            <w:tcW w:w="10300" w:type="dxa"/>
            <w:vAlign w:val="bottom"/>
            <w:gridSpan w:val="6"/>
          </w:tcPr>
          <w:p>
            <w:pPr>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Certifications of Chief Financial Officer pursuant to Rule 13a-14(a) under the Securities Exchange Act of 1934.</w:t>
              </w:r>
            </w:hyperlink>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4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47"/>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32.1</w:t>
            </w:r>
          </w:p>
        </w:tc>
        <w:tc>
          <w:tcPr>
            <w:tcW w:w="101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50">
              <w:r>
                <w:rPr>
                  <w:rFonts w:ascii="Times New Roman" w:cs="Times New Roman" w:eastAsia="Times New Roman" w:hAnsi="Times New Roman"/>
                  <w:sz w:val="18"/>
                  <w:szCs w:val="18"/>
                  <w:color w:val="0000FF"/>
                  <w:w w:val="99"/>
                </w:rPr>
                <w:t>Certification of the Chief Executive Officer pursuant to 18 USC Section 1350, as adopted pursuant to Section 906 of the Sarbanes-Oxley Act</w:t>
              </w:r>
            </w:hyperlink>
          </w:p>
        </w:tc>
        <w:tc>
          <w:tcPr>
            <w:tcW w:w="1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6"/>
              </w:rPr>
            </w:pPr>
            <w:hyperlink w:anchor="page50">
              <w:r>
                <w:rPr>
                  <w:rFonts w:ascii="Times New Roman" w:cs="Times New Roman" w:eastAsia="Times New Roman" w:hAnsi="Times New Roman"/>
                  <w:sz w:val="18"/>
                  <w:szCs w:val="18"/>
                  <w:color w:val="0000FF"/>
                  <w:w w:val="96"/>
                </w:rPr>
                <w:t>of 2002.</w:t>
              </w:r>
            </w:hyperlink>
          </w:p>
        </w:tc>
        <w:tc>
          <w:tcPr>
            <w:tcW w:w="9700" w:type="dxa"/>
            <w:vAlign w:val="bottom"/>
            <w:gridSpan w:val="4"/>
          </w:tcPr>
          <w:p>
            <w:pPr>
              <w:spacing w:after="0"/>
              <w:rPr>
                <w:sz w:val="17"/>
                <w:szCs w:val="17"/>
                <w:color w:val="auto"/>
              </w:rPr>
            </w:pPr>
          </w:p>
        </w:tc>
      </w:tr>
      <w:tr>
        <w:trPr>
          <w:trHeight w:val="547"/>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32.2</w:t>
            </w:r>
          </w:p>
        </w:tc>
        <w:tc>
          <w:tcPr>
            <w:tcW w:w="103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51">
              <w:r>
                <w:rPr>
                  <w:rFonts w:ascii="Times New Roman" w:cs="Times New Roman" w:eastAsia="Times New Roman" w:hAnsi="Times New Roman"/>
                  <w:sz w:val="18"/>
                  <w:szCs w:val="18"/>
                  <w:color w:val="0000FF"/>
                  <w:w w:val="99"/>
                </w:rPr>
                <w:t>Certification of the Chief Financial Officer pursuant to 18 USC Section 1350, as adopted pursuant to Section 906 of the Sarbanes-Oxley Act of</w:t>
              </w:r>
            </w:hyperlink>
          </w:p>
        </w:tc>
      </w:tr>
      <w:tr>
        <w:trPr>
          <w:trHeight w:val="196"/>
        </w:trPr>
        <w:tc>
          <w:tcPr>
            <w:tcW w:w="104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3"/>
              </w:rPr>
            </w:pPr>
            <w:hyperlink w:anchor="page51">
              <w:r>
                <w:rPr>
                  <w:rFonts w:ascii="Times New Roman" w:cs="Times New Roman" w:eastAsia="Times New Roman" w:hAnsi="Times New Roman"/>
                  <w:sz w:val="18"/>
                  <w:szCs w:val="18"/>
                  <w:color w:val="0000FF"/>
                  <w:w w:val="93"/>
                </w:rPr>
                <w:t>2002.</w:t>
              </w:r>
            </w:hyperlink>
          </w:p>
        </w:tc>
        <w:tc>
          <w:tcPr>
            <w:tcW w:w="20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360" w:lineRule="exact"/>
        <w:rPr>
          <w:sz w:val="20"/>
          <w:szCs w:val="20"/>
          <w:color w:val="auto"/>
        </w:rPr>
      </w:pPr>
    </w:p>
    <w:p>
      <w:pPr>
        <w:ind w:left="1080" w:right="40" w:hanging="1045"/>
        <w:spacing w:after="0" w:line="25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our Quarterly Report on Form 10-Q for the quarter ended March 31, 2019, filed with the SEC on October 9, 2019, formatted in Extensible Business Reporting Language (XBRL): (1) the Consolidated Balance Sheets as of March 31, 2019 and June 30, 2018, (2) the Consolidated Statements of Operations for the three-month and nine-month periods ended March 31, 2019 and 2018, (3) the Consolidated Statements of Shareholders’ Equity for the nine-month period ended March 31, 2019, (4) the Consolidated Statements of Cash Flows for the nine-month period ended March 31, 2019 and 2018, and (5) the Notes to Consolidated Financial Statements.</w:t>
      </w: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80"/>
          </w:cols>
          <w:pgMar w:left="240" w:top="121" w:right="27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 TECHNOLOGIES, INC.</w:t>
            </w:r>
          </w:p>
        </w:tc>
      </w:tr>
      <w:tr>
        <w:trPr>
          <w:trHeight w:val="56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Date:October 9, 2019</w:t>
            </w:r>
          </w:p>
        </w:tc>
        <w:tc>
          <w:tcPr>
            <w:tcW w:w="21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Stephen P. Herbert</w:t>
            </w:r>
          </w:p>
        </w:tc>
      </w:tr>
      <w:tr>
        <w:trPr>
          <w:trHeight w:val="27"/>
        </w:trPr>
        <w:tc>
          <w:tcPr>
            <w:tcW w:w="3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P. Herbert,</w:t>
            </w:r>
          </w:p>
        </w:tc>
      </w:tr>
      <w:tr>
        <w:trPr>
          <w:trHeight w:val="270"/>
        </w:trPr>
        <w:tc>
          <w:tcPr>
            <w:tcW w:w="35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6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Date:October 9, 2019</w:t>
            </w:r>
          </w:p>
        </w:tc>
        <w:tc>
          <w:tcPr>
            <w:tcW w:w="21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Glen E. Goold</w:t>
            </w:r>
          </w:p>
        </w:tc>
      </w:tr>
      <w:tr>
        <w:trPr>
          <w:trHeight w:val="27"/>
        </w:trPr>
        <w:tc>
          <w:tcPr>
            <w:tcW w:w="3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Glen Goold</w:t>
            </w:r>
          </w:p>
        </w:tc>
      </w:tr>
      <w:tr>
        <w:trPr>
          <w:trHeight w:val="270"/>
        </w:trPr>
        <w:tc>
          <w:tcPr>
            <w:tcW w:w="35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486"/>
        </w:trPr>
        <w:tc>
          <w:tcPr>
            <w:tcW w:w="3560" w:type="dxa"/>
            <w:vAlign w:val="bottom"/>
          </w:tcPr>
          <w:p>
            <w:pPr>
              <w:spacing w:after="0"/>
              <w:rPr>
                <w:sz w:val="24"/>
                <w:szCs w:val="24"/>
                <w:color w:val="auto"/>
              </w:rPr>
            </w:pPr>
          </w:p>
        </w:tc>
        <w:tc>
          <w:tcPr>
            <w:tcW w:w="7820" w:type="dxa"/>
            <w:vAlign w:val="bottom"/>
            <w:gridSpan w:val="2"/>
          </w:tcPr>
          <w:p>
            <w:pPr>
              <w:jc w:val="right"/>
              <w:ind w:right="5530"/>
              <w:spacing w:after="0"/>
              <w:rPr>
                <w:sz w:val="20"/>
                <w:szCs w:val="20"/>
                <w:color w:val="auto"/>
              </w:rPr>
            </w:pPr>
            <w:r>
              <w:rPr>
                <w:rFonts w:ascii="Times New Roman" w:cs="Times New Roman" w:eastAsia="Times New Roman" w:hAnsi="Times New Roman"/>
                <w:sz w:val="18"/>
                <w:szCs w:val="18"/>
                <w:color w:val="auto"/>
              </w:rPr>
              <w:t>45</w:t>
            </w:r>
          </w:p>
        </w:tc>
      </w:tr>
    </w:tbl>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w:t>
      </w:r>
      <w:r>
        <w:rPr>
          <w:rFonts w:ascii="Times New Roman" w:cs="Times New Roman" w:eastAsia="Times New Roman" w:hAnsi="Times New Roman"/>
          <w:sz w:val="18"/>
          <w:szCs w:val="18"/>
          <w:color w:val="auto"/>
        </w:rPr>
        <w:t>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Herbert, certify that:</w:t>
      </w:r>
    </w:p>
    <w:p>
      <w:pPr>
        <w:spacing w:after="0" w:line="156" w:lineRule="exact"/>
        <w:rPr>
          <w:sz w:val="20"/>
          <w:szCs w:val="20"/>
          <w:color w:val="auto"/>
        </w:rPr>
      </w:pPr>
    </w:p>
    <w:p>
      <w:pPr>
        <w:ind w:left="660" w:hanging="652"/>
        <w:spacing w:after="0" w:line="207" w:lineRule="exact"/>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USA Technologies, Inc.;</w:t>
      </w:r>
    </w:p>
    <w:p>
      <w:pPr>
        <w:spacing w:after="0" w:line="21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26" w:lineRule="exact"/>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6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08" w:lineRule="exact"/>
        <w:rPr>
          <w:sz w:val="20"/>
          <w:szCs w:val="20"/>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18"/>
          <w:szCs w:val="18"/>
          <w:color w:val="auto"/>
        </w:rPr>
        <w:t>Date: October 9, 2019</w:t>
      </w:r>
      <w:r>
        <w:rPr>
          <w:sz w:val="20"/>
          <w:szCs w:val="20"/>
          <w:color w:val="auto"/>
        </w:rPr>
        <w:tab/>
      </w:r>
      <w:r>
        <w:rPr>
          <w:rFonts w:ascii="Times New Roman" w:cs="Times New Roman" w:eastAsia="Times New Roman" w:hAnsi="Times New Roman"/>
          <w:sz w:val="17"/>
          <w:szCs w:val="17"/>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Stephen P. Herbert</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752"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 E. Goold, certify that:</w:t>
      </w:r>
    </w:p>
    <w:p>
      <w:pPr>
        <w:spacing w:after="0" w:line="156" w:lineRule="exact"/>
        <w:rPr>
          <w:sz w:val="20"/>
          <w:szCs w:val="20"/>
          <w:color w:val="auto"/>
        </w:rPr>
      </w:pPr>
    </w:p>
    <w:p>
      <w:pPr>
        <w:ind w:left="660" w:hanging="652"/>
        <w:spacing w:after="0" w:line="207" w:lineRule="exact"/>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USA Technologies, Inc.;</w:t>
      </w:r>
    </w:p>
    <w:p>
      <w:pPr>
        <w:spacing w:after="0" w:line="21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26" w:lineRule="exact"/>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6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08" w:lineRule="exact"/>
        <w:rPr>
          <w:sz w:val="20"/>
          <w:szCs w:val="20"/>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18"/>
          <w:szCs w:val="18"/>
          <w:color w:val="auto"/>
        </w:rPr>
        <w:t>Date: October 9, 2019</w:t>
      </w:r>
      <w:r>
        <w:rPr>
          <w:sz w:val="20"/>
          <w:szCs w:val="20"/>
          <w:color w:val="auto"/>
        </w:rPr>
        <w:tab/>
      </w:r>
      <w:r>
        <w:rPr>
          <w:rFonts w:ascii="Times New Roman" w:cs="Times New Roman" w:eastAsia="Times New Roman" w:hAnsi="Times New Roman"/>
          <w:sz w:val="17"/>
          <w:szCs w:val="17"/>
          <w:color w:val="auto"/>
        </w:rPr>
        <w:t>/s/ Glen E. Goold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Glen E. Goold</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420"/>
          </w:cols>
          <w:pgMar w:left="240" w:top="752"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38"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March 31, 2019 (the “Report”), I, Stephen P. Herbert., Chief Executive Officer of the Company, hereby certify that to my knowledge:</w:t>
      </w:r>
    </w:p>
    <w:p>
      <w:pPr>
        <w:spacing w:after="0" w:line="15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18"/>
          <w:szCs w:val="18"/>
          <w:color w:val="auto"/>
        </w:rPr>
        <w:t>Date: October 9, 2019</w:t>
      </w:r>
      <w:r>
        <w:rPr>
          <w:sz w:val="20"/>
          <w:szCs w:val="20"/>
          <w:color w:val="auto"/>
        </w:rPr>
        <w:tab/>
      </w:r>
      <w:r>
        <w:rPr>
          <w:rFonts w:ascii="Times New Roman" w:cs="Times New Roman" w:eastAsia="Times New Roman" w:hAnsi="Times New Roman"/>
          <w:sz w:val="17"/>
          <w:szCs w:val="17"/>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Stephen P. Herbert</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752"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38"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March 31, 2019 (the “Report”), I, Glen E. Goold, Interim Chief Financial Officer of the Company, hereby certify that to my knowledge:</w:t>
      </w:r>
    </w:p>
    <w:p>
      <w:pPr>
        <w:spacing w:after="0" w:line="15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18"/>
          <w:szCs w:val="18"/>
          <w:color w:val="auto"/>
        </w:rPr>
        <w:t>Date: October 9, 2019</w:t>
      </w:r>
      <w:r>
        <w:rPr>
          <w:sz w:val="20"/>
          <w:szCs w:val="20"/>
          <w:color w:val="auto"/>
        </w:rPr>
        <w:tab/>
      </w:r>
      <w:r>
        <w:rPr>
          <w:rFonts w:ascii="Times New Roman" w:cs="Times New Roman" w:eastAsia="Times New Roman" w:hAnsi="Times New Roman"/>
          <w:sz w:val="17"/>
          <w:szCs w:val="17"/>
          <w:color w:val="auto"/>
        </w:rPr>
        <w:t>/s/ Glen E. Goold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Glen E. Goold</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Interim Chief Financial Officer</w:t>
      </w:r>
    </w:p>
    <w:sectPr>
      <w:pgSz w:w="11900" w:h="16838" w:orient="portrait"/>
      <w:cols w:equalWidth="0" w:num="1">
        <w:col w:w="11420"/>
      </w:cols>
      <w:pgMar w:left="240" w:top="7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0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2019-12-28T05:36:26Z</dcterms:created>
  <dcterms:modified xsi:type="dcterms:W3CDTF">2019-12-28T05:36:26Z</dcterms:modified>
</cp:coreProperties>
</file>