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2" w:lineRule="exact"/>
        <w:rPr>
          <w:sz w:val="24"/>
          <w:szCs w:val="24"/>
          <w:color w:val="auto"/>
        </w:rPr>
      </w:pPr>
    </w:p>
    <w:p>
      <w:pPr>
        <w:ind w:left="1240" w:hanging="1070"/>
        <w:spacing w:after="0"/>
        <w:tabs>
          <w:tab w:leader="none" w:pos="124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8"/>
          <w:szCs w:val="18"/>
          <w:b w:val="1"/>
          <w:bCs w:val="1"/>
          <w:color w:val="auto"/>
        </w:rPr>
        <w:t>QUARTERLY REPORT PURSUANT TO SECTION 13 OR 15 (d) OF THE SECURITIES EXCHANGE ACT OF 1934</w:t>
      </w:r>
    </w:p>
    <w:p>
      <w:pPr>
        <w:spacing w:after="0" w:line="221"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10"/>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September 30, 2024</w:t>
            </w:r>
          </w:p>
        </w:tc>
      </w:tr>
      <w:tr>
        <w:trPr>
          <w:trHeight w:val="324"/>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5"/>
              </w:rPr>
              <w:t>OR</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5"/>
        </w:trPr>
        <w:tc>
          <w:tcPr>
            <w:tcW w:w="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600" w:type="dxa"/>
            <w:vAlign w:val="bottom"/>
            <w:gridSpan w:val="14"/>
          </w:tcPr>
          <w:p>
            <w:pPr>
              <w:ind w:left="1420"/>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 (d) OF THE EXCHANGE ACT OF 1934</w:t>
            </w:r>
          </w:p>
        </w:tc>
      </w:tr>
      <w:tr>
        <w:trPr>
          <w:trHeight w:val="391"/>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Commission file number 001-33365</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23"/>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Cantaloupe, Inc.</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0"/>
        </w:trPr>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3"/>
        </w:trPr>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520" w:type="dxa"/>
            <w:vAlign w:val="bottom"/>
            <w:gridSpan w:val="10"/>
          </w:tcPr>
          <w:p>
            <w:pPr>
              <w:jc w:val="center"/>
              <w:ind w:right="22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11"/>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8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23-2679963</w:t>
            </w: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6900" w:type="dxa"/>
            <w:vAlign w:val="bottom"/>
            <w:gridSpan w:val="9"/>
          </w:tcPr>
          <w:p>
            <w:pPr>
              <w:jc w:val="center"/>
              <w:ind w:right="19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7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10"/>
        </w:trPr>
        <w:tc>
          <w:tcPr>
            <w:tcW w:w="22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101 Lindenwood Drive, Suite 405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Malvern,</w:t>
            </w:r>
          </w:p>
        </w:tc>
        <w:tc>
          <w:tcPr>
            <w:tcW w:w="40" w:type="dxa"/>
            <w:vAlign w:val="bottom"/>
          </w:tcPr>
          <w:p>
            <w:pPr>
              <w:spacing w:after="0"/>
              <w:rPr>
                <w:sz w:val="24"/>
                <w:szCs w:val="24"/>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1840" w:type="dxa"/>
            <w:vAlign w:val="bottom"/>
            <w:gridSpan w:val="4"/>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19355</w:t>
            </w:r>
          </w:p>
        </w:tc>
        <w:tc>
          <w:tcPr>
            <w:tcW w:w="8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6900" w:type="dxa"/>
            <w:vAlign w:val="bottom"/>
            <w:gridSpan w:val="9"/>
          </w:tcPr>
          <w:p>
            <w:pPr>
              <w:jc w:val="center"/>
              <w:ind w:right="19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60" w:type="dxa"/>
            <w:vAlign w:val="bottom"/>
          </w:tcPr>
          <w:p>
            <w:pPr>
              <w:spacing w:after="0"/>
              <w:rPr>
                <w:sz w:val="21"/>
                <w:szCs w:val="21"/>
                <w:color w:val="auto"/>
              </w:rPr>
            </w:pPr>
          </w:p>
        </w:tc>
        <w:tc>
          <w:tcPr>
            <w:tcW w:w="17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72"/>
        </w:trPr>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(610) 989-0340</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90"/>
        </w:trPr>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-1998980</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w w:val="99"/>
              </w:rPr>
              <w:t>Trading Symbol</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41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6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CTLP</w:t>
            </w:r>
          </w:p>
        </w:tc>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4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4, 2024, there were 72,986,172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137160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EE"/>
        </w:rPr>
        <w:t>Part I - Financial Information</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Item</w:t>
      </w:r>
    </w:p>
    <w:p>
      <w:pPr>
        <w:spacing w:after="0" w:line="27" w:lineRule="exact"/>
        <w:rPr>
          <w:sz w:val="20"/>
          <w:szCs w:val="20"/>
          <w:color w:val="auto"/>
        </w:rPr>
      </w:pPr>
    </w:p>
    <w:p>
      <w:pPr>
        <w:ind w:left="1620" w:hanging="487"/>
        <w:spacing w:after="0"/>
        <w:tabs>
          <w:tab w:leader="none" w:pos="1620" w:val="left"/>
        </w:tabs>
        <w:numPr>
          <w:ilvl w:val="0"/>
          <w:numId w:val="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Condensed Consolidated Financial Statements</w:t>
      </w:r>
    </w:p>
    <w:p>
      <w:pPr>
        <w:spacing w:after="0" w:line="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September 30, 2024 (unaudited) and June 30, 2024</w:t>
            </w:r>
          </w:p>
        </w:tc>
        <w:tc>
          <w:tcPr>
            <w:tcW w:w="2160" w:type="dxa"/>
            <w:vAlign w:val="bottom"/>
            <w:gridSpan w:val="5"/>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 Three Months ended September 30, 2024 and 2023 (unaudited)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Months ended September 30, 2024 and 2023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2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Convertible Preferred Stock and Shareholders’ Equity - Three Months ended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2024 and 2023 (unaudited)</w:t>
            </w:r>
          </w:p>
        </w:tc>
        <w:tc>
          <w:tcPr>
            <w:tcW w:w="13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September 30, 2024 and 2023 (unaudited)</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73"/>
              </w:rPr>
              <w:t>2.</w:t>
            </w:r>
          </w:p>
        </w:tc>
        <w:tc>
          <w:tcPr>
            <w:tcW w:w="360" w:type="dxa"/>
            <w:vAlign w:val="bottom"/>
          </w:tcPr>
          <w:p>
            <w:pPr>
              <w:spacing w:after="0"/>
              <w:rPr>
                <w:sz w:val="18"/>
                <w:szCs w:val="18"/>
                <w:color w:val="auto"/>
              </w:rPr>
            </w:pPr>
          </w:p>
        </w:tc>
        <w:tc>
          <w:tcPr>
            <w:tcW w:w="64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460" w:type="dxa"/>
            <w:vAlign w:val="bottom"/>
            <w:gridSpan w:val="6"/>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73"/>
              </w:rPr>
              <w:t>3.</w:t>
            </w:r>
          </w:p>
        </w:tc>
        <w:tc>
          <w:tcPr>
            <w:tcW w:w="360" w:type="dxa"/>
            <w:vAlign w:val="bottom"/>
          </w:tcPr>
          <w:p>
            <w:pPr>
              <w:spacing w:after="0"/>
              <w:rPr>
                <w:sz w:val="18"/>
                <w:szCs w:val="18"/>
                <w:color w:val="auto"/>
              </w:rPr>
            </w:pPr>
          </w:p>
        </w:tc>
        <w:tc>
          <w:tcPr>
            <w:tcW w:w="4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560" w:type="dxa"/>
            <w:vAlign w:val="bottom"/>
            <w:gridSpan w:val="8"/>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4.</w:t>
            </w:r>
          </w:p>
        </w:tc>
        <w:tc>
          <w:tcPr>
            <w:tcW w:w="360" w:type="dxa"/>
            <w:vAlign w:val="bottom"/>
          </w:tcPr>
          <w:p>
            <w:pPr>
              <w:spacing w:after="0"/>
              <w:rPr>
                <w:sz w:val="18"/>
                <w:szCs w:val="18"/>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EE"/>
        </w:rPr>
        <w:t>Part II - Other Information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Item</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1140" w:type="dxa"/>
            <w:vAlign w:val="bottom"/>
          </w:tcPr>
          <w:p>
            <w:pPr>
              <w:spacing w:after="0"/>
              <w:rPr>
                <w:sz w:val="18"/>
                <w:szCs w:val="18"/>
                <w:color w:val="auto"/>
              </w:rPr>
            </w:pPr>
          </w:p>
        </w:tc>
        <w:tc>
          <w:tcPr>
            <w:tcW w:w="2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0"/>
              </w:rPr>
              <w:t>1A.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540" w:type="dxa"/>
            <w:vAlign w:val="bottom"/>
            <w:gridSpan w:val="4"/>
          </w:tcPr>
          <w:p>
            <w:pPr>
              <w:spacing w:after="0"/>
              <w:rPr>
                <w:sz w:val="18"/>
                <w:szCs w:val="18"/>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09"/>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10"/>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09"/>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60" w:type="dxa"/>
            <w:vAlign w:val="bottom"/>
            <w:gridSpan w:val="2"/>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10"/>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0000FF"/>
              </w:rPr>
              <w:t>Other Information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10"/>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Exhibits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6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229"/>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3"/>
                <w:szCs w:val="13"/>
                <w:color w:val="auto"/>
              </w:rPr>
            </w:pPr>
          </w:p>
        </w:tc>
        <w:tc>
          <w:tcPr>
            <w:tcW w:w="11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95"/>
        </w:trPr>
        <w:tc>
          <w:tcPr>
            <w:tcW w:w="84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4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58,920</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r>
        <w:trPr>
          <w:trHeight w:val="23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177,774</w:t>
            </w:r>
          </w:p>
        </w:tc>
        <w:tc>
          <w:tcPr>
            <w:tcW w:w="0" w:type="dxa"/>
            <w:vAlign w:val="bottom"/>
          </w:tcPr>
          <w:p>
            <w:pPr>
              <w:spacing w:after="0"/>
              <w:rPr>
                <w:sz w:val="1"/>
                <w:szCs w:val="1"/>
                <w:color w:val="auto"/>
              </w:rPr>
            </w:pPr>
          </w:p>
        </w:tc>
      </w:tr>
      <w:tr>
        <w:trPr>
          <w:trHeight w:val="216"/>
        </w:trPr>
        <w:tc>
          <w:tcPr>
            <w:tcW w:w="8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335,568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78,895</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obligations under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105,895</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36,284</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45,207</w:t>
            </w:r>
          </w:p>
        </w:tc>
        <w:tc>
          <w:tcPr>
            <w:tcW w:w="0" w:type="dxa"/>
            <w:vAlign w:val="bottom"/>
          </w:tcPr>
          <w:p>
            <w:pPr>
              <w:spacing w:after="0"/>
              <w:rPr>
                <w:sz w:val="1"/>
                <w:szCs w:val="1"/>
                <w:color w:val="auto"/>
              </w:rPr>
            </w:pPr>
          </w:p>
        </w:tc>
      </w:tr>
      <w:tr>
        <w:trPr>
          <w:trHeight w:val="216"/>
        </w:trPr>
        <w:tc>
          <w:tcPr>
            <w:tcW w:w="8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151,102</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900,000 shares authorized, 385,782 and 385,782 issued and outstanding, with</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liquidation preferences of $23,011 and $22,722 at September 30, 2024 and June 30, 2024, respectively</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no par value, 640,000,000 shares authorized, 72,986,172 and 72,935,497 shares issued and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September 30, 2024 and June 30, 2024, respectively</w:t>
            </w:r>
          </w:p>
        </w:tc>
        <w:tc>
          <w:tcPr>
            <w:tcW w:w="22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482,329</w:t>
            </w:r>
          </w:p>
        </w:tc>
        <w:tc>
          <w:tcPr>
            <w:tcW w:w="0" w:type="dxa"/>
            <w:vAlign w:val="bottom"/>
          </w:tcPr>
          <w:p>
            <w:pPr>
              <w:spacing w:after="0"/>
              <w:rPr>
                <w:sz w:val="1"/>
                <w:szCs w:val="1"/>
                <w:color w:val="auto"/>
              </w:rPr>
            </w:pPr>
          </w:p>
        </w:tc>
      </w:tr>
      <w:tr>
        <w:trPr>
          <w:trHeight w:val="27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(300,459)</w:t>
            </w:r>
          </w:p>
        </w:tc>
        <w:tc>
          <w:tcPr>
            <w:tcW w:w="0" w:type="dxa"/>
            <w:vAlign w:val="bottom"/>
          </w:tcPr>
          <w:p>
            <w:pPr>
              <w:spacing w:after="0"/>
              <w:rPr>
                <w:sz w:val="1"/>
                <w:szCs w:val="1"/>
                <w:color w:val="auto"/>
              </w:rPr>
            </w:pPr>
          </w:p>
        </w:tc>
      </w:tr>
      <w:tr>
        <w:trPr>
          <w:trHeight w:val="270"/>
        </w:trPr>
        <w:tc>
          <w:tcPr>
            <w:tcW w:w="8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6"/>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181,746</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312,135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335,568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062" w:right="339"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18415"/>
                    </a:xfrm>
                    <a:prstGeom prst="rect">
                      <a:avLst/>
                    </a:prstGeom>
                    <a:noFill/>
                  </pic:spPr>
                </pic:pic>
              </a:graphicData>
            </a:graphic>
          </wp:anchor>
        </w:drawing>
      </w:r>
    </w:p>
    <w:p>
      <w:pPr>
        <w:sectPr>
          <w:pgSz w:w="11900" w:h="16838" w:orient="portrait"/>
          <w:cols w:equalWidth="0" w:num="1">
            <w:col w:w="11240"/>
          </w:cols>
          <w:pgMar w:left="320" w:top="1062" w:right="339" w:bottom="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9"/>
        </w:trPr>
        <w:tc>
          <w:tcPr>
            <w:tcW w:w="8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9"/>
                <w:szCs w:val="19"/>
                <w:color w:val="auto"/>
              </w:rPr>
            </w:pPr>
          </w:p>
        </w:tc>
      </w:tr>
      <w:tr>
        <w:trPr>
          <w:trHeight w:val="37"/>
        </w:trPr>
        <w:tc>
          <w:tcPr>
            <w:tcW w:w="8500" w:type="dxa"/>
            <w:vAlign w:val="bottom"/>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data)</w:t>
            </w:r>
          </w:p>
        </w:tc>
        <w:tc>
          <w:tcPr>
            <w:tcW w:w="320" w:type="dxa"/>
            <w:vAlign w:val="bottom"/>
          </w:tcPr>
          <w:p>
            <w:pPr>
              <w:spacing w:after="0"/>
              <w:rPr>
                <w:sz w:val="17"/>
                <w:szCs w:val="17"/>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63,792</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55,135</w:t>
            </w:r>
          </w:p>
        </w:tc>
      </w:tr>
      <w:tr>
        <w:trPr>
          <w:trHeight w:val="270"/>
        </w:trPr>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r>
      <w:tr>
        <w:trPr>
          <w:trHeight w:val="250"/>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62,683</w:t>
            </w:r>
          </w:p>
        </w:tc>
      </w:tr>
      <w:tr>
        <w:trPr>
          <w:trHeight w:val="196"/>
        </w:trPr>
        <w:tc>
          <w:tcPr>
            <w:tcW w:w="8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sales (exclusive of certain depreciation and amortization):</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31,728</w:t>
            </w:r>
          </w:p>
        </w:tc>
      </w:tr>
      <w:tr>
        <w:trPr>
          <w:trHeight w:val="270"/>
        </w:trPr>
        <w:tc>
          <w:tcPr>
            <w:tcW w:w="8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5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41,985</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38,355</w:t>
            </w:r>
          </w:p>
        </w:tc>
      </w:tr>
      <w:tr>
        <w:trPr>
          <w:trHeight w:val="196"/>
        </w:trPr>
        <w:tc>
          <w:tcPr>
            <w:tcW w:w="8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r>
      <w:tr>
        <w:trPr>
          <w:trHeight w:val="270"/>
        </w:trPr>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70"/>
        </w:trPr>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w:t>
            </w:r>
          </w:p>
        </w:tc>
      </w:tr>
      <w:tr>
        <w:trPr>
          <w:trHeight w:val="270"/>
        </w:trPr>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8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5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21,573</w:t>
            </w:r>
          </w:p>
        </w:tc>
      </w:tr>
      <w:tr>
        <w:trPr>
          <w:trHeight w:val="216"/>
        </w:trPr>
        <w:tc>
          <w:tcPr>
            <w:tcW w:w="8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5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196"/>
        </w:trPr>
        <w:tc>
          <w:tcPr>
            <w:tcW w:w="8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70"/>
        </w:trPr>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70"/>
        </w:trPr>
        <w:tc>
          <w:tcPr>
            <w:tcW w:w="8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196"/>
        </w:trPr>
        <w:tc>
          <w:tcPr>
            <w:tcW w:w="8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70"/>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196"/>
        </w:trPr>
        <w:tc>
          <w:tcPr>
            <w:tcW w:w="8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7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shares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per common share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0"/>
        </w:trPr>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1">
            <w:col w:w="11240"/>
          </w:cols>
          <w:pgMar w:left="320" w:top="995" w:right="339" w:bottom="1145" w:gutter="0" w:footer="0" w:header="0"/>
        </w:sectPr>
      </w:pPr>
    </w:p>
    <w:p>
      <w:pPr>
        <w:ind w:left="20" w:right="240"/>
        <w:spacing w:after="0" w:line="281" w:lineRule="auto"/>
        <w:rPr>
          <w:sz w:val="20"/>
          <w:szCs w:val="20"/>
          <w:color w:val="auto"/>
        </w:rPr>
      </w:pPr>
      <w:r>
        <w:rPr>
          <w:rFonts w:ascii="Times New Roman" w:cs="Times New Roman" w:eastAsia="Times New Roman" w:hAnsi="Times New Roman"/>
          <w:sz w:val="18"/>
          <w:szCs w:val="18"/>
          <w:color w:val="auto"/>
        </w:rPr>
        <w:t>Weighted average number of common shares outstanding used to compute net earnings per share applicable to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Basic</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color w:val="auto"/>
        </w:rPr>
        <w:t>73,068,856</w:t>
      </w:r>
      <w:r>
        <w:rPr>
          <w:sz w:val="20"/>
          <w:szCs w:val="20"/>
          <w:color w:val="auto"/>
        </w:rPr>
        <w:tab/>
      </w:r>
      <w:r>
        <w:rPr>
          <w:rFonts w:ascii="Times New Roman" w:cs="Times New Roman" w:eastAsia="Times New Roman" w:hAnsi="Times New Roman"/>
          <w:sz w:val="17"/>
          <w:szCs w:val="17"/>
          <w:color w:val="auto"/>
        </w:rPr>
        <w:t>72,717,965</w:t>
      </w:r>
    </w:p>
    <w:p>
      <w:pPr>
        <w:spacing w:after="0" w:line="7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color w:val="auto"/>
        </w:rPr>
        <w:t>73,921,186</w:t>
      </w:r>
      <w:r>
        <w:rPr>
          <w:sz w:val="20"/>
          <w:szCs w:val="20"/>
          <w:color w:val="auto"/>
        </w:rPr>
        <w:tab/>
      </w:r>
      <w:r>
        <w:rPr>
          <w:rFonts w:ascii="Times New Roman" w:cs="Times New Roman" w:eastAsia="Times New Roman" w:hAnsi="Times New Roman"/>
          <w:sz w:val="17"/>
          <w:szCs w:val="17"/>
          <w:color w:val="auto"/>
        </w:rPr>
        <w:t>74,305,512</w:t>
      </w:r>
    </w:p>
    <w:p>
      <w:pPr>
        <w:spacing w:after="0" w:line="200" w:lineRule="exact"/>
        <w:rPr>
          <w:sz w:val="20"/>
          <w:szCs w:val="20"/>
          <w:color w:val="auto"/>
        </w:rPr>
      </w:pPr>
    </w:p>
    <w:p>
      <w:pPr>
        <w:sectPr>
          <w:pgSz w:w="11900" w:h="16838" w:orient="portrait"/>
          <w:cols w:equalWidth="0" w:num="2">
            <w:col w:w="8220" w:space="720"/>
            <w:col w:w="2300"/>
          </w:cols>
          <w:pgMar w:left="320" w:top="995" w:right="339" w:bottom="1145"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995" w:right="339" w:bottom="114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145"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37"/>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Three Month Period Ended September 30,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19"/>
                <w:szCs w:val="19"/>
                <w:color w:val="auto"/>
              </w:rPr>
            </w:pPr>
          </w:p>
        </w:tc>
        <w:tc>
          <w:tcPr>
            <w:tcW w:w="178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9"/>
                <w:szCs w:val="19"/>
                <w:color w:val="auto"/>
              </w:rPr>
            </w:pPr>
          </w:p>
        </w:tc>
        <w:tc>
          <w:tcPr>
            <w:tcW w:w="108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020" w:type="dxa"/>
            <w:vAlign w:val="bottom"/>
            <w:gridSpan w:val="3"/>
            <w:vMerge w:val="restart"/>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1080" w:type="dxa"/>
            <w:vAlign w:val="bottom"/>
          </w:tcPr>
          <w:p>
            <w:pPr>
              <w:jc w:val="center"/>
              <w:ind w:right="62"/>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right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72,935,497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482,329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181,746</w:t>
            </w:r>
          </w:p>
        </w:tc>
        <w:tc>
          <w:tcPr>
            <w:tcW w:w="20" w:type="dxa"/>
            <w:vAlign w:val="bottom"/>
            <w:tcBorders>
              <w:top w:val="single" w:sz="8" w:color="D9D9D9"/>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right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72,986,172</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483,052</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(296,887)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5"/>
        </w:trPr>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 Period Ended September 30, 2023</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840" w:type="dxa"/>
            <w:vAlign w:val="bottom"/>
            <w:gridSpan w:val="5"/>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500" w:type="dxa"/>
            <w:vAlign w:val="bottom"/>
          </w:tcPr>
          <w:p>
            <w:pPr>
              <w:spacing w:after="0"/>
              <w:rPr>
                <w:sz w:val="20"/>
                <w:szCs w:val="20"/>
                <w:color w:val="auto"/>
              </w:rPr>
            </w:pPr>
          </w:p>
        </w:tc>
        <w:tc>
          <w:tcPr>
            <w:tcW w:w="178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60" w:type="dxa"/>
            <w:vAlign w:val="bottom"/>
          </w:tcPr>
          <w:p>
            <w:pPr>
              <w:spacing w:after="0"/>
              <w:rPr>
                <w:sz w:val="20"/>
                <w:szCs w:val="20"/>
                <w:color w:val="auto"/>
              </w:rPr>
            </w:pPr>
          </w:p>
        </w:tc>
        <w:tc>
          <w:tcPr>
            <w:tcW w:w="18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020" w:type="dxa"/>
            <w:vAlign w:val="bottom"/>
            <w:gridSpan w:val="3"/>
            <w:vMerge w:val="restart"/>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080" w:type="dxa"/>
            <w:vAlign w:val="bottom"/>
          </w:tcPr>
          <w:p>
            <w:pPr>
              <w:jc w:val="center"/>
              <w:ind w:right="62"/>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right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72,664,464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right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72,695,265</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479,332</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(310,445)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5" w:right="31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9"/>
        </w:trPr>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3"/>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inventory reserve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foreign currency exchange rates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receivables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54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ectPr>
          <w:pgSz w:w="11900" w:h="16838" w:orient="portrait"/>
          <w:cols w:equalWidth="0" w:num="1">
            <w:col w:w="11120"/>
          </w:cols>
          <w:pgMar w:left="320" w:top="995" w:right="45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p>
      <w:pPr>
        <w:spacing w:after="0" w:line="63" w:lineRule="exact"/>
        <w:rPr>
          <w:sz w:val="20"/>
          <w:szCs w:val="20"/>
          <w:color w:val="auto"/>
        </w:rPr>
      </w:pPr>
    </w:p>
    <w:p>
      <w:pPr>
        <w:ind w:left="20" w:right="2980"/>
        <w:spacing w:after="0" w:line="360" w:lineRule="auto"/>
        <w:rPr>
          <w:sz w:val="20"/>
          <w:szCs w:val="20"/>
          <w:color w:val="auto"/>
        </w:rPr>
      </w:pPr>
      <w:r>
        <w:rPr>
          <w:rFonts w:ascii="Times New Roman" w:cs="Times New Roman" w:eastAsia="Times New Roman" w:hAnsi="Times New Roman"/>
          <w:sz w:val="18"/>
          <w:szCs w:val="18"/>
          <w:color w:val="auto"/>
        </w:rPr>
        <w:t>Payment of employee taxes related to stock-based compensation 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0548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5485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179705"/>
                    </a:xfrm>
                    <a:prstGeom prst="rect">
                      <a:avLst/>
                    </a:prstGeom>
                    <a:noFill/>
                  </pic:spPr>
                </pic:pic>
              </a:graphicData>
            </a:graphic>
          </wp:anchor>
        </w:drawing>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054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485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0548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340" w:hanging="1429"/>
        <w:spacing w:after="0"/>
        <w:tabs>
          <w:tab w:leader="none" w:pos="2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w:t>
      </w:r>
    </w:p>
    <w:p>
      <w:pPr>
        <w:spacing w:after="0" w:line="90"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pacing w:after="0" w:line="63" w:lineRule="exact"/>
        <w:rPr>
          <w:sz w:val="20"/>
          <w:szCs w:val="20"/>
          <w:color w:val="auto"/>
        </w:rPr>
      </w:pPr>
    </w:p>
    <w:p>
      <w:pPr>
        <w:ind w:left="2500" w:hanging="1589"/>
        <w:spacing w:after="0"/>
        <w:tabs>
          <w:tab w:leader="none" w:pos="2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340" w:hanging="1429"/>
        <w:spacing w:after="0"/>
        <w:tabs>
          <w:tab w:leader="none" w:pos="2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748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r>
      <w:tr>
        <w:trPr>
          <w:trHeight w:val="270"/>
        </w:trPr>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50,927</w:t>
            </w:r>
          </w:p>
        </w:tc>
      </w:tr>
      <w:tr>
        <w:trPr>
          <w:trHeight w:val="270"/>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33,124</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54,597</w:t>
            </w:r>
          </w:p>
        </w:tc>
      </w:tr>
      <w:tr>
        <w:trPr>
          <w:trHeight w:val="27"/>
        </w:trPr>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640" w:space="720"/>
            <w:col w:w="2760"/>
          </w:cols>
          <w:pgMar w:left="320" w:top="995"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3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7"/>
        </w:trPr>
        <w:tc>
          <w:tcPr>
            <w:tcW w:w="51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37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120"/>
          </w:cols>
          <w:pgMar w:left="320" w:top="995" w:right="45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5" w:right="4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Cantaloupe, Inc., is organized under the laws of the Commonwealth of Pennsylvania. We are a digital payments and software services company that provides end-to-end technology solutions for self-service commerce. We offer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Our customers range from vending machine companies to operators of micro-markets and smart retail, laundromats, metered parking terminals, amusement and entertainment venues, IoT services and more.</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Cantaloupe, Inc. and its consolidated subsidiaries are referred to herein collectively as "Cantaloupe," the "Company," "we," "our" or "us," unless the context requires otherwise.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Preparation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All intercompany transactions and balances have been eliminated in consolidation.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generally accepted accounting principles in the United States of America ("U.S. GAAP")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2024 Annual Report on Form 10-K.</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operations in the United States, Mexico and the United Kingdom. The functional currencies of our foreign wholly-owned subsidiaries are the local currencies. We translate the financial statements of these subsidiaries into U.S. dollars each reporting period for purposes of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assumptions and judgments that affect the amounts reported in the condensed consolidated financial statements and accompanying notes. The Company evaluates these estimates on an ongoing basis.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Estimates, judgments, and assumptions in these condensed consolidated financial statements include, but are not limited to, those related to revenue recognition, capitalization of internal-use software and cloud computing arrangements, fair value of acquired assets and liabilities including goodwill through purchase accounting, income taxes and sales tax reserves. See the Company's Annual Report,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section Critical Accounting Estimates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year's reported amounts in order to conform to the current year presentation. These reclassifications did not impact our previously reported net income or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which expands income tax disclosure requirements to include additional information related to the rate reconciliation of effective tax rates to statutory rates as well as additional disaggregation of taxes</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paid. The amendments in the ASU also remove disclosures related to certain unrecognized tax benefits and deferred taxes. ASU 2023-09 is effective for fiscal years beginning after December 15, 2024, which is the Company's fiscal year ended June 30, 2026. The amendments may be applied prospectively or retrospectively, and early adoption is permitted. We are currently assessing the impact of the requirements on our consolidated financial statements and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Improvements to Reportable Segment Disclosures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which is the Company's fiscal year ended June 30, 2025. Interim disclosures are required for periods within fiscal years beginning after December 15, 2024, which is the Company's fiscal year ended June 30, 2026. Retrospective application is required for all prior periods presented, and early adoption is permitted. We are currently assessing the impact of the requirements on our consolidated financial statements and disclosures.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period ended September 30, 2024, have had or are expected to have a significant impact on the Company’s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includes amounts due to the Company for sales of equipment and subscription fees, settlement receivables for amounts due from third-party payment processors, receivables from contract manufacturers and unbilled amounts due from customers, net of the allowance for credit losses. Accounts receivable, net of the allowance for uncollectible accounts were $32.5 million as of September 30, 2024 and $43.8 million as of June 30,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credit losses for the three months ended September 30, 2024 and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quarter</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0" w:type="dxa"/>
            <w:vAlign w:val="bottom"/>
          </w:tcPr>
          <w:p>
            <w:pPr>
              <w:spacing w:after="0"/>
              <w:rPr>
                <w:sz w:val="1"/>
                <w:szCs w:val="1"/>
                <w:color w:val="auto"/>
              </w:rPr>
            </w:pPr>
          </w:p>
        </w:tc>
      </w:tr>
      <w:tr>
        <w:trPr>
          <w:trHeight w:val="234"/>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8"/>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end of quarter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0" w:type="dxa"/>
            <w:vAlign w:val="bottom"/>
          </w:tcPr>
          <w:p>
            <w:pPr>
              <w:spacing w:after="0"/>
              <w:rPr>
                <w:sz w:val="1"/>
                <w:szCs w:val="1"/>
                <w:color w:val="auto"/>
              </w:rPr>
            </w:pPr>
          </w:p>
        </w:tc>
      </w:tr>
      <w:tr>
        <w:trPr>
          <w:trHeight w:val="22"/>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FINANCE RECEIVABLES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finance receivables consist of devices under its financing program and devices contractually associated with the Seed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Predominately all of the Company’s finance receivables agreements are classified as non-cancellable sixty-month sales-type leases.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collects lease payments from customers primarily as part of the flow of funds from our transaction processing services. Balances are considered past due if customers do not have sufficient transaction revenue to cover the monthly lease payment by the end of the monthly billing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ind w:right="20"/>
        <w:spacing w:after="0" w:line="250" w:lineRule="auto"/>
        <w:rPr>
          <w:sz w:val="20"/>
          <w:szCs w:val="20"/>
          <w:color w:val="auto"/>
        </w:rPr>
      </w:pPr>
      <w:r>
        <w:rPr>
          <w:rFonts w:ascii="Times New Roman" w:cs="Times New Roman" w:eastAsia="Times New Roman" w:hAnsi="Times New Roman"/>
          <w:sz w:val="18"/>
          <w:szCs w:val="18"/>
          <w:color w:val="auto"/>
        </w:rPr>
        <w:t>At September 30, 2024, the gross lease receivable by current payment performance on a contractual basis and year of origination consisted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2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8"/>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40" w:type="dxa"/>
            <w:vAlign w:val="bottom"/>
          </w:tcPr>
          <w:p>
            <w:pPr>
              <w:spacing w:after="0"/>
              <w:rPr>
                <w:sz w:val="17"/>
                <w:szCs w:val="17"/>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r>
      <w:tr>
        <w:trPr>
          <w:trHeight w:val="2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17,302</w:t>
            </w:r>
          </w:p>
        </w:tc>
      </w:tr>
      <w:tr>
        <w:trPr>
          <w:trHeight w:val="21"/>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gross lease receivable by current payment performance on a contractual basis and year of origination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2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1"/>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6"/>
                <w:szCs w:val="16"/>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18,361</w:t>
            </w:r>
          </w:p>
        </w:tc>
      </w:tr>
      <w:tr>
        <w:trPr>
          <w:trHeight w:val="21"/>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finance receivables for the three months ended September 30, 2024 and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7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4"/>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write-offs of finance receivables for the three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to be collected on our performing finance receivables due for each of the fiscal years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5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amounts to be collected</w:t>
            </w:r>
          </w:p>
        </w:tc>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18,432</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interest</w:t>
            </w:r>
          </w:p>
        </w:tc>
        <w:tc>
          <w:tcPr>
            <w:tcW w:w="5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allowance for uncollectible receivables</w:t>
            </w:r>
          </w:p>
        </w:tc>
        <w:tc>
          <w:tcPr>
            <w:tcW w:w="5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5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jc w:val="right"/>
              <w:ind w:right="411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0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operating leases which are primarily real estate leases used for corporate functions, product development, sales, and other purposes. The following table provides supplemental balance sheet information related to the Company's operating leases: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6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60" w:type="dxa"/>
            <w:vAlign w:val="bottom"/>
          </w:tcPr>
          <w:p>
            <w:pPr>
              <w:spacing w:after="0"/>
              <w:rPr>
                <w:sz w:val="23"/>
                <w:szCs w:val="23"/>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8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60" w:type="dxa"/>
            <w:vAlign w:val="bottom"/>
          </w:tcPr>
          <w:p>
            <w:pPr>
              <w:spacing w:after="0"/>
              <w:rPr>
                <w:sz w:val="22"/>
                <w:szCs w:val="22"/>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our leases are as follows:</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0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8"/>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440" w:type="dxa"/>
            <w:vAlign w:val="bottom"/>
            <w:tcBorders>
              <w:bottom w:val="single" w:sz="8" w:color="auto"/>
            </w:tcBorders>
            <w:gridSpan w:val="2"/>
            <w:vMerge w:val="continue"/>
          </w:tcPr>
          <w:p>
            <w:pPr>
              <w:spacing w:after="0"/>
              <w:rPr>
                <w:sz w:val="16"/>
                <w:szCs w:val="16"/>
                <w:color w:val="auto"/>
              </w:rPr>
            </w:pPr>
          </w:p>
        </w:tc>
        <w:tc>
          <w:tcPr>
            <w:tcW w:w="4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0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4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Pr>
          <w:p>
            <w:pPr>
              <w:spacing w:after="0"/>
              <w:rPr>
                <w:sz w:val="20"/>
                <w:szCs w:val="20"/>
                <w:color w:val="auto"/>
              </w:rPr>
            </w:pPr>
          </w:p>
        </w:tc>
        <w:tc>
          <w:tcPr>
            <w:tcW w:w="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7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Maturities of lease liabilities by fiscal year for our leases as of September 30, 2024 are as follows: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gridSpan w:val="2"/>
            <w:vMerge w:val="continue"/>
          </w:tcPr>
          <w:p>
            <w:pPr>
              <w:spacing w:after="0"/>
              <w:rPr>
                <w:sz w:val="17"/>
                <w:szCs w:val="17"/>
                <w:color w:val="auto"/>
              </w:rPr>
            </w:pPr>
          </w:p>
        </w:tc>
        <w:tc>
          <w:tcPr>
            <w:tcW w:w="4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(4,184)</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Lessor Accounting</w:t>
            </w:r>
          </w:p>
        </w:tc>
        <w:tc>
          <w:tcPr>
            <w:tcW w:w="4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440" w:type="dxa"/>
            <w:vAlign w:val="bottom"/>
            <w:gridSpan w:val="2"/>
            <w:vMerge w:val="continue"/>
          </w:tcPr>
          <w:p>
            <w:pPr>
              <w:spacing w:after="0"/>
              <w:rPr>
                <w:sz w:val="24"/>
                <w:szCs w:val="24"/>
                <w:color w:val="auto"/>
              </w:rPr>
            </w:pPr>
          </w:p>
        </w:tc>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used for the operating lease rental program consisted of the following:</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40" w:type="dxa"/>
            <w:vAlign w:val="bottom"/>
            <w:tcBorders>
              <w:bottom w:val="single" w:sz="8" w:color="auto"/>
            </w:tcBorders>
            <w:gridSpan w:val="2"/>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5"/>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4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(24,742)</w:t>
            </w:r>
          </w:p>
        </w:tc>
        <w:tc>
          <w:tcPr>
            <w:tcW w:w="0" w:type="dxa"/>
            <w:vAlign w:val="bottom"/>
          </w:tcPr>
          <w:p>
            <w:pPr>
              <w:spacing w:after="0"/>
              <w:rPr>
                <w:sz w:val="1"/>
                <w:szCs w:val="1"/>
                <w:color w:val="auto"/>
              </w:rPr>
            </w:pPr>
          </w:p>
        </w:tc>
      </w:tr>
      <w:tr>
        <w:trPr>
          <w:trHeight w:val="27"/>
        </w:trPr>
        <w:tc>
          <w:tcPr>
            <w:tcW w:w="2440" w:type="dxa"/>
            <w:vAlign w:val="bottom"/>
            <w:tcBorders>
              <w:bottom w:val="single" w:sz="8" w:color="CCEEFF"/>
            </w:tcBorders>
            <w:gridSpan w:val="2"/>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4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7,548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2" w:name="page13"/>
    <w:bookmarkEnd w:id="12"/>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recognized $2.3 million and $2.0 million of revenue from its device rental program, respectively, which is included in the Subscription and Transaction fees on its Condensed Consolidated Statements of Operations.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Company’s net investment in sales-type leases (carrying value of lease receivables) and the future minimum amounts to be collected on these lease receivables as of September 30, 2024 are disclosed within </w:t>
      </w:r>
      <w:r>
        <w:rPr>
          <w:rFonts w:ascii="Times New Roman" w:cs="Times New Roman" w:eastAsia="Times New Roman" w:hAnsi="Times New Roman"/>
          <w:sz w:val="18"/>
          <w:szCs w:val="18"/>
          <w:i w:val="1"/>
          <w:iCs w:val="1"/>
          <w:color w:val="auto"/>
        </w:rPr>
        <w:t>Note 4 - Finance Receivables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 AND OTHER FINANCING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September 30, 2024 and June 30, 2024 consisted of the following:</w:t>
      </w:r>
    </w:p>
    <w:p>
      <w:pPr>
        <w:spacing w:after="0" w:line="35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80" w:type="dxa"/>
            <w:vAlign w:val="bottom"/>
          </w:tcPr>
          <w:p>
            <w:pPr>
              <w:spacing w:after="0"/>
              <w:rPr>
                <w:sz w:val="16"/>
                <w:szCs w:val="16"/>
                <w:color w:val="auto"/>
              </w:rPr>
            </w:pPr>
          </w:p>
        </w:tc>
        <w:tc>
          <w:tcPr>
            <w:tcW w:w="15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20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7"/>
                <w:szCs w:val="17"/>
                <w:color w:val="auto"/>
              </w:rPr>
            </w:pPr>
          </w:p>
        </w:tc>
        <w:tc>
          <w:tcPr>
            <w:tcW w:w="16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4"/>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r>
      <w:tr>
        <w:trPr>
          <w:trHeight w:val="22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issuance costs and debt discount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37,550</w:t>
            </w: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36,284</w:t>
            </w:r>
          </w:p>
        </w:tc>
      </w:tr>
      <w:tr>
        <w:trPr>
          <w:trHeight w:val="21"/>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discussion below on amendment to the JPMorgan Credit Facility.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JPMorgan Chase Bank Credit Facility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replaced our previous 2021 JPMorgan credit facility.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2022, the Company entered into an amendment (the “2022 Amendment”) the Amended and Restated Credit Agreement, dated as of March 17, 2022, which, among other things, amended the definition of the Company’s EBITDA under the Credit Agreement. On December 1, 2022, the Company borrowed an additional $25 million under the Amended JPMorgan Credit Facility, including $15 million from the revolving credit facility and $10 million from the term facility. No issuance costs were capitalized in connection with this amendment.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JPMorgan Credit Facility matures on March 16, 2026. Interest on the Amended JPMorgan Credit Facility will be based, at the Company’s option, on a base rate or SOFR plus an applicable margin tied to the Company’s total leverage ratio and having ranges of between 2.50% and 3.00% for base rate loans and between 3.50% and 4.00% for SOFR loans. Subject to the occurrence of a material acquisition and the Company’s total leverage ratio exceeding 3.00 to 1.00, the interest rate on the loans may increase by 0.25%. In an event of default, the interest rate may be increased by 2.00%. The Amended JPMorgan Credit Facility will also carry a commitment fee of 0.50% per annum on the unused portion. As of September 30, 2024, the weighted-average interest rate for the Amended JPMorgan Credit Facility is approximately 8.9%.</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covenants for the Amended JPMorgan Credit Facility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The expected maturities for each fiscal year associated with the Company’s outstanding debt and other financing arrangements as of September 30, 2024,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amounts payable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1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September 30, 2024 and June 30, 2024:</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380" w:type="dxa"/>
            <w:vAlign w:val="bottom"/>
          </w:tcPr>
          <w:p>
            <w:pPr>
              <w:spacing w:after="0"/>
              <w:rPr>
                <w:sz w:val="24"/>
                <w:szCs w:val="24"/>
                <w:color w:val="auto"/>
              </w:rPr>
            </w:pP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203"/>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7"/>
                <w:szCs w:val="17"/>
                <w:color w:val="auto"/>
              </w:rPr>
            </w:pPr>
          </w:p>
        </w:tc>
        <w:tc>
          <w:tcPr>
            <w:tcW w:w="156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reserve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the fair value of SB Software contingent consideration*</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Consideration withheld for the 32M acquisition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withheld for the Cheq acquisition*</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Note 9 - Acquisition</w:t>
      </w:r>
      <w:r>
        <w:rPr>
          <w:rFonts w:ascii="Times New Roman" w:cs="Times New Roman" w:eastAsia="Times New Roman" w:hAnsi="Times New Roman"/>
          <w:sz w:val="16"/>
          <w:szCs w:val="16"/>
          <w:color w:val="auto"/>
        </w:rPr>
        <w:t xml:space="preserve"> for description of the arrangement.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balances and goodwill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3"/>
                <w:szCs w:val="13"/>
                <w:color w:val="auto"/>
              </w:rPr>
            </w:pPr>
          </w:p>
        </w:tc>
        <w:tc>
          <w:tcPr>
            <w:tcW w:w="11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580" w:type="dxa"/>
            <w:vAlign w:val="bottom"/>
            <w:gridSpan w:val="2"/>
          </w:tcPr>
          <w:p>
            <w:pPr>
              <w:jc w:val="center"/>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Remaining Useful Life</w:t>
            </w:r>
          </w:p>
        </w:tc>
        <w:tc>
          <w:tcPr>
            <w:tcW w:w="0" w:type="dxa"/>
            <w:vAlign w:val="bottom"/>
          </w:tcPr>
          <w:p>
            <w:pPr>
              <w:spacing w:after="0"/>
              <w:rPr>
                <w:sz w:val="1"/>
                <w:szCs w:val="1"/>
                <w:color w:val="auto"/>
              </w:rPr>
            </w:pPr>
          </w:p>
        </w:tc>
      </w:tr>
      <w:tr>
        <w:trPr>
          <w:trHeight w:val="198"/>
        </w:trPr>
        <w:tc>
          <w:tcPr>
            <w:tcW w:w="5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147"/>
        </w:trPr>
        <w:tc>
          <w:tcPr>
            <w:tcW w:w="5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 names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102,708</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320" w:type="dxa"/>
            <w:vAlign w:val="bottom"/>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148"/>
        </w:trPr>
        <w:tc>
          <w:tcPr>
            <w:tcW w:w="5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 names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and September 30, 2023, the Company recognized $1.3 million and $1.6 million, respectively, in amortization expense related to intangible assets.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performs an annual goodwill impairment test on April 1 and more frequently if events and circumstances indicate that the asset might be impaired. The Company has determined that there is one single reporting unit for purposes of testing goodwill for impairment. During the three ended September 30, 2024 and September 30, 2023, the Company did not recognize any impairment charges related to goodwill.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2024, the Company acquired all of the equity interests of SB Software Limited ("SB Software"), a United Kingdom private limited company. SB Software is in the business of vending and coffee machine management in the United Kingdom. The acquisition enhances Cantaloupe’s operational capabilities and market reach in Europe.</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1, 2024, the Company acquired all of the equity interests of Cheq Lifestyle Technology, Inc. ("Cheq"). Cheq powers payments for numerous professional sports teams, entertainment venues and festival operators through its enterprise-grade payment devices and mobile ordering platform. The acquisition positions Cantaloupe for expansion into the large and rapidly growing sports, entertainment, and restaurant sectors with a comprehensive suite of self-service solutions.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acquisitions were accounted for as business combinations using the acquisition method of accounting. The purchase price of each acquired company was allocated between tangible and intangible assets acquired and liabilities assumed from the acquired businesses based on their estimated fair values using primarily Level 3 inputs under ASC Topic 820, "Fair Value Measurement", with the residual of the purchase price recorded as goodwill.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 Software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SB Software, the Company paid a purchase price of approximately $11.4 million which includes cash paid of $10.0 million and the estimated fair value of contingent consideration to be paid out of $1.4 million. The acquisition was funded by the Company's cash on hand.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$1.4 million fair value of the contingent consideration to be paid out represents the present value of up to $3.3 million in contingent consideration based on a Monte Carlo Simulation should SB Software achieve certain revenue growth metrics as defined in the share purchase agreement. Should these metrics be achieved, approximately $1.3 million, $1.0 million and $1.0 million will be payable in September 2025, September 2026 and September 2027, respectively. The current and noncurrent portions of the fair value of the contingent consideration of $0.5 million and $0.8 million are included in Accrued expenses and Other non-current liabilities on the Condensed Consolidated Balance Sheet,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assigned to the assets acquired and liabilities assumed: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r>
      <w:tr>
        <w:trPr>
          <w:trHeight w:val="223"/>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considerations transferred</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the estimated fair value of the identifiable intangible assets acquired with the assistance of third-party valuation consultants. Amounts allocated to identifiable intangible assets included $3.0 million related to developed technology, $0.2 million related to customer relationships, and $0.2 million related to trade names. The estimated fair value of the acquired developed technology was determined using a multi-period excess earnings method. The estimated fair value of the acquired customer relationships was determined using the distributor method which estimates the value using the cash flow impact in a scenario where the customer relationships are not in place. The estimated fair value of the acquired trade names was determined using the relief from royalty method which estimates the value using the discounted value of the royalty that a company would pay to license the trade name. The recognized intangible assets will be amortized on a straight-line basis over the estimated useful lives of the respective assets. The estimated useful lives for developed technology, customer relationship, trade names were 5, 3 and 3 years, respectively.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of $7.7 million arising from the acquisition includes the expected synergies between SB Software and the Company. The goodwill, which is not deductible for income tax purposes, was assigned to the Company’s only reporting unit.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$0.2 million of integration and acquisition related costs that were expensed during the three months ended September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recorded within Integration and acquisition expenses in the Condensed Consolidated Statements of Operations.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allocation of the purchase price is currently provisional and is subject to change over the remainder of the measurement period as the Company continues to evaluate and analyze the estimates and assumptions used in the valuation. Pro forma financial information of the acquisition and revenue and net income since acquisition are not presented due to the immaterial impact of the financial results of SB Software in the Company's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Cheq</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Cheq, the Company paid an aggregate purchase price consideration of $4.7 million, including $1.1 million in accounts payable paid concurrently with the acquisition and $0.9 million cash held back by the Company for net working capital and other post-closing adjustments. The acquisition was funded by the Company's cash on hand. Cash held back by the Company is expected to be paid after post-closing adjustments on January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table summarizes the adjusted fair value assigned to the assets acquired and liabilities assumed: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considerations transferred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the fair value of the identifiable intangible assets acquired with the assistance of third-party valuation consultants. Amounts allocated to identifiable intangible assets included $1.4 million related to developed technology, $0.2 million related to customer relationships, and $0.2 million related to trade names. The fair value of the acquired developed technology was determined using a multi-period excess earnings method. The fair value of the acquired customer relationships was determined using the distributor method which estimates the value using the cash flow impact in a scenario where the customer relationships are not in place. The fair value of the acquired trade names was determined using the relief from royalty method which estimates the value using the discounted value of the royalty that a company would pay to license the trade name. The recognized intangible assets will be amortized on a straight-line basis over the estimated useful lives of the respective assets. The estimated useful lives for developed technology, customer relationship, trade names were 5, 3 and 3 years, respectively.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of $2.0 million arising from the acquisition includes the expected synergies between Cheq and the Company. The goodwill, which is not deductible for income tax purposes, was assigned to the Company’s only reporting unit.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$1.1 million of integration and acquisition related costs that were expensed during the year ended June 30, 2024. These costs are recorded within Integration and acquisition expenses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similar operational characteristics, the Company's revenues are disaggregated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3"/>
                <w:szCs w:val="13"/>
                <w:color w:val="auto"/>
              </w:rPr>
            </w:pPr>
          </w:p>
        </w:tc>
      </w:tr>
      <w:tr>
        <w:trPr>
          <w:trHeight w:val="194"/>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96"/>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37,030</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18,105</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portion of the Company’s revenues relate to rental lease arrangements. The Company leases equipment to customers under the Cantaloupe One program which is accounted for as operating leases in accordance with ASC 842. Lease revenue is recognized on a straight-line basis over the term of the lease. As described in </w:t>
      </w:r>
      <w:r>
        <w:rPr>
          <w:rFonts w:ascii="Times New Roman" w:cs="Times New Roman" w:eastAsia="Times New Roman" w:hAnsi="Times New Roman"/>
          <w:sz w:val="18"/>
          <w:szCs w:val="18"/>
          <w:i w:val="1"/>
          <w:iCs w:val="1"/>
          <w:color w:val="auto"/>
        </w:rPr>
        <w:t>Note 4 - Finance Receivables</w:t>
      </w:r>
      <w:r>
        <w:rPr>
          <w:rFonts w:ascii="Times New Roman" w:cs="Times New Roman" w:eastAsia="Times New Roman" w:hAnsi="Times New Roman"/>
          <w:sz w:val="18"/>
          <w:szCs w:val="18"/>
          <w:color w:val="auto"/>
        </w:rPr>
        <w:t>, the Company leases equipment under sales-type finance leases in accordance with ASC 842.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Company's revenues earned under ASC Topic 842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3"/>
                <w:szCs w:val="13"/>
                <w:color w:val="auto"/>
              </w:rPr>
            </w:pPr>
          </w:p>
        </w:tc>
      </w:tr>
      <w:tr>
        <w:trPr>
          <w:trHeight w:val="194"/>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96"/>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Sales-type finance leases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represent revenues earned from customers that are not yet billable to customers, generally due to the timing of when equipment and services are delivered to customers on bundled contracts, or as a result of contracts costs as described below. Contract assets that will be billed within the next 12 months are included in Prepaid expenses and other current assets and all others are included in Other assets on the Condensed Consolidated Balance Sheets. Contract assets were $2.5 million and $2.6 million, as of September 30, 2024 and June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liability balances, presented as Deferred revenue on the Condensed Consolidated Balance Sheets, is primarily the result of timing difference between the Company’s satisfaction of a performance obligation and payment from the customer.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 period</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Performance Obligations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are primarily associated with the Company's Cantaloupe ONE rental program which has a contractual term of 36 months. The following table reflects the estimated fees to be recognized in the future related to performance obligations that are unsatisfied as of September 30,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r>
      <w:tr>
        <w:trPr>
          <w:trHeight w:val="23"/>
        </w:trPr>
        <w:tc>
          <w:tcPr>
            <w:tcW w:w="9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6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9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net capitalized costs to obtain contracts of $0.9 million and $0.9 million included in Prepaid expenses and other current assets and $2.4 million and $2.4 million included in Other noncurrent assets on the Condensed Consolidated Balance Sheets as of September 30, 2024 and June 30, 2024, respectively. None of these capitalized contract costs were impaired.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and September 30, 2023, amortization of capitalized contract costs was $0.2 million and $0.2 million, respectively. Amortization of costs to obtain a contract are included within Sales and marketing expenses within the Consolidated Statement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with service conditions (i.e., a condition that requires an employee to render services to the Company for a stated period of time to vest)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fair value of options granted during the three months ended September 30, 2024 and 2023 were determined using the following assumptions and includes only options with an established grant date under ASC 718:</w:t>
      </w: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(percent)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- 69.7%</w:t>
            </w:r>
          </w:p>
        </w:tc>
      </w:tr>
      <w:tr>
        <w:trPr>
          <w:trHeight w:val="23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(years)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4.2 - 4.5</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(percent)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 (percent)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- 4.3%</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options granted</w:t>
            </w:r>
          </w:p>
        </w:tc>
        <w:tc>
          <w:tcPr>
            <w:tcW w:w="27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20,000</w:t>
            </w:r>
          </w:p>
        </w:tc>
        <w:tc>
          <w:tcPr>
            <w:tcW w:w="8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110,000</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7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6.35</w:t>
            </w:r>
          </w:p>
        </w:tc>
        <w:tc>
          <w:tcPr>
            <w:tcW w:w="8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7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2.88</w:t>
            </w:r>
          </w:p>
        </w:tc>
        <w:tc>
          <w:tcPr>
            <w:tcW w:w="8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related to stock options with an established grant date for the three months ended September 30, 2024 and 2023 was $0.5 million and $1.1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service based restricted stock awards to employees. The Company determines expense related to restricted stock awards using the closing stock price on the grant date and these awards are expensed under the accelerated attribution method over the vesting period which is typically a three-year service period. The total expense recognized for restricted stock awards for the three months ended September 30, 2024 and 2023 was $0.4 million and $0.5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its interim period income tax expense or benefit using a forecasted estimated annual effective tax rate ("EAETR") and adjusts for any discrete items arising during the interim period and any changes in the Company's projected full-year business interest expense and taxable income. For the three months ended September 30, 2024, the EAETR was 5.1% and was based primarily on minimum state tax obligations.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recorded an income tax provision of $0.2 million and $0.1 million, respectively. The income tax provisions for both quarters primarily relate to state income and deferred taxes related to goodwill amortization for tax purposes. The provision was based upon actual income before income taxes for the three months ended September 30, 2024, as this provides a more reliable estimate of the income tax provision than an estimated annual effective income tax rate. The Company had a total unrecognized income tax benefit of $0.7 million and $0.7 million as of September 30, 2024 and 2023, respectively.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significant deferred tax assets, a substantial amount of which result from operating loss carryforwards. The Company routinely evaluates its ability to realize the benefits of these assets to determine whether it is more likely than not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such benefit will be realized. The Company believes that for the year ended September 30, 2024, it is more likely than not that its deferred tax assets will not be realized. Accordingly, the Company has established a full valuation allowance on its net deferred tax assets. The Company intends to continue maintaining a full valuation allowance on its federal and state deferred tax assets until there is sufficient evidence to support the reversal of all or some portion of this allowance. However, given the Company’s current earnings and anticipated future earnings, the Company believes that there is a reasonable possibility in a future period that sufficient positive evidence may become available to allow the Company to reach a conclusion that a significant portion of the valuation allowance will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the Company is able to actually achieve.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 CALCULATION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earnings per share is presented below:</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4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34"/>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loss per share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2,007</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(289)</w:t>
            </w:r>
          </w:p>
        </w:tc>
      </w:tr>
      <w:tr>
        <w:trPr>
          <w:trHeight w:val="263"/>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shareholders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50"/>
        </w:trPr>
        <w:tc>
          <w:tcPr>
            <w:tcW w:w="8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 outstanding</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73,068,856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72,717,965</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852,330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1,587,547</w:t>
            </w:r>
          </w:p>
        </w:tc>
      </w:tr>
      <w:tr>
        <w:trPr>
          <w:trHeight w:val="263"/>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 outstanding</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73,921,186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74,305,512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bl>
    <w:p>
      <w:pPr>
        <w:spacing w:after="0" w:line="3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Potentially anti-dilutive shares excluded from the calculation of diluted earnings per share were approximately 0.1 million and 1 million for the three months ended September 30, 2024 and 2023, respectively.</w:t>
      </w: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 We do not expect any claims with a reasonably possible adverse outcome to have a material impact on us, and, accordingly, have not accrued for any material claims.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analytical services.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The total expense recognized within Cost of subscription and transaction fees for these arrangements was less than $0.1 million for both the three months ended September 30, 2024 and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should be read in conjunction with the condensed consolidated financial statements and related notes included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91"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inflation, elevated interest rates, supply chain disruptions, financial institution disruptions, geopolitical conflicts, public health emergencies, and declines in consumer confidence and discretionary spending;</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 increase market share;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our debt facilities;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rules and regulations applicable to our business operations and industry;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other card payment processors, software and manufacturing partners upon whom we rely;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customers continue to utilize our transaction processing and related services, as our customer agreements are generally cancellable by the customer with thirty days’ notice;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develop relevant technology offerings for current, new and potential customers and partners;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our expansion into and our operations in Europe, Mexico and other foreign markets, including general economic conditions, policy changes affecting international trade, political instability, inflation rates, recessions, sanctions, foreign currency exchange rates and controls, foreign investment and repatriation restrictions, legal and regulatory constraints, civil unrest, armed conflict, war, and other economic and political factors;</w:t>
      </w:r>
    </w:p>
    <w:p>
      <w:pPr>
        <w:spacing w:after="0" w:line="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trade obligations included in accounts payable and accrued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key personnel, or our loss of the services of our key executives;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may require us to divert our cash resources from achieving our business plan;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estimate our future quarterly or annual revenue and expenses given the developing and unpredictable market for our products;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companies into our current products and services structure;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new customers and retain key existing customers from whom a significant portion of our revenue is derived;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us;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widespread commercial acceptance of our products and service offerings;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us will provide any competitive advantages or adequate protection for our products, or would be challenged, invalidated or circumvented by others;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disruptions to our systems or unauthorized hacking or credit card fraud;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cyber-attacks and data breaches;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and to timely file periodic and current reports with the Securities and Exchange Commission ("SEC").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for the fiscal year ended June 30, 2024.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Unless required by law, we undertake no obligation to publicly revise any forward-looking statement to reflect circumstances or events after the date of this Quarterly Report or to reflect the occurrence of unanticipated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Cantaloupe, Inc. (Nasdaq: CTLP) is organized under the laws of the Commonwealth of Pennsylvania. We are a global technology leader powering self-service commerce. Cantaloupe offers a comprehensive suite of solutions including micro-payment processing, self-checkout kiosks, mobile ordering, connected point-of-sale ("POS") systems, and enterprise cloud software. Handling more than a billion transactions annually, our solutions enhance operational efficiency and consumer engagement across sectors like food &amp; beverage markets, smart automated retail, hospitality, entertainment venues, laundromats and more. Committed to innovation, we aim to drive advancements in digital payments and business optimization, serving customers in the United States, United Kingdom, European Union countries, Australia, and Mexico.</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revenue streams consist of subscription, transaction processing and equipment sales. During the three months ended September 30, 2024 and September 30, 2023, we derived approximately 90% and 88%, respectively, from subscription and transaction fees, and 10% and 12%, respectively, from equipment sales.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hardware directly from the Company or one of its authorized resellers;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hardware under the Company’s financing program, which are non-cancellable 60-month sales-type leases;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Renting devices under the Company’s Cantaloupe One program, which are typically 36-months duration agreements.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 during the Quarter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 for the fiscal quarter ended September 30, 2024 are below:</w:t>
      </w:r>
    </w:p>
    <w:p>
      <w:pPr>
        <w:spacing w:after="0" w:line="252"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the acquisition of SB Software. The acquired company enhances our vending and coffee machine management software, as well as improves our operational capabilities and market reach in Europe.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launched Suites, a premium suite management system designed to streamline and enhance the hospitality suite experience at stadiums and venues. This new offering within Cantaloupe's Cheq platform, aims to redefine how venues manage premium suite pre-orders by providing a seamless, user-friendly solution for both suite owners and venue operators.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released a significant update to our Seed vending management system (VMS) platform which underscores our ongoing commitment to enhancing our core products and delivering exceptional user experience to our vending operators. The refreshed Seed platform offers a modernized user interface that is designed to improve usability and visual appeal. The update is optimized for mobile devices and enhances performance and stability.</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2024, we have approximately 360 full-time employees in the United States, United Kingdom, and Mexico and offices in Malvern, Pennsylvania; Atlanta, Georgia; River Falls, Wisconsin; Seattle, Washington; Birmingham and Sheffield, United Kingdom; and Mexico City,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related notes included in this Quarterly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certain operating metrics (Active Devices, Active Customers, Total Number of Transactions and Total Dollar Volume, and Average Revenue Per Unit, Gross Profit, and Gross Margin) and certain non-GAAP financial measures (Adjusted Gross Profit, Adjusted Gross Margin, and Adjusted EBITDA) which are defined below to evaluate our business and operations, measure our performance, identify trends affecting our business, project our future performance, and make strategic decisions. Additionally, refer to the non-GAAP Financial Measures section below for additional information and their reconciliation to the most comparable GAAP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Devices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For example, a self-service retail location that utilizes an ePort cashless payment device as well as Seed management services constitutes only one device.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defines Active Customers as all customers with at least one active device.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Transactions and Total Dollar Volume of Transactions</w:t>
      </w:r>
    </w:p>
    <w:p>
      <w:pPr>
        <w:spacing w:after="0" w:line="2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Transactions are defined as electronic payment transactions that are processed by our technology-enabled solutions. Management uses Total Number and Dollar Volume of transactions to evaluate the effectiveness of our new customer strategy and our ability to leverage existing customers and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Unit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defines average revenue per unit ("ARPU") as our total subscription and transaction fees for the trailing 12 months divided by average total active devices for the trailing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The following tables represents our selected operating metrics for the periods indicated: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Devices: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Active Devices (thousands)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Active Customers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Volumes: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Number of Transactions (millions)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Dollar Volume of Transactions (millions)</w:t>
      </w:r>
    </w:p>
    <w:p>
      <w:pPr>
        <w:spacing w:after="0" w:line="279"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Subscription and transaction fees - Trailing 12 months (thousands)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Average revenue per unit (ARPU)</w:t>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1,230</w:t>
            </w:r>
          </w:p>
        </w:tc>
        <w:tc>
          <w:tcPr>
            <w:tcW w:w="200" w:type="dxa"/>
            <w:vAlign w:val="bottom"/>
          </w:tcPr>
          <w:p>
            <w:pPr>
              <w:spacing w:after="0"/>
              <w:rPr>
                <w:sz w:val="24"/>
                <w:szCs w:val="24"/>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1,223</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60" w:type="dxa"/>
            <w:vAlign w:val="bottom"/>
          </w:tcPr>
          <w:p>
            <w:pPr>
              <w:spacing w:after="0"/>
              <w:rPr>
                <w:sz w:val="24"/>
                <w:szCs w:val="24"/>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770"/>
        </w:trPr>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32,338</w:t>
            </w:r>
          </w:p>
        </w:tc>
        <w:tc>
          <w:tcPr>
            <w:tcW w:w="200" w:type="dxa"/>
            <w:vAlign w:val="bottom"/>
          </w:tcPr>
          <w:p>
            <w:pPr>
              <w:spacing w:after="0"/>
              <w:rPr>
                <w:sz w:val="24"/>
                <w:szCs w:val="24"/>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31,466</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30,670</w:t>
            </w:r>
          </w:p>
        </w:tc>
        <w:tc>
          <w:tcPr>
            <w:tcW w:w="260" w:type="dxa"/>
            <w:vAlign w:val="bottom"/>
          </w:tcPr>
          <w:p>
            <w:pPr>
              <w:spacing w:after="0"/>
              <w:rPr>
                <w:sz w:val="24"/>
                <w:szCs w:val="24"/>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30,027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0" w:type="dxa"/>
            <w:vAlign w:val="bottom"/>
          </w:tcPr>
          <w:p>
            <w:pPr>
              <w:spacing w:after="0"/>
              <w:rPr>
                <w:sz w:val="1"/>
                <w:szCs w:val="1"/>
                <w:color w:val="auto"/>
              </w:rPr>
            </w:pPr>
          </w:p>
        </w:tc>
      </w:tr>
      <w:tr>
        <w:trPr>
          <w:trHeight w:val="796"/>
        </w:trPr>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60" w:type="dxa"/>
            <w:vAlign w:val="bottom"/>
          </w:tcPr>
          <w:p>
            <w:pPr>
              <w:spacing w:after="0"/>
              <w:rPr>
                <w:sz w:val="24"/>
                <w:szCs w:val="24"/>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286.7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826.7</w:t>
            </w:r>
          </w:p>
        </w:tc>
        <w:tc>
          <w:tcPr>
            <w:tcW w:w="200" w:type="dxa"/>
            <w:vAlign w:val="bottom"/>
          </w:tcPr>
          <w:p>
            <w:pPr>
              <w:spacing w:after="0"/>
              <w:rPr>
                <w:sz w:val="23"/>
                <w:szCs w:val="23"/>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815.7</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260" w:type="dxa"/>
            <w:vAlign w:val="bottom"/>
          </w:tcPr>
          <w:p>
            <w:pPr>
              <w:spacing w:after="0"/>
              <w:rPr>
                <w:sz w:val="23"/>
                <w:szCs w:val="23"/>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730.1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0" w:type="dxa"/>
            <w:vAlign w:val="bottom"/>
          </w:tcPr>
          <w:p>
            <w:pPr>
              <w:spacing w:after="0"/>
              <w:rPr>
                <w:sz w:val="1"/>
                <w:szCs w:val="1"/>
                <w:color w:val="auto"/>
              </w:rPr>
            </w:pPr>
          </w:p>
        </w:tc>
      </w:tr>
      <w:tr>
        <w:trPr>
          <w:trHeight w:val="670"/>
        </w:trPr>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240,153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231,497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223,342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215,380</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208,283</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198.31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193.64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181.91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0" w:type="dxa"/>
            <w:vAlign w:val="bottom"/>
          </w:tcPr>
          <w:p>
            <w:pPr>
              <w:spacing w:after="0"/>
              <w:rPr>
                <w:sz w:val="1"/>
                <w:szCs w:val="1"/>
                <w:color w:val="auto"/>
              </w:rPr>
            </w:pPr>
          </w:p>
        </w:tc>
      </w:tr>
      <w:tr>
        <w:trPr>
          <w:trHeight w:val="503"/>
        </w:trPr>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 Months Ended September 30,</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gridSpan w:val="2"/>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-2503170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-2186305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-1868805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-1525905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-1209040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-874395</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40" w:space="300"/>
            <w:col w:w="700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42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 revenue</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63,792</w:t>
            </w:r>
          </w:p>
        </w:tc>
        <w:tc>
          <w:tcPr>
            <w:tcW w:w="24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55,135</w:t>
            </w:r>
          </w:p>
        </w:tc>
        <w:tc>
          <w:tcPr>
            <w:tcW w:w="24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8,657</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148"/>
        </w:trPr>
        <w:tc>
          <w:tcPr>
            <w:tcW w:w="4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30"/>
        </w:trPr>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Cost of subscription and transaction fees</w:t>
            </w:r>
            <w:r>
              <w:rPr>
                <w:rFonts w:ascii="Times New Roman" w:cs="Times New Roman" w:eastAsia="Times New Roman" w:hAnsi="Times New Roman"/>
                <w:sz w:val="23"/>
                <w:szCs w:val="23"/>
                <w:color w:val="auto"/>
                <w:vertAlign w:val="superscript"/>
              </w:rPr>
              <w:t>(1)</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35,744</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31,728</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4,016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29"/>
        </w:trPr>
        <w:tc>
          <w:tcPr>
            <w:tcW w:w="4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(2)</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1,747</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1,943</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(196)</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83"/>
        </w:trPr>
        <w:tc>
          <w:tcPr>
            <w:tcW w:w="4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subscription and transaction fees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26,301</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21,464</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4,837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r>
      <w:tr>
        <w:trPr>
          <w:trHeight w:val="223"/>
        </w:trPr>
        <w:tc>
          <w:tcPr>
            <w:tcW w:w="4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7,044</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7,548</w:t>
            </w:r>
          </w:p>
        </w:tc>
        <w:tc>
          <w:tcPr>
            <w:tcW w:w="24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162"/>
        </w:trPr>
        <w:tc>
          <w:tcPr>
            <w:tcW w:w="4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29"/>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6,241</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6,627</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(386)</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83"/>
        </w:trPr>
        <w:tc>
          <w:tcPr>
            <w:tcW w:w="4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profit, equipment</w:t>
            </w:r>
            <w:r>
              <w:rPr>
                <w:rFonts w:ascii="Times New Roman" w:cs="Times New Roman" w:eastAsia="Times New Roman" w:hAnsi="Times New Roman"/>
                <w:sz w:val="23"/>
                <w:szCs w:val="23"/>
                <w:color w:val="auto"/>
                <w:vertAlign w:val="superscript"/>
              </w:rPr>
              <w:t>(3)</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r>
      <w:tr>
        <w:trPr>
          <w:trHeight w:val="129"/>
        </w:trPr>
        <w:tc>
          <w:tcPr>
            <w:tcW w:w="4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27,104</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22,385</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4,719</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740" w:type="dxa"/>
            <w:vAlign w:val="bottom"/>
            <w:shd w:val="clear" w:color="auto" w:fill="CCEEFF"/>
          </w:tcPr>
          <w:p>
            <w:pPr>
              <w:spacing w:after="0"/>
              <w:rPr>
                <w:sz w:val="19"/>
                <w:szCs w:val="19"/>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740" w:type="dxa"/>
            <w:vAlign w:val="bottom"/>
          </w:tcPr>
          <w:p>
            <w:pPr>
              <w:spacing w:after="0"/>
              <w:rPr>
                <w:sz w:val="19"/>
                <w:szCs w:val="19"/>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margin</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740" w:type="dxa"/>
            <w:vAlign w:val="bottom"/>
            <w:shd w:val="clear" w:color="auto" w:fill="CCEEFF"/>
          </w:tcPr>
          <w:p>
            <w:pPr>
              <w:spacing w:after="0"/>
              <w:rPr>
                <w:sz w:val="19"/>
                <w:szCs w:val="19"/>
                <w:color w:val="auto"/>
              </w:rPr>
            </w:pPr>
          </w:p>
        </w:tc>
      </w:tr>
    </w:tbl>
    <w:p>
      <w:pPr>
        <w:spacing w:after="0" w:line="285"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Cost of subscription and transaction fees excludes amortization of certain technology assets, see </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color w:val="auto"/>
        </w:rPr>
        <w:t xml:space="preserve"> below.</w:t>
      </w:r>
    </w:p>
    <w:p>
      <w:pPr>
        <w:spacing w:after="0" w:line="10"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Amortization of internal-use software assets and developed technology assets.</w:t>
      </w:r>
    </w:p>
    <w:p>
      <w:pPr>
        <w:spacing w:after="0" w:line="3"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Company's internal-use software assets and developed technology assets are not associated with equipment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Highlights for the quarter ended September 30, 2024 include:</w:t>
      </w:r>
    </w:p>
    <w:p>
      <w:pPr>
        <w:spacing w:after="0" w:line="63"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$70.8 million, an increase of 13.0% quarter over same quarter prior year. The increase was led by higher transaction fees and subscription fees revenue;</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million Active Devices compared to the same quarter last year of 1.19 million, an increase of approximately 38 thousand Active Devices, or 3.2%;</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32,338 Active Customers on our service compared to the same quarter last year of 29,670, an increase of 2,668 Active Customers, or 9.0%;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$826.7 million in Total Dollar Volume of Transactions for the quarter ended September 30, 2024 compared to $724.8 million for the quarter ended September 30, 2023, an increase of $101.9 million, or 14.1%. See "</w:t>
      </w:r>
      <w:r>
        <w:rPr>
          <w:rFonts w:ascii="Times New Roman" w:cs="Times New Roman" w:eastAsia="Times New Roman" w:hAnsi="Times New Roman"/>
          <w:sz w:val="18"/>
          <w:szCs w:val="18"/>
          <w:i w:val="1"/>
          <w:iCs w:val="1"/>
          <w:color w:val="auto"/>
        </w:rPr>
        <w:t>Revenues and Gross Margin</w:t>
      </w:r>
      <w:r>
        <w:rPr>
          <w:rFonts w:ascii="Times New Roman" w:cs="Times New Roman" w:eastAsia="Times New Roman" w:hAnsi="Times New Roman"/>
          <w:sz w:val="18"/>
          <w:szCs w:val="18"/>
          <w:color w:val="auto"/>
        </w:rPr>
        <w:t>" in Management’s Discussion and Analysis of Financial Condition and Results of Operations below for additional information.</w:t>
      </w:r>
    </w:p>
    <w:p>
      <w:pPr>
        <w:spacing w:after="0" w:line="1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increased by $8.2 million for the three months ended September 30, 2024 compared to the same period in 2023.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is attributed to a $8.7 million increase in subscription and transaction fees, offset by a $0.5 million decrease in equipment sales.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subscription and transaction fees was primarily driven by increased processing volumes and increased average ticket size, resulting in a 14.1% increase in total dollar volumes of transactions for the current fiscal year quarter relative to the same quarter in the prior year. There was also an increase in the total number of active devices relative to the same quarter in the prior year. Our subscription fees have increased 11.5% for the three months ended September 30, 2024 compared to the same period in 2023 which is attributed to a continued focus of management to grow our recurring subscription services to our customer base and an increase in our active devices compared to last year.</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Equipment revenue decreased slightly from $7.0 million for the three months ended September 30, 2024, compared to $7.5 million for the same period in 2023.</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Costs of sales. </w:t>
      </w:r>
      <w:r>
        <w:rPr>
          <w:rFonts w:ascii="Times New Roman" w:cs="Times New Roman" w:eastAsia="Times New Roman" w:hAnsi="Times New Roman"/>
          <w:sz w:val="18"/>
          <w:szCs w:val="18"/>
          <w:color w:val="auto"/>
        </w:rPr>
        <w:t>Costs of sales increased $3.6 million for the three months ended September 30, 2024 compared to the prior year period. The increase in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was primarily due to a $4.0 million increase in subscription and transaction costs as a direct result of increased transaction processing fees corresponding with an increase in processing volumes.</w:t>
      </w:r>
    </w:p>
    <w:p>
      <w:pPr>
        <w:spacing w:after="0" w:line="2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increased to 38.3% for the three months ended September 30, 2024 from 35.7%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The increase was primarily a result of an increase in subscription and transaction fees which yield higher margins compared to equipment fees.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14.7% for the three months ended September 30, 2024 compared to the same period in 2023.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largely driven by increased sales and market and general and administrative expenses. See further details on individual categories below.</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$1.3 million for the three months ended September 30,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due to increases in marketing expense of approximately $0.7 million related to international expansion and the acquisition of Cheq, compensation costs of approximately $0.4 million due to increased employee headcount, and travel and entertainment costs of approximately $0.3 million to support our expanding business and service offerings in the United States and internationally. This is offset by a decrease in professional services and contractors of $0.1 million as we continue to hire employees to replace contractors.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increased by $0.3 million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increase in the current year was driven by increased headcount partially offset by lower expensed personnel costs as we continued to invest in internal-use software which resulted in higher capitalized costs compared to the prior year.</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$1.5 million for the three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primarily due to a $0.4 million increase as a result of auditor transitions, a $0.3 million increase in legal expenses, a $0.2 million increase compensation costs, a $0.2 million increase in consulting fees, a $0.1 million increase in bad debt expense, and a $0.3 million increase in software subscriptions and other miscellaneous expenses compared to the same period in the 2023.</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Integration and acquisition expenses. </w:t>
      </w:r>
      <w:r>
        <w:rPr>
          <w:rFonts w:ascii="Times New Roman" w:cs="Times New Roman" w:eastAsia="Times New Roman" w:hAnsi="Times New Roman"/>
          <w:sz w:val="18"/>
          <w:szCs w:val="18"/>
          <w:color w:val="auto"/>
        </w:rPr>
        <w:t>On September 5, 2024, the Company acquired all of the equity interests of SB Software.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the Company incurred integration and acquisition expenses of $0.2 million primarily due to professional services from accounting and legal advisors and UK taxes. Integration and acquisition expenses for the three months ended September 30, 2023 related to the acquisition of 32M.</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consistent for the three months ended September 30,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from cash and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656"/>
              <w:spacing w:after="0"/>
              <w:rPr>
                <w:sz w:val="20"/>
                <w:szCs w:val="20"/>
                <w:color w:val="auto"/>
              </w:rPr>
            </w:pPr>
            <w:r>
              <w:rPr>
                <w:rFonts w:ascii="Times New Roman" w:cs="Times New Roman" w:eastAsia="Times New Roman" w:hAnsi="Times New Roman"/>
                <w:sz w:val="18"/>
                <w:szCs w:val="18"/>
                <w:color w:val="auto"/>
                <w:w w:val="96"/>
              </w:rPr>
              <w:t>447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(expense) from debt and tax liabilities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7"/>
              </w:rPr>
              <w:t>(991)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56"/>
              <w:spacing w:after="0"/>
              <w:rPr>
                <w:sz w:val="20"/>
                <w:szCs w:val="20"/>
                <w:color w:val="auto"/>
              </w:rPr>
            </w:pPr>
            <w:r>
              <w:rPr>
                <w:rFonts w:ascii="Times New Roman" w:cs="Times New Roman" w:eastAsia="Times New Roman" w:hAnsi="Times New Roman"/>
                <w:sz w:val="18"/>
                <w:szCs w:val="18"/>
                <w:color w:val="auto"/>
                <w:w w:val="96"/>
              </w:rPr>
              <w:t>186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7"/>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decreased $0.3 million for the three months ended September 30, 2024 as compared to the same period in 2023.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from debt and tax liabilities decreased $0.1 million primarily due to the reduction of the interest expense related to our outstanding debt balances. Decrease in interest income from cash and leases is primarily due to lower outstanding balances for our finance receivables. Other income (expense), net increased primarily due to foreign currency transaction gains.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their financial and operational decision making. The presentation of these financial measures is not intended to be considered in isolation or as a substitute for the financial measures prepared and presented in accordance with GAAP. Management recognizes that non-GAAP financial measures have limitations in that they do not reflect all of the items associated with our net income as determined in accordance with GAAP, and are not a substitute for or a measure of our profitability or net earnings.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 (non-GAAP)</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Gross Profit (non-GAAP) as revenue less cost of sales, exclusive of depreciation of internally-developed software and amortization of intangible assets related to technologies obtained through acquisitions. We believe this non-GAAP measure is useful to view the resulting figures excluding the aforementioned non-cash charges because the amount of such expenses in any specific period may not directly correlate to the underlying performance of our business operations and such amounts vary substantially from company to company depending on their financing and capital structures and the method by which their assets were acquired. We define Adjusted Gross Margin as Adjusted Gross Profit divided by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We have provided below a reconciliation of U.S. GAAP gross profit to Adjusted Gross Profit and Adjusted Gross Margin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3 Months Ended September 30,</w:t>
            </w:r>
          </w:p>
        </w:tc>
        <w:tc>
          <w:tcPr>
            <w:tcW w:w="340" w:type="dxa"/>
            <w:vAlign w:val="bottom"/>
          </w:tcPr>
          <w:p>
            <w:pPr>
              <w:spacing w:after="0"/>
              <w:rPr>
                <w:sz w:val="16"/>
                <w:szCs w:val="16"/>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subscription and transaction fees (GAAP)</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26,301</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21,464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4,837</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(196)</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Gross Profit, subscription and transaction fees</w:t>
            </w: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28,048</w:t>
            </w:r>
          </w:p>
        </w:tc>
        <w:tc>
          <w:tcPr>
            <w:tcW w:w="2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23,407</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4,641</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equipment (GAAP)</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803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Gross Profit (non-GAAP)</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28,851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24,328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4,523</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 (non-GAAP):</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 and transaction fees (non-GAAP)</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sales (GAAP)</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Adjusted Gross Margin (non-GAAP)</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Amortization of internal-use software assets and developed technology assets.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Adjusted Gross Margin (non-GAAP) was 40.7% for the three months ended September 30, 2024, from 38.8% for the three months ended September 30, 2023. The increase in Adjusted Gross Margin was primarily driven by an increase in our subscription fees revenue and transaction which was a higher percentage of our total revenue in the current quarter and is inherently a higher margin revenue stream.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Adjusted EBITDA (non-GAAP) as U.S. GAAP net income before (i) interest income from cash and leases, (ii) interest (income) expense from debt and tax liabilities, (iii) income tax provision, (iv) depreciation, (v) amortization, (vi) stock-based compensation expense, and (vii) certain other significant infrequent or unusual losses and gains that are not indicative of our core operations such as integration and acquisition expenses and costs as a result of auditor transitions.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Adjusted EBITDA is useful for investors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may obscure trends in the underlying performance of our business. Additionally, we utilize Adjusted EBITDA as a metric in our executive officer and management incentive compensation plans.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has limitations as an analytical tool and should not be considered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which are excluded from the calculation of Adjusted EBITDA may differ from the expenses and other items that other companies may exclude from Adjusted EBITDA when they report their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Below is a reconciliation of U.S. GAAP net income to Adjusted EBITDA for the three months ended September 30,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3 Months Ended September 30,</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depreciation expense included in cost of sales for rentals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23"/>
        </w:trPr>
        <w:tc>
          <w:tcPr>
            <w:tcW w:w="814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integration and acquisition expenses </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auditor transition costs </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remediation expenses </w:t>
            </w:r>
            <w:r>
              <w:rPr>
                <w:rFonts w:ascii="Times New Roman" w:cs="Times New Roman" w:eastAsia="Times New Roman" w:hAnsi="Times New Roman"/>
                <w:sz w:val="23"/>
                <w:szCs w:val="23"/>
                <w:color w:val="auto"/>
                <w:vertAlign w:val="superscript"/>
              </w:rPr>
              <w:t>(d)</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to EBITDA</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have excluded stock-based compensation, as it does not reflect our cash-based operations.</w:t>
      </w:r>
    </w:p>
    <w:p>
      <w:pPr>
        <w:spacing w:after="0" w:line="27" w:lineRule="exact"/>
        <w:rPr>
          <w:rFonts w:ascii="Times New Roman" w:cs="Times New Roman" w:eastAsia="Times New Roman" w:hAnsi="Times New Roman"/>
          <w:sz w:val="9"/>
          <w:szCs w:val="9"/>
          <w:color w:val="auto"/>
        </w:rPr>
      </w:pPr>
    </w:p>
    <w:p>
      <w:pPr>
        <w:ind w:left="160" w:hanging="152"/>
        <w:spacing w:after="0" w:line="192" w:lineRule="auto"/>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have excluded expenses incurred in connection with business acquisitions as it does not represent recurring costs or charges related to our core operations.</w:t>
      </w:r>
    </w:p>
    <w:p>
      <w:pPr>
        <w:spacing w:after="0" w:line="80" w:lineRule="exact"/>
        <w:rPr>
          <w:rFonts w:ascii="Times New Roman" w:cs="Times New Roman" w:eastAsia="Times New Roman" w:hAnsi="Times New Roman"/>
          <w:sz w:val="19"/>
          <w:szCs w:val="19"/>
          <w:color w:val="auto"/>
          <w:vertAlign w:val="superscript"/>
        </w:rPr>
      </w:pPr>
    </w:p>
    <w:p>
      <w:pPr>
        <w:ind w:firstLine="8"/>
        <w:spacing w:after="0"/>
        <w:tabs>
          <w:tab w:leader="none" w:pos="127"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Costs incurred as a result of former auditor consent procedures. See </w:t>
      </w:r>
      <w:r>
        <w:rPr>
          <w:rFonts w:ascii="Times New Roman" w:cs="Times New Roman" w:eastAsia="Times New Roman" w:hAnsi="Times New Roman"/>
          <w:sz w:val="12"/>
          <w:szCs w:val="12"/>
          <w:i w:val="1"/>
          <w:iCs w:val="1"/>
          <w:color w:val="auto"/>
        </w:rPr>
        <w:t>Item 9. Changes in and Disagreements with Accountants on Accounting and Financial Disclosure</w:t>
      </w:r>
      <w:r>
        <w:rPr>
          <w:rFonts w:ascii="Times New Roman" w:cs="Times New Roman" w:eastAsia="Times New Roman" w:hAnsi="Times New Roman"/>
          <w:sz w:val="12"/>
          <w:szCs w:val="12"/>
          <w:color w:val="auto"/>
        </w:rPr>
        <w:t xml:space="preserve"> of the Company's Annual Report</w:t>
      </w:r>
      <w:r>
        <w:rPr>
          <w:rFonts w:ascii="Times New Roman" w:cs="Times New Roman" w:eastAsia="Times New Roman" w:hAnsi="Times New Roman"/>
          <w:sz w:val="12"/>
          <w:szCs w:val="12"/>
          <w:i w:val="1"/>
          <w:iCs w:val="1"/>
          <w:color w:val="auto"/>
        </w:rPr>
        <w:t>.</w:t>
      </w:r>
    </w:p>
    <w:p>
      <w:pPr>
        <w:spacing w:after="0" w:line="209" w:lineRule="exact"/>
        <w:rPr>
          <w:rFonts w:ascii="Times New Roman" w:cs="Times New Roman" w:eastAsia="Times New Roman" w:hAnsi="Times New Roman"/>
          <w:sz w:val="16"/>
          <w:szCs w:val="16"/>
          <w:color w:val="auto"/>
          <w:vertAlign w:val="superscript"/>
        </w:rPr>
      </w:pPr>
    </w:p>
    <w:p>
      <w:pPr>
        <w:ind w:firstLine="8"/>
        <w:spacing w:after="0" w:line="270" w:lineRule="auto"/>
        <w:tabs>
          <w:tab w:leader="none" w:pos="146"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Consists of one-time project expenses incurred in connection with remediation of previously identified material weaknesses in our internal control over financial reporting which were remediated during fiscal year ended June 30, 2024. See </w:t>
      </w:r>
      <w:r>
        <w:rPr>
          <w:rFonts w:ascii="Times New Roman" w:cs="Times New Roman" w:eastAsia="Times New Roman" w:hAnsi="Times New Roman"/>
          <w:sz w:val="13"/>
          <w:szCs w:val="13"/>
          <w:i w:val="1"/>
          <w:iCs w:val="1"/>
          <w:color w:val="auto"/>
        </w:rPr>
        <w:t>Item 9A Section e - Remediation of Prior Material Weaknesses</w:t>
      </w:r>
      <w:r>
        <w:rPr>
          <w:rFonts w:ascii="Times New Roman" w:cs="Times New Roman" w:eastAsia="Times New Roman" w:hAnsi="Times New Roman"/>
          <w:sz w:val="13"/>
          <w:szCs w:val="13"/>
          <w:color w:val="auto"/>
        </w:rPr>
        <w:t xml:space="preserve"> of the Company's Annual Report</w:t>
      </w:r>
      <w:r>
        <w:rPr>
          <w:rFonts w:ascii="Times New Roman" w:cs="Times New Roman" w:eastAsia="Times New Roman" w:hAnsi="Times New Roman"/>
          <w:sz w:val="13"/>
          <w:szCs w:val="13"/>
          <w:i w:val="1"/>
          <w:iCs w:val="1"/>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primarily through cash from operating activities, debt financings, and equity issuances. The Company's primary sources of capital available are cash and cash equivalents on hand of $33.1 million as of September 30, 2024 and the cash that we expect to be provided by operating activities by the Company.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estimated and recorded for potential sales tax and related interest and penalty liabilities of $9.9 million in the aggregate as of September 30, 2024. The Company continues to evaluate these liabilities and the amount and timing of any such payments.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its current financial resources will be sufficient to fund its current twelve-month operating budget from the date of issuance of these condensed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focusing on various operational efficiencies to improve overall profitability of the business and continued to grow our business both domestically and internationally.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net cash used in operating activities was $12.0 million which is the result of $20.9 million of cash utilized by working capital accounts, offset by our net income of $3.6 million and non-cash operating charges of $5.3 million. The change in working capital was primarily driven by an increase in cash utilized by accounts payable and accrued expenses of $28.9 million, offset by a $11.0 million decrease in accounts receivable primarily due to cash collections. Increases in cash utilized by accounts payable and accrued expenses and as well as the collection of accounts receivable were the result of the timing of payments made to our customers for transaction processing as September 30, 2024.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2023, net cash provided by operating activities was $6.7 million which reflects our net income of $2.0 million and non-cash operating charges of $6.5 million, partially offset by $1.8 million of cash utilized by working capital accounts. The change in working capital accounts was primarily driven by a $7.8 million increase of accounts receivable, and an increase in accounts payable and accrued expenses of $5.2 million in the period. Increase in cash utilized by accounts receivable was a result of increased sales during the three months ended September 30, 2023 compared to the prior year period.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Non-cash operating charges primarily consisted of stock-based compensation, depreciation of property and equipment, amortization of our intangible assets, and provisions for expected losses for the three months ended September 30, 2024 and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$13.6 million for the three months ended September 30, 2024. We invested $3.8 million in property and equipment as the Company continued to focus on investing in innovative technologies and products, and increasing rental devices enrolled in the Company's Cantaloupe One program. Additionally, the Company invested $9.8 million through its SB Software acquisition.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$2.9 million for the three months ended September 30, 2023. Increase in cash used was $2.9 million for increased property and equipment balances driven primarily by the Company's continued focus on investing in technologies and products and increasing rental devices enrolled in the Company's Cantaloupe one program.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$0.5 million and $0.1 million for the three months ended September 30, 2024 and 2023, both of which are primarily driven by debt repayments on the JPMorgan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there were no significant changes to our contractual obligations from those disclosed in the section “Management’s Discussion and Analysis of Financial Condition and Results of Operations” in our Annual Report for the fiscal year ended June 30, 2024.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disclosed in our Annual Report on for the fiscal year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condensed consolidated financial statements for a description of recent accounting pronouncements.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we are exposed to market risk related to changes in interest rates on our outstanding borrowings. Our Amended JPMorgan Credit Facility has a four-year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As of September 30, 2024, we have $37.3 million total outstanding borrowings, an increase of 100 basis points in SOFR Rate would result in a change in interest expense of $0.4 million per year.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September 30,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procedures were effective as of September 30,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occurred during the fiscal quarter ended September 30, 2024 that have materially affected, or are reasonably likely to materially affect, our internal controls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herein by reference to the Notes to condensed consolidated financial statements, </w:t>
      </w:r>
      <w:r>
        <w:rPr>
          <w:rFonts w:ascii="Times New Roman" w:cs="Times New Roman" w:eastAsia="Times New Roman" w:hAnsi="Times New Roman"/>
          <w:sz w:val="18"/>
          <w:szCs w:val="18"/>
          <w:i w:val="1"/>
          <w:iCs w:val="1"/>
          <w:color w:val="auto"/>
        </w:rPr>
        <w:t>Note 14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Part I, Item 1, of this Quarterly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risk factors, see the information under the heading “Risk Factors” in the Company’s Annual Report on for the fiscal year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2024, none of the Company's director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0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000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0" w:type="dxa"/>
            <w:vAlign w:val="bottom"/>
            <w:tcBorders>
              <w:top w:val="single" w:sz="8" w:color="auto"/>
            </w:tcBorders>
            <w:gridSpan w:val="8"/>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Amended and Restated Articles of Incorporation (incorporated by reference to Exhibit 3.1 to Form 10-Q filed on February 4, 2022).</w:t>
              </w:r>
            </w:hyperlink>
          </w:p>
        </w:tc>
        <w:tc>
          <w:tcPr>
            <w:tcW w:w="0" w:type="dxa"/>
            <w:vAlign w:val="bottom"/>
          </w:tcPr>
          <w:p>
            <w:pPr>
              <w:spacing w:after="0"/>
              <w:rPr>
                <w:sz w:val="1"/>
                <w:szCs w:val="1"/>
                <w:color w:val="auto"/>
              </w:rPr>
            </w:pPr>
          </w:p>
        </w:tc>
      </w:tr>
      <w:tr>
        <w:trPr>
          <w:trHeight w:val="49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Second Amended and Restated Bylaws (incorporated by reference to Exhibit 3.1 to Form 8-K filed on August 10, 2021)</w:t>
              </w:r>
            </w:hyperlink>
          </w:p>
        </w:tc>
        <w:tc>
          <w:tcPr>
            <w:tcW w:w="840" w:type="dxa"/>
            <w:vAlign w:val="bottom"/>
            <w:tcBorders>
              <w:top w:val="single" w:sz="8" w:color="0000FF"/>
            </w:tcBorders>
          </w:tcPr>
          <w:p>
            <w:pPr>
              <w:spacing w:after="0"/>
              <w:rPr>
                <w:sz w:val="24"/>
                <w:szCs w:val="24"/>
                <w:color w:val="auto"/>
              </w:rPr>
            </w:pPr>
          </w:p>
        </w:tc>
        <w:tc>
          <w:tcPr>
            <w:tcW w:w="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pursuant to Rule 13a-14(a) under the Securities Exchange Act of 1934.</w:t>
            </w:r>
          </w:p>
        </w:tc>
        <w:tc>
          <w:tcPr>
            <w:tcW w:w="0" w:type="dxa"/>
            <w:vAlign w:val="bottom"/>
          </w:tcPr>
          <w:p>
            <w:pPr>
              <w:spacing w:after="0"/>
              <w:rPr>
                <w:sz w:val="1"/>
                <w:szCs w:val="1"/>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Certifications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19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1240" w:right="20" w:hanging="1214"/>
        <w:spacing w:after="0" w:line="215"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September 30, 2024, filed with the SEC on November 7, 2024, is formatted in Inline Extensible Business Reporting Language (“iXBRL”): (1) the Condensed Consolidated Balance Sheets as of September 30, 2024 and June 30, 2024, (2) the Condensed Consolidated Statements of Operations for the three-month periods ended September 30, 2024 and 2023, (3) the Condensed Consolidated Statements of Other Comprehensive Income for the three-month periods ended September 30, 2024 and 2023, (4) the Condensed Consolidated Statements of Convertible Preferred Stock and Shareholders’ Equity for the three-month periods ended September 30, 2024 and 2023, (5) the Condensed Consolidated Statements of Cash Flows for the three-month periods ended September 30, 2024 and 2023, and (6) the Notes to Condensed Consolidated Financial Statements.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4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252" w:lineRule="exact"/>
        <w:rPr>
          <w:sz w:val="20"/>
          <w:szCs w:val="20"/>
          <w:color w:val="auto"/>
        </w:rPr>
      </w:pPr>
    </w:p>
    <w:p>
      <w:pPr>
        <w:ind w:left="1240" w:right="200" w:hanging="1214"/>
        <w:spacing w:after="0" w:line="237"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our Quarterly Report on Form 10-Q for the quarter ended September 30, 2024, filed with the SEC on November 7, 2024, is formatted as Inline iXBRL and contained in Exhibit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Cantaloupe, Inc.</w:t>
            </w:r>
          </w:p>
        </w:tc>
      </w:tr>
      <w:tr>
        <w:trPr>
          <w:trHeight w:val="48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06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Venkatesan, certify that:</w:t>
      </w:r>
    </w:p>
    <w:p>
      <w:pPr>
        <w:spacing w:after="0" w:line="211" w:lineRule="exact"/>
        <w:rPr>
          <w:sz w:val="20"/>
          <w:szCs w:val="20"/>
          <w:color w:val="auto"/>
        </w:rPr>
      </w:pPr>
    </w:p>
    <w:p>
      <w:pPr>
        <w:ind w:left="660" w:hanging="652"/>
        <w:spacing w:after="0" w:line="207" w:lineRule="exact"/>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Cantaloupe,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c>
          <w:tcPr>
            <w:tcW w:w="0" w:type="dxa"/>
            <w:vAlign w:val="bottom"/>
          </w:tcPr>
          <w:p>
            <w:pPr>
              <w:spacing w:after="0"/>
              <w:rPr>
                <w:sz w:val="1"/>
                <w:szCs w:val="1"/>
                <w:color w:val="auto"/>
              </w:rPr>
            </w:pPr>
          </w:p>
        </w:tc>
      </w:tr>
      <w:tr>
        <w:trPr>
          <w:trHeight w:val="72"/>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Stewart, certify that:</w:t>
      </w:r>
    </w:p>
    <w:p>
      <w:pPr>
        <w:spacing w:after="0" w:line="211" w:lineRule="exact"/>
        <w:rPr>
          <w:sz w:val="20"/>
          <w:szCs w:val="20"/>
          <w:color w:val="auto"/>
        </w:rPr>
      </w:pPr>
    </w:p>
    <w:p>
      <w:pPr>
        <w:ind w:left="660" w:hanging="652"/>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Cantaloupe,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c>
          <w:tcPr>
            <w:tcW w:w="0" w:type="dxa"/>
            <w:vAlign w:val="bottom"/>
          </w:tcPr>
          <w:p>
            <w:pPr>
              <w:spacing w:after="0"/>
              <w:rPr>
                <w:sz w:val="1"/>
                <w:szCs w:val="1"/>
                <w:color w:val="auto"/>
              </w:rPr>
            </w:pPr>
          </w:p>
        </w:tc>
      </w:tr>
      <w:tr>
        <w:trPr>
          <w:trHeight w:val="72"/>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61"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September 30, 2024 (the “Report”), I, Ravi Venkatesan, Chief Executive Officer of the Company, hereby certify that to my knowledge:</w:t>
      </w:r>
    </w:p>
    <w:p>
      <w:pPr>
        <w:spacing w:after="0" w:line="185"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c>
          <w:tcPr>
            <w:tcW w:w="0" w:type="dxa"/>
            <w:vAlign w:val="bottom"/>
          </w:tcPr>
          <w:p>
            <w:pPr>
              <w:spacing w:after="0"/>
              <w:rPr>
                <w:sz w:val="1"/>
                <w:szCs w:val="1"/>
                <w:color w:val="auto"/>
              </w:rPr>
            </w:pPr>
          </w:p>
        </w:tc>
      </w:tr>
      <w:tr>
        <w:trPr>
          <w:trHeight w:val="72"/>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61"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September 30, 2024 (the “Report”), I, Scott Stewart, Chief Financial Officer of the Company, hereby certify that to my knowledge:</w:t>
      </w:r>
    </w:p>
    <w:p>
      <w:pPr>
        <w:spacing w:after="0" w:line="185"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86"/>
    </w:lvl>
  </w:abstractNum>
  <w:abstractNum w:abstractNumId="3">
    <w:nsid w:val="140E0F76"/>
    <w:multiLevelType w:val="hybridMultilevel"/>
    <w:lvl w:ilvl="0">
      <w:lvlJc w:val="left"/>
      <w:lvlText w:val="(%1)"/>
      <w:numFmt w:val="decimal"/>
      <w:start w:val="164"/>
    </w:lvl>
  </w:abstractNum>
  <w:abstractNum w:abstractNumId="4">
    <w:nsid w:val="3352255A"/>
    <w:multiLevelType w:val="hybridMultilevel"/>
    <w:lvl w:ilvl="0">
      <w:lvlJc w:val="left"/>
      <w:lvlText w:val="(%1)"/>
      <w:numFmt w:val="decimal"/>
      <w:start w:val="450"/>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10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3" Type="http://schemas.openxmlformats.org/officeDocument/2006/relationships/hyperlink" Target="https://www.sec.gov/Archives/edgar/data/896429/000162828022001838/a31-amendedandrestatedarti.htm" TargetMode="External"/><Relationship Id="rId64" Type="http://schemas.openxmlformats.org/officeDocument/2006/relationships/hyperlink" Target="https://www.sec.gov/ix?doc=/Archives/edgar/data/0000896429/000091412121005445/p56531664-8k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2024-11-07T16:38:16Z</dcterms:created>
  <dcterms:modified xsi:type="dcterms:W3CDTF">2024-11-07T16:38:16Z</dcterms:modified>
</cp:coreProperties>
</file>