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52" w:lineRule="exact"/>
        <w:rPr>
          <w:sz w:val="24"/>
          <w:szCs w:val="24"/>
          <w:color w:val="auto"/>
        </w:rPr>
      </w:pPr>
    </w:p>
    <w:p>
      <w:pPr>
        <w:ind w:left="3900" w:right="1900" w:hanging="3892"/>
        <w:spacing w:after="0" w:line="534" w:lineRule="auto"/>
        <w:tabs>
          <w:tab w:leader="none" w:pos="33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 (d) OF THE SECURITIES EXCHANGE ACT OF 1934 For the quarterly period ended March 31, 2013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 (d) OF THE EXCHANGE ACT OF 1934</w:t>
      </w:r>
    </w:p>
    <w:p>
      <w:pPr>
        <w:spacing w:after="0" w:line="256"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For the transition period from ____________________ to _____________________</w:t>
      </w:r>
    </w:p>
    <w:p>
      <w:pPr>
        <w:spacing w:after="0" w:line="252" w:lineRule="exact"/>
        <w:rPr>
          <w:sz w:val="24"/>
          <w:szCs w:val="24"/>
          <w:color w:val="auto"/>
        </w:rPr>
      </w:pPr>
    </w:p>
    <w:tbl>
      <w:tblPr>
        <w:tblLayout w:type="fixed"/>
        <w:tblInd w:w="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60" w:type="dxa"/>
            <w:vAlign w:val="bottom"/>
            <w:gridSpan w:val="6"/>
          </w:tcPr>
          <w:p>
            <w:pPr>
              <w:jc w:val="center"/>
              <w:ind w:left="590"/>
              <w:spacing w:after="0"/>
              <w:rPr>
                <w:sz w:val="20"/>
                <w:szCs w:val="20"/>
                <w:color w:val="auto"/>
              </w:rPr>
            </w:pPr>
            <w:r>
              <w:rPr>
                <w:rFonts w:ascii="Arial" w:cs="Arial" w:eastAsia="Arial" w:hAnsi="Arial"/>
                <w:sz w:val="18"/>
                <w:szCs w:val="18"/>
                <w:color w:val="auto"/>
                <w:w w:val="92"/>
              </w:rPr>
              <w:t>Commission file number 001-33365</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9"/>
        </w:trPr>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4"/>
          </w:tcPr>
          <w:p>
            <w:pPr>
              <w:jc w:val="center"/>
              <w:ind w:right="910"/>
              <w:spacing w:after="0"/>
              <w:rPr>
                <w:sz w:val="20"/>
                <w:szCs w:val="20"/>
                <w:color w:val="auto"/>
              </w:rPr>
            </w:pPr>
            <w:r>
              <w:rPr>
                <w:rFonts w:ascii="Arial" w:cs="Arial" w:eastAsia="Arial" w:hAnsi="Arial"/>
                <w:sz w:val="18"/>
                <w:szCs w:val="18"/>
                <w:b w:val="1"/>
                <w:bCs w:val="1"/>
                <w:color w:val="auto"/>
                <w:w w:val="88"/>
              </w:rPr>
              <w:t>USA Technologies, Inc.</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80" w:type="dxa"/>
            <w:vAlign w:val="bottom"/>
            <w:gridSpan w:val="2"/>
          </w:tcPr>
          <w:p>
            <w:pPr>
              <w:ind w:left="720"/>
              <w:spacing w:after="0"/>
              <w:rPr>
                <w:sz w:val="20"/>
                <w:szCs w:val="20"/>
                <w:color w:val="auto"/>
              </w:rPr>
            </w:pPr>
            <w:r>
              <w:rPr>
                <w:rFonts w:ascii="Arial" w:cs="Arial" w:eastAsia="Arial" w:hAnsi="Arial"/>
                <w:sz w:val="18"/>
                <w:szCs w:val="18"/>
                <w:color w:val="auto"/>
                <w:w w:val="92"/>
              </w:rPr>
              <w:t>(Exact name</w:t>
            </w:r>
          </w:p>
        </w:tc>
        <w:tc>
          <w:tcPr>
            <w:tcW w:w="17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of registrant as specified</w:t>
            </w:r>
          </w:p>
        </w:tc>
        <w:tc>
          <w:tcPr>
            <w:tcW w:w="1000" w:type="dxa"/>
            <w:vAlign w:val="bottom"/>
          </w:tcPr>
          <w:p>
            <w:pPr>
              <w:ind w:left="20"/>
              <w:spacing w:after="0"/>
              <w:rPr>
                <w:sz w:val="20"/>
                <w:szCs w:val="20"/>
                <w:color w:val="auto"/>
              </w:rPr>
            </w:pPr>
            <w:r>
              <w:rPr>
                <w:rFonts w:ascii="Arial" w:cs="Arial" w:eastAsia="Arial" w:hAnsi="Arial"/>
                <w:sz w:val="18"/>
                <w:szCs w:val="18"/>
                <w:color w:val="auto"/>
                <w:w w:val="92"/>
              </w:rPr>
              <w:t>in its charter)</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4460" w:type="dxa"/>
            <w:vAlign w:val="bottom"/>
            <w:gridSpan w:val="6"/>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23-2679963</w:t>
            </w:r>
          </w:p>
        </w:tc>
        <w:tc>
          <w:tcPr>
            <w:tcW w:w="8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080" w:type="dxa"/>
            <w:vAlign w:val="bottom"/>
            <w:gridSpan w:val="9"/>
          </w:tcPr>
          <w:p>
            <w:pPr>
              <w:jc w:val="center"/>
              <w:ind w:right="26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62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360" w:type="dxa"/>
            <w:vAlign w:val="bottom"/>
          </w:tcPr>
          <w:p>
            <w:pPr>
              <w:spacing w:after="0"/>
              <w:rPr>
                <w:sz w:val="24"/>
                <w:szCs w:val="24"/>
                <w:color w:val="auto"/>
              </w:rPr>
            </w:pPr>
          </w:p>
        </w:tc>
        <w:tc>
          <w:tcPr>
            <w:tcW w:w="3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100 Deerfield Lane, Suite 140, Malvern, Pennsylvania</w:t>
            </w:r>
          </w:p>
        </w:tc>
        <w:tc>
          <w:tcPr>
            <w:tcW w:w="2800" w:type="dxa"/>
            <w:vAlign w:val="bottom"/>
            <w:gridSpan w:val="5"/>
          </w:tcPr>
          <w:p>
            <w:pPr>
              <w:spacing w:after="0"/>
              <w:rPr>
                <w:sz w:val="24"/>
                <w:szCs w:val="24"/>
                <w:color w:val="auto"/>
              </w:rPr>
            </w:pPr>
          </w:p>
        </w:tc>
        <w:tc>
          <w:tcPr>
            <w:tcW w:w="1260" w:type="dxa"/>
            <w:vAlign w:val="bottom"/>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19355</w:t>
            </w:r>
          </w:p>
        </w:tc>
        <w:tc>
          <w:tcPr>
            <w:tcW w:w="8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3920" w:type="dxa"/>
            <w:vAlign w:val="bottom"/>
            <w:gridSpan w:val="3"/>
          </w:tcPr>
          <w:p>
            <w:pPr>
              <w:ind w:left="680"/>
              <w:spacing w:after="0"/>
              <w:rPr>
                <w:sz w:val="20"/>
                <w:szCs w:val="20"/>
                <w:color w:val="auto"/>
              </w:rPr>
            </w:pPr>
            <w:r>
              <w:rPr>
                <w:rFonts w:ascii="Arial" w:cs="Arial" w:eastAsia="Arial" w:hAnsi="Arial"/>
                <w:sz w:val="18"/>
                <w:szCs w:val="18"/>
                <w:color w:val="auto"/>
              </w:rPr>
              <w:t>(Address of principal executive offices)</w:t>
            </w:r>
          </w:p>
        </w:tc>
        <w:tc>
          <w:tcPr>
            <w:tcW w:w="34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(Zip Code)</w:t>
            </w:r>
          </w:p>
        </w:tc>
      </w:tr>
      <w:tr>
        <w:trPr>
          <w:trHeight w:val="452"/>
        </w:trPr>
        <w:tc>
          <w:tcPr>
            <w:tcW w:w="4620" w:type="dxa"/>
            <w:vAlign w:val="bottom"/>
            <w:gridSpan w:val="6"/>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(610) 989-0340</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40" w:type="dxa"/>
            <w:vAlign w:val="bottom"/>
            <w:gridSpan w:val="4"/>
          </w:tcPr>
          <w:p>
            <w:pPr>
              <w:ind w:left="660"/>
              <w:spacing w:after="0"/>
              <w:rPr>
                <w:sz w:val="20"/>
                <w:szCs w:val="20"/>
                <w:color w:val="auto"/>
              </w:rPr>
            </w:pPr>
            <w:r>
              <w:rPr>
                <w:rFonts w:ascii="Arial" w:cs="Arial" w:eastAsia="Arial" w:hAnsi="Arial"/>
                <w:sz w:val="18"/>
                <w:szCs w:val="18"/>
                <w:color w:val="auto"/>
                <w:w w:val="96"/>
              </w:rPr>
              <w:t>(Registrant’s telephone number,</w:t>
            </w:r>
          </w:p>
        </w:tc>
        <w:tc>
          <w:tcPr>
            <w:tcW w:w="3940" w:type="dxa"/>
            <w:vAlign w:val="bottom"/>
            <w:gridSpan w:val="6"/>
          </w:tcPr>
          <w:p>
            <w:pPr>
              <w:spacing w:after="0"/>
              <w:rPr>
                <w:sz w:val="20"/>
                <w:szCs w:val="20"/>
                <w:color w:val="auto"/>
              </w:rPr>
            </w:pPr>
            <w:r>
              <w:rPr>
                <w:rFonts w:ascii="Arial" w:cs="Arial" w:eastAsia="Arial" w:hAnsi="Arial"/>
                <w:sz w:val="18"/>
                <w:szCs w:val="18"/>
                <w:color w:val="auto"/>
              </w:rPr>
              <w:t>including area code)</w:t>
            </w:r>
          </w:p>
        </w:tc>
      </w:tr>
    </w:tbl>
    <w:p>
      <w:pPr>
        <w:spacing w:after="0" w:line="21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4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560" w:space="720"/>
            <w:col w:w="3000" w:space="720"/>
            <w:col w:w="342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May 6, 2013, there were 33,059,977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60" w:type="dxa"/>
            <w:vAlign w:val="bottom"/>
            <w:gridSpan w:val="7"/>
          </w:tcPr>
          <w:p>
            <w:pPr>
              <w:jc w:val="center"/>
              <w:ind w:right="2640"/>
              <w:spacing w:after="0"/>
              <w:rPr>
                <w:sz w:val="20"/>
                <w:szCs w:val="20"/>
                <w:color w:val="auto"/>
              </w:rPr>
            </w:pPr>
            <w:r>
              <w:rPr>
                <w:rFonts w:ascii="Arial" w:cs="Arial" w:eastAsia="Arial" w:hAnsi="Arial"/>
                <w:sz w:val="18"/>
                <w:szCs w:val="18"/>
                <w:color w:val="auto"/>
                <w:w w:val="96"/>
              </w:rPr>
              <w:t>USA TECHNOLOGIES, INC.</w:t>
            </w:r>
          </w:p>
        </w:tc>
        <w:tc>
          <w:tcPr>
            <w:tcW w:w="1660" w:type="dxa"/>
            <w:vAlign w:val="bottom"/>
          </w:tcPr>
          <w:p>
            <w:pPr>
              <w:spacing w:after="0"/>
              <w:rPr>
                <w:sz w:val="20"/>
                <w:szCs w:val="20"/>
                <w:color w:val="auto"/>
              </w:rPr>
            </w:pPr>
          </w:p>
        </w:tc>
      </w:tr>
      <w:tr>
        <w:trPr>
          <w:trHeight w:val="459"/>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60" w:type="dxa"/>
            <w:vAlign w:val="bottom"/>
            <w:gridSpan w:val="7"/>
          </w:tcPr>
          <w:p>
            <w:pPr>
              <w:jc w:val="center"/>
              <w:ind w:right="2640"/>
              <w:spacing w:after="0"/>
              <w:rPr>
                <w:sz w:val="20"/>
                <w:szCs w:val="20"/>
                <w:color w:val="auto"/>
              </w:rPr>
            </w:pPr>
            <w:r>
              <w:rPr>
                <w:rFonts w:ascii="Arial" w:cs="Arial" w:eastAsia="Arial" w:hAnsi="Arial"/>
                <w:sz w:val="18"/>
                <w:szCs w:val="18"/>
                <w:color w:val="auto"/>
                <w:w w:val="95"/>
              </w:rPr>
              <w:t>TABLE OF CONTENTS</w:t>
            </w:r>
          </w:p>
        </w:tc>
        <w:tc>
          <w:tcPr>
            <w:tcW w:w="1660" w:type="dxa"/>
            <w:vAlign w:val="bottom"/>
          </w:tcPr>
          <w:p>
            <w:pPr>
              <w:spacing w:after="0"/>
              <w:rPr>
                <w:sz w:val="24"/>
                <w:szCs w:val="24"/>
                <w:color w:val="auto"/>
              </w:rPr>
            </w:pPr>
          </w:p>
        </w:tc>
      </w:tr>
      <w:tr>
        <w:trPr>
          <w:trHeight w:val="432"/>
        </w:trPr>
        <w:tc>
          <w:tcPr>
            <w:tcW w:w="9760" w:type="dxa"/>
            <w:vAlign w:val="bottom"/>
            <w:gridSpan w:val="15"/>
          </w:tcPr>
          <w:p>
            <w:pPr>
              <w:spacing w:after="0"/>
              <w:rPr>
                <w:sz w:val="20"/>
                <w:szCs w:val="20"/>
                <w:color w:val="auto"/>
              </w:rPr>
            </w:pPr>
            <w:r>
              <w:rPr>
                <w:rFonts w:ascii="Arial" w:cs="Arial" w:eastAsia="Arial" w:hAnsi="Arial"/>
                <w:sz w:val="18"/>
                <w:szCs w:val="18"/>
                <w:color w:val="auto"/>
              </w:rPr>
              <w:t>Part I - Financial Information</w:t>
            </w:r>
          </w:p>
        </w:tc>
        <w:tc>
          <w:tcPr>
            <w:tcW w:w="1660" w:type="dxa"/>
            <w:vAlign w:val="bottom"/>
          </w:tcPr>
          <w:p>
            <w:pPr>
              <w:spacing w:after="0"/>
              <w:rPr>
                <w:sz w:val="24"/>
                <w:szCs w:val="24"/>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13"/>
          </w:tcPr>
          <w:p>
            <w:pPr>
              <w:spacing w:after="0"/>
              <w:rPr>
                <w:sz w:val="20"/>
                <w:szCs w:val="20"/>
                <w:color w:val="auto"/>
              </w:rPr>
            </w:pPr>
            <w:r>
              <w:rPr>
                <w:rFonts w:ascii="Arial" w:cs="Arial" w:eastAsia="Arial" w:hAnsi="Arial"/>
                <w:sz w:val="18"/>
                <w:szCs w:val="18"/>
                <w:color w:val="auto"/>
              </w:rPr>
              <w:t>Consolidated Financial Statements (Unaudited)</w:t>
            </w:r>
          </w:p>
        </w:tc>
        <w:tc>
          <w:tcPr>
            <w:tcW w:w="166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March 31, 2013 and June 30, 2012</w:t>
              </w:r>
            </w:hyperlink>
          </w:p>
        </w:tc>
        <w:tc>
          <w:tcPr>
            <w:tcW w:w="3840" w:type="dxa"/>
            <w:vAlign w:val="bottom"/>
            <w:gridSpan w:val="5"/>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Nine months ended March 31, 2013 and 2012</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Shareholders’ Equity – Nine months ended March 31, 2013</w:t>
              </w:r>
            </w:hyperlink>
          </w:p>
        </w:tc>
        <w:tc>
          <w:tcPr>
            <w:tcW w:w="800" w:type="dxa"/>
            <w:vAlign w:val="bottom"/>
            <w:tcBorders>
              <w:top w:val="single" w:sz="8" w:color="0000EE"/>
            </w:tcBorders>
            <w:gridSpan w:val="2"/>
          </w:tcPr>
          <w:p>
            <w:pPr>
              <w:spacing w:after="0"/>
              <w:rPr>
                <w:sz w:val="24"/>
                <w:szCs w:val="24"/>
                <w:color w:val="auto"/>
              </w:rPr>
            </w:pPr>
          </w:p>
        </w:tc>
        <w:tc>
          <w:tcPr>
            <w:tcW w:w="156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Nine months ended March 31, 2013 and 2012</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3960" w:type="dxa"/>
            <w:vAlign w:val="bottom"/>
            <w:tcBorders>
              <w:top w:val="single" w:sz="8" w:color="0000EE"/>
            </w:tcBorders>
            <w:gridSpan w:val="6"/>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976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16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696"/>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000" w:type="dxa"/>
            <w:vAlign w:val="bottom"/>
            <w:gridSpan w:val="5"/>
          </w:tcPr>
          <w:p>
            <w:pPr>
              <w:jc w:val="center"/>
              <w:ind w:left="349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08"/>
        </w:trPr>
        <w:tc>
          <w:tcPr>
            <w:tcW w:w="5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3,948,537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w w:val="95"/>
              </w:rPr>
              <w:t>Accounts receivable, less allowance for uncollectible accounts of $9,000 and $25,000, respectively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2,370,993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Finance receivables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113,485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1,838,557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2,511,748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656,306</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555,823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8,927,878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12,142,806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381,946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15,528,584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11,800,108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Intangibles,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639,653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7,663,208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88,101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33,229,370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33,219,657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5,332,568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6,136,443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1,601,362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Line of credit</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314,756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9,248,686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9,944,955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374,856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426,241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F0FFFF"/>
            </w:tcBorders>
            <w:shd w:val="clear" w:color="auto" w:fill="F0FFFF"/>
          </w:tcPr>
          <w:p>
            <w:pPr>
              <w:ind w:left="200"/>
              <w:spacing w:after="0"/>
              <w:rPr>
                <w:sz w:val="20"/>
                <w:szCs w:val="20"/>
                <w:color w:val="auto"/>
              </w:rPr>
            </w:pPr>
            <w:r>
              <w:rPr>
                <w:rFonts w:ascii="Arial" w:cs="Arial" w:eastAsia="Arial" w:hAnsi="Arial"/>
                <w:sz w:val="18"/>
                <w:szCs w:val="18"/>
                <w:color w:val="auto"/>
              </w:rPr>
              <w:t>Warrant liabilities, non-current</w:t>
            </w:r>
          </w:p>
        </w:tc>
        <w:tc>
          <w:tcPr>
            <w:tcW w:w="1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2,168,022</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918,566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2,735,986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1,619,680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liabilities</w:t>
            </w:r>
          </w:p>
        </w:tc>
        <w:tc>
          <w:tcPr>
            <w:tcW w:w="1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11,984,672</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11,564,635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Commitments and contingencies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3"/>
            <w:shd w:val="clear" w:color="auto" w:fill="F0FFFF"/>
          </w:tcPr>
          <w:p>
            <w:pPr>
              <w:spacing w:after="0" w:line="201" w:lineRule="exact"/>
              <w:rPr>
                <w:sz w:val="20"/>
                <w:szCs w:val="20"/>
                <w:color w:val="auto"/>
              </w:rPr>
            </w:pPr>
            <w:r>
              <w:rPr>
                <w:rFonts w:ascii="Arial" w:cs="Arial" w:eastAsia="Arial" w:hAnsi="Arial"/>
                <w:sz w:val="18"/>
                <w:szCs w:val="18"/>
                <w:color w:val="auto"/>
                <w:w w:val="98"/>
              </w:rPr>
              <w:t>Authorized shares- 1,800,000 Series A convertible preferred- Authorized shares- 900,000 Issued and outstanding</w:t>
            </w: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shares- 442,968 (liquidation preference of $16,026,004 and $15,361,552, respectively)</w:t>
            </w:r>
          </w:p>
        </w:tc>
        <w:tc>
          <w:tcPr>
            <w:tcW w:w="1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3,138,056</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shares- 640,000,000 Issued and outstanding shares- 32,878,702</w:t>
            </w:r>
          </w:p>
        </w:tc>
        <w:tc>
          <w:tcPr>
            <w:tcW w:w="1240" w:type="dxa"/>
            <w:vAlign w:val="bottom"/>
            <w:gridSpan w:val="2"/>
          </w:tcPr>
          <w:p>
            <w:pPr>
              <w:jc w:val="right"/>
              <w:ind w:right="940"/>
              <w:spacing w:after="0" w:line="201" w:lineRule="exact"/>
              <w:rPr>
                <w:sz w:val="20"/>
                <w:szCs w:val="20"/>
                <w:color w:val="auto"/>
              </w:rPr>
            </w:pPr>
            <w:r>
              <w:rPr>
                <w:rFonts w:ascii="Arial" w:cs="Arial" w:eastAsia="Arial" w:hAnsi="Arial"/>
                <w:sz w:val="18"/>
                <w:szCs w:val="18"/>
                <w:color w:val="auto"/>
                <w:w w:val="93"/>
              </w:rPr>
              <w:t>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32,510,069, respectively</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220,926,047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220,513,327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6"/>
              </w:rPr>
              <w:t>(202,819,405)</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(201,996,361)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21,244,698</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33,229,370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33,219,657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License and transaction fees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7,562,589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5,985,052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21,872,187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16,988,179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Equipment sales</w:t>
            </w:r>
          </w:p>
        </w:tc>
        <w:tc>
          <w:tcPr>
            <w:tcW w:w="4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1,418,215</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1,541,999</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4,383,216</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4,126,218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8,980,804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7,527,051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26,255,403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21,114,397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4,525,244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3,749,862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13,080,816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11,494,690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Cost of equipment</w:t>
            </w:r>
          </w:p>
        </w:tc>
        <w:tc>
          <w:tcPr>
            <w:tcW w:w="4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774,221</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981,969</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2,748,785</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2,836,995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3,681,339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2,795,220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10,425,802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6,782,712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3,003,231</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3,040,562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8,918,030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0"/>
              </w:rPr>
              <w:t>10,039,712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327,889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391,859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1,004,134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3,331,120</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3,432,421</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9,922,164</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0"/>
              </w:rPr>
              <w:t>11,179,212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350,219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503,638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(4,396,500)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11,082</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14,029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52,910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4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(1,308,954)</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95,074</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(1,249,456)</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1,983,442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(1,359,251)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98,583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(1,305,948)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1,957,869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(1,009,032)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(538,618)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(802,310)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(2,438,631)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(6,911)</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(20,734)</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(1,015,943)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(538,618)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(823,044)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(2,438,631)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4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1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loss applicable to common shares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(1,348,169)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(870,844)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(1,487,496)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(3,103,083)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rPr>
              <w:t>Net loss per common share (basic and diluted)</w:t>
            </w: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F0FFFF"/>
          </w:tcPr>
          <w:p>
            <w:pPr>
              <w:spacing w:after="0"/>
              <w:rPr>
                <w:sz w:val="20"/>
                <w:szCs w:val="20"/>
                <w:color w:val="auto"/>
              </w:rPr>
            </w:pPr>
            <w:r>
              <w:rPr>
                <w:rFonts w:ascii="Arial" w:cs="Arial" w:eastAsia="Arial" w:hAnsi="Arial"/>
                <w:sz w:val="18"/>
                <w:szCs w:val="18"/>
                <w:color w:val="auto"/>
                <w:w w:val="90"/>
              </w:rPr>
              <w:t>Weighted average number of common shares outstanding (basic and diluted)</w:t>
            </w: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32,821,345</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3"/>
              </w:rPr>
              <w:t>32,466,528</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9"/>
              </w:rPr>
              <w:t>32,690,374</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0"/>
              </w:rPr>
              <w:t>32,400,049</w:t>
            </w:r>
          </w:p>
        </w:tc>
        <w:tc>
          <w:tcPr>
            <w:tcW w:w="0" w:type="dxa"/>
            <w:vAlign w:val="bottom"/>
          </w:tcPr>
          <w:p>
            <w:pPr>
              <w:spacing w:after="0"/>
              <w:rPr>
                <w:sz w:val="1"/>
                <w:szCs w:val="1"/>
                <w:color w:val="auto"/>
              </w:rPr>
            </w:pPr>
          </w:p>
        </w:tc>
      </w:tr>
      <w:tr>
        <w:trPr>
          <w:trHeight w:val="459"/>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80" w:type="dxa"/>
            <w:vAlign w:val="bottom"/>
            <w:gridSpan w:val="4"/>
          </w:tcPr>
          <w:p>
            <w:pPr>
              <w:jc w:val="center"/>
              <w:ind w:right="5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8"/>
                <w:szCs w:val="18"/>
                <w:color w:val="auto"/>
                <w:w w:val="89"/>
              </w:rPr>
              <w:t>Preferred Stock</w:t>
            </w:r>
          </w:p>
        </w:tc>
        <w:tc>
          <w:tcPr>
            <w:tcW w:w="1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2012</w:t>
            </w:r>
          </w:p>
        </w:tc>
        <w:tc>
          <w:tcPr>
            <w:tcW w:w="12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32,510,069</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95"/>
              </w:rPr>
              <w:t>220,513,327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(201,996,361)</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Exercise of 96,086 warrants at $1.13</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resulting in issuance of common stock</w:t>
            </w:r>
          </w:p>
        </w:tc>
        <w:tc>
          <w:tcPr>
            <w:tcW w:w="12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96,086</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108,577</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108,577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Cashless exercise of 36,186</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4"/>
              </w:rPr>
              <w:t>warrants resulting in issuance of common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17,094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Warrants issued in conjunction with Line of</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Credit Amendment</w:t>
            </w:r>
          </w:p>
        </w:tc>
        <w:tc>
          <w:tcPr>
            <w:tcW w:w="12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55,962</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12,441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34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89,165</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140,392</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140,392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218,694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163,783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(64,847)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(121,052)</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(823,044)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128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March 31, 2013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442,968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3,138,056</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32,878,702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220,926,047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(202,819,405)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21,244,698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(1,015,943)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(538,618)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(823,044)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(2,438,631)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Adjustments to reconcile net loss to net cash provided by (used in) operating</w:t>
            </w:r>
          </w:p>
        </w:tc>
        <w:tc>
          <w:tcPr>
            <w:tcW w:w="22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F0FFFF"/>
          </w:tcPr>
          <w:p>
            <w:pPr>
              <w:spacing w:after="0"/>
              <w:rPr>
                <w:sz w:val="20"/>
                <w:szCs w:val="20"/>
                <w:color w:val="auto"/>
              </w:rPr>
            </w:pPr>
          </w:p>
        </w:tc>
        <w:tc>
          <w:tcPr>
            <w:tcW w:w="10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5"/>
              </w:rPr>
              <w:t>Charges incurred in connection with the vesting and issuance of common stock</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 employee and director compensation</w:t>
            </w: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149,009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369,233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1,308,954</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(95,074)</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1,249,456</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(1,983,442)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1,003,610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631,330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2,742,196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1,747,445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(Gain) loss on disposal of property and equipment</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(14,815)</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13,844</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(18,415)</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258,600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556,800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Non-cash interest and amortization of debt discount</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26,934</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26,934</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Bad debt expense (recoveries),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Provision for deferred tax liability</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20,734</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(1,212,990)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(484,290)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63,489</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47,416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603,019</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108,302</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685,114</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59,841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(1,115,013)</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291,263</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(803,875)</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(1,030,781)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(223,669)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164,417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(1,792,479)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(217,437)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2,382,748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(2,791,715)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(31,413)</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(30,158)</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(81,691)</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(404,103)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(1,778,344)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(1,226,518)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(6,320,514)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(3,282,512)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18,908</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18,908</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(1,790,849)</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(1,256,676)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(6,383,297)</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(3,686,615)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w w:val="97"/>
              </w:rPr>
              <w:t>Net proceeds from the issuance (retirement) of common stock and exercise of</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common stock warrants</w:t>
            </w: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74,840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Proceeds from line of credit, net of repayments</w:t>
            </w: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(164,363)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(465,084)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910,477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1,522,441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(1,097,809)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(1,136,346)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(2,478,108)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(6,797,476)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5,046,346</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7,330,381</w:t>
            </w: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6,426,645</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90"/>
              </w:rPr>
              <w:t>12,991,511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3,948,537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6,194,035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3,948,537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6,194,035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32,551</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11,619</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84,220</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80,883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80,883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495,955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Equipment and software financed with long-term debt</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40,871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Prepaid items financed with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2,340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28,419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130,402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Prepaid interest from issuance of warrants for debt costs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55,962</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55,962</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54,638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Reclass of rental program property to inventory</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2,296</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11,923</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expense allocated to cost of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861,321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498,071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2,294,862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1,383,745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USA Technologies, Inc. (the “Company”, “We” or “Our”), incorporated in the Commonwealth of Pennsylvania in January 1992, provides wireless networking, cashless transactions, asset monitoring and other value-added services principally to the small ticket unattended retail markets. Our ePort</w:t>
      </w:r>
      <w:r>
        <w:rPr>
          <w:rFonts w:ascii="Arial" w:cs="Arial" w:eastAsia="Arial" w:hAnsi="Arial"/>
          <w:sz w:val="17"/>
          <w:szCs w:val="17"/>
          <w:i w:val="1"/>
          <w:iCs w:val="1"/>
          <w:color w:val="auto"/>
        </w:rPr>
        <w:t>®</w:t>
      </w:r>
      <w:r>
        <w:rPr>
          <w:rFonts w:ascii="Arial" w:cs="Arial" w:eastAsia="Arial" w:hAnsi="Arial"/>
          <w:sz w:val="17"/>
          <w:szCs w:val="17"/>
          <w:color w:val="auto"/>
        </w:rPr>
        <w:t xml:space="preserve"> technology, including the NFC-ready ePort® G8, can be installed and/or embedded into everyday devices such as vending machines, kiosks, and our eSuds™ technology is installed in washer and dryers. USA Technologies also provides other cashless acceptance technologies including its ePort Mobile™ for customers on the go, and QuickConnect™, an API Web service for developers. Our associated network service, ePort Connect</w:t>
      </w:r>
      <w:r>
        <w:rPr>
          <w:rFonts w:ascii="Arial" w:cs="Arial" w:eastAsia="Arial" w:hAnsi="Arial"/>
          <w:sz w:val="17"/>
          <w:szCs w:val="17"/>
          <w:i w:val="1"/>
          <w:iCs w:val="1"/>
          <w:color w:val="auto"/>
        </w:rPr>
        <w:t>®</w:t>
      </w:r>
      <w:r>
        <w:rPr>
          <w:rFonts w:ascii="Arial" w:cs="Arial" w:eastAsia="Arial" w:hAnsi="Arial"/>
          <w:sz w:val="17"/>
          <w:szCs w:val="17"/>
          <w:color w:val="auto"/>
        </w:rPr>
        <w:t>, is a PCI-compliant, comprehensive service that facilitates electronic payment options as well as telemetry and machine-to-machine (“M2M”) services, including wireless connectivity, all elements of payment processing, customer service and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7"/>
          <w:szCs w:val="17"/>
          <w:i w:val="1"/>
          <w:iCs w:val="1"/>
          <w:color w:val="auto"/>
        </w:rPr>
        <w:t>®</w:t>
      </w:r>
      <w:r>
        <w:rPr>
          <w:rFonts w:ascii="Arial" w:cs="Arial" w:eastAsia="Arial" w:hAnsi="Arial"/>
          <w:sz w:val="17"/>
          <w:szCs w:val="17"/>
          <w:color w:val="auto"/>
        </w:rPr>
        <w:t xml:space="preserve"> and CoolerMiser™, which reduce energy consumption in vending machines and coolers.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2012. In the opinion of management, all adjustments considered necessary for a fair presentation, consisting of normal recurring adjustments, have been included. Operating results for the three and nine-month periods ended March 31, 2013 are not necessarily indicative of the results that may be expected for the year ending June 30, 2013. The balance sheet at June 30, 2012 has been derived from the audited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incurred losses of $1,015,943 and $823,044 for the three and nine-month periods ended March 31, 2013, the Company had incurred losses from its inception through June 30, 2012. Although the Company anticipates nearing profitability for the full 2013 fiscal year, profitability is not assured. The impact on profitability of future changes to the fair value of our warrant liabilities, which is subject to secondary market conditions, is not reasonably predictable. The Company’s ability to meet its future obligations is dependent upon the success of its products and services in the marketplace and the available capital resources. Until the Company’s products and services can generate sufficient annual cash flows, the Company will be required to use its cash and cash equivalents on hand, its line of credit, and may be required to raise equity capital to meet its cash flow requirements.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2013 and June 30, 2012,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extended payment terms to certain customers for equipment sales under its Quick Start Program.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provision for income taxes of $6,911 and $20,734 (all deferred income taxes) was recorded for the three and nine months ended March 31, 2013. The provision for income taxes is not a function of nor related to the loss before provision for income taxes of $1,009,032 and $802,310 for the three and nine-month periods, respectively, because the Company has significant operating loss carryforwards that are available to negate any taxable income that would create current liabilities for income taxes. The provision for income taxes relates to the amortization of indefinite life intangible assets and goodwill that are being amortized for income tax purposes but not for financial reporting purposes giving rise to basis differences in such assets between financial and income tax reporting.</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substantial operating loss carryforwards and other items that create net deferred tax assets that have been offset by a valuation allowance as the realization of the deferred tax assets is not likely, principally due to a lack of earnings history. The deferred tax liabilities related to the amortization of the indefinite life assets are not subject to offset against deferred tax assets with finite lives. As of March 31, 2013 and June 30, 2012, deferred tax liabilities of $33,333 and $12,599, respectively, were recorded for the potential future state and federal income tax effects for these basis differences.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was no provision for income taxes for the three and nine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 financial statements have been reclassified to conform to the current period presentation.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w w:val="95"/>
              </w:rPr>
              <w:t>June 30,</w:t>
            </w:r>
          </w:p>
        </w:tc>
      </w:tr>
      <w:tr>
        <w:trPr>
          <w:trHeight w:val="237"/>
        </w:trPr>
        <w:tc>
          <w:tcPr>
            <w:tcW w:w="23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r>
      <w:tr>
        <w:trPr>
          <w:trHeight w:val="216"/>
        </w:trPr>
        <w:tc>
          <w:tcPr>
            <w:tcW w:w="2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358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495,431</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542,847</w:t>
            </w:r>
          </w:p>
        </w:tc>
      </w:tr>
      <w:tr>
        <w:trPr>
          <w:trHeight w:val="223"/>
        </w:trPr>
        <w:tc>
          <w:tcPr>
            <w:tcW w:w="23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current portion</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113,485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206,649</w:t>
            </w:r>
          </w:p>
        </w:tc>
      </w:tr>
      <w:tr>
        <w:trPr>
          <w:trHeight w:val="237"/>
        </w:trPr>
        <w:tc>
          <w:tcPr>
            <w:tcW w:w="2300" w:type="dxa"/>
            <w:vAlign w:val="bottom"/>
          </w:tcPr>
          <w:p>
            <w:pPr>
              <w:spacing w:after="0"/>
              <w:rPr>
                <w:sz w:val="20"/>
                <w:szCs w:val="20"/>
                <w:color w:val="auto"/>
              </w:rPr>
            </w:pPr>
          </w:p>
        </w:tc>
        <w:tc>
          <w:tcPr>
            <w:tcW w:w="3580" w:type="dxa"/>
            <w:vAlign w:val="bottom"/>
            <w:shd w:val="clear" w:color="auto" w:fill="F0FFFF"/>
          </w:tcPr>
          <w:p>
            <w:pPr>
              <w:spacing w:after="0"/>
              <w:rPr>
                <w:sz w:val="20"/>
                <w:szCs w:val="20"/>
                <w:color w:val="auto"/>
              </w:rPr>
            </w:pPr>
            <w:r>
              <w:rPr>
                <w:rFonts w:ascii="Arial" w:cs="Arial" w:eastAsia="Arial" w:hAnsi="Arial"/>
                <w:sz w:val="18"/>
                <w:szCs w:val="18"/>
                <w:color w:val="auto"/>
              </w:rPr>
              <w:t>Non-current portion of finance receivables</w:t>
            </w: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381,946</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336,198</w:t>
            </w:r>
          </w:p>
        </w:tc>
      </w:tr>
      <w:tr>
        <w:trPr>
          <w:trHeight w:val="20"/>
        </w:trPr>
        <w:tc>
          <w:tcPr>
            <w:tcW w:w="2300" w:type="dxa"/>
            <w:vAlign w:val="bottom"/>
          </w:tcPr>
          <w:p>
            <w:pPr>
              <w:spacing w:after="0" w:line="20" w:lineRule="exact"/>
              <w:rPr>
                <w:sz w:val="1"/>
                <w:szCs w:val="1"/>
                <w:color w:val="auto"/>
              </w:rPr>
            </w:pPr>
          </w:p>
        </w:tc>
        <w:tc>
          <w:tcPr>
            <w:tcW w:w="3580" w:type="dxa"/>
            <w:vAlign w:val="bottom"/>
            <w:tcBorders>
              <w:top w:val="single" w:sz="8" w:color="F0FFFF"/>
            </w:tcBorders>
            <w:shd w:val="clear" w:color="auto" w:fill="F0FFFF"/>
          </w:tcPr>
          <w:p>
            <w:pPr>
              <w:spacing w:after="0" w:line="20" w:lineRule="exact"/>
              <w:rPr>
                <w:sz w:val="1"/>
                <w:szCs w:val="1"/>
                <w:color w:val="auto"/>
              </w:rPr>
            </w:pPr>
          </w:p>
        </w:tc>
        <w:tc>
          <w:tcPr>
            <w:tcW w:w="5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2013 and June 30, 2012,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Credit Quality Indicators</w:t>
            </w:r>
          </w:p>
        </w:tc>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80" w:type="dxa"/>
            <w:vAlign w:val="bottom"/>
            <w:gridSpan w:val="2"/>
          </w:tcPr>
          <w:p>
            <w:pPr>
              <w:jc w:val="right"/>
              <w:ind w:right="400"/>
              <w:spacing w:after="0"/>
              <w:rPr>
                <w:sz w:val="20"/>
                <w:szCs w:val="20"/>
                <w:color w:val="auto"/>
              </w:rPr>
            </w:pPr>
            <w:r>
              <w:rPr>
                <w:rFonts w:ascii="Arial" w:cs="Arial" w:eastAsia="Arial" w:hAnsi="Arial"/>
                <w:sz w:val="18"/>
                <w:szCs w:val="18"/>
                <w:color w:val="auto"/>
              </w:rPr>
              <w:t>As of March 31, 2013</w:t>
            </w:r>
          </w:p>
        </w:tc>
        <w:tc>
          <w:tcPr>
            <w:tcW w:w="1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40" w:type="dxa"/>
            <w:vAlign w:val="bottom"/>
            <w:gridSpan w:val="4"/>
          </w:tcPr>
          <w:p>
            <w:pPr>
              <w:ind w:left="3440"/>
              <w:spacing w:after="0"/>
              <w:rPr>
                <w:sz w:val="20"/>
                <w:szCs w:val="20"/>
                <w:color w:val="auto"/>
              </w:rPr>
            </w:pPr>
            <w:r>
              <w:rPr>
                <w:rFonts w:ascii="Arial" w:cs="Arial" w:eastAsia="Arial" w:hAnsi="Arial"/>
                <w:sz w:val="18"/>
                <w:szCs w:val="18"/>
                <w:color w:val="auto"/>
                <w:w w:val="95"/>
              </w:rPr>
              <w:t>Credit risk profile based on payment activity:</w:t>
            </w: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color w:val="auto"/>
              </w:rPr>
              <w:t>Leases</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220" w:type="dxa"/>
            <w:vAlign w:val="bottom"/>
            <w:shd w:val="clear" w:color="auto" w:fill="F0FFFF"/>
          </w:tcPr>
          <w:p>
            <w:pPr>
              <w:spacing w:after="0"/>
              <w:rPr>
                <w:sz w:val="20"/>
                <w:szCs w:val="20"/>
                <w:color w:val="auto"/>
              </w:rPr>
            </w:pPr>
            <w:r>
              <w:rPr>
                <w:rFonts w:ascii="Arial" w:cs="Arial" w:eastAsia="Arial" w:hAnsi="Arial"/>
                <w:sz w:val="18"/>
                <w:szCs w:val="18"/>
                <w:color w:val="auto"/>
              </w:rPr>
              <w:t>Performing</w:t>
            </w:r>
          </w:p>
        </w:tc>
        <w:tc>
          <w:tcPr>
            <w:tcW w:w="2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495,431</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Nonperforming</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Pr>
          <w:p>
            <w:pPr>
              <w:spacing w:after="0"/>
              <w:rPr>
                <w:sz w:val="22"/>
                <w:szCs w:val="22"/>
                <w:color w:val="auto"/>
              </w:rPr>
            </w:pPr>
          </w:p>
        </w:tc>
        <w:tc>
          <w:tcPr>
            <w:tcW w:w="122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495,431</w:t>
            </w: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4"/>
        </w:trPr>
        <w:tc>
          <w:tcPr>
            <w:tcW w:w="3440" w:type="dxa"/>
            <w:vAlign w:val="bottom"/>
          </w:tcPr>
          <w:p>
            <w:pPr>
              <w:spacing w:after="0"/>
              <w:rPr>
                <w:sz w:val="24"/>
                <w:szCs w:val="24"/>
                <w:color w:val="auto"/>
              </w:rPr>
            </w:pPr>
          </w:p>
        </w:tc>
        <w:tc>
          <w:tcPr>
            <w:tcW w:w="1220" w:type="dxa"/>
            <w:vAlign w:val="bottom"/>
            <w:tcBorders>
              <w:top w:val="single" w:sz="8" w:color="F0FFFF"/>
            </w:tcBorders>
          </w:tcPr>
          <w:p>
            <w:pPr>
              <w:spacing w:after="0"/>
              <w:rPr>
                <w:sz w:val="24"/>
                <w:szCs w:val="24"/>
                <w:color w:val="auto"/>
              </w:rPr>
            </w:pPr>
          </w:p>
        </w:tc>
        <w:tc>
          <w:tcPr>
            <w:tcW w:w="1900" w:type="dxa"/>
            <w:vAlign w:val="bottom"/>
            <w:tcBorders>
              <w:top w:val="single" w:sz="8" w:color="F0FFFF"/>
            </w:tcBorders>
          </w:tcPr>
          <w:p>
            <w:pPr>
              <w:jc w:val="right"/>
              <w:ind w:right="710"/>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8"/>
          </w:tcPr>
          <w:p>
            <w:pPr>
              <w:spacing w:after="0"/>
              <w:rPr>
                <w:sz w:val="20"/>
                <w:szCs w:val="20"/>
                <w:color w:val="auto"/>
              </w:rPr>
            </w:pPr>
            <w:r>
              <w:rPr>
                <w:rFonts w:ascii="Arial" w:cs="Arial" w:eastAsia="Arial" w:hAnsi="Arial"/>
                <w:sz w:val="18"/>
                <w:szCs w:val="18"/>
                <w:b w:val="1"/>
                <w:bCs w:val="1"/>
                <w:color w:val="auto"/>
              </w:rPr>
              <w:t>2. FINANCE RECEIVABLES (CONTINUED)</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8"/>
          </w:tcPr>
          <w:p>
            <w:pPr>
              <w:jc w:val="right"/>
              <w:spacing w:after="0"/>
              <w:rPr>
                <w:sz w:val="20"/>
                <w:szCs w:val="20"/>
                <w:color w:val="auto"/>
              </w:rPr>
            </w:pPr>
            <w:r>
              <w:rPr>
                <w:rFonts w:ascii="Arial" w:cs="Arial" w:eastAsia="Arial" w:hAnsi="Arial"/>
                <w:sz w:val="18"/>
                <w:szCs w:val="18"/>
                <w:color w:val="auto"/>
                <w:w w:val="95"/>
              </w:rPr>
              <w:t>Age Analysis of Past Due Finance Receivables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40" w:type="dxa"/>
            <w:vAlign w:val="bottom"/>
            <w:gridSpan w:val="5"/>
          </w:tcPr>
          <w:p>
            <w:pPr>
              <w:jc w:val="right"/>
              <w:spacing w:after="0"/>
              <w:rPr>
                <w:sz w:val="20"/>
                <w:szCs w:val="20"/>
                <w:color w:val="auto"/>
              </w:rPr>
            </w:pPr>
            <w:r>
              <w:rPr>
                <w:rFonts w:ascii="Arial" w:cs="Arial" w:eastAsia="Arial" w:hAnsi="Arial"/>
                <w:sz w:val="18"/>
                <w:szCs w:val="18"/>
                <w:color w:val="auto"/>
                <w:w w:val="94"/>
              </w:rPr>
              <w:t>As of March 31, 2013</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color w:val="auto"/>
                <w:w w:val="89"/>
              </w:rPr>
              <w:t>31 – 60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89"/>
              </w:rPr>
              <w:t>61 – 90</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Greater than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w w:val="85"/>
              </w:rPr>
              <w:t>Days Past</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w w:val="86"/>
              </w:rPr>
              <w:t>Total Past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Due</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Past Due</w:t>
            </w: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Due</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Leases</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9,277</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9,277</w:t>
            </w:r>
          </w:p>
        </w:tc>
        <w:tc>
          <w:tcPr>
            <w:tcW w:w="680" w:type="dxa"/>
            <w:vAlign w:val="bottom"/>
            <w:gridSpan w:val="3"/>
            <w:shd w:val="clear" w:color="auto" w:fill="F0FFFF"/>
          </w:tcPr>
          <w:p>
            <w:pPr>
              <w:jc w:val="center"/>
              <w:ind w:right="13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486,154</w:t>
            </w:r>
          </w:p>
        </w:tc>
        <w:tc>
          <w:tcPr>
            <w:tcW w:w="3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495,431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shd w:val="clear" w:color="auto" w:fill="F0FFFF"/>
          </w:tcPr>
          <w:p>
            <w:pPr>
              <w:spacing w:after="0"/>
              <w:rPr>
                <w:sz w:val="2"/>
                <w:szCs w:val="2"/>
                <w:color w:val="auto"/>
              </w:rPr>
            </w:pPr>
          </w:p>
        </w:tc>
        <w:tc>
          <w:tcPr>
            <w:tcW w:w="4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9,277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9,277</w:t>
            </w:r>
          </w:p>
        </w:tc>
        <w:tc>
          <w:tcPr>
            <w:tcW w:w="680" w:type="dxa"/>
            <w:vAlign w:val="bottom"/>
            <w:gridSpan w:val="3"/>
          </w:tcPr>
          <w:p>
            <w:pPr>
              <w:jc w:val="center"/>
              <w:ind w:right="13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486,154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495,431</w:t>
            </w:r>
          </w:p>
        </w:tc>
        <w:tc>
          <w:tcPr>
            <w:tcW w:w="0" w:type="dxa"/>
            <w:vAlign w:val="bottom"/>
          </w:tcPr>
          <w:p>
            <w:pPr>
              <w:spacing w:after="0"/>
              <w:rPr>
                <w:sz w:val="1"/>
                <w:szCs w:val="1"/>
                <w:color w:val="auto"/>
              </w:rPr>
            </w:pPr>
          </w:p>
        </w:tc>
      </w:tr>
      <w:tr>
        <w:trPr>
          <w:trHeight w:val="21"/>
        </w:trPr>
        <w:tc>
          <w:tcPr>
            <w:tcW w:w="2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1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00" w:type="dxa"/>
            <w:vAlign w:val="bottom"/>
            <w:gridSpan w:val="6"/>
          </w:tcPr>
          <w:p>
            <w:pPr>
              <w:spacing w:after="0"/>
              <w:rPr>
                <w:sz w:val="20"/>
                <w:szCs w:val="20"/>
                <w:color w:val="auto"/>
              </w:rPr>
            </w:pPr>
            <w:r>
              <w:rPr>
                <w:rFonts w:ascii="Arial" w:cs="Arial" w:eastAsia="Arial" w:hAnsi="Arial"/>
                <w:sz w:val="18"/>
                <w:szCs w:val="18"/>
                <w:color w:val="auto"/>
              </w:rPr>
              <w:t>Accrued expenses consist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March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tcPr>
          <w:p>
            <w:pPr>
              <w:jc w:val="right"/>
              <w:ind w:right="9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8"/>
                <w:szCs w:val="18"/>
                <w:color w:val="auto"/>
                <w:w w:val="89"/>
              </w:rPr>
              <w:t>2013</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89"/>
              </w:rPr>
              <w:t>2012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4"/>
          </w:tcPr>
          <w:p>
            <w:pPr>
              <w:jc w:val="center"/>
              <w:ind w:lef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gridSpan w:val="9"/>
            <w:shd w:val="clear" w:color="auto" w:fill="F0FFFF"/>
          </w:tcPr>
          <w:p>
            <w:pPr>
              <w:spacing w:after="0"/>
              <w:rPr>
                <w:sz w:val="20"/>
                <w:szCs w:val="20"/>
                <w:color w:val="auto"/>
              </w:rPr>
            </w:pPr>
            <w:r>
              <w:rPr>
                <w:rFonts w:ascii="Arial" w:cs="Arial" w:eastAsia="Arial" w:hAnsi="Arial"/>
                <w:sz w:val="18"/>
                <w:szCs w:val="18"/>
                <w:color w:val="auto"/>
                <w:w w:val="97"/>
              </w:rPr>
              <w:t>Accrued compensation and related sales commissions</w:t>
            </w: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417,817</w:t>
            </w:r>
          </w:p>
        </w:tc>
        <w:tc>
          <w:tcPr>
            <w:tcW w:w="480" w:type="dxa"/>
            <w:vAlign w:val="bottom"/>
            <w:gridSpan w:val="2"/>
            <w:shd w:val="clear" w:color="auto" w:fill="F0FF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767,926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6"/>
          </w:tcPr>
          <w:p>
            <w:pPr>
              <w:spacing w:after="0"/>
              <w:rPr>
                <w:sz w:val="20"/>
                <w:szCs w:val="20"/>
                <w:color w:val="auto"/>
              </w:rPr>
            </w:pPr>
            <w:r>
              <w:rPr>
                <w:rFonts w:ascii="Arial" w:cs="Arial" w:eastAsia="Arial" w:hAnsi="Arial"/>
                <w:sz w:val="18"/>
                <w:szCs w:val="18"/>
                <w:color w:val="auto"/>
                <w:w w:val="97"/>
              </w:rPr>
              <w:t>Accrued professional fees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167,987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482,664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gridSpan w:val="7"/>
            <w:shd w:val="clear" w:color="auto" w:fill="F0FFFF"/>
          </w:tcPr>
          <w:p>
            <w:pPr>
              <w:spacing w:after="0"/>
              <w:rPr>
                <w:sz w:val="20"/>
                <w:szCs w:val="20"/>
                <w:color w:val="auto"/>
              </w:rPr>
            </w:pPr>
            <w:r>
              <w:rPr>
                <w:rFonts w:ascii="Arial" w:cs="Arial" w:eastAsia="Arial" w:hAnsi="Arial"/>
                <w:sz w:val="18"/>
                <w:szCs w:val="18"/>
                <w:color w:val="auto"/>
              </w:rPr>
              <w:t>Accrued taxes and filing fees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553,997</w:t>
            </w:r>
          </w:p>
        </w:tc>
        <w:tc>
          <w:tcPr>
            <w:tcW w:w="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663,078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6"/>
          </w:tcPr>
          <w:p>
            <w:pPr>
              <w:spacing w:after="0"/>
              <w:rPr>
                <w:sz w:val="20"/>
                <w:szCs w:val="20"/>
                <w:color w:val="auto"/>
              </w:rPr>
            </w:pPr>
            <w:r>
              <w:rPr>
                <w:rFonts w:ascii="Arial" w:cs="Arial" w:eastAsia="Arial" w:hAnsi="Arial"/>
                <w:sz w:val="18"/>
                <w:szCs w:val="18"/>
                <w:color w:val="auto"/>
                <w:w w:val="92"/>
              </w:rPr>
              <w:t>Advanced customer billings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324,310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311,767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gridSpan w:val="7"/>
            <w:shd w:val="clear" w:color="auto" w:fill="F0FFFF"/>
          </w:tcPr>
          <w:p>
            <w:pPr>
              <w:spacing w:after="0"/>
              <w:rPr>
                <w:sz w:val="20"/>
                <w:szCs w:val="20"/>
                <w:color w:val="auto"/>
              </w:rPr>
            </w:pPr>
            <w:r>
              <w:rPr>
                <w:rFonts w:ascii="Arial" w:cs="Arial" w:eastAsia="Arial" w:hAnsi="Arial"/>
                <w:sz w:val="18"/>
                <w:szCs w:val="18"/>
                <w:color w:val="auto"/>
                <w:w w:val="92"/>
              </w:rPr>
              <w:t>Accrued proxy contest and litigation costs</w:t>
            </w: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900" w:type="dxa"/>
            <w:vAlign w:val="bottom"/>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992,520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Arial" w:cs="Arial" w:eastAsia="Arial" w:hAnsi="Arial"/>
                <w:sz w:val="18"/>
                <w:szCs w:val="18"/>
                <w:color w:val="auto"/>
              </w:rPr>
              <w:t>Accrued rent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242,551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rPr>
              <w:t>278,862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Borders>
              <w:bottom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Accrued other</w:t>
            </w:r>
          </w:p>
        </w:tc>
        <w:tc>
          <w:tcPr>
            <w:tcW w:w="8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106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580" w:type="dxa"/>
            <w:vAlign w:val="bottom"/>
            <w:tcBorders>
              <w:bottom w:val="single" w:sz="8" w:color="F0FFFF"/>
            </w:tcBorders>
            <w:shd w:val="clear" w:color="auto" w:fill="F0FFFF"/>
          </w:tcPr>
          <w:p>
            <w:pPr>
              <w:spacing w:after="0"/>
              <w:rPr>
                <w:sz w:val="19"/>
                <w:szCs w:val="19"/>
                <w:color w:val="auto"/>
              </w:rPr>
            </w:pPr>
          </w:p>
        </w:tc>
        <w:tc>
          <w:tcPr>
            <w:tcW w:w="38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269,556</w:t>
            </w:r>
          </w:p>
        </w:tc>
        <w:tc>
          <w:tcPr>
            <w:tcW w:w="80" w:type="dxa"/>
            <w:vAlign w:val="bottom"/>
            <w:tcBorders>
              <w:bottom w:val="single" w:sz="8" w:color="F0FFFF"/>
            </w:tcBorders>
            <w:shd w:val="clear" w:color="auto" w:fill="F0FFFF"/>
          </w:tcPr>
          <w:p>
            <w:pPr>
              <w:spacing w:after="0"/>
              <w:rPr>
                <w:sz w:val="19"/>
                <w:szCs w:val="19"/>
                <w:color w:val="auto"/>
              </w:rPr>
            </w:pPr>
          </w:p>
        </w:tc>
        <w:tc>
          <w:tcPr>
            <w:tcW w:w="40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gridSpan w:val="4"/>
            <w:shd w:val="clear" w:color="auto" w:fill="F0FFFF"/>
          </w:tcPr>
          <w:p>
            <w:pPr>
              <w:jc w:val="right"/>
              <w:ind w:right="10"/>
              <w:spacing w:after="0"/>
              <w:rPr>
                <w:sz w:val="20"/>
                <w:szCs w:val="20"/>
                <w:color w:val="auto"/>
              </w:rPr>
            </w:pPr>
            <w:r>
              <w:rPr>
                <w:rFonts w:ascii="Arial" w:cs="Arial" w:eastAsia="Arial" w:hAnsi="Arial"/>
                <w:sz w:val="18"/>
                <w:szCs w:val="18"/>
                <w:color w:val="auto"/>
              </w:rPr>
              <w:t>271,880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1,976,218</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3,768,697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2012, the Company entered into a Loan and Security Agreement and other ancillary documents (the “Loan Documents”) with Avidbank Corporate Finance, a division of Avidbank (the “Bank”), providing for a secured asset-based revolving line of credit in an amount of up to $3.0 million (the “Line of Credit”). The Company intends to use advances under the Line of Credit towards the financing of growth initiatives like its JumpStart Program and other working capital needs.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$2,000,000 without the Bank’s prior consent, after the First Amendment entered into on January 2, 2013.</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condition of the Bank entering into the First Amendment, the Company issued to the Bank warrants to purchase up to 45,000 shares of common stock of the Company. The warrants are exercisable at any time prior to December 31, 2017 at an exercise price of $2.10 per share. Upon the issuance of the 45,000 shares of common stock, the fair value of the warrants is $55,962 using a Black Scholes model, which was recorded as prepaid interest and included in other assets on the consolidated Balance Sheet at March 31, 2013 and is being amortized as non-cash interest expense over the remaining term of the Line of Credit as amended in January 2013. Non-cash interest of $26,934 has been recognized for the quarter ended March 31, 2013.</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outstanding balance of the amounts advanced under the Line of Credit will bear interest at 2% above the prime rate as published in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or 5% whichever is higher. Interest is payable by the Company to the Bank on a monthly basis, provided, that the minimum interest payable by the Company to the Bank with respect to each six-month period shall be $20,000.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Line of Credit and the Company’s obligations under the Loan Documents are secured by substantially all of the Company’s assets, including its intellectual property.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15, 2013, the Company and the Bank, entered into a Third Amendment (the “Third Amendment”) to the Loan and Security Agreement. The Third Amendment provides that, among other things, the aggregate amount available under the Line of Credit will be increased from $3.0 million to $5.0 million, and the maturity date of the Line of Credit will be extended for another twelve months, or until June 21, 2014.</w:t>
      </w:r>
    </w:p>
    <w:p>
      <w:pPr>
        <w:spacing w:after="0" w:line="20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Third Amendment provides that the aggregate amount of advances now available to the Company under the Line of Credit cannot exceed the lesser of (i) $5.0 million, or (ii) 80% of the prior three months transaction processing revenues and networking service fees as defined in the Loan Agreement.</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Loan Documents contain customary affirmative and negative covenants. The Loan Documents also require the Company to achieve a minimum Adjusted EBITDA, as defined in the Loan Documents, measured on a quarterly basis. Prior to the Third Amendment, the Company was required to maintain a balance of unrestricted cash in accounts with the Bank of at least $3.0 million. The Third Amendment provided that if the amount of the Company’s monthly “net cash provided by (used in) operating activities” including Jumpstart investments, as set forth in the Company’s monthly cash flow statements prepared in accordance with United States’ Generally Accepted Accounting Principles (“GAAP”) (the “RML”) is negative, the Company must maintain a balance of unrestricted cash in accounts with the Bank plus the availability under the Line of Credit of at least six times the RML. If the RML is positive, then in lieu of the foregoing requirement, the Company must maintain a minimum ratio of current assets to current liabilities of at least 1.00 to 1.00.</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2013, the Company and the Bank entered into a Fourth Amendment (“Fourth Amendment”) to the Loan and Security Agreement to change the RML from the monthly “net cash provided by (used in) operating activities” including Jumpstart investments to the average monthly amount (based on the prior three months) of the Company’s “net cash provided by (used in) operating activities” including JumpStart investments, as set forth in the Company’s monthly cash flow statements prepared in accordance with GAAP.</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 At March 31, 2013, the balance due on the Line of Credit was $2,000,000.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518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5"/>
        </w:trPr>
        <w:tc>
          <w:tcPr>
            <w:tcW w:w="2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June 30,</w:t>
            </w:r>
          </w:p>
        </w:tc>
      </w:tr>
      <w:tr>
        <w:trPr>
          <w:trHeight w:val="237"/>
        </w:trPr>
        <w:tc>
          <w:tcPr>
            <w:tcW w:w="2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r>
      <w:tr>
        <w:trPr>
          <w:trHeight w:val="216"/>
        </w:trPr>
        <w:tc>
          <w:tcPr>
            <w:tcW w:w="2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7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300" w:type="dxa"/>
            <w:vAlign w:val="bottom"/>
            <w:shd w:val="clear" w:color="auto" w:fill="F0FFFF"/>
          </w:tcPr>
          <w:p>
            <w:pPr>
              <w:spacing w:after="0"/>
              <w:rPr>
                <w:sz w:val="20"/>
                <w:szCs w:val="20"/>
                <w:color w:val="auto"/>
              </w:rPr>
            </w:pPr>
            <w:r>
              <w:rPr>
                <w:rFonts w:ascii="Arial" w:cs="Arial" w:eastAsia="Arial" w:hAnsi="Arial"/>
                <w:sz w:val="18"/>
                <w:szCs w:val="18"/>
                <w:color w:val="auto"/>
              </w:rPr>
              <w:t>Capital lease obligations</w:t>
            </w: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365,515</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426,007</w:t>
            </w:r>
          </w:p>
        </w:tc>
      </w:tr>
      <w:tr>
        <w:trPr>
          <w:trHeight w:val="223"/>
        </w:trPr>
        <w:tc>
          <w:tcPr>
            <w:tcW w:w="28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Loan agreement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302,323</w:t>
            </w:r>
          </w:p>
        </w:tc>
      </w:tr>
      <w:tr>
        <w:trPr>
          <w:trHeight w:val="216"/>
        </w:trPr>
        <w:tc>
          <w:tcPr>
            <w:tcW w:w="2880" w:type="dxa"/>
            <w:vAlign w:val="bottom"/>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474,531</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728,330</w:t>
            </w:r>
          </w:p>
        </w:tc>
      </w:tr>
      <w:tr>
        <w:trPr>
          <w:trHeight w:val="223"/>
        </w:trPr>
        <w:tc>
          <w:tcPr>
            <w:tcW w:w="28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Less current portion</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314,756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466,056</w:t>
            </w:r>
          </w:p>
        </w:tc>
      </w:tr>
      <w:tr>
        <w:trPr>
          <w:trHeight w:val="237"/>
        </w:trPr>
        <w:tc>
          <w:tcPr>
            <w:tcW w:w="2880" w:type="dxa"/>
            <w:vAlign w:val="bottom"/>
          </w:tcPr>
          <w:p>
            <w:pPr>
              <w:spacing w:after="0"/>
              <w:rPr>
                <w:sz w:val="20"/>
                <w:szCs w:val="20"/>
                <w:color w:val="auto"/>
              </w:rPr>
            </w:pPr>
          </w:p>
        </w:tc>
        <w:tc>
          <w:tcPr>
            <w:tcW w:w="2300" w:type="dxa"/>
            <w:vAlign w:val="bottom"/>
            <w:shd w:val="clear" w:color="auto" w:fill="F0FFFF"/>
          </w:tcPr>
          <w:p>
            <w:pPr>
              <w:spacing w:after="0"/>
              <w:rPr>
                <w:sz w:val="20"/>
                <w:szCs w:val="20"/>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159,775</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262,274</w:t>
            </w:r>
          </w:p>
        </w:tc>
      </w:tr>
      <w:tr>
        <w:trPr>
          <w:trHeight w:val="20"/>
        </w:trPr>
        <w:tc>
          <w:tcPr>
            <w:tcW w:w="2880" w:type="dxa"/>
            <w:vAlign w:val="bottom"/>
          </w:tcPr>
          <w:p>
            <w:pPr>
              <w:spacing w:after="0" w:line="20" w:lineRule="exact"/>
              <w:rPr>
                <w:sz w:val="1"/>
                <w:szCs w:val="1"/>
                <w:color w:val="auto"/>
              </w:rPr>
            </w:pPr>
          </w:p>
        </w:tc>
        <w:tc>
          <w:tcPr>
            <w:tcW w:w="2300" w:type="dxa"/>
            <w:vAlign w:val="bottom"/>
            <w:tcBorders>
              <w:top w:val="single" w:sz="8" w:color="F0FFFF"/>
            </w:tcBorders>
            <w:shd w:val="clear" w:color="auto" w:fill="F0FFFF"/>
          </w:tcPr>
          <w:p>
            <w:pPr>
              <w:spacing w:after="0" w:line="20" w:lineRule="exact"/>
              <w:rPr>
                <w:sz w:val="1"/>
                <w:szCs w:val="1"/>
                <w:color w:val="auto"/>
              </w:rPr>
            </w:pPr>
          </w:p>
        </w:tc>
        <w:tc>
          <w:tcPr>
            <w:tcW w:w="5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July 2012, the Company financed a portion of the premiums for various insurance policies totaling $128,062, due in ten monthly payments of $13,103 through May 2013 at an interest rate of 5.02%.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January 2013, the Company entered into a capital lease for network equipment totaling approximately $45,000, due in thirty-seven monthly payments of $1,501 through December 2015 at an interest rate of 13.88%.</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March 2013, the Company entered into a capital lease for equipment to support customer service totaling approximately $15,000, due in thirty-six monthly payments of $464 through January 2016 at an interest rate of 7.40%.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2013, the Company entered into a capital lease for network equipment totaling approximately $24,000, due in three annual installments of $8,686 through April 2015 at an interest rate of 4.89%.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2, the following table shows the fair value of the Company’s financial instruments that are required to be measured at fair value as of March 31, 2013 and June 30,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March 31, 2013 (unaudited)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192,572</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192,572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 liability, warrants exercisable at $2.6058 from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18, 2011 through September 18, 2016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2,167,854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2,167,854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1"/>
              </w:rPr>
              <w:t>Common stock warrant liability, warrants exercisable at $5.90 through September</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14, 2013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141,107</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141,107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2"/>
              </w:rPr>
              <w:t>Common stock warrant liability, warrants exercisable at $2.6058 from September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18, 2011 through September 18, 2016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917,440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917,440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1"/>
              </w:rPr>
              <w:t>Common stock warrant liability, warrants exercisable at $5.90 through September</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14, 2013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1,126</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2013 and June 30, 2012, the fair values of the Company’s Level 1 financial instruments were $192,572 and $141,107, respectively. These financial instruments consist of cash equivalents, including money market accounts. As of March 31, 2013 and June 30, 2012, the Company held no Level 2 financial instruments.</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March 31, 2013 and June 30, 2012, the fair values of the Company’s Level 3 financial instruments totaled $2,168,022 and $918,566, respectively. The Level 3 financial instruments consist of common stock warrants issued by the Company in March 2011 and March 2007,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As of March 31, 2013, the fair value of warrants issued in March 2007 to purchase</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903,955 shares of the Company’s common stock was estimated by the Company to be $168 using the Black-Scholes with the following assumptions: dividend yield of 0%, expected stock price volatility of 0.54, risk free interest rate of 0.11%, and an expected life of six months. There were no transfers of assets or liabilities between level 1, level 2, or level 3 during the periods ended March 31, 2013 and June 30, 2012.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nine months ended March 31, 2013 and 2012:</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color w:val="auto"/>
              </w:rPr>
              <w:t>Nine months ended</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4"/>
          </w:tcPr>
          <w:p>
            <w:pPr>
              <w:jc w:val="right"/>
              <w:ind w:right="930"/>
              <w:spacing w:after="0"/>
              <w:rPr>
                <w:sz w:val="20"/>
                <w:szCs w:val="20"/>
                <w:color w:val="auto"/>
              </w:rPr>
            </w:pPr>
            <w:r>
              <w:rPr>
                <w:rFonts w:ascii="Arial" w:cs="Arial" w:eastAsia="Arial" w:hAnsi="Arial"/>
                <w:sz w:val="18"/>
                <w:szCs w:val="18"/>
                <w:color w:val="auto"/>
              </w:rPr>
              <w:t>March 31,</w:t>
            </w: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4"/>
              </w:rPr>
              <w:t>(unaudited)</w:t>
            </w:r>
          </w:p>
        </w:tc>
      </w:tr>
      <w:tr>
        <w:trPr>
          <w:trHeight w:val="216"/>
        </w:trPr>
        <w:tc>
          <w:tcPr>
            <w:tcW w:w="20" w:type="dxa"/>
            <w:vAlign w:val="bottom"/>
          </w:tcPr>
          <w:p>
            <w:pPr>
              <w:spacing w:after="0"/>
              <w:rPr>
                <w:sz w:val="18"/>
                <w:szCs w:val="18"/>
                <w:color w:val="auto"/>
              </w:rPr>
            </w:pPr>
          </w:p>
        </w:tc>
        <w:tc>
          <w:tcPr>
            <w:tcW w:w="526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918,566</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2,732,253</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Purchase, sales, issuance, settlements, or transfers</w:t>
            </w: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52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Gain (loss) due to change in fair value of warrant liabilities, net</w:t>
            </w:r>
          </w:p>
        </w:tc>
        <w:tc>
          <w:tcPr>
            <w:tcW w:w="140" w:type="dxa"/>
            <w:vAlign w:val="bottom"/>
            <w:tcBorders>
              <w:bottom w:val="single" w:sz="8" w:color="auto"/>
            </w:tcBorders>
            <w:shd w:val="clear" w:color="auto" w:fill="F0FFFF"/>
          </w:tcPr>
          <w:p>
            <w:pPr>
              <w:spacing w:after="0"/>
              <w:rPr>
                <w:sz w:val="21"/>
                <w:szCs w:val="21"/>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(1,249,456)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16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1,983,442</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2,168,022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748,811</w:t>
            </w: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COMMON STOCK WARRANTS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2010 Stock Incentive Plan, the Company recorded stock compensation expense of $15,074 and $65,058 and issued 500 and 12,441 shares of Common stock during the three and nine months ended March 31, 2013. The fiscal year to date expenses for the vesting of shares of Common Stock as of March 31, 2013 related to the following: $29,375 for shares granted under employment agreements entered into with its executive officers in April 2011; $14,921 for shares granted to Directors of the Company in June 2011 and March 2012; $19,038 for shares issued to Company Directors in lieu of cash payment; and $1,724 for shares granted to an employee.</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2012, the Board of Directors accepted the recommendation of the Compensation Committee that each of the three non-employee Directors who joined the Board after March 31, 2012 receive a stock award of 10,000 shares of Common Stock. Under the 2011 Stock Incentive Plan (the “2011 Plan”) 30,000 shares of Common Stock were awarded with a grant date fair value of $1.45 per share, and vest as follows: 9,999 on August 10, 2012; 9,999 on August 10, 2013; and, 10,002 on August 10, 2014. Under the 2011 Plan the Company recorded stock compensation expense of $28,697 and $140,392 and issued 10,454 and 89,165 shares of Common stock during the three and nine months ended March 31, 2013, respectively. The fiscal year to date expenses for the vesting of shares of Common Stock as of March 31, 2013 related to the following: $44,532 for shares granted under employment agreements entered into with its executive officers in September 2011; $38,160 of expenses related to vesting of shares granted to employees in April 2012; $28,999 of expenses related to vesting of shares granted to Directors of the Company in July 2012; and $28,701 for shares issued to Company Directors in lieu of cash payment.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2012, the Board of Directors accepted the recommendation of the Compensation Committee granted and 71,429 shares of Common Stock with a grant date fair value of $100,000 to its Chief Executive Officer (“CEO Incentive Plan”) under the 2012 Stock Incentive Plan (the “2012 Plan”) to vest over a period of up to three years based on performance of the Company’s Common Stock. In October 2012, the Company adopted a plan pursuant to which up to 60,000 shares of Common stock would be awarded to employees based on various performance targets of the Company for the 2013 fiscal year. The Company recorded stock compensation expense of $105,238 and $163,783 and issued 46,696 and 218,694 shares of Common Stock during the three and nine months ended March 31, 2013. The fiscal year to date expenses for the vesting of shares of Common Stock as of March 31, 2013 related to the following: $33,334 for shares granted to an executive officer in September 2012 under the CEO Incentive Plan and which become vested in March 2013; $102,261 for shares issued to Company Directors in lieu of cash payment; and $28,188 for shares granted to employees in October 2012. 58,599 shares of Common Stock were issued to Company Directors in lieu of cash payment for compensation for services to the Company in the nine months ended March 31, 2013. 136,285 shares of Common Stock were issued to its executive officers under the Fiscal Year 2012 Performance Share Plan (the “2012 Performance Plan”) after the filing of the Company’s form 10-K on September 26, 2012; and, 23,810 shares of Common Stock were issued for the CEO Incentive Plan which became vested in March 2013.</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5, 2012, at the recommendation of the Compensation Committee, the board of directors adopted the Fiscal Year 2013 Performance Share Plan (the “2013 Performance Plan”) covering the Company’s executive officers. Under the 2013 Performance Plan, each executive officer would be awarded common stock in the event the Company achieves certain performance goals during the fiscal year ending June 30, 2013. The metrics under the 2013 Performance Plan as well as the relative weightings of these metrics are identical to those originally set forth in the 2012 Performance Plan. No awards would be made under the 2013 Performance Plan if either (i) none of the minimum, threshold performance target goals has been achieved, or (ii) if operating earnings for the 2013 fiscal year are not equal or better than those during the 2012 fiscal year.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COMMON STOCK WARRANTS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all of the target goals are achieved under the 2013 Performance Plan, the executive officers would be awarded shares having the following value: Mr. Herbert – $275,000; and Mr. DeMedio – $100,000. If all of the 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from the target goal, if actual results are between target and maximum, then a pro rata number of shares between target and maximum is earned, and if actual results are above maximum (distinguished) than pro rata shares above maximum is earned.</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5, 2012 and through March 31, 2013, there were not sufficient shares for the maximum awards available under the existing 2012 stock incentive plan or another stock plan that had been approved by the shareholders of the Company. Therefore, in accordance with ASC Topic 718, “Stock Compensation”, this award is accounted for as a liability of the Company. As of March 31, 2013 and for the three and nine months then ended the Company recorded a liability as if the award will be settled in cash of $42,200 and recorded an expense reversal and expense of $45,537 and $42,200, respectively, as its estimate of the award earned by Messrs. Herbert and DeMedio.</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2012, the Company recorded a liability of $114,117, and expense for the three and nine months then ended of $47,549 and $114,117, respectively, for the 2012 Performance Plan.</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and nine months ended March 31, 2012, the Company recorded stock compensation expense of $83,300 and $510,797, and issued 5,480 and 195,278 shares of Common Stock, respectively. The 2012 fiscal year to date expenses for the vesting of shares of Common Stock as of March 31, 2012 related to the following: $109,980 of expense associated with severance for our former CEO; $124,842 and $210,186 for grants to the executive officers in April and September 2011, respectively; $6,991 of expenses related to vesting of shares granted to employees in June 2011; $43,798 of expenses related to vesting of shares granted to Directors of the Company in June 2011; and $15,000 for shares issued to Company Directors in lieu of cash payment.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March 31, 2012, executive officers exercised their right to cancel shares of common stock awarded to them under prior employment agreements and the 2012 Performance Plan for the payment of payroll taxes. In total 64,847 shares of the Company’s Common Stock were cancelled to satisfy $121,052 of related payroll obligations.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Warrants to purchase up to 291,432 shares of Common Stock, issued in conjunction with the 2009 Rights Offering, exercisable at $2.20 per share expired unexercised on August 6, 2012; and, warrants to purchase up to 17,532 shares of Common Stock, issued in 2007, exercisable at $7.70 per share expired unexercised on October 17, 2012. Warrants issued under the 2010 Public Offering were exercised in the nine months ended March 31, 2013, resulting in the issuance of 96,086 shares of Common Stock at $1.13; in addition, broker-dealers exercised warrants issued through the 2010 Public and Rights Offerings resulting in the issuance of 17,094 shares of Common stock and the cancellation of 19,092 warrants for the cashless exercises.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space in Malvern, Pennsylvania for its product warehousing, shipping and customer support. In October 2011, the Company amended the lease of its operations site in Malvern, Pennsylvania, to extend the lease term from December 31, 2011 to December 31, 2012. The amendment includes monthly rental payments of approximately $15,100 to $16,200. Beginning in January 2012 the straight-lined rent expense for this office is approximately $15,600 per month for the duration of the amended lease period. In November 2012, the Company amended and extended this lease to January 31, 2013 with monthly rent of $16,721 for January 2013.</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November 2012, the Company entered into a lease for a new operations site in Malvern, Pennsylvania to replace its existing site and lease. The lease term for the 11,250 square feet of space is January 1, 2013 through February 29, 2016. The lease includes monthly rental payments from $0 to $4,678. Beginning in January 2013 the straight-lined rent expense for this operations site is approximately $4,300 per month for the duration of the lease period.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15, 2013, USA Technologies, Inc. (the “Company”) and Avidbank Corporate Finance, a division of Avidbank (the “Bank”), entered into a Third Amendment (the “Third Amendment”) to the Loan and Security Agreement dated as of June 21, 2012 previously entered into by them, as amended by a First Amendment thereto dated as of January 1, 2013, and by a Second Amendment thereto dated as of April 2, 2013 (collectively, the “Loan Agreement”). The Loan Agreement provides for a secured asset-based revolving line of credit facility (the “Line of Credit”). The Third Amendment provides that, among other things, the aggregate amount available under the Line of Credit will be increased from $3.0 million to $5.0 million, and the maturity date of the Line of Credit will be extended for another twelve months, or until June 21, 2014.</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Third Amendment, the aggregate amount of advances available to the Company under the Line of Credit could not exceed the lesser of (i) $3.0 million, or (ii) 75% of eligible accounts receivable as defined in the Loan Agreement plus 80% of the prior two months transaction processing revenues and networking service fees as defined in the Loan Agreement, provided that the amounts advanced on account of such processing revenues and service fees could not exceed $2.0 million without the Bank’s prior consent.</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Third Amendment provides that the aggregate amount of advances now available to the Company under the Line of Credit cannot exceed the lesser of (i) $5.0 million, or (ii) 80% of the prior three months transaction processing revenues and networking service fees as defined in the Loan Agreement.</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the Third Amendment, the Company was required to maintain a balance of unrestricted cash in accounts with the Bank of at least $3.0 million. The Third Amendment now provides that if the amount of the Company’s monthly “net cash provided by (used in) operating activities” including Jumpstart investments, as set forth in the Company’s monthly cash flow statements prepared in accordance with GAAP (the “RML”) is negative, the Company must maintain a balance of unrestricted cash in accounts with the Bank plus the availability under the Line of Credit of at least six times the RML. If the RML is positive, then in lieu of the foregoing requirement, the Company must maintain a minimum ratio of current assets to current liabilities of at least 1.00 to 1.00.</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29, 2013, the Company and the Bank entered into a Fourth Amendment (“Fourth Amendment”) to the Loan and Security Agreement to change the RML from the monthly “net cash provided by (used in) operating activities” including Jumpstart investments to the average monthly amount (based on the prior three months) of the Company’s “net cash provided by (used in) operating activities” including JumpStart investments, as set forth in the Company’s monthly cash flow statements prepared in accordance with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2013, based on performance of the Company’s Common Stock an additional, 23,810 shares of Common Stock became vested under the CEO Incentive Plan (see Note 7).</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conduct operations at a profit;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in order to sustain its operations if an unexpected or unusual event would occur;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rent or utilize ePort devices or our other products in the future at levels currently anticipated by our Company, including appropriate diversification resulting from sources other than our JumpStart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current customers continue to add additional connections to our network in the future at levels currently anticipated by the Company;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the significant increase in the interchange fees charged by Visa and MasterCard for small ticket debit card transactions effective October 1, 2011, would adversely affect our business, including our revenues, gross profits, and anticipated future connections to our network;</w:t>
      </w:r>
    </w:p>
    <w:p>
      <w:pPr>
        <w:spacing w:after="0" w:line="17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 including the commercial production and introduction of our next generation G-9 and G-10 devices;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599"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compared to the three months ended March 31, 2012</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fiscal quarter ended March 31, 2013 continued to demonstrate significant growth and improvements in the Company’s operations as compared to the quarter ended March 31, 2012.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up 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dollars up 32%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26%;</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net loss of ($1.0) million (includes $1.3 million non-cash charge for change in fair value of warrants), from a GAAP net loss of ($0.5) million (includes $0.1 million benefit for fair value of warrants);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of $293,011, up from a non-GAAP net loss of ($633,692) in the same quarter a year ago.</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quarter ended March 31, 2013 were $8,980,804, consisting of $7,562,589 of license and transactions fees and $1,418,215 of equipment sales, compared to $7,527,051 for the quarter ended March 31, 2012, consisting of $5,985,052 of license and transaction fees and $1,541,999 of equipment sales. The increase in total revenue of $1,453,753, or 19%, was primarily due to an increase in license and transaction fees of $1,577,537, or 26%, offset by a decrease in equipment sales of $123,784 or 8%, from the same period in the prior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is fueled primarily by monthly ePort Connect® service fees and transaction processing fees. License and transaction fee highlights for the quarter ended March 31, 2013 included:</w:t>
      </w:r>
    </w:p>
    <w:p>
      <w:pPr>
        <w:spacing w:after="0" w:line="197"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license and transaction fees grew 26%, to approximately $7.6 million for the third quarter of fiscal 2013 from $6.0 million for the same period a year ago. These recurring revenues represented 84% and 80% of total revenue for the third quarter of fiscal 2013 and 2012, respectively;</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Gross profit margin improvement of approximately 4 percentage points to 41% for the third quarter fiscal 2013 compared to 37% a year ago;</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third quarter of 26% and 29%, respectively, compared to the same period a year ago;</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21%, or 425 more ePort Connect customers added in the current quarter than the prior year third quarter, for 4,525 customers at March 31, 2013; and</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March 31, 2013, the Company had approximately 196,000 connections to the ePort Connect service as compared to approximately 148,000 connections to the ePort Connect service as of March 31, 2012.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handled from the increased number of connections to our ePort Connect service. As of March 31, 2013, the Company had approximately 196,000 connections to the ePort Connect service as compared to approximately 148,000 connections to the ePort Connect service as of March 31, 2012. During the quarters ended March 31, 2013 and 2012, the Company added approximately 10,000 and 12,000, respectively, net connections to our network.</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March 31, 2013, the Company processed approximately 32.4 million transactions totaling approximately $54.5 million compared to approximately 25.7 million transactions totaling approximately $42.4 million during the quarter ended March 31, 2012, an increase of approximately 26% in the number of transactions and approximately 29% in the value of transactions processed.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typically takes 30-60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New ePort Connect customers added during the quarter ended March 31, 2013 totaled 425, bringing the total number of such customers to approximately 4,525 as of March 31, 2013. The Company added approximately 350 new customers in the quarter ended March 31, 2012. By comparison, the Company had approximately 2,850 customers as of March 31, 2012, representing a 59% increase during the past twelve months.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 $123,784 decrease in equipment sales was mainly a result of a decrease of approximately $137,000 in Energy products, offset by an increase of approximately $13,000 in ePort and other product sales. The $137,000 decrease in Energy products is directly attributable to selling fewer units during the quarter ended March 31, 2013 than during the quarter ended March 31, 2012.</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 of sales consisted of cost of services for license and transaction fee related costs of $4,525,244 and $3,749,862 and equipment costs of $774,221 and $981,969, for the quarters ended March 31, 2013 and 2012, respectively. The increase in total cost of sales of $567,634, or 12%, was due to an increase in cost of services of $775,382 and a decrease in equipment costs of $207,748. The increase in cost of services was predominantly related to increases in units connected to the network and increases in transaction dollars processed. Of the $208,000 decrease in equipment costs, $119,000 and $76,000 is directly attributable to decrease in number of Energy &amp; ePort products sold, respectively, during the quarter ended March 31, 2013 than during the quarter ended March 31, 2012. Gross profit (“GP”) for the quarter ended March 31, 2013 was $3,681,339 compared to GP of $2,795,220 for the previous corresponding quarter, an increase of $886,119, of which $802,155 represents increases attributable to license and transaction fees and $83,964 of greater equipment sales GP. Overall margins increased from 37% to 41% due to license and transaction fees margins having increased from 37% to 40% and by equipment sales margins having increased from 36% to 45%. Improved license and transaction fee margins are due to increased efficiencies stemming from new and/or renegotiated partnership agreements as well as a larger ePort Connect service base.</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(“SG&amp;A”) expenses of $3,003,231 for the quarter ended March 31, 2013, decreased by $37,331, or 1%, from the same quarter in the prior fiscal year. Quarter over quarter, SG&amp;A activity was fairly consistent.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and expense for the quarter ended March 31, 2013, mostly consisted of $1,308,954 of non-cash charges for the change in the fair value (“FV”) of the Company’s warrant liabilities. Factors affecting the change in fair value include the increase in the Black-Scholes value (“BSV”) of the warrants and the decrease in the discount from the BSV to the FV due to the Company’s increased market capitalization (rising stock price during the quarter fueled the increase), and the decreasing volatility of the Company’s Common Stock. In the same quarter a year ago, the Company had a non-cash gain of $95,074 for the same warrant liabilities.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 ended March 31, 2013 resulted in a net loss of $1,015,943 compared to a net loss of $538,618 for the quarter ended March 31, 2012, an increased loss of $477,325 from the prior corresponding fiscal quarter. For the fiscal quarters ended March 31, 2013 and 2012, the loss per common share (basic and diluted) was $0.04 and $0.03, respectively.</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Non-GAAP net income was $293,011, compared to a non-GAAP net loss of $633,692 for the third quarters of fiscal 2013 and 2012, respectively. Management believes that non-GAAP net income (loss)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Reconciliation of net loss to Non-GAAP net income (loss) for the quarters ended March 31, 2013 and 2012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(1,015,943)</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20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1,308,954</w:t>
            </w:r>
          </w:p>
        </w:tc>
        <w:tc>
          <w:tcPr>
            <w:tcW w:w="10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293,011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(633,692)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(1,015,943)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293,011</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(633,692)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5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20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10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loss applicable to common shares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(1,348,169)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(870,844)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shd w:val="clear" w:color="auto" w:fill="F0FFFF"/>
          </w:tcPr>
          <w:p>
            <w:pPr>
              <w:spacing w:after="0"/>
              <w:rPr>
                <w:sz w:val="20"/>
                <w:szCs w:val="20"/>
                <w:color w:val="auto"/>
              </w:rPr>
            </w:pPr>
            <w:r>
              <w:rPr>
                <w:rFonts w:ascii="Arial" w:cs="Arial" w:eastAsia="Arial" w:hAnsi="Arial"/>
                <w:sz w:val="18"/>
                <w:szCs w:val="18"/>
                <w:color w:val="auto"/>
              </w:rPr>
              <w:t>Non-GAAP net loss applicable to common shares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(39,215)</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(965,918)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32,821,345</w:t>
            </w:r>
          </w:p>
        </w:tc>
        <w:tc>
          <w:tcPr>
            <w:tcW w:w="100" w:type="dxa"/>
            <w:vAlign w:val="bottom"/>
            <w:tcBorders>
              <w:top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32,466,528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F0FFFF"/>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Non-GAAP net loss per common share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herein, non-GAAP net income (loss) represents GAAP net loss excluding costs relating to any adjustment for fair value of warrant liabilities. As used herein, non-GAAP loss per common share is calculated by dividing non-GAAP net loss applicable to common shares by the weighted average number of shares outstanding.</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March 31, 2013, the Company had Adjusted EBITDA of $1,688,438. Reconciliation of net loss to Adjusted EBITDA for the quarters ended March 31, 2013 and 2012 is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(1,015,943)</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(538,618)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61,379</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6,911</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1,003,610</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631,330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185,600</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Less change in fair value of warrant liabilities</w:t>
            </w:r>
          </w:p>
        </w:tc>
        <w:tc>
          <w:tcPr>
            <w:tcW w:w="1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1,308,954</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(95,074)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16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149,009</w:t>
            </w:r>
          </w:p>
        </w:tc>
        <w:tc>
          <w:tcPr>
            <w:tcW w:w="100" w:type="dxa"/>
            <w:vAlign w:val="bottom"/>
            <w:tcBorders>
              <w:bottom w:val="single" w:sz="8" w:color="F0FFFF"/>
            </w:tcBorders>
            <w:shd w:val="clear" w:color="auto" w:fill="F0FFFF"/>
          </w:tcPr>
          <w:p>
            <w:pPr>
              <w:spacing w:after="0"/>
              <w:rPr>
                <w:sz w:val="19"/>
                <w:szCs w:val="19"/>
                <w:color w:val="auto"/>
              </w:rPr>
            </w:pPr>
          </w:p>
        </w:tc>
        <w:tc>
          <w:tcPr>
            <w:tcW w:w="36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83,300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1,688,438</w:t>
            </w:r>
          </w:p>
        </w:tc>
        <w:tc>
          <w:tcPr>
            <w:tcW w:w="4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336,029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F0FFFF"/>
            </w:tcBorders>
            <w:shd w:val="clear" w:color="auto" w:fill="F0FFFF"/>
          </w:tcPr>
          <w:p>
            <w:pPr>
              <w:spacing w:after="0" w:line="20" w:lineRule="exact"/>
              <w:rPr>
                <w:sz w:val="1"/>
                <w:szCs w:val="1"/>
                <w:color w:val="auto"/>
              </w:rPr>
            </w:pPr>
          </w:p>
        </w:tc>
        <w:tc>
          <w:tcPr>
            <w:tcW w:w="16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used herein, Adjusted EBITDA represents net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Nine months ended March 31, 2013 compared to the nine months ended March 31, 2012</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nine-month period ended March 31, 2013 continued to demonstrate significant growth and improvements in the Company’s operations as compared to the nine months ended March 31, 2012.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up 24%;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dollars up 54%;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29%;</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net loss of ($0.8) million (includes $1.2 million non-cash charge for change in fair value of warrants), from a GAAP net loss of ($2.4) million (includes $2.0 million benefit for fair value of warrants);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Non-GAAP net income of $754,412, up from a non-GAAP net loss of ($3,447,073).</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nine-month period ended March 31, 2013 were $26,255,403, consisting of $21,872,187 of license and transactions fees and $4,383,216 of equipment sales, compared to $21,114,397 for the nine-month period ended March 31, 2012, consisting of $16,988,179 of license and transaction fees and $4,126,218 of equipment sales. The increase in total revenue of $5,141,006, or 24%, was primarily due to an increase in license and transaction fees of $4,884,008, or 29%.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License and transaction fee highlights for the nine-month period ended March 31, 2013 included:</w:t>
      </w:r>
    </w:p>
    <w:p>
      <w:pPr>
        <w:spacing w:after="0" w:line="252"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from license and transaction fees, which is fueled primarily by monthly ePort Connect® service fees and transaction processing fees, grew 29%, to approximately $21.9 million for the first nine months of fiscal 2013 from $17.0 million for the same period a year ago. These recurring revenues represented 83% and 80% of total revenue for the first nine months of fiscal 2013 and 2012, respectively;</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margin improvement of approximately 8 percentage points to 40% gross margins for the first nine months of fiscal 2013 compared to 32% a year ago;</w:t>
      </w: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first nine months of fiscal 2013 of 23% and 26%, respectively, compared to the same period a year ago;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36%, or 1,225 new ePort Connect customers added in the first nine months of fiscal 2013, for 4,525 customers at March 31, 2013.</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2013, the Company had approximately 196,000 connections to the ePort Connect service as compared to approximately 148,000 connections to the ePort Connect service as of March 31, 2012. During the nine-month periods ended March 31, 2013 and 2012, the Company added approximately 32,000 and 29,000 net connections to our network, representing a 4,000 connection increase, or 14%. JumpStart units represented approximately 80% and 50% of net connections added during the first nine months of the 2013 and 2012 fiscal years, respectively, which also contribute to license and transaction fee revenue.</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its agreements with customers, the Company in addition to ePort Connect service fees earns transaction processing fees equal to a percentage of the dollar volume processed by the Company, which are included as licensing and transaction processing revenues in its Consolidated Statements of Operations. During the nine-month period ended March 31, 2013, the Company processed approximately 92.6 million transactions totaling approximately $156 million compared to approximately 75.3 million transactions totaling approximately $124 million during the nine-month period ended March 31, 2012, an increase of approximately 23% in the number of transactions and approximately 26% in the value of transactions processed.</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typically takes 30-60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customer base increased with approximately 1,225 new ePort Connect customers during the nine-month period ended March 31, 2013 bringing the total number of such customers to approximately 4,525 as of March 31, 2013. The Company added approximately 900 new customers in the nine-month period ended March 31, 2012. By comparison, the Company had approximately 2,850 customers as of March 31, 2012, representing a 59% increase during the past twelve months.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6"/>
          <w:szCs w:val="16"/>
          <w:color w:val="auto"/>
        </w:rPr>
        <w:t>The $256,998 increase in equipment sales was mainly a result of an increase of approximately $740,000 in ePort product sales, offset by a decrease of approximately $459,000 in Energy products. The $740,000 increase in ePort products was directly attributable selling more units during the nine-month period ended March 31, 2013 than during the nine-month period ended March 31, 2012, as well as a $301,000 increase in activation fees on connections in the period compared to the prior year. In addition, we had approximately $250,000 net revenues under various special projects for customers. The $459,000 decrease in Energy products is directly attributable to selling fewer units during the nine-month period ended March 31, 2013 than during the nine-month period ended March 31, 2012. Cost of sales consisted of cost of services for network and transaction fee related costs of $13,080,816 and $11,494,690 and equipment costs of $2,748,785 and $2,836,995, for the nine-month periods ended March 31, 2013 and 2012, respectively. The increase in total cost of sales of $1,497,916 was due to an increase in cost of services of $1,586,126, which was offset by a decrease in equipment costs of $88,210. The increase in cost of services was predominantly related to increases in units connected to the network and increases in transaction dollars processed. The overall decrease in equipment costs is predominately attributable to selling fewer Energy products, which was partially offset by selling more ePort units during the nine-month period ended March 31, 2013 than during the nine-month period ended March 31, 2012.</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GP for the nine-month period ended March 31, 2013 was $10,425,802 compared to GP of $6,782,712 for the previous corresponding nine-month period, an increase of $3,643,090, of which $3,297,882 represents increases attributable to license and transaction fees and $345,208 equipment sales GP. Overall margins increased from 32% to 40% due to license and transaction fees margins having increased from 32% to 40% and by equipment sales margins having increased from 31% to 37%. License and transaction fee margins increased due to improved efficiencies stemming from recent partnership agreements as well as a larger ePort Connect service base. The year ago period’s margin of 32% was negatively impacted by approximately $316,000 of costs associated with higher regulated debit interchange acceptance prior to the Company entering into its agreement with Visa (see following paragraph), as well as other actions it took to bring the cost of accepting debit transactions to pre-Durbin levels. The current period was not impacted by these higher interchange costs due to the extension of the Visa Agreement in October 2012.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9, 2012, the Company and Visa U.S.A. Inc. entered into a First Amendment (the “First Amendment”) to the agreement that had been previously entered into between them on October 12, 2011 (the “Agreement”). Pursuant to the First Amendment, the original one-year term of the Agreement has been extended until October 31, 2013, and will automatically renew for an additional year, or until October 31, 2014, unless either party would provide at least 60-days prior notice of non-renewal. Pursuant to the Agreement, Visa has agreed to make available to the Company reduced interchange fees for debit card transactions. These reduced interchange fees will allow the Company to continue to accept Visa’s debit card products during the term of the Agreement, as amended, without adversely impacting the Company’s historical gross profit from license and transaction fee revenues.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(“SG&amp;A”) expenses of $8,918,030 for the nine-month period ended March 31, 2013, decreased by $1,121,682, or 11%, from the same nine-month period ended in the prior fiscal year. Approximately $647,000 of this decrease was attributable to approximately $975,000 in charges related to costs associated with the investigation and separation of our former CEO during the nine-month period ended March 31, 2012 not occurring in the March 31, 2013 nine-month period, offset by approximately $328,000 in charges related to the proxy contest and related litigation included in the $8,918,030 of SG&amp;A expenses during the nine-month period ended March 31, 2013 and not in the nine-month period ended March 31, 2012.</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Outside of the proxy contest and related litigation expenses of the current year, offset by the former CEO separation costs of the prior year, SG&amp;A expenses decreased an additional $474,682, or 5%, in the nine-month period ended March 31, 2013 as compared to the nine-month period ended March 31, 2012. This decrease in expenses is due primarily to $320,000 decrease in employee compensation and benefit costs, mostly associated with the elimination of one executive position (our former CEO) in October 2011, and $160,000 of sales tax expenses in the prior year resulting from a state audit.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and expense for the nine months ended March 31, 2013, mostly consisted of $1,249,456 of non-cash expenses for the change in the fair value (“FV”) of the Company’s warrant liabilities. Factors affecting the change in fair value include the increase in the Black-Scholes value (“BSV”) of the warrants and the decrease in the discount from the BSV to the FV due to the Company’s increased market capitalization (rising stock price during the quarter fueled the increase), and the decreasing volatility of the Company’s Common Stock. In the same period a year ago, the Company had a non-cash gain of $1,983,442 for the same warrant liabilities.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nine-month period ended March 31, 2013 resulted in net loss of $823,044 compared to a net loss of $2,438,631 for the nine-month period ended March 31, 2012, an improvement of $1,615,587 from the prior corresponding fiscal period. For the nine-month period ended March 31, 2013 and 2012, the loss per common share (basic and diluted) was $0.05 and $0.10, respectively.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was $754,412, compared to a non-GAAP net loss of $3,447,073 for the nine months ended March 31, 2013 and 2012, respectively. Management believes that non-GAAP net income (loss) and non-GAAP diluted earnings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Reconciliation of net loss to Non-GAAP net income (loss) for the nine months ended March 31, 2013 and 2012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(823,044)</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(2,438,631)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Proxy related costs</w:t>
            </w: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328,000</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CEO Separation</w:t>
            </w: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Fair value of warrant adjustment</w:t>
            </w: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1,249,456</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5"/>
              </w:rPr>
              <w:t>(1,983,442)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754,412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(3,447,073)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(823,044)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(2,438,631)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754,412</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(3,447,073)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2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12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loss applicable to common shares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(1,487,496)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(3,103,083)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shd w:val="clear" w:color="auto" w:fill="F0FFFF"/>
          </w:tcPr>
          <w:p>
            <w:pPr>
              <w:spacing w:after="0"/>
              <w:rPr>
                <w:sz w:val="20"/>
                <w:szCs w:val="20"/>
                <w:color w:val="auto"/>
              </w:rPr>
            </w:pPr>
            <w:r>
              <w:rPr>
                <w:rFonts w:ascii="Arial" w:cs="Arial" w:eastAsia="Arial" w:hAnsi="Arial"/>
                <w:sz w:val="18"/>
                <w:szCs w:val="18"/>
                <w:color w:val="auto"/>
              </w:rPr>
              <w:t>Non-GAAP net income (loss) applicable to common shares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89,960</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(4,111,525)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32,690,374</w:t>
            </w:r>
          </w:p>
        </w:tc>
        <w:tc>
          <w:tcPr>
            <w:tcW w:w="12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32,400,049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F0FFFF"/>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Non-GAAP net income (loss) per common share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herein, non-GAAP net income (loss) represents GAAP net loss excluding costs relating to the proxy contest, the costs associated with the separation of the former CEO, any adjustment for fair value of warrant liabilities, and any charges for impairment of intangible assets. As used herein, non-GAAP diluted earnings (loss) per common share is calculated by dividing non-GAAP net income (loss) applicable to common shares by the diluted weighted average number of shares outstanding.</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nine-month period ended March 31, 2013, the Company had Adjusted EBITDA of $4,171,867 that includes approximately $328,000 of proxy related expenses. Reconciliation of net loss to Adjusted EBITDA for the nine-month periods ended March 31, 2013 and 2012 is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2012</w:t>
            </w: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loss</w:t>
            </w:r>
          </w:p>
        </w:tc>
        <w:tc>
          <w:tcPr>
            <w:tcW w:w="2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(823,044)</w:t>
            </w:r>
          </w:p>
        </w:tc>
        <w:tc>
          <w:tcPr>
            <w:tcW w:w="4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(2,438,631)</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interest income</w:t>
            </w:r>
          </w:p>
        </w:tc>
        <w:tc>
          <w:tcPr>
            <w:tcW w:w="2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(52,910)</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(45,183)</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interest expense</w:t>
            </w:r>
          </w:p>
        </w:tc>
        <w:tc>
          <w:tcPr>
            <w:tcW w:w="2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109,402</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70,756</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income tax expense</w:t>
            </w:r>
          </w:p>
        </w:tc>
        <w:tc>
          <w:tcPr>
            <w:tcW w:w="2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20,734</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depreciation expense</w:t>
            </w:r>
          </w:p>
        </w:tc>
        <w:tc>
          <w:tcPr>
            <w:tcW w:w="2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2,742,196</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99"/>
              </w:rPr>
              <w:t>1,747,445</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Plus amortization expense</w:t>
            </w:r>
          </w:p>
        </w:tc>
        <w:tc>
          <w:tcPr>
            <w:tcW w:w="2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556,800</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775,800</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Less change in fair value of warrant liabilities</w:t>
            </w:r>
          </w:p>
        </w:tc>
        <w:tc>
          <w:tcPr>
            <w:tcW w:w="2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1,249,456</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(1,983,442)</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55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Plus stock-based compensation</w:t>
            </w:r>
          </w:p>
        </w:tc>
        <w:tc>
          <w:tcPr>
            <w:tcW w:w="21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369,233</w:t>
            </w:r>
          </w:p>
        </w:tc>
        <w:tc>
          <w:tcPr>
            <w:tcW w:w="120" w:type="dxa"/>
            <w:vAlign w:val="bottom"/>
            <w:tcBorders>
              <w:bottom w:val="single" w:sz="8" w:color="F0FFFF"/>
            </w:tcBorders>
            <w:shd w:val="clear" w:color="auto" w:fill="F0FFFF"/>
          </w:tcPr>
          <w:p>
            <w:pPr>
              <w:spacing w:after="0"/>
              <w:rPr>
                <w:sz w:val="19"/>
                <w:szCs w:val="19"/>
                <w:color w:val="auto"/>
              </w:rPr>
            </w:pPr>
          </w:p>
        </w:tc>
        <w:tc>
          <w:tcPr>
            <w:tcW w:w="32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510,797</w:t>
            </w:r>
          </w:p>
        </w:tc>
      </w:tr>
      <w:tr>
        <w:trPr>
          <w:trHeight w:val="216"/>
        </w:trPr>
        <w:tc>
          <w:tcPr>
            <w:tcW w:w="5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55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Adjusted EBITDA</w:t>
            </w:r>
          </w:p>
        </w:tc>
        <w:tc>
          <w:tcPr>
            <w:tcW w:w="2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4,171,867</w:t>
            </w:r>
          </w:p>
        </w:tc>
        <w:tc>
          <w:tcPr>
            <w:tcW w:w="4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(1,362,458)</w:t>
            </w:r>
          </w:p>
        </w:tc>
      </w:tr>
      <w:tr>
        <w:trPr>
          <w:trHeight w:val="20"/>
        </w:trPr>
        <w:tc>
          <w:tcPr>
            <w:tcW w:w="5560" w:type="dxa"/>
            <w:vAlign w:val="bottom"/>
            <w:tcBorders>
              <w:top w:val="single" w:sz="8" w:color="F0FFFF"/>
            </w:tcBorders>
            <w:shd w:val="clear" w:color="auto" w:fill="F0FFFF"/>
          </w:tcPr>
          <w:p>
            <w:pPr>
              <w:spacing w:after="0" w:line="20" w:lineRule="exact"/>
              <w:rPr>
                <w:sz w:val="1"/>
                <w:szCs w:val="1"/>
                <w:color w:val="auto"/>
              </w:rPr>
            </w:pPr>
          </w:p>
        </w:tc>
        <w:tc>
          <w:tcPr>
            <w:tcW w:w="2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used herein, Adjusted EBITDA represents net loss before interest income, interest expense, income taxes, depreciation, amortization, the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437"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nine-month period ended March 31, 2013, net cash provided by operating activities was $2,382,748 as result of a net loss of $823,044, which was offset by non-cash charges of $4,954,397 and net cash used in the change in operating assets and liabilities of $1,748,605. Of the $4,954,397 of non-cash charges, the most significant during the nine months were depreciation and amortization of assets, the increase in fair value of warrant liabilities, and charges for the vesting and issuance of common stock for employee and director compensation. The cash used in the $1,748,605 change in the Company’s operating assets and liabilities was primarily the result of decreases of $1,792,479 in accrued expenses and $803,875 in accounts payable, offset by decreases in receivables, inventory, and other assets of $110,905, $685,114, and $51,730, respectively.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nine-month period ended March 31, 2013, the Company used $6,383,297 for investing activities of which $6,320,514 related to the purchase of equipment for the JumpStart Program. The Company obtained net cash of $1,522,441 through financing activities, $2,000,000 of which are net proceeds from the Line of Credit and cash proceeds of $108,577 from warrant exercises, offset by $465,084 related to repayment of debt and $121,052 related to retirement of Common Stock. .</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Until this fiscal year, the Company had incurred losses since inception; and, therefore, raised capital through equity offerings in order to fund operations. Our accumulated deficit through March 31, 2013 is composed of cumulative losses amounting to approximately $199,980,000, preferred dividends converted to common stock of approximately $2,690,000, and charges incurred for the open-market purchases of preferred stock of approximately $150,000.</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continued growth in connections to our ePort Connect service that has fueled the strong growth in recurring revenue from license and transaction fees and the substantial improvement in GP dollars, the operations of the business are now contributing to funding operations of the Company.</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EBITDA during the current nine-month period was $4,171,867 compared to an Adjusted EBITDA loss of $1,362,458 for the comparable nine-month period last fiscal year.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(loss). We believe that, provided there are no unusual or unanticipated material non-operational expenses, achieving positive Adjusted EBITDA is sustainable, and will continue to increase, as our connection base increases.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March 31, 2013, cash provided by operating activities was $2,382,748. The Company believes it will continue to generate positive cash flow from operations during the remainder of the 2013 fiscal year, and into the 2014 fiscal year, as the Company adds connections to its existing base of connections, provided there are no material unanticipated or unusual non-operational events. The largest use of cash is for ePorts purchased during the first nine months of the fiscal year for use in the Company’s JumpStart Program. During the three and nine months ended March 31, 2013, the Company used cash of $1,778,344 and $6,320,514, respectively, in its JumpStart Program.</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anticipated using the JumpStart Program for approximately 55% to 60% of its anticipated connections in fiscal 2013 as a result of the potential diversification from the kiosk market, where many customers only require our ePort SDK or Quick Connect Web service. The Company’s sales, marketing, development and partnering efforts are focused on securing connections from sources away from JumpStart, such as ePort SDK, Quick Connect web, ePort Mobile and direct sales of its ePort hardware device. However, since the actual percentage of total connections from JumpStart during the nine months ended March 31, 2013 have been higher than anticipated, and given the use of cash required by the JumpStart Program, the Company may choose to adjust JumpStart levels or modify the JumpStart Program, subject to contractual obligations, to ensure our cash resources stay at levels deemed necessary in order to fund the ongoing operational requirements of the Company.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example, during April 2013, the Company entered into a mutually exclusive agreement with a new customer in a vertical market outside of the vending market. The connections to be added to the Company's ePort Connect Service related to this new customer would not require utilization of the Company's JumpStart Program.</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The Company has three sources of cash available to fund and grow the business: (1) cash on hand of approximately $3.9 million at March 31, 2013; (2) the anticipated cash generated from operations; and (3) the availability of the line of credit with Avidbank, which in April 2013 the borrowing base was increased to $5 million, provided we continue to satisfy the various affirmative and negative covenants set forth in the loan agreement.</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 above, as of March 31, 2013, the Company currently has outstanding 2,435,170 common stock warrants at an exercise price of $1.13 per share expiring on December 31, 2013. The warrants currently trade on NASDAQ under the symbol USATZ. Provided the Company’s current stock price remains above the exercise of $1.13, the exercise of these warrants could provide additional cash resources of up to $2,751,742 by December 31, 2013.</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Therefore, based upon the above assumptions, the Company believes its existing cash, cash equivalents and available cash resources as of March 31, 2013, would provide sufficient funds through at least July 1, 2013 in order to meet its cash requirements, including payment of its accrued expenses and payables, any cash resources to be utilized for the JumpStart Program, other anticipated capital expenditures, and the repayment of long-term debt.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March 31, 2013.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March 31, 2013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February 1, 2013 an additional $332,226 of dividends were accrued on our cumulative Series A Convertible Preferred Stock. The total accrued and unpaid dividends on our Series A Convertible Preferred Stock as of March 31, 2013 are $11,596,324. The dividend accrual dates for our Preferred Stock are February 1 and August 1. The annual cumulative dividend on our Preferred Stock is $1.50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Exhibit</w:t>
            </w:r>
          </w:p>
        </w:tc>
        <w:tc>
          <w:tcPr>
            <w:tcW w:w="106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Number</w:t>
            </w:r>
          </w:p>
        </w:tc>
        <w:tc>
          <w:tcPr>
            <w:tcW w:w="10660" w:type="dxa"/>
            <w:vAlign w:val="bottom"/>
          </w:tcPr>
          <w:p>
            <w:pPr>
              <w:ind w:left="160"/>
              <w:spacing w:after="0"/>
              <w:rPr>
                <w:sz w:val="20"/>
                <w:szCs w:val="20"/>
                <w:color w:val="auto"/>
              </w:rPr>
            </w:pPr>
            <w:r>
              <w:rPr>
                <w:rFonts w:ascii="Arial" w:cs="Arial" w:eastAsia="Arial" w:hAnsi="Arial"/>
                <w:sz w:val="18"/>
                <w:szCs w:val="18"/>
                <w:color w:val="auto"/>
              </w:rPr>
              <w:t>Description</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160"/>
              <w:spacing w:after="0"/>
              <w:rPr>
                <w:sz w:val="20"/>
                <w:szCs w:val="20"/>
                <w:color w:val="auto"/>
              </w:rPr>
            </w:pPr>
            <w:r>
              <w:rPr>
                <w:rFonts w:ascii="Arial" w:cs="Arial" w:eastAsia="Arial" w:hAnsi="Arial"/>
                <w:sz w:val="18"/>
                <w:szCs w:val="18"/>
                <w:color w:val="auto"/>
                <w:w w:val="91"/>
              </w:rPr>
              <w:t>Fourth Amendment to Loan and Security Agreement dated April 29, 2013, between the Company and Avidbank Corporate Finance, a division of</w:t>
            </w:r>
          </w:p>
        </w:tc>
      </w:tr>
      <w:tr>
        <w:trPr>
          <w:trHeight w:val="230"/>
        </w:trPr>
        <w:tc>
          <w:tcPr>
            <w:tcW w:w="760" w:type="dxa"/>
            <w:vAlign w:val="bottom"/>
          </w:tcPr>
          <w:p>
            <w:pPr>
              <w:spacing w:after="0"/>
              <w:rPr>
                <w:sz w:val="20"/>
                <w:szCs w:val="20"/>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Avidbank</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16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16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16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 Sarbanes-Oxley Act of</w:t>
            </w:r>
          </w:p>
        </w:tc>
      </w:tr>
      <w:tr>
        <w:trPr>
          <w:trHeight w:val="230"/>
        </w:trPr>
        <w:tc>
          <w:tcPr>
            <w:tcW w:w="760" w:type="dxa"/>
            <w:vAlign w:val="bottom"/>
          </w:tcPr>
          <w:p>
            <w:pPr>
              <w:spacing w:after="0"/>
              <w:rPr>
                <w:sz w:val="20"/>
                <w:szCs w:val="20"/>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2002.</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16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10660" w:type="dxa"/>
            <w:vAlign w:val="bottom"/>
          </w:tcPr>
          <w:p>
            <w:pPr>
              <w:ind w:left="160"/>
              <w:spacing w:after="0"/>
              <w:rPr>
                <w:sz w:val="20"/>
                <w:szCs w:val="20"/>
                <w:color w:val="auto"/>
              </w:rPr>
            </w:pPr>
            <w:r>
              <w:rPr>
                <w:rFonts w:ascii="Arial" w:cs="Arial" w:eastAsia="Arial" w:hAnsi="Arial"/>
                <w:sz w:val="18"/>
                <w:szCs w:val="18"/>
                <w:color w:val="auto"/>
              </w:rPr>
              <w:t>of2002.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49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9"/>
        </w:trPr>
        <w:tc>
          <w:tcPr>
            <w:tcW w:w="6160" w:type="dxa"/>
            <w:vAlign w:val="bottom"/>
          </w:tcPr>
          <w:p>
            <w:pPr>
              <w:spacing w:after="0"/>
              <w:rPr>
                <w:sz w:val="20"/>
                <w:szCs w:val="20"/>
                <w:color w:val="auto"/>
              </w:rPr>
            </w:pPr>
            <w:r>
              <w:rPr>
                <w:rFonts w:ascii="Arial" w:cs="Arial" w:eastAsia="Arial" w:hAnsi="Arial"/>
                <w:sz w:val="18"/>
                <w:szCs w:val="18"/>
                <w:color w:val="auto"/>
              </w:rPr>
              <w:t>Date: May 14, 2013</w:t>
            </w: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202"/>
        </w:trPr>
        <w:tc>
          <w:tcPr>
            <w:tcW w:w="616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r>
      <w:tr>
        <w:trPr>
          <w:trHeight w:val="230"/>
        </w:trPr>
        <w:tc>
          <w:tcPr>
            <w:tcW w:w="61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6160" w:type="dxa"/>
            <w:vAlign w:val="bottom"/>
          </w:tcPr>
          <w:p>
            <w:pPr>
              <w:spacing w:after="0"/>
              <w:rPr>
                <w:sz w:val="20"/>
                <w:szCs w:val="20"/>
                <w:color w:val="auto"/>
              </w:rPr>
            </w:pPr>
            <w:r>
              <w:rPr>
                <w:rFonts w:ascii="Arial" w:cs="Arial" w:eastAsia="Arial" w:hAnsi="Arial"/>
                <w:sz w:val="18"/>
                <w:szCs w:val="18"/>
                <w:color w:val="auto"/>
              </w:rPr>
              <w:t>Date: May 14, 2013</w:t>
            </w: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202"/>
        </w:trPr>
        <w:tc>
          <w:tcPr>
            <w:tcW w:w="616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r>
      <w:tr>
        <w:trPr>
          <w:trHeight w:val="230"/>
        </w:trPr>
        <w:tc>
          <w:tcPr>
            <w:tcW w:w="61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00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Fourth Amendment to Loan and Security Agreement is entered into as of April 29, 2013 (the “Amendment”), by and between AVIDBANK CORPORATE FINANCE, a division of AVIDBANK (“Bank”), and USA TECHNOLOGIES, INC. (“Borrower”).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and that certain Third Amendment to Loan and Security Agreement dated as of April 11, 2013 (collectively, the “Agreement”). The parties desire to amend the Agreement in accordance with the terms of this Amendment.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52" w:lineRule="exact"/>
        <w:rPr>
          <w:sz w:val="20"/>
          <w:szCs w:val="20"/>
          <w:color w:val="auto"/>
        </w:rPr>
      </w:pPr>
    </w:p>
    <w:p>
      <w:pPr>
        <w:ind w:left="1280" w:hanging="624"/>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definition in Section 1.1 of the Agreement is hereby amended and restated in its entirety to read as follows:</w:t>
      </w:r>
    </w:p>
    <w:p>
      <w:pPr>
        <w:spacing w:after="0" w:line="252" w:lineRule="exact"/>
        <w:rPr>
          <w:sz w:val="20"/>
          <w:szCs w:val="20"/>
          <w:color w:val="auto"/>
        </w:rPr>
      </w:pPr>
    </w:p>
    <w:p>
      <w:pPr>
        <w:jc w:val="both"/>
        <w:ind w:left="1300" w:right="640"/>
        <w:spacing w:after="0" w:line="264" w:lineRule="auto"/>
        <w:rPr>
          <w:sz w:val="20"/>
          <w:szCs w:val="20"/>
          <w:color w:val="auto"/>
        </w:rPr>
      </w:pPr>
      <w:r>
        <w:rPr>
          <w:rFonts w:ascii="Arial" w:cs="Arial" w:eastAsia="Arial" w:hAnsi="Arial"/>
          <w:sz w:val="18"/>
          <w:szCs w:val="18"/>
          <w:color w:val="auto"/>
        </w:rPr>
        <w:t>“RML” means the average monthly amount (based on the prior three months) of Borrower’s “Net cash provided by (used in) operating activities” including Jumpstart investments, as set forth in Borrower’s monthly cash flow statements prepared in accordance with GAAP.</w:t>
      </w:r>
    </w:p>
    <w:p>
      <w:pPr>
        <w:spacing w:after="0" w:line="208" w:lineRule="exact"/>
        <w:rPr>
          <w:sz w:val="20"/>
          <w:szCs w:val="20"/>
          <w:color w:val="auto"/>
        </w:rPr>
      </w:pPr>
    </w:p>
    <w:p>
      <w:pPr>
        <w:jc w:val="both"/>
        <w:ind w:firstLine="656"/>
        <w:spacing w:after="0" w:line="25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215" w:lineRule="exact"/>
        <w:rPr>
          <w:rFonts w:ascii="Arial" w:cs="Arial" w:eastAsia="Arial" w:hAnsi="Arial"/>
          <w:sz w:val="18"/>
          <w:szCs w:val="18"/>
          <w:color w:val="auto"/>
        </w:rPr>
      </w:pPr>
    </w:p>
    <w:p>
      <w:pPr>
        <w:ind w:right="20" w:firstLine="656"/>
        <w:spacing w:after="0" w:line="277" w:lineRule="auto"/>
        <w:tabs>
          <w:tab w:leader="none" w:pos="1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Borrower shall promptly pay all Bank Expenses incurred by Bank in connection with the preparation, negotiation, and execution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USA TECHNOLOGIES, INC.</w:t>
      </w:r>
    </w:p>
    <w:p>
      <w:pPr>
        <w:spacing w:after="0" w:line="279"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31750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AVIDBANK CORPORATE FINANCE,</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division of AVIDBANK</w:t>
      </w:r>
    </w:p>
    <w:p>
      <w:pPr>
        <w:spacing w:after="0" w:line="265" w:lineRule="exact"/>
        <w:rPr>
          <w:sz w:val="20"/>
          <w:szCs w:val="20"/>
          <w:color w:val="auto"/>
        </w:rPr>
      </w:pPr>
    </w:p>
    <w:p>
      <w:pPr>
        <w:ind w:left="5060"/>
        <w:spacing w:after="0"/>
        <w:tabs>
          <w:tab w:leader="none" w:pos="5500" w:val="left"/>
        </w:tabs>
        <w:rPr>
          <w:sz w:val="20"/>
          <w:szCs w:val="20"/>
          <w:color w:val="auto"/>
        </w:rPr>
      </w:pPr>
      <w:r>
        <w:rPr>
          <w:rFonts w:ascii="Arial" w:cs="Arial" w:eastAsia="Arial" w:hAnsi="Arial"/>
          <w:sz w:val="18"/>
          <w:szCs w:val="18"/>
          <w:color w:val="auto"/>
        </w:rPr>
        <w:t>By:</w:t>
        <w:tab/>
        <w:t>/s/ Jeffrey Javier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31750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14605</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9559"/>
          </w:cols>
          <w:pgMar w:left="900" w:top="490"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2013</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5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2013</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2013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2013</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56"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2013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2013</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5"/>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5"/>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2019-12-06T08:42:32Z</dcterms:created>
  <dcterms:modified xsi:type="dcterms:W3CDTF">2019-12-06T08:42:32Z</dcterms:modified>
</cp:coreProperties>
</file>