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1O-Q</w:t>
      </w:r>
    </w:p>
    <w:p>
      <w:pPr>
        <w:spacing w:after="0" w:line="263" w:lineRule="exact"/>
        <w:rPr>
          <w:sz w:val="24"/>
          <w:szCs w:val="24"/>
          <w:color w:val="auto"/>
        </w:rPr>
      </w:pPr>
    </w:p>
    <w:p>
      <w:pPr>
        <w:ind w:left="3900" w:right="1460" w:hanging="3892"/>
        <w:spacing w:after="0" w:line="534" w:lineRule="auto"/>
        <w:tabs>
          <w:tab w:leader="none" w:pos="65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1934d For the quarterly period ended March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56" w:lineRule="exact"/>
        <w:rPr>
          <w:sz w:val="24"/>
          <w:szCs w:val="24"/>
          <w:color w:val="auto"/>
        </w:rPr>
      </w:pPr>
    </w:p>
    <w:p>
      <w:pPr>
        <w:ind w:left="2460"/>
        <w:spacing w:after="0"/>
        <w:tabs>
          <w:tab w:leader="none" w:pos="63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3152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USA Technologies,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80" w:type="dxa"/>
            <w:vAlign w:val="bottom"/>
            <w:gridSpan w:val="3"/>
          </w:tcPr>
          <w:p>
            <w:pPr>
              <w:jc w:val="center"/>
              <w:ind w:right="1820"/>
              <w:spacing w:after="0"/>
              <w:rPr>
                <w:sz w:val="20"/>
                <w:szCs w:val="20"/>
                <w:color w:val="auto"/>
              </w:rPr>
            </w:pPr>
            <w:r>
              <w:rPr>
                <w:rFonts w:ascii="Arial" w:cs="Arial" w:eastAsia="Arial" w:hAnsi="Arial"/>
                <w:sz w:val="18"/>
                <w:szCs w:val="18"/>
                <w:color w:val="auto"/>
                <w:w w:val="89"/>
              </w:rPr>
              <w:t>Pennsylvania</w:t>
            </w:r>
          </w:p>
        </w:tc>
        <w:tc>
          <w:tcPr>
            <w:tcW w:w="4720" w:type="dxa"/>
            <w:vAlign w:val="bottom"/>
            <w:gridSpan w:val="6"/>
          </w:tcPr>
          <w:p>
            <w:pPr>
              <w:jc w:val="center"/>
              <w:ind w:left="2010"/>
              <w:spacing w:after="0"/>
              <w:rPr>
                <w:sz w:val="20"/>
                <w:szCs w:val="20"/>
                <w:color w:val="auto"/>
              </w:rPr>
            </w:pPr>
            <w:r>
              <w:rPr>
                <w:rFonts w:ascii="Arial" w:cs="Arial" w:eastAsia="Arial" w:hAnsi="Arial"/>
                <w:sz w:val="18"/>
                <w:szCs w:val="18"/>
                <w:color w:val="auto"/>
                <w:w w:val="89"/>
              </w:rPr>
              <w:t>23-2679963</w:t>
            </w:r>
          </w:p>
        </w:tc>
      </w:tr>
      <w:tr>
        <w:trPr>
          <w:trHeight w:val="20"/>
        </w:trPr>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44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20"/>
                <w:szCs w:val="20"/>
                <w:color w:val="auto"/>
              </w:rPr>
            </w:pPr>
          </w:p>
        </w:tc>
        <w:tc>
          <w:tcPr>
            <w:tcW w:w="3600" w:type="dxa"/>
            <w:vAlign w:val="bottom"/>
            <w:gridSpan w:val="5"/>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635"/>
        </w:trPr>
        <w:tc>
          <w:tcPr>
            <w:tcW w:w="180" w:type="dxa"/>
            <w:vAlign w:val="bottom"/>
          </w:tcPr>
          <w:p>
            <w:pPr>
              <w:spacing w:after="0"/>
              <w:rPr>
                <w:sz w:val="24"/>
                <w:szCs w:val="24"/>
                <w:color w:val="auto"/>
              </w:rPr>
            </w:pPr>
          </w:p>
        </w:tc>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340" w:type="dxa"/>
            <w:vAlign w:val="bottom"/>
          </w:tcPr>
          <w:p>
            <w:pPr>
              <w:spacing w:after="0"/>
              <w:rPr>
                <w:sz w:val="24"/>
                <w:szCs w:val="24"/>
                <w:color w:val="auto"/>
              </w:rPr>
            </w:pPr>
          </w:p>
        </w:tc>
        <w:tc>
          <w:tcPr>
            <w:tcW w:w="3840" w:type="dxa"/>
            <w:vAlign w:val="bottom"/>
            <w:gridSpan w:val="5"/>
          </w:tcPr>
          <w:p>
            <w:pPr>
              <w:jc w:val="center"/>
              <w:ind w:left="2870"/>
              <w:spacing w:after="0"/>
              <w:rPr>
                <w:sz w:val="20"/>
                <w:szCs w:val="20"/>
                <w:color w:val="auto"/>
              </w:rPr>
            </w:pPr>
            <w:r>
              <w:rPr>
                <w:rFonts w:ascii="Arial" w:cs="Arial" w:eastAsia="Arial" w:hAnsi="Arial"/>
                <w:sz w:val="18"/>
                <w:szCs w:val="18"/>
                <w:color w:val="auto"/>
                <w:w w:val="87"/>
              </w:rPr>
              <w:t>19355</w:t>
            </w:r>
          </w:p>
        </w:tc>
        <w:tc>
          <w:tcPr>
            <w:tcW w:w="8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39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39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19"/>
        </w:trPr>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(610) 989-0340</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9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sectPr>
      </w:pPr>
    </w:p>
    <w:p>
      <w:pPr>
        <w:spacing w:after="0" w:line="17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3340" w:space="720"/>
            <w:col w:w="2700"/>
          </w:cols>
          <w:pgMar w:left="240" w:top="306"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2011, there were 31,817,439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USA TECHNOLOGIES, INC.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Part I - Financial Statements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Condensed Financial Statements (Unaudited)</w:t>
      </w:r>
    </w:p>
    <w:p>
      <w:pPr>
        <w:spacing w:after="0" w:line="225" w:lineRule="exact"/>
        <w:rPr>
          <w:sz w:val="20"/>
          <w:szCs w:val="20"/>
          <w:color w:val="auto"/>
        </w:rPr>
      </w:pPr>
    </w:p>
    <w:p>
      <w:pPr>
        <w:ind w:left="1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 March 31, 2011 and June 30,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1160" w:right="1840"/>
        <w:spacing w:after="0" w:line="555" w:lineRule="auto"/>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Consolidated Statements of Operations – Three and Nine months ended March 31, 2011 and 2010</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Consolidated Statement of Shareholders’ Equity – Nine months ended March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PAGE</w:t>
      </w:r>
    </w:p>
    <w:p>
      <w:pPr>
        <w:spacing w:after="0" w:line="46"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p>
    <w:p>
      <w:pPr>
        <w:spacing w:after="0" w:line="265" w:lineRule="exact"/>
        <w:rPr>
          <w:sz w:val="20"/>
          <w:szCs w:val="20"/>
          <w:color w:val="auto"/>
        </w:rPr>
      </w:pPr>
    </w:p>
    <w:p>
      <w:pPr>
        <w:sectPr>
          <w:pgSz w:w="11900" w:h="16838" w:orient="portrait"/>
          <w:cols w:equalWidth="0" w:num="2">
            <w:col w:w="10060" w:space="720"/>
            <w:col w:w="640"/>
          </w:cols>
          <w:pgMar w:left="240" w:top="517"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100" w:type="dxa"/>
            <w:vAlign w:val="bottom"/>
            <w:gridSpan w:val="9"/>
            <w:shd w:val="clear" w:color="auto" w:fill="CCEEFF"/>
          </w:tcPr>
          <w:p>
            <w:pPr>
              <w:spacing w:after="0" w:line="204"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Nine months ended March 31, 2011 and 2010</w:t>
              </w:r>
            </w:hyperlink>
          </w:p>
        </w:tc>
        <w:tc>
          <w:tcPr>
            <w:tcW w:w="2160" w:type="dxa"/>
            <w:vAlign w:val="bottom"/>
            <w:shd w:val="clear" w:color="auto" w:fill="CCEEFF"/>
          </w:tcPr>
          <w:p>
            <w:pPr>
              <w:jc w:val="center"/>
              <w:ind w:left="1290"/>
              <w:spacing w:after="0" w:line="204"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100" w:type="dxa"/>
            <w:vAlign w:val="bottom"/>
            <w:gridSpan w:val="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16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100" w:type="dxa"/>
            <w:vAlign w:val="bottom"/>
            <w:gridSpan w:val="9"/>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16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100" w:type="dxa"/>
            <w:vAlign w:val="bottom"/>
            <w:gridSpan w:val="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16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100" w:type="dxa"/>
            <w:vAlign w:val="bottom"/>
            <w:gridSpan w:val="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16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100" w:type="dxa"/>
            <w:vAlign w:val="bottom"/>
            <w:gridSpan w:val="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216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100" w:type="dxa"/>
            <w:vAlign w:val="bottom"/>
            <w:gridSpan w:val="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16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7340" w:type="dxa"/>
            <w:vAlign w:val="bottom"/>
            <w:tcBorders>
              <w:bottom w:val="single" w:sz="8" w:color="CCEEFF"/>
            </w:tcBorders>
            <w:gridSpan w:val="7"/>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40" w:type="dxa"/>
            <w:vAlign w:val="bottom"/>
            <w:gridSpan w:val="7"/>
          </w:tcPr>
          <w:p>
            <w:pPr>
              <w:ind w:left="44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360" w:type="dxa"/>
            <w:vAlign w:val="bottom"/>
          </w:tcPr>
          <w:p>
            <w:pPr>
              <w:jc w:val="center"/>
              <w:ind w:left="1930"/>
              <w:spacing w:after="0"/>
              <w:rPr>
                <w:sz w:val="20"/>
                <w:szCs w:val="20"/>
                <w:color w:val="auto"/>
              </w:rPr>
            </w:pPr>
            <w:r>
              <w:rPr>
                <w:rFonts w:ascii="Arial" w:cs="Arial" w:eastAsia="Arial" w:hAnsi="Arial"/>
                <w:sz w:val="18"/>
                <w:szCs w:val="18"/>
                <w:b w:val="1"/>
                <w:bCs w:val="1"/>
                <w:color w:val="auto"/>
                <w:w w:val="88"/>
              </w:rPr>
              <w:t>USA Technologies,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60" w:type="dxa"/>
            <w:vAlign w:val="bottom"/>
          </w:tcPr>
          <w:p>
            <w:pPr>
              <w:jc w:val="center"/>
              <w:ind w:left="1950"/>
              <w:spacing w:after="0"/>
              <w:rPr>
                <w:sz w:val="20"/>
                <w:szCs w:val="20"/>
                <w:color w:val="auto"/>
              </w:rPr>
            </w:pPr>
            <w:r>
              <w:rPr>
                <w:rFonts w:ascii="Arial" w:cs="Arial" w:eastAsia="Arial" w:hAnsi="Arial"/>
                <w:sz w:val="18"/>
                <w:szCs w:val="18"/>
                <w:b w:val="1"/>
                <w:bCs w:val="1"/>
                <w:color w:val="auto"/>
                <w:w w:val="87"/>
              </w:rPr>
              <w:t>Consolidated Balance Sheets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38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13,291,877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Accounts receivable, less allowance for uncollectible accounts of $23,000 and $41,000,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1,589,543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Finance receivables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Inventory,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1,594,321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588,876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17,311,069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13,376,512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Finance receivables, less current portion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7,448,922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3,034,853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3,810,653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7,663,208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142,992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35,768,113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5,020,591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1,265,202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1,869,367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6,497,273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6,784,749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119,694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warrant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9,384,829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7,036,252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no par value: Authorized shares- 1,800,000 Series A convertible preferred- Authorized shares 900,000;</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shares- 442,968 and 444,468, respectively (liquidation preference of $14,712,100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and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$14,079,523, respectively)</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3,138,056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3,148,676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4"/>
          </w:tcPr>
          <w:p>
            <w:pPr>
              <w:spacing w:after="0" w:line="201" w:lineRule="exact"/>
              <w:rPr>
                <w:sz w:val="20"/>
                <w:szCs w:val="20"/>
                <w:color w:val="auto"/>
              </w:rPr>
            </w:pPr>
            <w:r>
              <w:rPr>
                <w:rFonts w:ascii="Arial" w:cs="Arial" w:eastAsia="Arial" w:hAnsi="Arial"/>
                <w:sz w:val="18"/>
                <w:szCs w:val="18"/>
                <w:color w:val="auto"/>
              </w:rPr>
              <w:t>Common stock, no par value: Authorized shares- 640,000,000; Issued and outstanding shares- 31,226,691 and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25,497,155, respectively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218,107,296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209,958,552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(194,862,068)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(190,295,056)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26,383,284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22,812,172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35,768,113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720" w:type="dxa"/>
            <w:vAlign w:val="bottom"/>
            <w:gridSpan w:val="4"/>
          </w:tcPr>
          <w:p>
            <w:pPr>
              <w:jc w:val="center"/>
              <w:ind w:left="253"/>
              <w:spacing w:after="0"/>
              <w:rPr>
                <w:sz w:val="20"/>
                <w:szCs w:val="20"/>
                <w:color w:val="auto"/>
              </w:rPr>
            </w:pPr>
            <w:r>
              <w:rPr>
                <w:rFonts w:ascii="Arial" w:cs="Arial" w:eastAsia="Arial" w:hAnsi="Arial"/>
                <w:sz w:val="18"/>
                <w:szCs w:val="18"/>
                <w:b w:val="1"/>
                <w:bCs w:val="1"/>
                <w:color w:val="auto"/>
                <w:w w:val="88"/>
              </w:rPr>
              <w:t>USA Technologies, Inc.</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720" w:type="dxa"/>
            <w:vAlign w:val="bottom"/>
            <w:gridSpan w:val="4"/>
          </w:tcPr>
          <w:p>
            <w:pPr>
              <w:jc w:val="center"/>
              <w:ind w:left="273"/>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0" w:type="dxa"/>
            <w:vAlign w:val="bottom"/>
            <w:gridSpan w:val="2"/>
          </w:tcPr>
          <w:p>
            <w:pPr>
              <w:jc w:val="center"/>
              <w:ind w:left="1373"/>
              <w:spacing w:after="0"/>
              <w:rPr>
                <w:sz w:val="20"/>
                <w:szCs w:val="20"/>
                <w:color w:val="auto"/>
              </w:rPr>
            </w:pPr>
            <w:r>
              <w:rPr>
                <w:rFonts w:ascii="Arial" w:cs="Arial" w:eastAsia="Arial" w:hAnsi="Arial"/>
                <w:sz w:val="18"/>
                <w:szCs w:val="18"/>
                <w:b w:val="1"/>
                <w:bCs w:val="1"/>
                <w:color w:val="auto"/>
                <w:w w:val="93"/>
              </w:rPr>
              <w:t>(Unaudited)</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sales</w:t>
            </w:r>
          </w:p>
        </w:tc>
        <w:tc>
          <w:tcPr>
            <w:tcW w:w="2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1,209,474</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1,280,214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4,566,494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4,914,674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License and transaction fees</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4,313,503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2,413,312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11,413,665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5,522,977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3,693,526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15,980,159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equipment</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782,244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738,431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2,274,825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Cost of services</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3,187,601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1,659,500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3,969,845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2,397,931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10,583,437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7,956,888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1,553,132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1,295,595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5,396,722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3,335,112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2,860,273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8,036,539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11,623,882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360,528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395,598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3,220,801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9,104,285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12,804,911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(1,667,669)</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(2,300,742)</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(3,707,563)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(9,469,799)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(9,795)</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(18,622)</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(32,424)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(850,740)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(850,740)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(846,599 )</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(9,396 )</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(826,449 )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(2,514,268)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(2,310,138)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(4,534,012)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(9,481,694)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Cumulative preferred dividends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(332,226 )</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(352,436 )</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(665,577)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(735,139)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applicable to common shares</w:t>
            </w:r>
          </w:p>
        </w:tc>
        <w:tc>
          <w:tcPr>
            <w:tcW w:w="2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(2,846,494)</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(2,662,574)</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(5,199,589)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(10,216,833)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common share (basic and diluted)</w:t>
            </w:r>
          </w:p>
        </w:tc>
        <w:tc>
          <w:tcPr>
            <w:tcW w:w="2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26,914,004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22,730,828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26,249,137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21,752,580</w:t>
            </w:r>
          </w:p>
        </w:tc>
        <w:tc>
          <w:tcPr>
            <w:tcW w:w="0" w:type="dxa"/>
            <w:vAlign w:val="bottom"/>
          </w:tcPr>
          <w:p>
            <w:pPr>
              <w:spacing w:after="0"/>
              <w:rPr>
                <w:sz w:val="1"/>
                <w:szCs w:val="1"/>
                <w:color w:val="auto"/>
              </w:rPr>
            </w:pPr>
          </w:p>
        </w:tc>
      </w:tr>
      <w:tr>
        <w:trPr>
          <w:trHeight w:val="459"/>
        </w:trPr>
        <w:tc>
          <w:tcPr>
            <w:tcW w:w="368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tcPr>
          <w:p>
            <w:pPr>
              <w:jc w:val="center"/>
              <w:ind w:left="1653"/>
              <w:spacing w:after="0"/>
              <w:rPr>
                <w:sz w:val="20"/>
                <w:szCs w:val="20"/>
                <w:color w:val="auto"/>
              </w:rPr>
            </w:pPr>
            <w:r>
              <w:rPr>
                <w:rFonts w:ascii="Arial" w:cs="Arial" w:eastAsia="Arial" w:hAnsi="Arial"/>
                <w:sz w:val="14"/>
                <w:szCs w:val="14"/>
                <w:color w:val="auto"/>
                <w:w w:val="93"/>
              </w:rPr>
              <w:t>-4-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300" w:type="dxa"/>
            <w:vAlign w:val="bottom"/>
            <w:gridSpan w:val="5"/>
          </w:tcPr>
          <w:p>
            <w:pPr>
              <w:jc w:val="center"/>
              <w:ind w:left="2990"/>
              <w:spacing w:after="0"/>
              <w:rPr>
                <w:sz w:val="20"/>
                <w:szCs w:val="20"/>
                <w:color w:val="auto"/>
              </w:rPr>
            </w:pPr>
            <w:r>
              <w:rPr>
                <w:rFonts w:ascii="Arial" w:cs="Arial" w:eastAsia="Arial" w:hAnsi="Arial"/>
                <w:sz w:val="18"/>
                <w:szCs w:val="18"/>
                <w:b w:val="1"/>
                <w:bCs w:val="1"/>
                <w:color w:val="auto"/>
                <w:w w:val="88"/>
              </w:rPr>
              <w:t>USA Technologies, Inc.</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00" w:type="dxa"/>
            <w:vAlign w:val="bottom"/>
            <w:gridSpan w:val="8"/>
          </w:tcPr>
          <w:p>
            <w:pPr>
              <w:jc w:val="center"/>
              <w:ind w:left="1610"/>
              <w:spacing w:after="0"/>
              <w:rPr>
                <w:sz w:val="20"/>
                <w:szCs w:val="20"/>
                <w:color w:val="auto"/>
              </w:rPr>
            </w:pPr>
            <w:r>
              <w:rPr>
                <w:rFonts w:ascii="Arial" w:cs="Arial" w:eastAsia="Arial" w:hAnsi="Arial"/>
                <w:sz w:val="18"/>
                <w:szCs w:val="18"/>
                <w:b w:val="1"/>
                <w:bCs w:val="1"/>
                <w:color w:val="auto"/>
                <w:w w:val="90"/>
              </w:rPr>
              <w:t>Consolidated Statement of Shareholders’ Equity</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00" w:type="dxa"/>
            <w:vAlign w:val="bottom"/>
            <w:gridSpan w:val="5"/>
          </w:tcPr>
          <w:p>
            <w:pPr>
              <w:jc w:val="center"/>
              <w:ind w:left="29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Series A</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Convertible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Preferred</w:t>
            </w: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Accumulated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2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3,148,676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209,958,552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 (190,295,056)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22,812,172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w w:val="92"/>
              </w:rPr>
              <w:t>Conversion of 1,500 shares of preferred stock into 15 shares of common stock</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(10,620)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10,620</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Conversion of $33,000 of preferred dividends into 33 shares of common stock</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 $1,000 per share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2"/>
              </w:rPr>
              <w:t>Issuance of 261,953 shares of common stock at $0.90 per share less issuance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costs of $230,087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5,671</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of 2,217 shares of common stock</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7"/>
              </w:rPr>
              <w:t>Issuance of 17,500 fully-vested shares of common stock to employees and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vesting of shares granted under the 2008 Stock Incentive Plan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9,090</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Issuance of 86,342 shares of common stock for settlement of Long-Term Equity</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Incentive Program liability for Fiscal Year 2010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97,566</w:t>
            </w: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Issuance of 150,000 shares of common stock to Lincoln Park Capital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Issuance of 5,200,000 shares of common stock at $2.064 per share less the fair</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value of warrants issued of $1,917,122 and less cash issuance costs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$838,705</w:t>
            </w:r>
          </w:p>
        </w:tc>
        <w:tc>
          <w:tcPr>
            <w:tcW w:w="4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7,976,973</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7,976,973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2"/>
              </w:rPr>
              <w:t>Exercise of 15,810 warrants at $1.13 resulting in the issuance of 15,810 shares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17,865</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of Common 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Exercise of 100 warrants at $2.20 resulting in the issuance of 100 shares of</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(4,534,012)</w:t>
            </w: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(4,534,012)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3,138,056</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218,107,296</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 (194,862,068)</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26,383,284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8"/>
              </w:rPr>
              <w:t>USA Technologies,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(4,534,012)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Charges incurred in connection with the vesting and issuance of common stock for employee compensation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Charges incurred in connection with the Long-term Equity Incentive Program</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54,395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Charges incurred for change in fair value of warrants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Depreciation, $781,329 and $113,913 of which is allocated to cost of services for the nine months ended March 31,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2011 and 2010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1,073,275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Finance receivables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(2,740,227)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(560,994)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(3,627,934)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(10,868,542)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of property and equipment, net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(240,811)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(339,441)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(240,811)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proceeds from the issuance (retirement) of common stock</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9,915,590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12,948,491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the retirement of preferred stock</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(359,292)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9,556,298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12,080,333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5,687,553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872,350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7,604,324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6,748,262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13,291,877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7,620,612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insurance financed with long-term debt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94,311</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32,141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Transfer of inventory to property and equipment for rental units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3,779,877</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Conversion of convertible preferred stock to common stock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10,620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Conversion of cumulative preferred dividends to common 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Fair value of common stock warrants at issuance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1,917,122</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acquired under long-term debt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Equipment acquired under capital lease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USA Technologies, Inc. (the “Company”, “We” or “Our”) was incorporated in the Commonwealth of Pennsylvania in January 1992. The Company is a leading supplier of wireless, cashless payment, remote management, reporting and energy management solutions serving the unattended point of sale market. Our networked devices and associated services enable the owners and operators of everyday, stand-alone, distributed assets, such as vending machines, kiosks, personal computers, photocopiers and laundry equipment, the ability to offer their customers cashless payment options, as well as remotely monitor, control and report on the results of these distributed assets. As part of our Intelligent Vending® solution, our Company also manufactures and sells energy management products which reduce the electrical power consumption of vending related equipment, such as refrigerated vending machines and glass front coolers, thus reducing the electrical energy costs associated with operating this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generally accepted accounting principles for complete financial statements and therefore should be read in conjunction with the Company’s Annual Report on Form 10-K for the year ended June 30, 2010. In the opinion of management, all adjustments considered necessary for a fair presentation, consisting of normal recurring adjustments, have been included. Operating results for the nine month period ended March 31, 2011 are not necessarily indicative of the results that may be expected for the year ending June 30, 2011. The balance sheet at June 30, 2010 has been derived from the audited financial statements at that date but does not include all of the information and footnotes required by U.S. generally accepted accounting principles for complete financial statements.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losses from its inception through June 30, 2010 and losses have continued through March 31, 2011 and are expected to continue during fiscal year 2011. The Company's ability to meet its future obligations is dependent upon the success of its products and services in the marketplace and available capital resources. Until the Company's products and services can generate sufficient operating revenues, the Company will be required to use its cash and cash equivalents on hand, as well as raise capital to meet its cash flow requirements including the issuance of Common Stock and the exercise of outstanding Common Stock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represent all highly liquid investments with original maturities of three months or less. Cash equivalents are comprised of certificates of deposit and money market funds. The Company maintains its cash in bank deposit accounts, which may exceed federally insured limits at times.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(Continued)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cash and cash equivalents at March 31, 2011 and June 30, 2010 was approximately $700,000 and $1,020,000,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2009, the Financial Accounting Standards Board (“FASB”) issued Accounting Standards Update (“ASU”) 2010-06,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Disclosures </w:t>
      </w:r>
      <w:r>
        <w:rPr>
          <w:rFonts w:ascii="Arial" w:cs="Arial" w:eastAsia="Arial" w:hAnsi="Arial"/>
          <w:sz w:val="16"/>
          <w:szCs w:val="16"/>
          <w:color w:val="auto"/>
        </w:rPr>
        <w:t>(Topic 820):</w:t>
      </w:r>
      <w:r>
        <w:rPr>
          <w:rFonts w:ascii="Arial" w:cs="Arial" w:eastAsia="Arial" w:hAnsi="Arial"/>
          <w:sz w:val="16"/>
          <w:szCs w:val="16"/>
          <w:i w:val="1"/>
          <w:iCs w:val="1"/>
          <w:color w:val="auto"/>
        </w:rPr>
        <w:t xml:space="preserve"> Improving Disclosures about Fair Value Measurements</w:t>
      </w:r>
      <w:r>
        <w:rPr>
          <w:rFonts w:ascii="Arial" w:cs="Arial" w:eastAsia="Arial" w:hAnsi="Arial"/>
          <w:sz w:val="16"/>
          <w:szCs w:val="16"/>
          <w:color w:val="auto"/>
        </w:rPr>
        <w:t>.” ASU 2009-06 amends certain disclosure requirements of Subtopic</w:t>
      </w:r>
      <w:r>
        <w:rPr>
          <w:rFonts w:ascii="Arial" w:cs="Arial" w:eastAsia="Arial" w:hAnsi="Arial"/>
          <w:sz w:val="16"/>
          <w:szCs w:val="16"/>
          <w:i w:val="1"/>
          <w:iCs w:val="1"/>
          <w:color w:val="auto"/>
        </w:rPr>
        <w:t xml:space="preserve"> </w:t>
      </w:r>
      <w:r>
        <w:rPr>
          <w:rFonts w:ascii="Arial" w:cs="Arial" w:eastAsia="Arial" w:hAnsi="Arial"/>
          <w:sz w:val="16"/>
          <w:szCs w:val="16"/>
          <w:color w:val="auto"/>
        </w:rPr>
        <w:t>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provision for income taxes has been made for the nine months ended March 31, 2011 and 2010 given the Company’s losses in 2011 and 2010 and available net operating loss carryforwards. A benefit has not been recorded as the realization of the net operating losses is not assured and the timing in which the Company can utilize its net operating loss carryforwards in any year or in total may be limited by provisions of the Internal Revenue Code regarding changes in ownership of corporations.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Shared-Based Payment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applies ASC Topic 718 “Stock Compensation” which requires the measurement of the cost of employee services received in exchange for an award of equity instruments based on the grant-date fair value of the award. Excluding the Long-Term Equity Incentive Program (the “LTIP”), the Company recorded stock compensation expense of $288 and $18,592 during the three months ended March 31, 2011 and 2010, respectively, and $9,090 and $80,523 during the nine months ended March 31, 2011 and 2010, respectively, related to common stock grants and the vesting of shares previously granted to employees and officers. There were no common stock options granted, vested or recorded as expense during the nine months ended March 31, 2011 and 2010.</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Related to the change in fair value and/or the vesting of shares under the LTIP the Company recorded expense and a reduction of stock compensation expense of $0 and ($6,907) during the three months ended March 31, 2011 and 2010, respectively. During the nine months ended March 31, 2011 and 2010, the LTIP stock compensation expense was $54,395 and $69,353,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dilutive effect (unless such effect is anti-dilutive) of potential common shares. No exercise of stock options, stock purchase warrants, or the conversion of preferred stock or cumulative preferred dividends was assumed during the periods presented because the assumed exercise of these securities would be anti-dilutive.</w:t>
      </w:r>
    </w:p>
    <w:p>
      <w:pPr>
        <w:spacing w:after="0" w:line="21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Receivables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Finance receivables include notes and sales-type leases to accommodate extended payment terms for equipment purchases to certain customers. Finance receivables are carried at their contractual amount and charged off against the allowance for credit losses when management determines that recovery is unlikely and the Company ceases collection efforts. Monthly payments for both types of receivables are collected by deduction from our customers’ vending and equipment transaction funds. The Company recognizes a portion of the note or lease payments as interest income in the accompanying consolidated financial statements based on the effective interest rate method.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Lease receivables</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413,050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524,831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Less current portion</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246,452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339,341</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4280" w:type="dxa"/>
            <w:vAlign w:val="bottom"/>
            <w:tcBorders>
              <w:top w:val="single" w:sz="8" w:color="CCEEFF"/>
            </w:tcBorders>
          </w:tcPr>
          <w:p>
            <w:pPr>
              <w:jc w:val="right"/>
              <w:ind w:right="2836"/>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Finance Receivables (Continued)</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2011 and June 30, 2010,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Quality Indicators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March 31, 2011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Credit risk profile based on payment activity:</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Notes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5"/>
          </w:tcPr>
          <w:p>
            <w:pPr>
              <w:ind w:left="3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6"/>
          </w:tcPr>
          <w:p>
            <w:pPr>
              <w:jc w:val="center"/>
              <w:ind w:right="10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413,050</w:t>
            </w: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413,521</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Nonperforming</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413,050</w:t>
            </w: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413,521</w:t>
            </w:r>
          </w:p>
        </w:tc>
        <w:tc>
          <w:tcPr>
            <w:tcW w:w="12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gridSpan w:val="10"/>
          </w:tcPr>
          <w:p>
            <w:pPr>
              <w:jc w:val="center"/>
              <w:ind w:left="230"/>
              <w:spacing w:after="0"/>
              <w:rPr>
                <w:sz w:val="20"/>
                <w:szCs w:val="20"/>
                <w:color w:val="auto"/>
              </w:rPr>
            </w:pPr>
            <w:r>
              <w:rPr>
                <w:rFonts w:ascii="Arial" w:cs="Arial" w:eastAsia="Arial" w:hAnsi="Arial"/>
                <w:sz w:val="18"/>
                <w:szCs w:val="18"/>
                <w:color w:val="auto"/>
                <w:w w:val="90"/>
              </w:rPr>
              <w:t>Age Analysis of Past Due Finance Receivables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center"/>
              <w:ind w:right="940"/>
              <w:spacing w:after="0"/>
              <w:rPr>
                <w:sz w:val="20"/>
                <w:szCs w:val="20"/>
                <w:color w:val="auto"/>
              </w:rPr>
            </w:pPr>
            <w:r>
              <w:rPr>
                <w:rFonts w:ascii="Arial" w:cs="Arial" w:eastAsia="Arial" w:hAnsi="Arial"/>
                <w:sz w:val="18"/>
                <w:szCs w:val="18"/>
                <w:color w:val="auto"/>
                <w:w w:val="92"/>
              </w:rPr>
              <w:t>As of March 31, 2011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Greater</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31 – 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61 – 90</w:t>
            </w:r>
          </w:p>
        </w:tc>
        <w:tc>
          <w:tcPr>
            <w:tcW w:w="18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rPr>
              <w:t>than</w:t>
            </w:r>
          </w:p>
        </w:tc>
        <w:tc>
          <w:tcPr>
            <w:tcW w:w="200" w:type="dxa"/>
            <w:vAlign w:val="bottom"/>
          </w:tcPr>
          <w:p>
            <w:pPr>
              <w:spacing w:after="0"/>
              <w:rPr>
                <w:sz w:val="18"/>
                <w:szCs w:val="18"/>
                <w:color w:val="auto"/>
              </w:rPr>
            </w:pPr>
          </w:p>
        </w:tc>
        <w:tc>
          <w:tcPr>
            <w:tcW w:w="5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Total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Days Past Due</w:t>
            </w:r>
          </w:p>
        </w:tc>
        <w:tc>
          <w:tcPr>
            <w:tcW w:w="1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Days Past Due</w:t>
            </w:r>
          </w:p>
        </w:tc>
        <w:tc>
          <w:tcPr>
            <w:tcW w:w="18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90 Days</w:t>
            </w:r>
          </w:p>
        </w:tc>
        <w:tc>
          <w:tcPr>
            <w:tcW w:w="200" w:type="dxa"/>
            <w:vAlign w:val="bottom"/>
          </w:tcPr>
          <w:p>
            <w:pPr>
              <w:spacing w:after="0"/>
              <w:rPr>
                <w:sz w:val="20"/>
                <w:szCs w:val="20"/>
                <w:color w:val="auto"/>
              </w:rPr>
            </w:pPr>
          </w:p>
        </w:tc>
        <w:tc>
          <w:tcPr>
            <w:tcW w:w="940" w:type="dxa"/>
            <w:vAlign w:val="bottom"/>
            <w:gridSpan w:val="3"/>
          </w:tcPr>
          <w:p>
            <w:pPr>
              <w:jc w:val="center"/>
              <w:ind w:right="135"/>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ind w:left="1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8"/>
                <w:szCs w:val="18"/>
                <w:color w:val="auto"/>
                <w:w w:val="87"/>
              </w:rPr>
              <w:t>Receivables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74"/>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Leases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3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413,050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413,050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74"/>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413,521</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413,521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40" w:type="dxa"/>
            <w:vAlign w:val="bottom"/>
            <w:gridSpan w:val="3"/>
          </w:tcPr>
          <w:p>
            <w:pPr>
              <w:spacing w:after="0"/>
              <w:rPr>
                <w:sz w:val="20"/>
                <w:szCs w:val="20"/>
                <w:color w:val="auto"/>
              </w:rPr>
            </w:pPr>
            <w:r>
              <w:rPr>
                <w:rFonts w:ascii="Arial" w:cs="Arial" w:eastAsia="Arial" w:hAnsi="Arial"/>
                <w:sz w:val="18"/>
                <w:szCs w:val="18"/>
                <w:color w:val="auto"/>
              </w:rPr>
              <w:t>3.   Accrued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18"/>
                <w:szCs w:val="18"/>
                <w:color w:val="auto"/>
                <w:w w:val="97"/>
              </w:rPr>
              <w:t>Accrued expenses consist of the following: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March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ind w:left="1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w w:val="96"/>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Accrued compensation and sales commissions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244,459</w:t>
            </w:r>
          </w:p>
        </w:tc>
        <w:tc>
          <w:tcPr>
            <w:tcW w:w="320" w:type="dxa"/>
            <w:vAlign w:val="bottom"/>
            <w:tcBorders>
              <w:lef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922,741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310,643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374,288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taxes and filing fees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199,286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Advanced customer billings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71,120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55,773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439,694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294,316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1,265,202</w:t>
            </w:r>
          </w:p>
        </w:tc>
        <w:tc>
          <w:tcPr>
            <w:tcW w:w="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1,869,367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center"/>
              <w:ind w:left="573"/>
              <w:spacing w:after="0"/>
              <w:rPr>
                <w:sz w:val="20"/>
                <w:szCs w:val="20"/>
                <w:color w:val="auto"/>
              </w:rPr>
            </w:pPr>
            <w:r>
              <w:rPr>
                <w:rFonts w:ascii="Arial" w:cs="Arial" w:eastAsia="Arial" w:hAnsi="Arial"/>
                <w:sz w:val="14"/>
                <w:szCs w:val="14"/>
                <w:color w:val="auto"/>
                <w:w w:val="96"/>
              </w:rPr>
              <w:t>-10-</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4.   Long-Term Debt</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118,815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Loan agreements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current portion</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211,480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3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July 2010, the Company financed a portion of the premiums for various insurance policies totaling $94,331 due in nine monthly installments at an interest rate of 4.93%.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March 31, 2011 and June 30,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67,258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 liability, warrants exercisable at $2.6058 from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18, 2011 through September 18, 2016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(2,616,231)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(2,616,231)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warrant liability, warrants exercisable at $5.90 through September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14, 2013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(151,631)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(151,631)</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June 30, 2010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2,792,026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Common stock warrant liabilities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2011 and June 30, 2010, the fair values of the Company's Level 1 financial instruments were $67,258 and $2,972,026, respectively. These financial instruments consist of cash equivalents, including certificates of deposit and money market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and June 30, 2010, the Company held no Level 2 financial instruments.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2011 and June 30, 2010, the fair values of the Company's Level 3 financial instruments totaled $2,767,862 and $0, respectively. The Level 3 financial instruments consist of common stock warrants issued by the Company in March 2011 and March 2007, which include features requiring liability treatment of the warrants. The fair value of warrants issued in March 2011 (Notes 6 and 7)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using the Black-Scholes model and applying an estimated fair value adjustment primarily related to the illiquidity of the warrants. Prior to March 31, 2011, the fair value of these warrants was determined to be de minimus and was not included on the Company’s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 1, level 2 or level 3 during the nine months ended March 31,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of the Company's Level 3 financial instruments for the nine months ended: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March 31,</w:t>
            </w:r>
          </w:p>
        </w:tc>
      </w:tr>
      <w:tr>
        <w:trPr>
          <w:trHeight w:val="237"/>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June 30, 2010 and 2009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Issuance of common stock warrants, exercisable at $2.6058 per share</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(1,917,122)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Recognize liability of warrants, exercisable at $5.90 per share; attributed to loss due to change in fair value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Loss due to change in fair value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(2,767,862)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6.</w:t>
        <w:tab/>
        <w:t>Common Stock and Preferred Stock</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7, 2010, we sold an aggregate of 261,953 shares and related warrants to purchase up to 261,953 shares pursuant to a subscription rights offering which concluded on July 6, 2010. In connection with the offering, Source Capital Group, Inc. acted as dealer manager. As compensation for its services, Source received warrants to purchase up to 15,717 shares at $1.13 per share at any time through July 7, 2013. The warrants contain provisions for one demand registration of the sale of the underlying shares of common stock for a period of five years at our expense, and piggyback registration rights for a period of five years at our expense, and one demand registration right at the dealer manager’s expense for a period of five years. The Company received $235,757 of gross proceeds; after deductions for fees and expenses, net cash proceeds were $5,671.</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2010, we executed a purchase agreement and a registration rights agreement (the “LPC Agreement”) with Lincoln Park Capital, LLC (“LPC”). On March 16, 2011, the Company gave written notice to LPC that it had terminated the LPC Agreement. The Company had the right under the LPC Agreement to terminate the LPC Agreement for any or no reason and without any liability whatsoever of any party to any other party under the LPC Agreement. The Company was required to terminate the LPC Agreement as a condition precedent to the closing of the March 14, 2011 Securities Purchase Agreement described below. Under the LPC Agreement, we had the right to sell to LPC up to 4,851,408 shares of our common stock at our option for an aggregate purchase price of up to $5,000,000. We issued 150,000 shares of our common stock to LPC as a commitment fee for entering into the purchase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 and Preferred Stock (Continued)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7, 2010, 86,342 shares of common stock were issued to the Company’s executive officers on account of the 2010 fiscal year under the LTIP. The specific allocation of the shares among the executive officers was as follows: Mr. Jensen- 60,716 shares; Mr. Herbert- 18,261 shares; and Mr. DeMedio- 7,365 shares. On December 30, 2010, an executive officer exercised his right to cancel shares for payroll tax obligations. As a result, 2,217 shares of common stock were cancelled to satisfy $2,261 of related payroll tax obligations. The total compensation expense recognized for the LTIP on account of the 2010 fiscal year was $97,566, based on the closing price of the Company’s Common Stock on October 6, 2010 of $1.13; $43,171 of the total compensation expense was recorded in the fiscal year ended June 30, 2010, and $54,395 in the nine months ended March 31, 2011.</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14, 2011, the Company entered into a Securities Purchase Agreement with seven institutional investors (the “Buyers”). Pursuant thereto, on March 17, 2011 the Company sold to the Buyers 5,200,000 shares of the Company’s common stock at a price of $2.064 per share for an aggregate purchase price of $10,732,800. On March 17, 2011 the Company also issued warrants to the Buyers to purchase up to 3,900,000 shares of common stock at an exercise price of $2.6058 per share. The Buyers are accredited investors and the offer and sale of the shares and the warrants was exempt from registration under Rule 506 promulgated under Section 4(2) of the Act. The Company has agreed to register the shares and the shares underlying the warrants for resale under the Act until the earlier of (i) the date as of which the Buyers may sell all of the securities covered by such registration statement without restriction pursuant to Rule 144 promulgated under the Act, or (ii) the date on which the Buyers shall have sold all of the securities covered by such registration statement. The Company is obligated to use its best efforts to cause the SEC to declare the Registration Statement effective within 90 days of the closing date of the transaction (or 120 days in the event that the Registration Statement is subject to review by the SEC), and the Company is required to pay certain negotiated cash payments to the Buyers in the event that the Registration Statement is not filed within 15 days of the closing date or is not declared effective within 90 days of the closing date (or 120 days in the event that the Registration Statement is subject to review by the SEC). The Registration Statement was filed by the Company with the SEC on March 31, 2011, and declared effective by the SEC on April 29, 2011.</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above private placement offering, Chardan Capital Markets, LLC, acted as exclusive placement agent. As compensation for its services, Chardan received cash compensation of $751,296 and warrants to purchase up to 364,000 shares of common stock at $2.6058 per share at any time within five years following the six-month and one day anniversary of the issuance of the warrants, March 17, 2011. We have agreed to register the shares underlying the warrants for resale under the Act on the same terms afforded to the Buyers.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proceeds of $10,732,800 were reduced by $1,917,122, the fair value of issuing the warrants which are subject to liability accounting (Note 7), and cash issuance costs of $838,705, resulting in net cash proceeds of $9,894,095 and net proceeds related to common shares of $7,976,973. The proceeds from the offering will be used primarily to support the continuation of the Company’s Jump Start program.</w:t>
      </w:r>
    </w:p>
    <w:p>
      <w:pPr>
        <w:spacing w:after="0" w:line="20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 Warrants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2011, there were 16,552,508 Common Stock warrants outstanding, of which 12,288,508 warrants were currently exercisable at exercise prices ranging from $1.13 to $7.70 per share and 4,264,000 warrants, all with an exercise price of $2.6058, are not exercisable until September 18, 2011. On October 1, 2010, 1,500,000 warrants, which were outstanding as of June 30, 2010 and September 30, 2010, were forfeited and are not outstanding as of December 31, 2010, due to performance hurdles in the First Data Joint Marketing Agreement not being achieved.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Common Stock Warrants (Continued)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March 17, 2011and pursuant to the Securities Purchase Agreement (Note 6) the Company issued warrants to the Buyers and the placement agent to purchase up to 3,900,000 and 364,000 shares, respectively of common stock at an exercise price of $2.6058 per share. The warrants are exercisable at any time within five years following the six-month and one day anniversary of the issuance of the warrants. The Buyer’s warrant agreement allows the holders of the 3,900,000 warrants to require the Company to pay the Black Scholes value of the warrants in cash at the request of the holder if a fundamental transaction/change in control is publically disclosed or the warrant holder becomes aware of a change in control (fundamental transaction). In accordance with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warrants are subject to liability accounting. Therefore, the fair value of the warrants is included on the Company’s consolidated balance sheets and changes in the fair value are included in the Company’s consolidated statements of operations.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connection with a Securities Purchase Agreement with S.A.C. Capital Associates, LLC (“SAC”) entered into by the Company on March 14, 2007, the Company issued warrants to SAC to purchase up to 833,333 shares of Common Stock at an exercise price of $6.40 per share. Pursuant to the terms of the warrant, in October 2008 the number of shares issuable under the warrant automatically increased to 903,955, and the exercise price reduced to $5.90. The warrants are exercisable at any time within six years following the six-month anniversary of the issuance of the warrants. The warrants are exercisable to the extent that such exercise would not result in the beneficial ownership by SAC and its affiliates of more than 9.99% of the number of shares outstanding immediately after giving effect to the issuance of shares upon exercise of the warrants. The warrant contains a provision that if a Fundamental Transaction occurs, notably a change in control, within ninety days of the Fundamental Transaction the warrant holder may require the Company to pay the Black-Scholes calculated value of the then unexercised warrant to the warrant holder in cash. In accordance with Accounting Standards Codification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warrants are subject to liability accounting. The fair value of these warrants was estimated using the Black-Scholes model and</w:t>
      </w:r>
      <w:r>
        <w:rPr>
          <w:rFonts w:ascii="Arial" w:cs="Arial" w:eastAsia="Arial" w:hAnsi="Arial"/>
          <w:sz w:val="16"/>
          <w:szCs w:val="16"/>
          <w:i w:val="1"/>
          <w:iCs w:val="1"/>
          <w:color w:val="auto"/>
        </w:rPr>
        <w:t xml:space="preserve"> </w:t>
      </w:r>
      <w:r>
        <w:rPr>
          <w:rFonts w:ascii="Arial" w:cs="Arial" w:eastAsia="Arial" w:hAnsi="Arial"/>
          <w:sz w:val="16"/>
          <w:szCs w:val="16"/>
          <w:color w:val="auto"/>
        </w:rPr>
        <w:t>applying an estimated fair value adjustment primarily related to warrant exercise restrictions and illiquidity of the warrants, which resulted in a de minimus fair value as of the issuance date and each reporting date through and including December 31, 2010. As of March 31, 2011, the fair value has been estimated by the Company as $151,631 and is included on the Company’s consolidated 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warrants outstanding as of March 31, 2011: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20" w:type="dxa"/>
            <w:vAlign w:val="bottom"/>
          </w:tcPr>
          <w:p>
            <w:pPr>
              <w:spacing w:after="0"/>
              <w:rPr>
                <w:sz w:val="18"/>
                <w:szCs w:val="18"/>
                <w:color w:val="auto"/>
              </w:rPr>
            </w:pPr>
          </w:p>
        </w:tc>
        <w:tc>
          <w:tcPr>
            <w:tcW w:w="1660" w:type="dxa"/>
            <w:vAlign w:val="bottom"/>
          </w:tcPr>
          <w:p>
            <w:pPr>
              <w:jc w:val="center"/>
              <w:ind w:left="30"/>
              <w:spacing w:after="0"/>
              <w:rPr>
                <w:sz w:val="20"/>
                <w:szCs w:val="20"/>
                <w:color w:val="auto"/>
              </w:rPr>
            </w:pPr>
            <w:r>
              <w:rPr>
                <w:rFonts w:ascii="Arial" w:cs="Arial" w:eastAsia="Arial" w:hAnsi="Arial"/>
                <w:sz w:val="18"/>
                <w:szCs w:val="18"/>
                <w:color w:val="auto"/>
                <w:w w:val="97"/>
              </w:rPr>
              <w:t>NASDAQ</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Exercise</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Warrants</w:t>
            </w:r>
          </w:p>
        </w:tc>
      </w:tr>
      <w:tr>
        <w:trPr>
          <w:trHeight w:val="23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3"/>
              </w:rPr>
              <w:t>Symbol</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Price</w:t>
            </w:r>
          </w:p>
        </w:tc>
        <w:tc>
          <w:tcPr>
            <w:tcW w:w="260" w:type="dxa"/>
            <w:vAlign w:val="bottom"/>
          </w:tcPr>
          <w:p>
            <w:pPr>
              <w:spacing w:after="0"/>
              <w:rPr>
                <w:sz w:val="20"/>
                <w:szCs w:val="20"/>
                <w:color w:val="auto"/>
              </w:rPr>
            </w:pP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05/12/2013</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165,207</w:t>
            </w: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0"/>
              </w:rPr>
              <w:t>07/07/2013</w:t>
            </w:r>
          </w:p>
        </w:tc>
        <w:tc>
          <w:tcPr>
            <w:tcW w:w="120" w:type="dxa"/>
            <w:vAlign w:val="bottom"/>
          </w:tcPr>
          <w:p>
            <w:pPr>
              <w:spacing w:after="0"/>
              <w:rPr>
                <w:sz w:val="18"/>
                <w:szCs w:val="18"/>
                <w:color w:val="auto"/>
              </w:rPr>
            </w:pP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15,717</w:t>
            </w: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USATZ</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2,999,597</w:t>
            </w: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12/31/2011</w:t>
            </w:r>
          </w:p>
        </w:tc>
        <w:tc>
          <w:tcPr>
            <w:tcW w:w="120" w:type="dxa"/>
            <w:vAlign w:val="bottom"/>
          </w:tcPr>
          <w:p>
            <w:pPr>
              <w:spacing w:after="0"/>
              <w:rPr>
                <w:sz w:val="18"/>
                <w:szCs w:val="18"/>
                <w:color w:val="auto"/>
              </w:rPr>
            </w:pPr>
          </w:p>
        </w:tc>
        <w:tc>
          <w:tcPr>
            <w:tcW w:w="1660" w:type="dxa"/>
            <w:vAlign w:val="bottom"/>
          </w:tcPr>
          <w:p>
            <w:pPr>
              <w:jc w:val="center"/>
              <w:ind w:left="30"/>
              <w:spacing w:after="0"/>
              <w:rPr>
                <w:sz w:val="20"/>
                <w:szCs w:val="20"/>
                <w:color w:val="auto"/>
              </w:rPr>
            </w:pPr>
            <w:r>
              <w:rPr>
                <w:rFonts w:ascii="Arial" w:cs="Arial" w:eastAsia="Arial" w:hAnsi="Arial"/>
                <w:sz w:val="18"/>
                <w:szCs w:val="18"/>
                <w:color w:val="auto"/>
                <w:w w:val="95"/>
              </w:rPr>
              <w:t>USATW</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2.20</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7,285,692</w:t>
            </w: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291,432</w:t>
            </w: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0"/>
              </w:rPr>
              <w:t>09/18/2016</w:t>
            </w:r>
          </w:p>
        </w:tc>
        <w:tc>
          <w:tcPr>
            <w:tcW w:w="120" w:type="dxa"/>
            <w:vAlign w:val="bottom"/>
          </w:tcPr>
          <w:p>
            <w:pPr>
              <w:spacing w:after="0"/>
              <w:rPr>
                <w:sz w:val="18"/>
                <w:szCs w:val="18"/>
                <w:color w:val="auto"/>
              </w:rPr>
            </w:pP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2.6058</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4,264,000</w:t>
            </w: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09/14/2013</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903,955</w:t>
            </w: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12/31/2011</w:t>
            </w:r>
          </w:p>
        </w:tc>
        <w:tc>
          <w:tcPr>
            <w:tcW w:w="120" w:type="dxa"/>
            <w:vAlign w:val="bottom"/>
          </w:tcPr>
          <w:p>
            <w:pPr>
              <w:spacing w:after="0"/>
              <w:rPr>
                <w:sz w:val="18"/>
                <w:szCs w:val="18"/>
                <w:color w:val="auto"/>
              </w:rPr>
            </w:pP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609,376</w:t>
            </w:r>
          </w:p>
        </w:tc>
      </w:tr>
      <w:tr>
        <w:trPr>
          <w:trHeight w:val="223"/>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10/17/2012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Not Listed</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17,532</w:t>
            </w:r>
          </w:p>
        </w:tc>
      </w:tr>
      <w:tr>
        <w:trPr>
          <w:trHeight w:val="216"/>
        </w:trPr>
        <w:tc>
          <w:tcPr>
            <w:tcW w:w="1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02"/>
        </w:trPr>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Total Warrants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Outstanding</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16,552,508</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The straight-lined rent expense for this office is approximately $29,000 per month for the duration of the lease.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Commitments (Continued)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2010, the Company entered into an amended lease of its operations site, also in Malvern, Pennsylvania, to extend the lease term from December 31, 2010 to December 31, 2011. Monthly lease payments are approximately $14,500.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9. Subsequent Events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14, 2011, the Board of Directors of the Company approved amendments to the employment agreements of each of George R. Jensen, Jr., Chief Executive Officer, Stephen P. Herbert, President and Chief Operating Officer, and David M. DeMedio, Chief Financial Officer. The amendments were signed by the parties and effective on April 14, 2011.</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amendments, the term of each of Messrs. Jensen’s and Herbert’s employment agreement was extended from September 30, 2012 until June 30, 2014, and the term of Mr. DeMedio’s employment agreement was extended from June 30, 2011 until June 30, 2014. Upon signing the amendments, and in recognition of each of their dedicated and valuable service to USAT and extending the term of their employment agreements, USAT issued 125,000 shares of USAT Common Stock to Mr. Jensen, 75,000 shares of USAT Common Stock to Mr. Herbert, and 25,000 shares of USAT Common Stock to Mr. DeMedio. The shares for each executive vest as follows: one-third upon signing the agreement; one-third on the one year anniversary thereof; and one-third on the two year anniversary thereof. The shares were issued pursuant to USAT’s 2010 Stock Incentive Plan.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certain forward-looking statements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 looking information is based on various factors and was derived using numerous assumptions. Important factors that could cause the Company’s actual results to differ materially from those projected, include, for example:</w:t>
      </w:r>
    </w:p>
    <w:p>
      <w:pPr>
        <w:spacing w:after="0" w:line="19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sell products at a profit;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obtain commercial acceptance of its products and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Company’s customers purchase or rent ePort devices or our other products in the future at levels currently anticipated by our Company, including under our Jump Start Program;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 Start Program or otherwise at levels currently anticipated by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liabilities;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 and the lack of established revenues;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 and</w:t>
      </w:r>
    </w:p>
    <w:p>
      <w:pPr>
        <w:spacing w:after="0" w:line="25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2011 compared to the three months ended March 31, 2010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quarter ended March 31, 2011 were $5,522,977 compared to $3,693,526 for the quarter ended March 31, 2010. This $1,829,451 or 50% increase was primarily due to an increase in license and transaction fees of $1,900,191, or 79%, from the prior period offset by a decrease in equipment sales of $70,740, or 6%, from the prior period. The increase in license and transaction fees was primarily due to the increase in the number of ePort</w:t>
      </w:r>
      <w:r>
        <w:rPr>
          <w:rFonts w:ascii="Arial" w:cs="Arial" w:eastAsia="Arial" w:hAnsi="Arial"/>
          <w:sz w:val="18"/>
          <w:szCs w:val="18"/>
          <w:i w:val="1"/>
          <w:iCs w:val="1"/>
          <w:color w:val="auto"/>
        </w:rPr>
        <w:t>®</w:t>
      </w:r>
      <w:r>
        <w:rPr>
          <w:rFonts w:ascii="Arial" w:cs="Arial" w:eastAsia="Arial" w:hAnsi="Arial"/>
          <w:sz w:val="18"/>
          <w:szCs w:val="18"/>
          <w:color w:val="auto"/>
        </w:rPr>
        <w:t xml:space="preserve"> units connected to our USALive</w:t>
      </w:r>
      <w:r>
        <w:rPr>
          <w:rFonts w:ascii="Arial" w:cs="Arial" w:eastAsia="Arial" w:hAnsi="Arial"/>
          <w:sz w:val="18"/>
          <w:szCs w:val="18"/>
          <w:i w:val="1"/>
          <w:iCs w:val="1"/>
          <w:color w:val="auto"/>
        </w:rPr>
        <w:t>®</w:t>
      </w:r>
      <w:r>
        <w:rPr>
          <w:rFonts w:ascii="Arial" w:cs="Arial" w:eastAsia="Arial" w:hAnsi="Arial"/>
          <w:sz w:val="18"/>
          <w:szCs w:val="18"/>
          <w:color w:val="auto"/>
        </w:rPr>
        <w:t xml:space="preserve"> network, and the associated fees generated by these connected units. License and transaction fee revenues consist of service fees and transaction processing fees. We anticipate that our license and transaction fee revenues will continue to increase as the number of connections to our network continues to increase.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2011, the Company had approximately 112,000 connections to our USALive® network (including approximately 12,000 third party devices that have been certified to be connected to our network, utilize the Company’s network protocol and/or software and have a contractual, non-exclusive license to the Company’s patents and other intellectual property) as compared to approximately 73,000 connections to our USALive network (including approximately 7,000 third party devices that have been certified to be connected to our network, utilize the Company’s network protocol and/or software and have a contractual, non-exclusive license to the Company’s patents and other intellectual property) as of March 31, 2010. 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March 31, 2011 quarter, the Company added approximately 3,000 connections to our network, compared to approximately 10,000 connections added during the March 31, 2010 quarter and approximately 21,000 connections added during the December 31, 2010 quarter. The decrease in the connections added during the March 2011 quarter was primarily attributable to three factors. First, in December 2009, the Company introduced the Jump Start Program which allowed operators to obtain our ePort device, via a rental agreement, without the requirement for an upfront capital outlay. The Jump Start Program was in place during the 2010 calendar year and was a significant component of the number of connections added during the March 31, 2010 and December 31, 2010 quarters. Jump Start units represented approximately 76% and 80% of connections added during the March 2010 and December 2010 quarters, respectively. The Jump Start Program ended on December 31, 2010 and was not available to our customers during the most recent quarter. As described below, we reintroduced the Jump Start Program to our customers in April 2011. In the absence of the Jump Start Program fewer connections were added during the March 2011 quarter. Second, due to increased customer orders as the Jump Start Program was coming to an end in December 2010, the Company added a record 21,000 connections during the quarter ended December 31, 2010. Customers that obtained units from the Jump Start Program in the December 2010 quarter were in the process of installing those units during the March 2011 quarter and, therefore, did not place additional ePort orders during the March 2011 quarter. We believe this further contributed to the decrease in connections added during the March 2011 quarter. Lastly, the Company experienced a component recall during the March 2011 quarter, which as of the date of this report has been resolved. The industry wide recall, which related to the wireless module we use in our ePort product, impacted our ePort inventory levels, and resulted in the Company being unable to completely fulfill orders received during the March 2011 quarter.</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quarter ended March 31, 2011, the Company processed approximately 19.3 million transactions totaling approximately $31.4 million of transaction processing volume compared to approximately 9.7 million transactions totaling approximately $17.2 million of transaction processing volume during the quarter ended March 31, 2010, an increase of approximately 95% in the number of transactions and approximately 75% in dollars processed. Pursuant to its agreements with its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our customer base increased with approximately 250 new ePort customers added to its USALive® network during the three months ended March 31, 2011 bringing the total number of such customers to nearly 1,700 as of March 31, 2011. Last year the Company added 125 new ePort customers in the three months ended March 31, 2010. By comparison, the Company had approximately 900 e-Port customers as of March 31, 2010, representing an 81% increase during the past twelve calendar months. We count a customer as a new ePort customer upon shipment of the ePort unit to the customer. When a reseller sells our ePort, we count a customer as a new ePort customer upon the signing of the applicable services agreement with the customer.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$70,740 decrease in equipment sales was a result of decreases of approximately $186,000 related to ePort</w:t>
      </w:r>
      <w:r>
        <w:rPr>
          <w:rFonts w:ascii="Arial" w:cs="Arial" w:eastAsia="Arial" w:hAnsi="Arial"/>
          <w:sz w:val="16"/>
          <w:szCs w:val="16"/>
          <w:i w:val="1"/>
          <w:iCs w:val="1"/>
          <w:color w:val="auto"/>
        </w:rPr>
        <w:t>®</w:t>
      </w:r>
      <w:r>
        <w:rPr>
          <w:rFonts w:ascii="Arial" w:cs="Arial" w:eastAsia="Arial" w:hAnsi="Arial"/>
          <w:sz w:val="16"/>
          <w:szCs w:val="16"/>
          <w:color w:val="auto"/>
        </w:rPr>
        <w:t xml:space="preserve"> products and fees and decreases in other equipment sales of approximately $45,000 which were offset by an increase in sales of Energy Miser products of approximately $160,000. The net decrease in ePort® related sales revenue of $186,000 versus a quarter a year ago is mostly attributable to decrease of approximately $192,000 in activation related fees on rental units offset by a slight increase in vending equipment sales. The decrease in activation fee revenue is due mainly to a significant portion of the ePort® units shipped during the quarter ended March 31, 2010 were part of the Jump Start Program, for which the Company records a one-time activation fee, but does not record an equipment (hardware) sale. Pursuant to the Jump Start Program, the Company is entitled to receive a one-time activation fee upon shipment of the device, a monthly service fee, generally commencing the month after shipment, and transaction processing fees due in connection with the cashless activity generated by the device. The Jump Start program ended in December 2010; and there was no Jump Start program active during the quarter ended March 31, 2011. During April 2011, the Company reintroduced the Jump Start Program to its customers, and anticipates that the number of connections added to its network during the June 30, 2011 quarter will increase from those added during the March 31, 2011 quarter.</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consisted of equipment costs of $782,244 and $738,431 and network and transaction services related costs of $3,187,601 and $1,659,500 for the quarters ended March 31, 2011 and 2010, respectively. The increase in total cost of sales of $1,571,914 over the prior fiscal quarter was due to an increase in network and transaction services costs of $1,528,101 and an increase of equipment costs of $43,813. The increase in equipment costs was a direct result of selling more units in the quarter ended March 31, 2011. The costs associated with the Jump Start units shipped were recorded to Property and Equipment on the Consolidated Balance Sheets. The increase in network and transaction services costs was directly related to increases in units connected to the network and increases in processing volume.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quarter ended March 31, 2011 was $1,553,132 compared to gross profit of $1,295,595 for the same quarter in the previous fiscal year, an increase of $257,537, of which $372,090 is attributable to license and transaction fees which is offset by a decrease of $114,553 which is attributable to equipment sales. The decrease in gross profit from equipment sales is predominately due to the decrease in activation fees on Jump Start connections versus the quarter a year ago. The increase in gross profit dollars from license and transaction fees was generated by additional devices connected to our network. Percentage based total gross profit (“GP”) decreased overall from 35% to 28%, equipment sales GP decreased from 42% to 35% due mainly to the decrease in activation fees of $192,000 on fewer connections added during in the March 2011 quarter when compared to the March 2010 quarter , and license and transaction fees GP decreased from 31% to 26% due mainly to the Company not billing service fees during the March 2011 quarter on certain Jump Start connections added during the December 2010 quarter, while incurring depreciation expense and other network costs on those Jump Start connections during the March 2011 quarter .</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from equipment sales for the March 2011 quarter was $427,230, or 35%, compared to the December 2010 quarter of $1,417,143, or 63%. The decrease in gross profit of $989,913 was predominately due to three factors: (1) approximately $600,000 was attributable to a decrease in activation fees as a result of fewer connections added during the March 2011 quarter compared to the December 2010 quarter; (2) approximately $192,000 was attributable to Visa support funding for the installation and making operational of Visa accepting ePorts during the quarter ended December 31, 2010, compared to $0 in the March 31, 2011 quarter; and (3) approximately $73,000 was attributable to the recognition of gross profit on a May 2008 agreement with a customer recognized in the quarter ended December 31, 2010.</w:t>
      </w:r>
    </w:p>
    <w:p>
      <w:pPr>
        <w:spacing w:after="0" w:line="2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Selling, general and administrative expense (SG&amp;A) of $2,860,273, decreased by $340,466 or 11%, from the same quarter a year ago, due to the Company’s expense reduction efforts. These reductions consisted of decreases in compensation expenses of approximately $151,000, consulting and other professional services of approximately $99,000, product development material costs of approximately $41,000 and other net decreases of approximately $49,000.</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expense decrease of approximately $151,000 was due to decreases of approximately $113,000 in salaries and commissions and approximately $73,000 in benefit costs. In addition, the quarter ended March 31, 2010 had an expense reduction of approximately $35,000 related to the LTIP for the 2010 fiscal year, the last year of the program, on account of the decrease in the price of the Company’s common stock at the end of that quarter and the decrease in that quarter of the number of shares expected to vest. There was no LTIP activity in the quarter ended March 31, 2011 due to the LTIP shares being issued in October 2010. The consulting and other professional services decrease of approximately $99,000 was primarily due to reductions in costs of information technology ($126,000), accounting ($35,000) and other services ($44,000) offset by an increase in legal expenses ($106,000).</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expenses for the March 2011 quarter increased $597,306, or 26%, from the December 2010 quarter’s SG&amp;A expense of $2,262,967. The following expense increases were incurred during the March 2011 quarter, and were the predominant reasons for the increase in SG&amp;A expenses during the quarter when compared to the December 2010 quarter: increases of approximately $243,000 in legal expenses as a result of issues arising under the Settlement Agreement dated February 4, 2010 between the Company and Shareholders Advocates for Value Enhancement; $118,000 of employee benefit related expenses; $106,000 in the employer’s portion of payroll taxes; $46,000 due to the write off of prepaid expenses related to the termination of the LPC Agreement in March 2011; and $30,000 in professional fees related to income tax return preparation.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 ended March 31, 2011 resulted in a net loss of $2, 514,268 (including approximately $1.6 million of non-cash charges) compared to a net loss of $2,310,138 (including approximately $0.4 million of non-cash charges) for the quarter ended March 31, 2010. For quarters ended March 31, 2011 and 2010, the loss per common share was $.11 and $.12, respectively. For the quarter ended December 31, 2010, the Company had a net loss of $133,131 (including approximately $608,000 of non-cash charges) and the loss per common share was $.01.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quarterly net loss to EBITDA for the quarters ended March 31, 2011, December 31, 2010 and March 31, 2010:</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10"/>
              <w:spacing w:after="0" w:line="198"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7"/>
                <w:szCs w:val="17"/>
                <w:color w:val="auto"/>
              </w:rPr>
            </w:pPr>
          </w:p>
        </w:tc>
        <w:tc>
          <w:tcPr>
            <w:tcW w:w="1320" w:type="dxa"/>
            <w:vAlign w:val="bottom"/>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(2,514,268)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(133,131)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1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(940,458)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456,335</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(1,847,973)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used herein, EBITDA represents net income (loss) before interest income, interest expense, income taxes, depreciation and amortization, and the change in fair value of warrant liabilities. We believe that EBITDA should exclude the change in fair value of warrant liabilities because it represents a non-cash charge that is not related to the Company’s operations. EBITDA is a non-GAAP financial measure is not required by or defined under GAAP (Generally Accepted Accounting Principles), nor is the presentation of this financial measure intended to be considered in isolation or as a substitute for the financial measures prepared and presented in accordance with GAAP, including the net income or net loss of the Company. Management recognizes that non-GAAP financial measures have limitations in that they do not reflect all of the items associated with the Company's net income or net loss as determined in accordance with GAAP, and is not a substitute for or measure of the Company's profitability or net earnings. EBITDA is presented because we believe it is useful to investors as a measure of comparative operating performance and liquidity, as it is less susceptible to variances in actual performance resulting from depreciation and amortization and due to non-cash charges for changes in fair value of warrant liabilities.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2011 compared to the nine months ended March 31, 2010</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nine month period ended March 31, 2011 were $15,980,159 compared to $11,292,000 for the same period in the prior fiscal year. This $4,688,159 or 42% increase was primarily due to an increase in license and transaction fees of $5,036,339, or 79%, from the prior period offset by a decrease in equipment sales of $348,180, or 7%, from the prior period. The increase in license and transaction fees was primarily due to the increase in the number of ePort</w:t>
      </w:r>
      <w:r>
        <w:rPr>
          <w:rFonts w:ascii="Arial" w:cs="Arial" w:eastAsia="Arial" w:hAnsi="Arial"/>
          <w:sz w:val="18"/>
          <w:szCs w:val="18"/>
          <w:i w:val="1"/>
          <w:iCs w:val="1"/>
          <w:color w:val="auto"/>
        </w:rPr>
        <w:t>®</w:t>
      </w:r>
      <w:r>
        <w:rPr>
          <w:rFonts w:ascii="Arial" w:cs="Arial" w:eastAsia="Arial" w:hAnsi="Arial"/>
          <w:sz w:val="18"/>
          <w:szCs w:val="18"/>
          <w:color w:val="auto"/>
        </w:rPr>
        <w:t xml:space="preserve"> units connected to our USALive</w:t>
      </w:r>
      <w:r>
        <w:rPr>
          <w:rFonts w:ascii="Arial" w:cs="Arial" w:eastAsia="Arial" w:hAnsi="Arial"/>
          <w:sz w:val="18"/>
          <w:szCs w:val="18"/>
          <w:i w:val="1"/>
          <w:iCs w:val="1"/>
          <w:color w:val="auto"/>
        </w:rPr>
        <w:t>®</w:t>
      </w:r>
      <w:r>
        <w:rPr>
          <w:rFonts w:ascii="Arial" w:cs="Arial" w:eastAsia="Arial" w:hAnsi="Arial"/>
          <w:sz w:val="18"/>
          <w:szCs w:val="18"/>
          <w:color w:val="auto"/>
        </w:rPr>
        <w:t xml:space="preserve"> network, and the associated fees generated by these connected units. License and transaction fee revenues consist of service fees and transaction processing fees. We anticipate that our license and transaction fee revenues will continue to increase as the number of connections to our network continues to increase.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2011, the Company had approximately 112,000 connections to our USALive® network (including approximately 12,000 third party devices that have been certified to be connected to our network, utilize the Company’s network protocol and/or software and have a contractual, non-exclusive license to the Company’s patents and other intellectual property) as compared to approximately 73,000 connections to our USALive network (including approximately 7,000 third party devices that have been certified to be connected to our network, utilize the Company’s network protocol and/or software and have a contractual, non-exclusive license to the Company’s patents and other intellectual property) as of March 31, 2010. During the nine month period ended March 31, 2011, the Company added approximately 30,000 connections to our network. 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March 31, 2011, the Company processed approximately 49.2 million transactions totaling approximately $82.2 million of transaction processing volume compared to approximately 25.2 million transactions totaling approximately $46.8 million of transaction processing volume during the nine months ended March 31, 2010, an increase of approximately 95% in the number of transactions and approximately 75% in dollars processed. Pursuant to its agreements with its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our customer base increased with approximately 600 new e-Port customers added to its USALive® network during the nine months ended March 31, 2011 bringing the total number of such customers to nearly 1,700 as of March 31, 2011. Last year, the Company added 375 new e-Port customers in the nine months ended March 31, 2010. By comparison, the Company had approximately 900 e-Port customers as of March 31, 2010, representing an 81% increase during the past twelve calendar months. We count a customer as a new ePort customer upon shipment of the ePort unit to the customer. When a reseller sells our ePort, we count a customer as a new ePort customer upon the signing of the applicable services agreement with the customer.</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$348,180 decrease in equipment sales was a result of an increase of approximately of $234,000 related to Energy Miser products, offset by a net decrease of approximately $505,000 in sales of ePort</w:t>
      </w:r>
      <w:r>
        <w:rPr>
          <w:rFonts w:ascii="Arial" w:cs="Arial" w:eastAsia="Arial" w:hAnsi="Arial"/>
          <w:sz w:val="17"/>
          <w:szCs w:val="17"/>
          <w:i w:val="1"/>
          <w:iCs w:val="1"/>
          <w:color w:val="auto"/>
        </w:rPr>
        <w:t>®</w:t>
      </w:r>
      <w:r>
        <w:rPr>
          <w:rFonts w:ascii="Arial" w:cs="Arial" w:eastAsia="Arial" w:hAnsi="Arial"/>
          <w:sz w:val="17"/>
          <w:szCs w:val="17"/>
          <w:color w:val="auto"/>
        </w:rPr>
        <w:t xml:space="preserve"> products and fees and a decrease of approximately of $77,000 in other equipment sales. The net decrease in ePort® related sales revenue of $505,000 is attributable to reduced hardware sales of approximately $1,100,000. The decrease in hardware sale revenue is due mainly to a significant portion of the ePort® units shipped during the nine months ended March 31, 2011 were part of the Jump Start Program, for which the Company records a one-time activation fee, but does not record an equipment (hardware) sale. The JumpStart Program began in December 2009, therefore most ePort® units shipped during the nine months ended March 31, 2010 were sold to our customers and an equipment (hardware) sale was recorded. The Jump Start Program ended on December 31, 2010. During April 2011, the Company reintroduced the Jump Start Program to its customers. Pursuant to the Jump Start Program, the Company is entitled to receive a one-time activation fee upon shipment of the device, a monthly service fee, generally commencing the month after shipment, and transactional processing fees due in connection with the cashless activity generated by the device. The decrease in hardware sales was offset by increases of (1) approximately $297,000 in activation related fees related to Jump Start Program units, (2) $225,000 of Visa support funding for installation and making operational Visa accepting ePorts, and (3) approximately $73,000 of revenue recognized under our May 2008 agreement with a customer.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Acceptance and Promotional Agreement with Visa USA, Inc. on August 16, 2010. Under the first program year of the agreement, the Company is entitled to receive up to $225,000 to be used to support the installation and making operational of up to 9,000 terminals, which accept the Visa brand, by no later than December 31, 2010. During the nine months ended March 31, 2011, the Company recorded $225,000 of revenue related to the support funding for installation and making operational of Visa accepting terminals. As required by the Visa agreement, the Company supported the installation and made operational at least 9,000 terminals by December 31, 2010.</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sales consisted of equipment costs of $2,274,825 and $3,128,666 and network and transaction services related costs of $8,308,612 and $4,828,222 for the nine months ended March 31, 2011 and 2010, respectively. The increase in total cost of sales of $2,626,549 over the same period in the prior fiscal year was due to a decrease in equipment costs of $853,841, offset by an increase in network and transaction services of $3,480,390. The decrease in equipment costs was a direct result of shipping more units under the Jump Start Program. The costs associated with the Jump Start units were recorded to Property and Equipment on the Consolidated Balance Sheets. The Jump Start Program started in December 2009. The increase in network and transaction services costs was directly related to increases in units connected to the network and increases in processing volume, offset by decreases in third party supplier costs due to an amendment to a contract which occurred in the quarter ended March 31, 2010.</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profit for the nine months ended March 31, 2011 was $5,396,722 compared to gross profit of $3,335,112 for the same period in the previous fiscal year, an increase of $2,061,610, of which $505,661 is attributable to equipment sales and $1,555,949 is attributable to license and transaction fees. The increase in gross profit from equipment sales is predominately due to the increase in activation fees on Jump Start connections as compared to the same nine month period a year ago as well as the Visa support funding recorded during the nine months ended March 31, 2011. The increase in gross profit dollars from license and transaction fees was generated by additional devices connected to our network and a decrease in third party supplier costs related to the contract amendment referred to above. GP increased overall from 30% to 34%, equipment sales GP increased from 36% to 50% due mainly to (1) approximately $297,000 increase in activation related fees related to Jump Start Program units added during the first six months of fiscal year 2011 compared to the Jump Start Program units added during the nine months ended March 31, 2010, (2) $225,000 of Visa support funding for installation and making operational Visa accepting ePorts during the nine months ended March 31, 2011 and $0 during the nine months ended March 31, 2010, and (3) approximately $73,000 of revenue recognized under our May 2008 agreement with a customer during the nine months ended March 31, 2011, and license and transaction fees GP increased from 24% to 27% due mainly to the decrease in third party supplier costs related to the contract amendment referred to above.</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of $8,036,539, decreased by $3,587,343 or 31%, from the nine month period a year ago, due to an approximate $2,008,000 decrease as a result of the Company’s expense reduction efforts and an approximate $1,579,000 decrease in proxy contest, litigation and settlement expenses incurred during the nine months ended March 31, 2010. The Company’s expense reduction of $2,008,000 consisted of decreases in consulting and other professional services of approximately $1,096,000, compensation expenses of approximately $440,000, product development material costs of approximately $177,000, advertising and marketing costs of approximately $86,000, travel and entertainment costs of approximately $79,000 and other net decreases of approximately $130,000.</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consulting and other professional services decrease of approximately $1,096,000 outside of proxy contest, litigation and settlement expenses in the prior period was primarily due to $458,000 of reductions in research and development services due to the completion of projects, as well as reductions in costs of information technology ($339,000), accounting ($114,000) and other services ($269,000) offset by an increase of approximately $84,000 in legal costs. The compensation expense net decrease of approximately $440,000 was due to net decreases of approximately $195,000 in charges related to the LTIP and other non-cash compensation expenses, approximately $137,000 in salaries and commissions, as well as a decrease of approximately $108,000 in benefit costs.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nine months ended March 31, 2011 resulted in a net loss of $4,534,012 (including approximately $2.8 million of non-cash charges) compared to a net loss of $9,481,694 (including approximately $1.5 million of non-cash charges) for the nine months ended March 31, 2010, an improvement of $4,947,682, or 52%. Net loss for the nine month period ended March 31, 2011 was the lowest net loss during the first nine months of any fiscal year since our shares became listed on The NASDAQ Stock Market in March 2007. For the nine month period ended March 31, 2011, the loss per common share was $.20 as compared to a loss per common share of $.47 for the prior corresponding nine month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loss to EBITDA for the nine months ended March 31, 2011 and March 31, 2010:</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(4,534,012)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(9,481,694)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1,073,275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775,800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850,740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(1,858,488)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(8,174,857)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used herein, EBITDA represents net income (loss) before interest income, interest expense, income taxes, depreciation and amortization, and the change in fair value of warrant liabilities. We believe that EBITDA should exclude the change in fair value of warrant liabilities because it represents a non-cash charge that is not related to the Company’s operations. EBITDA is a non-GAAP financial measure is not required by or defined under GAAP (Generally Accepted Accounting Principles), nor is the presentation of this financial measure intended to be considered in isolation or as a substitute for the financial measures prepared and presented in accordance with GAAP, including the net income or net loss of the Company. Management recognizes that non-GAAP financial measures have limitations in that they do not reflect all of the items associated with the Company's net income or net loss as determined in accordance with GAAP, and is not a substitute for or measure of the Company's profitability or net earnings. EBITDA is presented because we believe it is useful to investors</w:t>
      </w:r>
    </w:p>
    <w:p>
      <w:pPr>
        <w:sectPr>
          <w:pgSz w:w="11900" w:h="16838" w:orient="portrait"/>
          <w:cols w:equalWidth="0" w:num="1">
            <w:col w:w="11420"/>
          </w:cols>
          <w:pgMar w:left="240" w:top="121" w:right="239" w:bottom="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as a measure of comparative operating performance and liquidity, as it is less susceptible to variances in actual performance resulting from depreciation and amortization and due to non-cash charges for changes in fair value of warrant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2011, net cash of $3,627,934 was used by operating activities, primarily due to cash used related to changes in the Company’s operating assets and liabilities of $1,870,154 and the net loss of $4,534,012 offset by non-cash charges totaling $2,776,232, representing the issuance and change in fair value of common stock warrants, vesting and issuance of common stock for employee compensation, bad debt expense, loss on disposal of equipment and the depreciation and amortization of assets.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$1,870,154 change in the Company’s operating assets and liabilities, was primarily the result of $3,779,877 of inventory used in the Jump Start Program during the first six months of the fiscal year and an increase in inventory unrelated to inventory used in the Jump Start Program and a decrease in accrued expenses, offset by decreases in accounts receivable and prepaid expenses and other assets, and an increase in accounts payable.</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March 31, 2011, the Company used $240,811 in investing activities related to the purchase of network equipment and had $9,556,298 of net cash provided by financing activities mainly due to proceeds of stock issuances less repayment of long-term debt.</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incurred losses since inception. Our accumulated deficit through March 31, 2011 is composed of cumulative losses amounting to approximately $192,000,000, preferred dividends converted to common stock of approximately $2,700,000, and charges incurred for the open-market purchases of preferred stock of approximately $150,000. The Company has historically raised capital through equity offerings in order to fund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2011, the Company received net cash proceeds of $9,894,095 from the issuance of restricted common stock and common stock warrants (See Note 6 to the Consolidated Financial Statements) to accredited, institutional investors. Due largely to this cash infusion, as of March 31, 2011 the Company had $13,291,877 of cash and cash equivalents on hand, of which approximately $700,000 was cash received by the Company for transaction processing services which is payable to customers. As stated above, and as a condition of this securities offering, the Company terminated the LPC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from the offering will be used primarily to support the continuation of the Company’s Jump Start program which was reintroduced to our customers in April 2011.</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remainder of the 2011 fiscal year, the Company anticipates incurring capital expenditures of approximately $500,000 in connection with units expected to be used in the Jump Start Program and additional capital expenditures of approximately $250,000 for property and equipment.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average monthly cash-based SG&amp;A expenses during the nine months ended March 31, 2011 were approximately $884,000. Based on our financial forecasts and related assumptions, including continued increases in sales or rentals of our ePort® units, the Company believes its existing cash and cash equivalents as of March 31, 2011, should provide sufficient funds to meet the Company’s cash requirements, including capital expenditures and repayment of long-term debt, through at least July 1, 2012.</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 in cash equivalents is not significant. Market risks related to fluctuations of foreign currencies are not significant and the Company has no derivative instruments.</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March 31, 2011.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March 31, 2011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February 1, 2011 an additional $332,226 of dividends were accrued on our cumulative Series A Convertible Preferred Stock. The total accrued and unpaid dividends on our Series A Convertible Preferred Stock as of March 31, 2011 are $10,267,420. The dividend accrual dates for our Preferred Stock are February 1 and August 1. The annual cumulative dividend on our Preferred Stock is $1.50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color w:val="auto"/>
        </w:rPr>
        <w:t>First Amendment to Employment and Non-Competition Agreement between the Company and George R. Jensen dated April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10.2</w:t>
      </w:r>
      <w:r>
        <w:rPr>
          <w:sz w:val="20"/>
          <w:szCs w:val="20"/>
          <w:color w:val="auto"/>
        </w:rPr>
        <w:tab/>
      </w:r>
      <w:r>
        <w:rPr>
          <w:rFonts w:ascii="Arial" w:cs="Arial" w:eastAsia="Arial" w:hAnsi="Arial"/>
          <w:sz w:val="16"/>
          <w:szCs w:val="16"/>
          <w:color w:val="auto"/>
        </w:rPr>
        <w:t>First Amendment to Employment and Non-Competition Agreement between the Company and Stephen P. Herbert dated April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10.3</w:t>
      </w:r>
      <w:r>
        <w:rPr>
          <w:sz w:val="20"/>
          <w:szCs w:val="20"/>
          <w:color w:val="auto"/>
        </w:rPr>
        <w:tab/>
      </w:r>
      <w:r>
        <w:rPr>
          <w:rFonts w:ascii="Arial" w:cs="Arial" w:eastAsia="Arial" w:hAnsi="Arial"/>
          <w:sz w:val="16"/>
          <w:szCs w:val="16"/>
          <w:color w:val="auto"/>
        </w:rPr>
        <w:t>Fourth Amendment to Employment and Non-Competition Agreement between the Company and David M. DeMedio dated April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color w:val="auto"/>
        </w:rPr>
        <w:t>Certification of the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6"/>
          <w:szCs w:val="16"/>
          <w:color w:val="auto"/>
        </w:rPr>
        <w:t>Certification of the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6"/>
          <w:szCs w:val="16"/>
          <w:color w:val="auto"/>
        </w:rPr>
        <w:t>Certification of the Chief Executive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32.2</w:t>
      </w:r>
      <w:r>
        <w:rPr>
          <w:sz w:val="20"/>
          <w:szCs w:val="20"/>
          <w:color w:val="auto"/>
        </w:rPr>
        <w:tab/>
      </w:r>
      <w:r>
        <w:rPr>
          <w:rFonts w:ascii="Arial" w:cs="Arial" w:eastAsia="Arial" w:hAnsi="Arial"/>
          <w:sz w:val="17"/>
          <w:szCs w:val="17"/>
          <w:color w:val="auto"/>
        </w:rPr>
        <w:t>Certification of the Chief Financial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USA TECHNOLOGIES, INC.</w:t>
            </w:r>
          </w:p>
        </w:tc>
      </w:tr>
      <w:tr>
        <w:trPr>
          <w:trHeight w:val="392"/>
        </w:trPr>
        <w:tc>
          <w:tcPr>
            <w:tcW w:w="3540" w:type="dxa"/>
            <w:vAlign w:val="bottom"/>
          </w:tcPr>
          <w:p>
            <w:pPr>
              <w:spacing w:after="0"/>
              <w:rPr>
                <w:sz w:val="20"/>
                <w:szCs w:val="20"/>
                <w:color w:val="auto"/>
              </w:rPr>
            </w:pPr>
            <w:r>
              <w:rPr>
                <w:rFonts w:ascii="Arial" w:cs="Arial" w:eastAsia="Arial" w:hAnsi="Arial"/>
                <w:sz w:val="18"/>
                <w:szCs w:val="18"/>
                <w:color w:val="auto"/>
              </w:rPr>
              <w:t>Date: May 10, 2011</w:t>
            </w:r>
          </w:p>
        </w:tc>
        <w:tc>
          <w:tcPr>
            <w:tcW w:w="218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 George R. Jensen, Jr.</w:t>
            </w:r>
          </w:p>
        </w:tc>
        <w:tc>
          <w:tcPr>
            <w:tcW w:w="3980" w:type="dxa"/>
            <w:vAlign w:val="bottom"/>
          </w:tcPr>
          <w:p>
            <w:pPr>
              <w:spacing w:after="0"/>
              <w:rPr>
                <w:sz w:val="24"/>
                <w:szCs w:val="24"/>
                <w:color w:val="auto"/>
              </w:rPr>
            </w:pPr>
          </w:p>
        </w:tc>
      </w:tr>
      <w:tr>
        <w:trPr>
          <w:trHeight w:val="222"/>
        </w:trPr>
        <w:tc>
          <w:tcPr>
            <w:tcW w:w="3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George R. Jensen, Jr., Chairman and</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92"/>
        </w:trPr>
        <w:tc>
          <w:tcPr>
            <w:tcW w:w="3540" w:type="dxa"/>
            <w:vAlign w:val="bottom"/>
          </w:tcPr>
          <w:p>
            <w:pPr>
              <w:spacing w:after="0"/>
              <w:rPr>
                <w:sz w:val="20"/>
                <w:szCs w:val="20"/>
                <w:color w:val="auto"/>
              </w:rPr>
            </w:pPr>
            <w:r>
              <w:rPr>
                <w:rFonts w:ascii="Arial" w:cs="Arial" w:eastAsia="Arial" w:hAnsi="Arial"/>
                <w:sz w:val="18"/>
                <w:szCs w:val="18"/>
                <w:color w:val="auto"/>
              </w:rPr>
              <w:t>Date: May 10, 2011</w:t>
            </w:r>
          </w:p>
        </w:tc>
        <w:tc>
          <w:tcPr>
            <w:tcW w:w="218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David M. DeMedio</w:t>
            </w:r>
          </w:p>
        </w:tc>
        <w:tc>
          <w:tcPr>
            <w:tcW w:w="4080" w:type="dxa"/>
            <w:vAlign w:val="bottom"/>
            <w:gridSpan w:val="2"/>
          </w:tcPr>
          <w:p>
            <w:pPr>
              <w:spacing w:after="0"/>
              <w:rPr>
                <w:sz w:val="24"/>
                <w:szCs w:val="24"/>
                <w:color w:val="auto"/>
              </w:rPr>
            </w:pPr>
          </w:p>
        </w:tc>
      </w:tr>
      <w:tr>
        <w:trPr>
          <w:trHeight w:val="222"/>
        </w:trPr>
        <w:tc>
          <w:tcPr>
            <w:tcW w:w="3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David M. DeMedio,</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650"/>
        </w:trPr>
        <w:tc>
          <w:tcPr>
            <w:tcW w:w="3540" w:type="dxa"/>
            <w:vAlign w:val="bottom"/>
          </w:tcPr>
          <w:p>
            <w:pPr>
              <w:spacing w:after="0"/>
              <w:rPr>
                <w:sz w:val="24"/>
                <w:szCs w:val="24"/>
                <w:color w:val="auto"/>
              </w:rPr>
            </w:pPr>
          </w:p>
        </w:tc>
        <w:tc>
          <w:tcPr>
            <w:tcW w:w="3820" w:type="dxa"/>
            <w:vAlign w:val="bottom"/>
            <w:gridSpan w:val="2"/>
          </w:tcPr>
          <w:p>
            <w:pPr>
              <w:jc w:val="right"/>
              <w:ind w:right="143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03"/>
        </w:trPr>
        <w:tc>
          <w:tcPr>
            <w:tcW w:w="354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First Amendment is made on the 14th day of April 2011, by and between GEORGE R. JENSEN, JR. ("Jensen"), and USA TECHNOLOGIES, INC., a Pennsylvania corporation ("USA").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USA and Jensen entered into an Amended and Restated Employment and Non-Competition Agreement dated September 29, 2009 (the "Employment Agreement"). As more fully set forth herein, the parties desire to amend the Employment Agreement in certain respects.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set forth herein, and intending to be legally bound hereby, the parties agree as follows:</w:t>
      </w:r>
    </w:p>
    <w:p>
      <w:pPr>
        <w:spacing w:after="0" w:line="252" w:lineRule="exact"/>
        <w:rPr>
          <w:sz w:val="20"/>
          <w:szCs w:val="20"/>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right="20" w:firstLine="1297"/>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A. Subsection A. of </w:t>
      </w:r>
      <w:r>
        <w:rPr>
          <w:rFonts w:ascii="Arial" w:cs="Arial" w:eastAsia="Arial" w:hAnsi="Arial"/>
          <w:sz w:val="18"/>
          <w:szCs w:val="18"/>
          <w:b w:val="1"/>
          <w:bCs w:val="1"/>
          <w:color w:val="auto"/>
        </w:rPr>
        <w:t>SECTION 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xml:space="preserve"> of the Employment Agreement is hereby deleted and the following new Subsection A. substituted in its place:</w:t>
      </w:r>
    </w:p>
    <w:p>
      <w:pPr>
        <w:spacing w:after="0" w:line="193" w:lineRule="exact"/>
        <w:rPr>
          <w:sz w:val="20"/>
          <w:szCs w:val="20"/>
          <w:color w:val="auto"/>
        </w:rPr>
      </w:pPr>
    </w:p>
    <w:p>
      <w:pPr>
        <w:jc w:val="both"/>
        <w:ind w:firstLine="656"/>
        <w:spacing w:after="0" w:line="279" w:lineRule="auto"/>
        <w:tabs>
          <w:tab w:leader="none" w:pos="1361" w:val="left"/>
        </w:tabs>
        <w:numPr>
          <w:ilvl w:val="1"/>
          <w:numId w:val="15"/>
        </w:numPr>
        <w:rPr>
          <w:rFonts w:ascii="Arial" w:cs="Arial" w:eastAsia="Arial" w:hAnsi="Arial"/>
          <w:sz w:val="17"/>
          <w:szCs w:val="17"/>
          <w:color w:val="auto"/>
        </w:rPr>
      </w:pPr>
      <w:r>
        <w:rPr>
          <w:rFonts w:ascii="Arial" w:cs="Arial" w:eastAsia="Arial" w:hAnsi="Arial"/>
          <w:sz w:val="17"/>
          <w:szCs w:val="17"/>
          <w:color w:val="auto"/>
        </w:rPr>
        <w:t>USA shall employ Jensen as Chairman and Chief Executive Officer commencing on the date hereof and continuing through June 30, 2014 (the "Employment Period"), and Jensen hereby accepts such employment. Unless terminated by either party hereto upon at least 90-days notice prior to the end of the original Employment Period ending June 30, 2014, or prior to the end of any one year extension of the Employment Period, the Employment Period shall not be terminated and shall automatically continue in full force and effect for consecutive one year periods.</w:t>
      </w:r>
    </w:p>
    <w:p>
      <w:pPr>
        <w:spacing w:after="0" w:line="194" w:lineRule="exact"/>
        <w:rPr>
          <w:rFonts w:ascii="Arial" w:cs="Arial" w:eastAsia="Arial" w:hAnsi="Arial"/>
          <w:sz w:val="17"/>
          <w:szCs w:val="17"/>
          <w:color w:val="auto"/>
        </w:rPr>
      </w:pPr>
    </w:p>
    <w:p>
      <w:pPr>
        <w:ind w:firstLine="1305"/>
        <w:spacing w:after="0" w:line="282" w:lineRule="auto"/>
        <w:tabs>
          <w:tab w:leader="none" w:pos="2041"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Subsection E. of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E. substituted in its place:</w:t>
      </w:r>
    </w:p>
    <w:p>
      <w:pPr>
        <w:spacing w:after="0" w:line="192" w:lineRule="exact"/>
        <w:rPr>
          <w:rFonts w:ascii="Arial" w:cs="Arial" w:eastAsia="Arial" w:hAnsi="Arial"/>
          <w:sz w:val="18"/>
          <w:szCs w:val="18"/>
          <w:color w:val="auto"/>
        </w:rPr>
      </w:pPr>
    </w:p>
    <w:p>
      <w:pPr>
        <w:jc w:val="both"/>
        <w:ind w:firstLine="8"/>
        <w:spacing w:after="0" w:line="279" w:lineRule="auto"/>
        <w:tabs>
          <w:tab w:leader="none" w:pos="8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the date of the execution and delivery by each of USA and Jensen of this First Amendment, USA shall issue to Jensen 125,000 shares of Common Stock in recognition of Jensen’s dedicated and valuable service to USA and extending the term of his Employment Agreement. These shares shall be vested 1/3 upon signing, 1/3 after one year and 1/3 after two years. The shares shall be issued pursuant to USA’s 2010 Stock Incentive Plan and shall be registered under the Securities Act of 1933, as amended, pursuant to a Form S-8 Registration Statement.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Jensen acknowledges that the issuance of the shares will represent taxable income to him and that he (and not USA) shall be responsible for the payment of any and all income or other taxes (including any withholding tax obligations of USA) attributable to the issuance of the shares. Not later than the business day following the date on which the shares are included in the taxable income of Jensen, Jensen shall satisfy USA’s withholding tax obligations in connection with such shares by either (a) the delivery by Jensen to USA of a cash payment equal to the amount of the withholding tax obligations, or (b) the assignment and transfer by Jensen to USA of that number of shares of Common Stock (which may consist of the vested shares issued hereunder as a bonus to Jensen or any other shares of Common Stock owned by Jensen) having a value equal to the withholding tax obligations required to be withheld by law, or (c) such other payment method that shall be satisfactory to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7" w:name="page28"/>
    <w:bookmarkEnd w:id="27"/>
    <w:p>
      <w:pPr>
        <w:ind w:left="1360" w:hanging="704"/>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SECTION 5.</w:t>
      </w:r>
      <w:r>
        <w:rPr>
          <w:rFonts w:ascii="Arial" w:cs="Arial" w:eastAsia="Arial" w:hAnsi="Arial"/>
          <w:sz w:val="16"/>
          <w:szCs w:val="16"/>
          <w:b w:val="1"/>
          <w:bCs w:val="1"/>
          <w:u w:val="single" w:color="auto"/>
          <w:color w:val="auto"/>
        </w:rPr>
        <w:t xml:space="preserve">Termination </w:t>
      </w:r>
      <w:r>
        <w:rPr>
          <w:rFonts w:ascii="Arial" w:cs="Arial" w:eastAsia="Arial" w:hAnsi="Arial"/>
          <w:sz w:val="16"/>
          <w:szCs w:val="16"/>
          <w:color w:val="auto"/>
        </w:rPr>
        <w:t>of the Employment Agreement is hereby deleted and the following new Section 5 substituted in its place:</w:t>
      </w:r>
    </w:p>
    <w:p>
      <w:pPr>
        <w:spacing w:after="0" w:line="252" w:lineRule="exact"/>
        <w:rPr>
          <w:sz w:val="20"/>
          <w:szCs w:val="20"/>
          <w:color w:val="auto"/>
        </w:rPr>
      </w:pPr>
    </w:p>
    <w:p>
      <w:pPr>
        <w:spacing w:after="0"/>
        <w:tabs>
          <w:tab w:leader="none" w:pos="1420" w:val="left"/>
          <w:tab w:leader="none" w:pos="27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b w:val="1"/>
          <w:bCs w:val="1"/>
          <w:u w:val="single" w:color="auto"/>
          <w:color w:val="auto"/>
        </w:rPr>
        <w:t>Termination.</w:t>
      </w:r>
      <w:r>
        <w:rPr>
          <w:sz w:val="20"/>
          <w:szCs w:val="20"/>
          <w:color w:val="auto"/>
        </w:rPr>
        <w:tab/>
      </w:r>
      <w:r>
        <w:rPr>
          <w:rFonts w:ascii="Arial" w:cs="Arial" w:eastAsia="Arial" w:hAnsi="Arial"/>
          <w:sz w:val="16"/>
          <w:szCs w:val="16"/>
          <w:color w:val="auto"/>
        </w:rPr>
        <w:t>In addition to the notice of non-renewal of the Employment Period referred to in Section 1.A hereof and as provided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13.B, Jensen’s employment with USA may be terminated as follows:</w:t>
      </w:r>
    </w:p>
    <w:p>
      <w:pPr>
        <w:spacing w:after="0" w:line="234" w:lineRule="exact"/>
        <w:rPr>
          <w:sz w:val="20"/>
          <w:szCs w:val="20"/>
          <w:color w:val="auto"/>
        </w:rPr>
      </w:pPr>
    </w:p>
    <w:p>
      <w:pPr>
        <w:jc w:val="both"/>
        <w:ind w:firstLine="1305"/>
        <w:spacing w:after="0" w:line="292" w:lineRule="auto"/>
        <w:tabs>
          <w:tab w:leader="none" w:pos="2228"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Voluntary Termination Without Good Reason</w:t>
      </w:r>
      <w:r>
        <w:rPr>
          <w:rFonts w:ascii="Arial" w:cs="Arial" w:eastAsia="Arial" w:hAnsi="Arial"/>
          <w:sz w:val="16"/>
          <w:szCs w:val="16"/>
          <w:color w:val="auto"/>
        </w:rPr>
        <w:t>. Jensen may voluntarily terminate Jensen’s employment hereunder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Good Reason (as defined below) at any time during the Employment Period effective as of the end of the 90-day period beginning on the date Jensen provides USA with a signed, written notice of Jensen’s termination; provided, in its sole discretion (i) USA may accept such resignation effective as of an earlier date in lieu of waiting for passage of the 90-day notice period, or (ii) during all or any part of the 90-day notice period, USA may retain Jensen as an employee but modify, reduce or eliminate Jensen’s duties hereunder. If Jensen voluntarily terminates Jensen’s employment hereunder without Good Reason, USA will pay to Jensen only (i) Jensen’s annual base salary earned through the date of termination, (ii) all bonuses earned and vested on or before the date of termination, and (iii) any benefits or compensation provided under the terms of any benefit plan or other provisions of this Agreement.</w:t>
      </w:r>
    </w:p>
    <w:p>
      <w:pPr>
        <w:spacing w:after="0" w:line="188" w:lineRule="exact"/>
        <w:rPr>
          <w:rFonts w:ascii="Arial" w:cs="Arial" w:eastAsia="Arial" w:hAnsi="Arial"/>
          <w:sz w:val="16"/>
          <w:szCs w:val="16"/>
          <w:color w:val="auto"/>
        </w:rPr>
      </w:pPr>
    </w:p>
    <w:p>
      <w:pPr>
        <w:ind w:left="2000" w:hanging="695"/>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Voluntary Termination With Good Reason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953"/>
        <w:spacing w:after="0" w:line="257" w:lineRule="auto"/>
        <w:tabs>
          <w:tab w:leader="none" w:pos="27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Jensen may voluntarily terminate Jensen’s employment hereunder with Good Reason (as defined below) at any time during the Employment Period, effective as of the end of the 90-day period beginning on the date Jensen provides USA with a signed, written notice of Jensen’s termination; provided, in its sole discretion (A) USA may accept such resignation effective as of an earlier date in lieu of waiting for passage of the 90-day notice period, or (B) during all or any part of the 90-day notice period, USA may retain Jensen as an employee but modify, reduce or eliminate Jensen’s duties hereunder.</w:t>
      </w:r>
    </w:p>
    <w:p>
      <w:pPr>
        <w:spacing w:after="0" w:line="188" w:lineRule="exact"/>
        <w:rPr>
          <w:rFonts w:ascii="Arial" w:cs="Arial" w:eastAsia="Arial" w:hAnsi="Arial"/>
          <w:sz w:val="18"/>
          <w:szCs w:val="18"/>
          <w:color w:val="auto"/>
        </w:rPr>
      </w:pPr>
    </w:p>
    <w:p>
      <w:pPr>
        <w:ind w:firstLine="1953"/>
        <w:spacing w:after="0" w:line="277" w:lineRule="auto"/>
        <w:tabs>
          <w:tab w:leader="none" w:pos="27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Jensen voluntarily terminates Jensen’s employment hereunder with Good Reason at any time during the Employment Period, Jensen will be entitled to receive the following compensation and benefits:</w:t>
      </w:r>
    </w:p>
    <w:p>
      <w:pPr>
        <w:spacing w:after="0" w:line="197" w:lineRule="exact"/>
        <w:rPr>
          <w:rFonts w:ascii="Arial" w:cs="Arial" w:eastAsia="Arial" w:hAnsi="Arial"/>
          <w:sz w:val="18"/>
          <w:szCs w:val="18"/>
          <w:color w:val="auto"/>
        </w:rPr>
      </w:pPr>
    </w:p>
    <w:p>
      <w:pPr>
        <w:ind w:right="20" w:firstLine="2601"/>
        <w:spacing w:after="0" w:line="277" w:lineRule="auto"/>
        <w:tabs>
          <w:tab w:leader="none" w:pos="2846" w:val="left"/>
        </w:tabs>
        <w:numPr>
          <w:ilvl w:val="2"/>
          <w:numId w:val="18"/>
        </w:numPr>
        <w:rPr>
          <w:rFonts w:ascii="Arial" w:cs="Arial" w:eastAsia="Arial" w:hAnsi="Arial"/>
          <w:sz w:val="18"/>
          <w:szCs w:val="18"/>
          <w:color w:val="auto"/>
        </w:rPr>
      </w:pPr>
      <w:r>
        <w:rPr>
          <w:rFonts w:ascii="Arial" w:cs="Arial" w:eastAsia="Arial" w:hAnsi="Arial"/>
          <w:sz w:val="18"/>
          <w:szCs w:val="18"/>
          <w:color w:val="auto"/>
        </w:rPr>
        <w:t>On or before the termination of Jensen’s employment, USA shall pay to Jensen a lump sum equal to two years of his base salary at the time of the termination date;</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firstLine="2601"/>
        <w:spacing w:after="0" w:line="277" w:lineRule="auto"/>
        <w:tabs>
          <w:tab w:leader="none" w:pos="2854" w:val="left"/>
        </w:tabs>
        <w:numPr>
          <w:ilvl w:val="2"/>
          <w:numId w:val="18"/>
        </w:numPr>
        <w:rPr>
          <w:rFonts w:ascii="Arial" w:cs="Arial" w:eastAsia="Arial" w:hAnsi="Arial"/>
          <w:sz w:val="18"/>
          <w:szCs w:val="18"/>
          <w:color w:val="auto"/>
        </w:rPr>
      </w:pPr>
      <w:r>
        <w:rPr>
          <w:rFonts w:ascii="Arial" w:cs="Arial" w:eastAsia="Arial" w:hAnsi="Arial"/>
          <w:sz w:val="18"/>
          <w:szCs w:val="18"/>
          <w:color w:val="auto"/>
        </w:rPr>
        <w:t>all restricted stock awards and stock options shall become immediately vested on the date of termination; provided, however, that the foregoing shall not apply to the Jensen Stock issuable to Jensen pursuant to Section 3 hereof;</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any benefits or compensation provided under the terms of any benefit plan or other provisions of this Agreement; and</w:t>
      </w:r>
    </w:p>
    <w:p>
      <w:pPr>
        <w:spacing w:after="0" w:line="275" w:lineRule="exact"/>
        <w:rPr>
          <w:rFonts w:ascii="Arial" w:cs="Arial" w:eastAsia="Arial" w:hAnsi="Arial"/>
          <w:sz w:val="16"/>
          <w:szCs w:val="16"/>
          <w:color w:val="auto"/>
        </w:rPr>
      </w:pPr>
    </w:p>
    <w:p>
      <w:pPr>
        <w:jc w:val="both"/>
        <w:ind w:firstLine="2601"/>
        <w:spacing w:after="0" w:line="257" w:lineRule="auto"/>
        <w:tabs>
          <w:tab w:leader="none" w:pos="2909" w:val="left"/>
        </w:tabs>
        <w:numPr>
          <w:ilvl w:val="2"/>
          <w:numId w:val="18"/>
        </w:numPr>
        <w:rPr>
          <w:rFonts w:ascii="Arial" w:cs="Arial" w:eastAsia="Arial" w:hAnsi="Arial"/>
          <w:sz w:val="18"/>
          <w:szCs w:val="18"/>
          <w:color w:val="auto"/>
        </w:rPr>
      </w:pPr>
      <w:r>
        <w:rPr>
          <w:rFonts w:ascii="Arial" w:cs="Arial" w:eastAsia="Arial" w:hAnsi="Arial"/>
          <w:sz w:val="18"/>
          <w:szCs w:val="18"/>
          <w:color w:val="auto"/>
        </w:rPr>
        <w:t>During the two year period following the date of termination, USA shall arrange at its cost to provide Jensen with health, life and disability benefits substantially similar to those which Jensen is receiving immediately prior to the date of termination. Benefits otherwise receivable by Jensen pursuant to this subsection shall be reduced to the extent comparable benefits are actually received by or made available to Jensen without cost during such period following Jensen’s termination of employment (and any such benefits actually received by Jensen shall be reported to USA by Jensen).</w:t>
      </w:r>
    </w:p>
    <w:p>
      <w:pPr>
        <w:spacing w:after="0" w:line="215" w:lineRule="exact"/>
        <w:rPr>
          <w:rFonts w:ascii="Arial" w:cs="Arial" w:eastAsia="Arial" w:hAnsi="Arial"/>
          <w:sz w:val="18"/>
          <w:szCs w:val="18"/>
          <w:color w:val="auto"/>
        </w:rPr>
      </w:pPr>
    </w:p>
    <w:p>
      <w:pPr>
        <w:jc w:val="both"/>
        <w:ind w:firstLine="1953"/>
        <w:spacing w:after="0" w:line="270" w:lineRule="auto"/>
        <w:tabs>
          <w:tab w:leader="none" w:pos="2809" w:val="left"/>
        </w:tabs>
        <w:numPr>
          <w:ilvl w:val="1"/>
          <w:numId w:val="18"/>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conditions, which remains uncured after the expiration of 30 days following the delivery of written notice of such condition to USA by Jensen, with respect to which Jensen terminates employment within 120 days after the initial existence of the condition: (A) a material breach of the terms of this Agreement by USA; (B) the assignment by USA to Jensen of duties in any way materially inconsistent with Jensen’s authorities, duties, responsibilities, and status, as Chief Executive Officer of USA, or a material reduction or alteration in the nature or status of Jensen’s authority, duties, or responsibilities; provided, however, that a material reduction or alteration referred to in this subsection (B) shall not include any change or reduction in Jensen’s authorities, duties or responsibilities resulting solely from USA becoming a private company or a subsidiary or division of another company; (C) USA reduces Jensen’s annual base salary; (D) any reduction by USA in the kind or level of employee benefits to which Jensen is entitled immediately prior to such reduction with the result that Jensen’s overall benefit package is significantly reduced unless such failure to continue a plan, policy, practice or arrangement pertains to all plan participants generally; or (E) requiring Jensen to be based at a location in excess of 50 miles from Jensen’s current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ind w:firstLine="1953"/>
        <w:spacing w:after="0" w:line="264" w:lineRule="auto"/>
        <w:tabs>
          <w:tab w:leader="none" w:pos="29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a condition to Jensen receiving or continuing to receive any of the payments or benefits provided under this subsection B, Jensen shall have executed and delivered to USA (and not revoked) a release of any and all claims, suits, or causes of action against USA and its affiliates in form reasonably acceptable to USA.</w:t>
      </w:r>
    </w:p>
    <w:p>
      <w:pPr>
        <w:spacing w:after="0" w:line="204" w:lineRule="exact"/>
        <w:rPr>
          <w:rFonts w:ascii="Arial" w:cs="Arial" w:eastAsia="Arial" w:hAnsi="Arial"/>
          <w:sz w:val="18"/>
          <w:szCs w:val="18"/>
          <w:color w:val="auto"/>
        </w:rPr>
      </w:pPr>
    </w:p>
    <w:p>
      <w:pPr>
        <w:ind w:left="2000" w:hanging="695"/>
        <w:spacing w:after="0"/>
        <w:tabs>
          <w:tab w:leader="none" w:pos="20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Termination Without Cause</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953"/>
        <w:spacing w:after="0" w:line="312" w:lineRule="auto"/>
        <w:tabs>
          <w:tab w:leader="none" w:pos="2175" w:val="left"/>
        </w:tabs>
        <w:numPr>
          <w:ilvl w:val="1"/>
          <w:numId w:val="20"/>
        </w:numPr>
        <w:rPr>
          <w:rFonts w:ascii="Arial" w:cs="Arial" w:eastAsia="Arial" w:hAnsi="Arial"/>
          <w:sz w:val="16"/>
          <w:szCs w:val="16"/>
          <w:color w:val="auto"/>
        </w:rPr>
      </w:pPr>
      <w:r>
        <w:rPr>
          <w:rFonts w:ascii="Arial" w:cs="Arial" w:eastAsia="Arial" w:hAnsi="Arial"/>
          <w:sz w:val="16"/>
          <w:szCs w:val="16"/>
          <w:color w:val="auto"/>
        </w:rPr>
        <w:t>USA, in its sole discretion, may terminate Jensen’s employment hereunder without Cause (as defined below), at any time by giving Jensen at least 30 days’ (and not more than 90 days’) prior written notice of USA’s intent to terminate Jensen’s employment as of a specified date; provided, during all or any part of the remaining Employment Period, USA, in its sole discretion, may modify, reduce or eliminate Jensen’s duties hereunder.</w:t>
      </w:r>
    </w:p>
    <w:p>
      <w:pPr>
        <w:spacing w:after="0" w:line="173" w:lineRule="exact"/>
        <w:rPr>
          <w:rFonts w:ascii="Arial" w:cs="Arial" w:eastAsia="Arial" w:hAnsi="Arial"/>
          <w:sz w:val="16"/>
          <w:szCs w:val="16"/>
          <w:color w:val="auto"/>
        </w:rPr>
      </w:pPr>
    </w:p>
    <w:p>
      <w:pPr>
        <w:ind w:firstLine="1953"/>
        <w:spacing w:after="0" w:line="277" w:lineRule="auto"/>
        <w:tabs>
          <w:tab w:leader="none" w:pos="22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USA terminates Jensen’s employment hereunder without Cause at any time during the Employment Period, Jensen will be entitled to receive the following compensation and benefits:</w:t>
      </w:r>
    </w:p>
    <w:p>
      <w:pPr>
        <w:spacing w:after="0" w:line="197" w:lineRule="exact"/>
        <w:rPr>
          <w:rFonts w:ascii="Arial" w:cs="Arial" w:eastAsia="Arial" w:hAnsi="Arial"/>
          <w:sz w:val="18"/>
          <w:szCs w:val="18"/>
          <w:color w:val="auto"/>
        </w:rPr>
      </w:pPr>
    </w:p>
    <w:p>
      <w:pPr>
        <w:ind w:right="20" w:firstLine="2601"/>
        <w:spacing w:after="0" w:line="277" w:lineRule="auto"/>
        <w:tabs>
          <w:tab w:leader="none" w:pos="2846" w:val="left"/>
        </w:tabs>
        <w:numPr>
          <w:ilvl w:val="2"/>
          <w:numId w:val="20"/>
        </w:numPr>
        <w:rPr>
          <w:rFonts w:ascii="Arial" w:cs="Arial" w:eastAsia="Arial" w:hAnsi="Arial"/>
          <w:sz w:val="18"/>
          <w:szCs w:val="18"/>
          <w:color w:val="auto"/>
        </w:rPr>
      </w:pPr>
      <w:r>
        <w:rPr>
          <w:rFonts w:ascii="Arial" w:cs="Arial" w:eastAsia="Arial" w:hAnsi="Arial"/>
          <w:sz w:val="18"/>
          <w:szCs w:val="18"/>
          <w:color w:val="auto"/>
        </w:rPr>
        <w:t>On or before the termination of Jensen’s employment, USA shall pay to Jensen a lump sum equal to two years of his base salary at the time of the termination date;</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firstLine="2601"/>
        <w:spacing w:after="0" w:line="277" w:lineRule="auto"/>
        <w:tabs>
          <w:tab w:leader="none" w:pos="2857"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restricted stock awards or stock options shall become immediately vested on the date of termination; provided, however, that the foregoing shall not apply to the Jensen Stock issuable to Jensen pursuant to Section 3 hereof;</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other benefit or compensation provided under the terms of any benefit plan or other provisions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37" w:lineRule="exact"/>
        <w:rPr>
          <w:rFonts w:ascii="Arial" w:cs="Arial" w:eastAsia="Arial" w:hAnsi="Arial"/>
          <w:sz w:val="16"/>
          <w:szCs w:val="16"/>
          <w:color w:val="auto"/>
        </w:rPr>
      </w:pPr>
    </w:p>
    <w:p>
      <w:pPr>
        <w:jc w:val="both"/>
        <w:ind w:firstLine="2601"/>
        <w:spacing w:after="0" w:line="257" w:lineRule="auto"/>
        <w:tabs>
          <w:tab w:leader="none" w:pos="2854" w:val="left"/>
        </w:tabs>
        <w:numPr>
          <w:ilvl w:val="2"/>
          <w:numId w:val="20"/>
        </w:numPr>
        <w:rPr>
          <w:rFonts w:ascii="Arial" w:cs="Arial" w:eastAsia="Arial" w:hAnsi="Arial"/>
          <w:sz w:val="18"/>
          <w:szCs w:val="18"/>
          <w:color w:val="auto"/>
        </w:rPr>
      </w:pPr>
      <w:r>
        <w:rPr>
          <w:rFonts w:ascii="Arial" w:cs="Arial" w:eastAsia="Arial" w:hAnsi="Arial"/>
          <w:sz w:val="18"/>
          <w:szCs w:val="18"/>
          <w:color w:val="auto"/>
        </w:rPr>
        <w:t>During the two year period following the date of termination, USA shall arrange at its cost to provide Jensen with health, life and disability benefits substantially similar to those which Jensen is receiving immediately prior to the date of termination. Benefits otherwise receivable by Jensen pursuant to this subsection shall be reduced to the extent comparable benefits are actually received by or made available to Jensen without cost during such period following Jensen’s termination of employment (and any such benefits actually received by Jensen shall be reported to USA by Jensen).</w:t>
      </w:r>
    </w:p>
    <w:p>
      <w:pPr>
        <w:spacing w:after="0" w:line="211" w:lineRule="exact"/>
        <w:rPr>
          <w:rFonts w:ascii="Arial" w:cs="Arial" w:eastAsia="Arial" w:hAnsi="Arial"/>
          <w:sz w:val="18"/>
          <w:szCs w:val="18"/>
          <w:color w:val="auto"/>
        </w:rPr>
      </w:pPr>
    </w:p>
    <w:p>
      <w:pPr>
        <w:ind w:left="1980" w:hanging="675"/>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Termination With Cause</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firstLine="1953"/>
        <w:spacing w:after="0" w:line="277" w:lineRule="auto"/>
        <w:tabs>
          <w:tab w:leader="none" w:pos="27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USA may immediately terminate Jensen’s employment hereunder for Cause (as defined below) at any time during the Employment Period upon delivery of written notice to Jensen.</w:t>
      </w:r>
    </w:p>
    <w:p>
      <w:pPr>
        <w:spacing w:after="0" w:line="197" w:lineRule="exact"/>
        <w:rPr>
          <w:rFonts w:ascii="Arial" w:cs="Arial" w:eastAsia="Arial" w:hAnsi="Arial"/>
          <w:sz w:val="18"/>
          <w:szCs w:val="18"/>
          <w:color w:val="auto"/>
        </w:rPr>
      </w:pPr>
    </w:p>
    <w:p>
      <w:pPr>
        <w:ind w:right="20" w:firstLine="1953"/>
        <w:spacing w:after="0" w:line="277" w:lineRule="auto"/>
        <w:tabs>
          <w:tab w:leader="none" w:pos="27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USA terminates Jensen’s employment hereunder with Cause at any time during the Employment Period, Jensen will only be entitled to receive the following compensation and benefits:</w:t>
      </w:r>
    </w:p>
    <w:p>
      <w:pPr>
        <w:spacing w:after="0" w:line="197" w:lineRule="exact"/>
        <w:rPr>
          <w:rFonts w:ascii="Arial" w:cs="Arial" w:eastAsia="Arial" w:hAnsi="Arial"/>
          <w:sz w:val="18"/>
          <w:szCs w:val="18"/>
          <w:color w:val="auto"/>
        </w:rPr>
      </w:pPr>
    </w:p>
    <w:p>
      <w:pPr>
        <w:ind w:left="2880" w:hanging="279"/>
        <w:spacing w:after="0"/>
        <w:tabs>
          <w:tab w:leader="none" w:pos="2880" w:val="left"/>
        </w:tabs>
        <w:numPr>
          <w:ilvl w:val="2"/>
          <w:numId w:val="20"/>
        </w:numPr>
        <w:rPr>
          <w:rFonts w:ascii="Arial" w:cs="Arial" w:eastAsia="Arial" w:hAnsi="Arial"/>
          <w:sz w:val="17"/>
          <w:szCs w:val="17"/>
          <w:color w:val="auto"/>
        </w:rPr>
      </w:pPr>
      <w:r>
        <w:rPr>
          <w:rFonts w:ascii="Arial" w:cs="Arial" w:eastAsia="Arial" w:hAnsi="Arial"/>
          <w:sz w:val="17"/>
          <w:szCs w:val="17"/>
          <w:color w:val="auto"/>
        </w:rPr>
        <w:t>On or before the termination of Jensen’s employment, USA shall pay Jensen his base salary through the date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termination;</w:t>
      </w:r>
    </w:p>
    <w:p>
      <w:pPr>
        <w:spacing w:after="0" w:line="237" w:lineRule="exact"/>
        <w:rPr>
          <w:rFonts w:ascii="Arial" w:cs="Arial" w:eastAsia="Arial" w:hAnsi="Arial"/>
          <w:sz w:val="17"/>
          <w:szCs w:val="17"/>
          <w:color w:val="auto"/>
        </w:rPr>
      </w:pPr>
    </w:p>
    <w:p>
      <w:pPr>
        <w:ind w:left="2860" w:hanging="259"/>
        <w:spacing w:after="0"/>
        <w:tabs>
          <w:tab w:leader="none" w:pos="28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left="2840" w:hanging="239"/>
        <w:spacing w:after="0"/>
        <w:tabs>
          <w:tab w:leader="none" w:pos="28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other benefit or compensation provided under the terms of any benefit plan or other provisions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37" w:lineRule="exact"/>
        <w:rPr>
          <w:rFonts w:ascii="Arial" w:cs="Arial" w:eastAsia="Arial" w:hAnsi="Arial"/>
          <w:sz w:val="16"/>
          <w:szCs w:val="16"/>
          <w:color w:val="auto"/>
        </w:rPr>
      </w:pPr>
    </w:p>
    <w:p>
      <w:pPr>
        <w:jc w:val="both"/>
        <w:ind w:firstLine="2601"/>
        <w:spacing w:after="0" w:line="257" w:lineRule="auto"/>
        <w:tabs>
          <w:tab w:leader="none" w:pos="2861" w:val="left"/>
        </w:tabs>
        <w:numPr>
          <w:ilvl w:val="2"/>
          <w:numId w:val="20"/>
        </w:numPr>
        <w:rPr>
          <w:rFonts w:ascii="Arial" w:cs="Arial" w:eastAsia="Arial" w:hAnsi="Arial"/>
          <w:sz w:val="18"/>
          <w:szCs w:val="18"/>
          <w:color w:val="auto"/>
        </w:rPr>
      </w:pPr>
      <w:r>
        <w:rPr>
          <w:rFonts w:ascii="Arial" w:cs="Arial" w:eastAsia="Arial" w:hAnsi="Arial"/>
          <w:sz w:val="18"/>
          <w:szCs w:val="18"/>
          <w:color w:val="auto"/>
        </w:rPr>
        <w:t>During the ninety (90) day period following the date of termination, USA shall arrange at its cost to provide Jensen with health, life and disability benefits substantially similar to those which Jensen is receiving immediately prior to the date of termination. Benefits otherwise receivable by Jensen pursuant to this subsection shall be reduced to the extent comparable benefits are actually received by or made available to Jensen without cost during such period following Jensen’s termination of employment (and any such benefits actually received by Jensen shall be reported to USA by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firstLine="8"/>
        <w:spacing w:after="0" w:line="273" w:lineRule="auto"/>
        <w:tabs>
          <w:tab w:leader="none" w:pos="341"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purposes of this Agreement, “Cause” means any of the following have occurred or exist as determined by the USA Board of Directors (or its designee): (A) Jensen’s fraud, gross malfeasance, or willful misconduct, with respect to USA’s business; (B) any material breach by Jensen of this Agreement, which breach is not cured (if curable) by Jensen within thirty (30) days after written notice of such breach is delivered to Jensen by USA; (C) any willful violation by Jensen of any law, rule or regulation, which violation results or could reasonably be expected to result, in material harm to the business or reputation of USA; (D) conviction of or the entry of a guilty plea or plea of no contest to any felony or to any other crime involving moral turpitude; or (E) any intentional misapplication by Jensen of USA’s funds, or any material act of dishonesty committed by Jensen.</w:t>
      </w:r>
    </w:p>
    <w:p>
      <w:pPr>
        <w:spacing w:after="0" w:line="201" w:lineRule="exact"/>
        <w:rPr>
          <w:rFonts w:ascii="Arial" w:cs="Arial" w:eastAsia="Arial" w:hAnsi="Arial"/>
          <w:sz w:val="17"/>
          <w:szCs w:val="17"/>
          <w:color w:val="auto"/>
        </w:rPr>
      </w:pPr>
    </w:p>
    <w:p>
      <w:pPr>
        <w:ind w:left="2040" w:hanging="735"/>
        <w:spacing w:after="0"/>
        <w:tabs>
          <w:tab w:leader="none" w:pos="204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Termination Due to Death or Disability</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953"/>
        <w:spacing w:after="0" w:line="279" w:lineRule="auto"/>
        <w:tabs>
          <w:tab w:leader="none" w:pos="2165" w:val="left"/>
        </w:tabs>
        <w:numPr>
          <w:ilvl w:val="3"/>
          <w:numId w:val="21"/>
        </w:numPr>
        <w:rPr>
          <w:rFonts w:ascii="Arial" w:cs="Arial" w:eastAsia="Arial" w:hAnsi="Arial"/>
          <w:sz w:val="17"/>
          <w:szCs w:val="17"/>
          <w:color w:val="auto"/>
        </w:rPr>
      </w:pPr>
      <w:r>
        <w:rPr>
          <w:rFonts w:ascii="Arial" w:cs="Arial" w:eastAsia="Arial" w:hAnsi="Arial"/>
          <w:sz w:val="17"/>
          <w:szCs w:val="17"/>
          <w:color w:val="auto"/>
        </w:rPr>
        <w:t>Jensen’s employment with USA will end upon Jensen’s death. Upon Jensen’s death, his designated beneficiary shall be entitled to receive the proceeds of the life insurance policy paid for by USA that is referred to in Section 2.F, and USA will pay to Jensen’s personal representative only (A) Jensen’s annual base salary earned through the date of death, (B) all bonuses earned and vested on or before the date of death, and (C) any benefit or compensation provided under the terms of any benefit plan or other provisions of this Agreement.</w:t>
      </w:r>
    </w:p>
    <w:p>
      <w:pPr>
        <w:spacing w:after="0" w:line="198" w:lineRule="exact"/>
        <w:rPr>
          <w:rFonts w:ascii="Arial" w:cs="Arial" w:eastAsia="Arial" w:hAnsi="Arial"/>
          <w:sz w:val="17"/>
          <w:szCs w:val="17"/>
          <w:color w:val="auto"/>
        </w:rPr>
      </w:pPr>
    </w:p>
    <w:p>
      <w:pPr>
        <w:jc w:val="both"/>
        <w:ind w:firstLine="1953"/>
        <w:spacing w:after="0" w:line="293" w:lineRule="auto"/>
        <w:tabs>
          <w:tab w:leader="none" w:pos="2225" w:val="left"/>
        </w:tabs>
        <w:numPr>
          <w:ilvl w:val="3"/>
          <w:numId w:val="21"/>
        </w:numPr>
        <w:rPr>
          <w:rFonts w:ascii="Arial" w:cs="Arial" w:eastAsia="Arial" w:hAnsi="Arial"/>
          <w:sz w:val="16"/>
          <w:szCs w:val="16"/>
          <w:color w:val="auto"/>
        </w:rPr>
      </w:pPr>
      <w:r>
        <w:rPr>
          <w:rFonts w:ascii="Arial" w:cs="Arial" w:eastAsia="Arial" w:hAnsi="Arial"/>
          <w:sz w:val="16"/>
          <w:szCs w:val="16"/>
          <w:color w:val="auto"/>
        </w:rPr>
        <w:t>If Jensen becomes disabled during the Employment Period, USA may terminate Jensen’s employment under this Agreement upon giving Jensen or Jensen’s legal representative written notice at least 30 days before the termination date. For purposes of this Agreement, and subject to any applicable waiting period, “disabled” means if Jensen is deemed disabled for purposes of the supplemental long-term disability policy obtained and paid for by USA which is referred to Section 2.G. If Jensen’s employment hereunder is terminated due to Jensen’s disability, USA will pay to Jensen or his personal representative only (A) Jensen’s annual base salary earned through the date of termination, (B) all bonuses earned and vested on or before the date of termination, and (C) any benefit or compensation provided under the terms of any benefit plan or other provisions of this Agreement.</w:t>
      </w:r>
    </w:p>
    <w:p>
      <w:pPr>
        <w:spacing w:after="0" w:line="191" w:lineRule="exact"/>
        <w:rPr>
          <w:rFonts w:ascii="Arial" w:cs="Arial" w:eastAsia="Arial" w:hAnsi="Arial"/>
          <w:sz w:val="16"/>
          <w:szCs w:val="16"/>
          <w:color w:val="auto"/>
        </w:rPr>
      </w:pPr>
    </w:p>
    <w:p>
      <w:pPr>
        <w:ind w:firstLine="1305"/>
        <w:spacing w:after="0" w:line="342" w:lineRule="auto"/>
        <w:tabs>
          <w:tab w:leader="none" w:pos="2024" w:val="left"/>
        </w:tabs>
        <w:numPr>
          <w:ilvl w:val="2"/>
          <w:numId w:val="21"/>
        </w:numPr>
        <w:rPr>
          <w:rFonts w:ascii="Arial" w:cs="Arial" w:eastAsia="Arial" w:hAnsi="Arial"/>
          <w:sz w:val="16"/>
          <w:szCs w:val="16"/>
          <w:color w:val="auto"/>
        </w:rPr>
      </w:pPr>
      <w:r>
        <w:rPr>
          <w:rFonts w:ascii="Arial" w:cs="Arial" w:eastAsia="Arial" w:hAnsi="Arial"/>
          <w:sz w:val="16"/>
          <w:szCs w:val="16"/>
          <w:color w:val="auto"/>
        </w:rPr>
        <w:t>In addition to any other terms or conditions that survive the termination of Jensen’s employment with USA, all of the terms and conditions of Section 6, 7 and 8 shall survive the termination of Jensen’s employment with USA for any reason whatsoever, including under this Section 5.</w:t>
      </w:r>
    </w:p>
    <w:p>
      <w:pPr>
        <w:spacing w:after="0" w:line="150" w:lineRule="exact"/>
        <w:rPr>
          <w:rFonts w:ascii="Arial" w:cs="Arial" w:eastAsia="Arial" w:hAnsi="Arial"/>
          <w:sz w:val="16"/>
          <w:szCs w:val="16"/>
          <w:color w:val="auto"/>
        </w:rPr>
      </w:pPr>
    </w:p>
    <w:p>
      <w:pPr>
        <w:jc w:val="both"/>
        <w:ind w:firstLine="1305"/>
        <w:spacing w:after="0" w:line="264" w:lineRule="auto"/>
        <w:tabs>
          <w:tab w:leader="none" w:pos="1996"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Except as specifically provided otherwise herein, Jensen shall not be required to mitigate the amount of any payment provided for in this Section 5 by seeking other employment or otherwise, nor shall the amount of such payment be reduced by reason of compensation or other income Jensen receives for services rendered after Jensen’s termination of employment with USA.</w:t>
      </w:r>
    </w:p>
    <w:p>
      <w:pPr>
        <w:spacing w:after="0" w:line="208" w:lineRule="exact"/>
        <w:rPr>
          <w:rFonts w:ascii="Arial" w:cs="Arial" w:eastAsia="Arial" w:hAnsi="Arial"/>
          <w:sz w:val="18"/>
          <w:szCs w:val="18"/>
          <w:color w:val="auto"/>
        </w:rPr>
      </w:pPr>
    </w:p>
    <w:p>
      <w:pPr>
        <w:ind w:right="20" w:firstLine="1305"/>
        <w:spacing w:after="0" w:line="342" w:lineRule="auto"/>
        <w:tabs>
          <w:tab w:leader="none" w:pos="2048" w:val="left"/>
        </w:tabs>
        <w:numPr>
          <w:ilvl w:val="2"/>
          <w:numId w:val="21"/>
        </w:numPr>
        <w:rPr>
          <w:rFonts w:ascii="Arial" w:cs="Arial" w:eastAsia="Arial" w:hAnsi="Arial"/>
          <w:sz w:val="16"/>
          <w:szCs w:val="16"/>
          <w:color w:val="auto"/>
        </w:rPr>
      </w:pPr>
      <w:r>
        <w:rPr>
          <w:rFonts w:ascii="Arial" w:cs="Arial" w:eastAsia="Arial" w:hAnsi="Arial"/>
          <w:sz w:val="16"/>
          <w:szCs w:val="16"/>
          <w:color w:val="auto"/>
        </w:rPr>
        <w:t>In the event Jensen is terminated for any reason whatsoever other than for Cause, USA, at its expense, shall provide one year of professional outplacement services which are customary for an executive of Jensen’s stature through and at the facilities of an outplacement firm.</w:t>
      </w:r>
    </w:p>
    <w:p>
      <w:pPr>
        <w:spacing w:after="0" w:line="150" w:lineRule="exact"/>
        <w:rPr>
          <w:rFonts w:ascii="Arial" w:cs="Arial" w:eastAsia="Arial" w:hAnsi="Arial"/>
          <w:sz w:val="16"/>
          <w:szCs w:val="16"/>
          <w:color w:val="auto"/>
        </w:rPr>
      </w:pPr>
    </w:p>
    <w:p>
      <w:pPr>
        <w:ind w:firstLine="656"/>
        <w:spacing w:after="0" w:line="277" w:lineRule="auto"/>
        <w:tabs>
          <w:tab w:leader="none" w:pos="135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Employment Agreement shall not be amended or modified in any respect whatsoever and shall continue in full force and effect.</w:t>
      </w:r>
    </w:p>
    <w:p>
      <w:pPr>
        <w:spacing w:after="0" w:line="197" w:lineRule="exact"/>
        <w:rPr>
          <w:rFonts w:ascii="Arial" w:cs="Arial" w:eastAsia="Arial" w:hAnsi="Arial"/>
          <w:sz w:val="18"/>
          <w:szCs w:val="18"/>
          <w:color w:val="auto"/>
        </w:rPr>
      </w:pPr>
    </w:p>
    <w:p>
      <w:pPr>
        <w:ind w:left="1440" w:hanging="784"/>
        <w:spacing w:after="0"/>
        <w:tabs>
          <w:tab w:leader="none" w:pos="144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Effective Time</w:t>
      </w:r>
      <w:r>
        <w:rPr>
          <w:rFonts w:ascii="Arial" w:cs="Arial" w:eastAsia="Arial" w:hAnsi="Arial"/>
          <w:sz w:val="16"/>
          <w:szCs w:val="16"/>
          <w:color w:val="auto"/>
        </w:rPr>
        <w:t>. The amendments to the Employment Agreement made in Paragraph 1 hereof shall be effective from and after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IN WITNESS WHEREOF, the parties hereto have executed this First Amendment on the day and year first above written.</w:t>
      </w:r>
    </w:p>
    <w:p>
      <w:pPr>
        <w:sectPr>
          <w:pgSz w:w="11900" w:h="16838" w:orient="portrait"/>
          <w:cols w:equalWidth="0" w:num="1">
            <w:col w:w="10219"/>
          </w:cols>
          <w:pgMar w:left="240" w:top="517" w:right="1440" w:bottom="1440" w:gutter="0" w:footer="0" w:header="0"/>
        </w:sectPr>
      </w:pP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/s/ George R. Jensen, Jr.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GEORGE R. JENSEN, JR.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USA TECHNOLOGIES, INC.</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Stephen P. Herbert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Stephen P. Herbert,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First Amendment is made on the 14th day of April 2011, by and between STEPHEN P. HERBERT ("Herbert"), and USA TECHNOLOGIES, INC., a Pennsylvania corporation ("USA").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USA and Herbert entered into an Amended and Restated Employment and Non-Competition Agreement dated September 29, 2009 (the "Employment Agreement"). As more fully set forth herein, the parties desire to amend the Employment Agreement in certain respects.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set forth herein, and intending to be legally bound hereby, the parties agree as follows:</w:t>
      </w:r>
    </w:p>
    <w:p>
      <w:pPr>
        <w:spacing w:after="0" w:line="252"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right="20" w:firstLine="1297"/>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A. Subsection A. of </w:t>
      </w:r>
      <w:r>
        <w:rPr>
          <w:rFonts w:ascii="Arial" w:cs="Arial" w:eastAsia="Arial" w:hAnsi="Arial"/>
          <w:sz w:val="18"/>
          <w:szCs w:val="18"/>
          <w:b w:val="1"/>
          <w:bCs w:val="1"/>
          <w:color w:val="auto"/>
        </w:rPr>
        <w:t>SECTION 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xml:space="preserve"> of the Employment Agreement is hereby deleted and the following new Subsection A. substituted in its place:</w:t>
      </w:r>
    </w:p>
    <w:p>
      <w:pPr>
        <w:spacing w:after="0" w:line="192" w:lineRule="exact"/>
        <w:rPr>
          <w:rFonts w:ascii="Arial" w:cs="Arial" w:eastAsia="Arial" w:hAnsi="Arial"/>
          <w:sz w:val="18"/>
          <w:szCs w:val="18"/>
          <w:color w:val="auto"/>
        </w:rPr>
      </w:pPr>
    </w:p>
    <w:p>
      <w:pPr>
        <w:jc w:val="both"/>
        <w:ind w:firstLine="648"/>
        <w:spacing w:after="0" w:line="279" w:lineRule="auto"/>
        <w:rPr>
          <w:rFonts w:ascii="Arial" w:cs="Arial" w:eastAsia="Arial" w:hAnsi="Arial"/>
          <w:sz w:val="18"/>
          <w:szCs w:val="18"/>
          <w:color w:val="auto"/>
        </w:rPr>
      </w:pPr>
      <w:r>
        <w:rPr>
          <w:rFonts w:ascii="Arial" w:cs="Arial" w:eastAsia="Arial" w:hAnsi="Arial"/>
          <w:sz w:val="17"/>
          <w:szCs w:val="17"/>
          <w:color w:val="auto"/>
        </w:rPr>
        <w:t>A. USA shall employ Herbert as President and Chief Operating Officer commencing on the date hereof and continuing through June 30, 2014 (the "Employment Period"), and Herbert hereby accepts such employment. Unless terminated by either party hereto upon at least 90-days notice prior to the end of the original Employment Period ending June 30, 2014, or prior to the end of any one year extension of the Employment Period, the Employment Period shall not be terminated and shall automatically continue in full force and effect for consecutive one year periods.</w:t>
      </w:r>
    </w:p>
    <w:p>
      <w:pPr>
        <w:spacing w:after="0" w:line="194" w:lineRule="exact"/>
        <w:rPr>
          <w:sz w:val="20"/>
          <w:szCs w:val="20"/>
          <w:color w:val="auto"/>
        </w:rPr>
      </w:pPr>
    </w:p>
    <w:p>
      <w:pPr>
        <w:ind w:right="20" w:firstLine="1305"/>
        <w:spacing w:after="0" w:line="282" w:lineRule="auto"/>
        <w:tabs>
          <w:tab w:leader="none" w:pos="20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Subsection D. of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D. substituted in its place:</w:t>
      </w:r>
    </w:p>
    <w:p>
      <w:pPr>
        <w:spacing w:after="0" w:line="192" w:lineRule="exact"/>
        <w:rPr>
          <w:rFonts w:ascii="Arial" w:cs="Arial" w:eastAsia="Arial" w:hAnsi="Arial"/>
          <w:sz w:val="18"/>
          <w:szCs w:val="18"/>
          <w:color w:val="auto"/>
        </w:rPr>
      </w:pPr>
    </w:p>
    <w:p>
      <w:pPr>
        <w:jc w:val="both"/>
        <w:ind w:firstLine="8"/>
        <w:spacing w:after="0" w:line="279" w:lineRule="auto"/>
        <w:tabs>
          <w:tab w:leader="none" w:pos="8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the date of the execution and delivery by each of USA and Herbert of this First Amendment, USA shall issue to Herbert 75,000 shares of Common Stock in recognition of Herbert’s dedicated and valuable service to USA and extending the term of his Employment Agreement. These shares shall be vested 1/3 on signing, 1/3 after one year and 1/3 after two years. The shares shall be issued pursuant to USA’s 2010 Stock Incentive Plan and shall be registered under the Securities Act of 1933, as amended, pursuant to a Form S-8 Registration Statement.</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Herbert acknowledges that the issuance of the shares will represent taxable income to him and that he (and not USA) shall be responsible for the payment of any and all income or other taxes (including any withholding tax obligations of USA) attributable to the issuance of the shares. Not later than the business day following the date on which the shares are included in the taxable income of Herbert, Herbert shall satisfy USA’s withholding tax obligations in connection with such shares by either (a) the delivery by Herbert to USA of a cash payment equal to the amount of the withholding tax obligations, or (b) the assignment and transfer by Herbert to USA of that number of shares of Common Stock (which may consist of the vested shares issued hereunder as a bonus to Herbert or any other shares of Common Stock owned by Herbert) having a value equal to the withholding tax obligations required to be withheld by law, or (c) such other payment method that shall be satisfactory to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2" w:name="page33"/>
    <w:bookmarkEnd w:id="32"/>
    <w:p>
      <w:pPr>
        <w:ind w:left="1320" w:hanging="664"/>
        <w:spacing w:after="0"/>
        <w:tabs>
          <w:tab w:leader="none" w:pos="13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Employment Agreement is hereby deleted and the following new Section 4 substituted in its place:</w:t>
      </w:r>
    </w:p>
    <w:p>
      <w:pPr>
        <w:spacing w:after="0" w:line="264" w:lineRule="exact"/>
        <w:rPr>
          <w:sz w:val="20"/>
          <w:szCs w:val="20"/>
          <w:color w:val="auto"/>
        </w:rPr>
      </w:pPr>
    </w:p>
    <w:p>
      <w:pPr>
        <w:spacing w:after="0"/>
        <w:tabs>
          <w:tab w:leader="none" w:pos="1360" w:val="left"/>
          <w:tab w:leader="none" w:pos="26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u w:val="single" w:color="auto"/>
          <w:color w:val="auto"/>
        </w:rPr>
        <w:t>Termination.</w:t>
      </w:r>
      <w:r>
        <w:rPr>
          <w:sz w:val="20"/>
          <w:szCs w:val="20"/>
          <w:color w:val="auto"/>
        </w:rPr>
        <w:tab/>
      </w:r>
      <w:r>
        <w:rPr>
          <w:rFonts w:ascii="Arial" w:cs="Arial" w:eastAsia="Arial" w:hAnsi="Arial"/>
          <w:sz w:val="16"/>
          <w:szCs w:val="16"/>
          <w:color w:val="auto"/>
        </w:rPr>
        <w:t>In addition to the notice of non-renewal of the Employment Period referred to in Section 1.A hereof and as provided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12.B, Herbert’s employment with USA may be terminated as follows:</w:t>
      </w:r>
    </w:p>
    <w:p>
      <w:pPr>
        <w:spacing w:after="0" w:line="234" w:lineRule="exact"/>
        <w:rPr>
          <w:sz w:val="20"/>
          <w:szCs w:val="20"/>
          <w:color w:val="auto"/>
        </w:rPr>
      </w:pPr>
    </w:p>
    <w:p>
      <w:pPr>
        <w:jc w:val="both"/>
        <w:ind w:firstLine="1305"/>
        <w:spacing w:after="0" w:line="292" w:lineRule="auto"/>
        <w:tabs>
          <w:tab w:leader="none" w:pos="212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Voluntary Termination Without Good Reason</w:t>
      </w:r>
      <w:r>
        <w:rPr>
          <w:rFonts w:ascii="Arial" w:cs="Arial" w:eastAsia="Arial" w:hAnsi="Arial"/>
          <w:sz w:val="16"/>
          <w:szCs w:val="16"/>
          <w:color w:val="auto"/>
        </w:rPr>
        <w:t>. Herbert may voluntarily terminate Herbert’s employment hereunder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Good Reason (as defined below) at any time during the Employment Period effective as of the end of the 90-day period beginning on the date Herbert provides USA with a signed, written notice of Herbert’s termination; provided, in its sole discretion (i) USA may accept such resignation effective as of an earlier date in lieu of waiting for passage of the 90-day notice period, or (ii) during all or any part of the 90-day notice period, USA may retain Herbert as an employee but modify, reduce or eliminate Herbert’s duties hereunder. If Herbert voluntarily terminates Herbert’s employment hereunder without Good Reason, USA will pay to Herbert only (i) Herbert’s annual base salary earned through the date of termination, (ii) all bonuses earned and vested on or before the date of termination, and (iii) any benefits or compensation provided under the terms of any benefit plan or other provisions of this Agreement.</w:t>
      </w:r>
    </w:p>
    <w:p>
      <w:pPr>
        <w:spacing w:after="0" w:line="188" w:lineRule="exact"/>
        <w:rPr>
          <w:rFonts w:ascii="Arial" w:cs="Arial" w:eastAsia="Arial" w:hAnsi="Arial"/>
          <w:sz w:val="16"/>
          <w:szCs w:val="16"/>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Voluntary Termination With Good Reason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953"/>
        <w:spacing w:after="0" w:line="257" w:lineRule="auto"/>
        <w:tabs>
          <w:tab w:leader="none" w:pos="27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Herbert may voluntarily terminate Herbert’s employment hereunder with Good Reason (as defined below) at any time during the Employment Period, effective as of the end of the 90-day period beginning on the date Herbert provides USA with a signed, written notice of Herbert’s termination; provided, in its sole discretion (A) USA may accept such resignation effective as of an earlier date in lieu of waiting for passage of the 90-day notice period, or (B) during all or any part of the 90-day notice period, USA may retain Herbert as an employee but modify, reduce or eliminate Herbert’s duties hereunder.</w:t>
      </w:r>
    </w:p>
    <w:p>
      <w:pPr>
        <w:spacing w:after="0" w:line="215" w:lineRule="exact"/>
        <w:rPr>
          <w:rFonts w:ascii="Arial" w:cs="Arial" w:eastAsia="Arial" w:hAnsi="Arial"/>
          <w:sz w:val="18"/>
          <w:szCs w:val="18"/>
          <w:color w:val="auto"/>
        </w:rPr>
      </w:pPr>
    </w:p>
    <w:p>
      <w:pPr>
        <w:ind w:firstLine="1953"/>
        <w:spacing w:after="0" w:line="277" w:lineRule="auto"/>
        <w:tabs>
          <w:tab w:leader="none" w:pos="2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Herbert voluntarily terminates Herbert’s employment hereunder with Good Reason at any time during the Employment Period, Herbert will be entitled to receive the following compensation and benefits:</w:t>
      </w:r>
    </w:p>
    <w:p>
      <w:pPr>
        <w:spacing w:after="0" w:line="197" w:lineRule="exact"/>
        <w:rPr>
          <w:rFonts w:ascii="Arial" w:cs="Arial" w:eastAsia="Arial" w:hAnsi="Arial"/>
          <w:sz w:val="18"/>
          <w:szCs w:val="18"/>
          <w:color w:val="auto"/>
        </w:rPr>
      </w:pPr>
    </w:p>
    <w:p>
      <w:pPr>
        <w:ind w:firstLine="2601"/>
        <w:spacing w:after="0" w:line="277" w:lineRule="auto"/>
        <w:tabs>
          <w:tab w:leader="none" w:pos="28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On or before the termination of Herbert’s employment, USA shall pay to Herbert a lump sum equal to two years of his base salary at the time of the termination date;</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left="2840" w:hanging="239"/>
        <w:spacing w:after="0"/>
        <w:tabs>
          <w:tab w:leader="none" w:pos="28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restricted stock awards and stock options shall become immediately vested on the date of termination;</w:t>
      </w:r>
    </w:p>
    <w:p>
      <w:pPr>
        <w:spacing w:after="0" w:line="252" w:lineRule="exact"/>
        <w:rPr>
          <w:rFonts w:ascii="Arial" w:cs="Arial" w:eastAsia="Arial" w:hAnsi="Arial"/>
          <w:sz w:val="18"/>
          <w:szCs w:val="18"/>
          <w:color w:val="auto"/>
        </w:rPr>
      </w:pPr>
    </w:p>
    <w:p>
      <w:pPr>
        <w:ind w:left="2860" w:hanging="259"/>
        <w:spacing w:after="0"/>
        <w:tabs>
          <w:tab w:leader="none" w:pos="286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any benefits or compensation provided under the terms of any benefit plan or other provisions of this Agreement; and</w:t>
      </w:r>
    </w:p>
    <w:p>
      <w:pPr>
        <w:spacing w:after="0" w:line="275" w:lineRule="exact"/>
        <w:rPr>
          <w:rFonts w:ascii="Arial" w:cs="Arial" w:eastAsia="Arial" w:hAnsi="Arial"/>
          <w:sz w:val="16"/>
          <w:szCs w:val="16"/>
          <w:color w:val="auto"/>
        </w:rPr>
      </w:pPr>
    </w:p>
    <w:p>
      <w:pPr>
        <w:jc w:val="both"/>
        <w:ind w:firstLine="2601"/>
        <w:spacing w:after="0" w:line="257" w:lineRule="auto"/>
        <w:tabs>
          <w:tab w:leader="none" w:pos="2902" w:val="left"/>
        </w:tabs>
        <w:numPr>
          <w:ilvl w:val="2"/>
          <w:numId w:val="26"/>
        </w:numPr>
        <w:rPr>
          <w:rFonts w:ascii="Arial" w:cs="Arial" w:eastAsia="Arial" w:hAnsi="Arial"/>
          <w:sz w:val="18"/>
          <w:szCs w:val="18"/>
          <w:color w:val="auto"/>
        </w:rPr>
      </w:pPr>
      <w:r>
        <w:rPr>
          <w:rFonts w:ascii="Arial" w:cs="Arial" w:eastAsia="Arial" w:hAnsi="Arial"/>
          <w:sz w:val="18"/>
          <w:szCs w:val="18"/>
          <w:color w:val="auto"/>
        </w:rPr>
        <w:t>During the two year period following the date of termination, USA shall arrange at its cost to provide Herbert with health, life and disability benefits substantially similar to those which Herbert is receiving immediately prior to the date of termination. Benefits otherwise receivable by Herbert pursuant to this subsection shall be reduced to the extent comparable benefits are actually received by or made available to Herbert without cost during such period following Herbert’s termination of employment (and any such benefits actually received by Herbert shall be reported to USA by Herbert).</w:t>
      </w:r>
    </w:p>
    <w:p>
      <w:pPr>
        <w:spacing w:after="0" w:line="215" w:lineRule="exact"/>
        <w:rPr>
          <w:rFonts w:ascii="Arial" w:cs="Arial" w:eastAsia="Arial" w:hAnsi="Arial"/>
          <w:sz w:val="18"/>
          <w:szCs w:val="18"/>
          <w:color w:val="auto"/>
        </w:rPr>
      </w:pPr>
    </w:p>
    <w:p>
      <w:pPr>
        <w:jc w:val="both"/>
        <w:ind w:firstLine="1953"/>
        <w:spacing w:after="0" w:line="270" w:lineRule="auto"/>
        <w:tabs>
          <w:tab w:leader="none" w:pos="2809" w:val="left"/>
        </w:tabs>
        <w:numPr>
          <w:ilvl w:val="1"/>
          <w:numId w:val="26"/>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conditions, which remains uncured after the expiration of 30 days following the delivery of written notice of such condition to USA by Herbert, with respect to which Herbert terminates employment within 120 days after the initial existence of the condition: (A) a material breach of the terms of this Agreement by USA; (B) the assignment by USA to Herbert of duties in any way materially inconsistent with Herbert’s authorities, duties, responsibilities, and status, as President of USA, or a material reduction or alteration in the nature or status of Herbert’s authority, duties, or responsibilities; provided, however, that a material reduction or alteration referred to in this subsection (B) shall not include any change or reduction in Herbert’s authorities, duties or responsibilities resulting solely from USA becoming a private company or a subsidiary or division of another company; (C) USA reduces Herbert’s annual base salary; (D) any reduction by USA in the kind or level of employee benefits to which Herbert is entitled immediately prior to such reduction with the result that Herbert’s overall benefit package is significantly reduced unless such failure to continue a plan, policy, practice or arrangement pertains to all plan participants generally; or (E) requiring Herbert to be based at a location in excess of 50 miles from Herbert’s current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3" w:name="page34"/>
    <w:bookmarkEnd w:id="33"/>
    <w:p>
      <w:pPr>
        <w:jc w:val="both"/>
        <w:ind w:firstLine="1953"/>
        <w:spacing w:after="0" w:line="264" w:lineRule="auto"/>
        <w:tabs>
          <w:tab w:leader="none" w:pos="29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a condition to Herbert receiving or continuing to receive any of the payments or benefits provided under this subsection B, Herbert shall have executed and delivered to USA (and not revoked) a release of any and all claims, suits, or causes of action against USA and its affiliates in form reasonably acceptable to USA.</w:t>
      </w:r>
    </w:p>
    <w:p>
      <w:pPr>
        <w:spacing w:after="0" w:line="204"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Termination Without Cause</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953"/>
        <w:spacing w:after="0" w:line="312" w:lineRule="auto"/>
        <w:tabs>
          <w:tab w:leader="none" w:pos="2172" w:val="left"/>
        </w:tabs>
        <w:numPr>
          <w:ilvl w:val="1"/>
          <w:numId w:val="28"/>
        </w:numPr>
        <w:rPr>
          <w:rFonts w:ascii="Arial" w:cs="Arial" w:eastAsia="Arial" w:hAnsi="Arial"/>
          <w:sz w:val="16"/>
          <w:szCs w:val="16"/>
          <w:color w:val="auto"/>
        </w:rPr>
      </w:pPr>
      <w:r>
        <w:rPr>
          <w:rFonts w:ascii="Arial" w:cs="Arial" w:eastAsia="Arial" w:hAnsi="Arial"/>
          <w:sz w:val="16"/>
          <w:szCs w:val="16"/>
          <w:color w:val="auto"/>
        </w:rPr>
        <w:t>USA, in its sole discretion, may terminate Herbert’s employment hereunder without Cause (as defined below), at any time by giving Herbert at least 30 days’ (and not more than 90 days’) prior written notice of USA’s intent to terminate Herbert’s employment as of a specified date; provided, during all or any part of the remaining Employment Period, USA, in its sole discretion, may modify, reduce or eliminate Herbert’s duties hereunder.</w:t>
      </w:r>
    </w:p>
    <w:p>
      <w:pPr>
        <w:spacing w:after="0" w:line="173" w:lineRule="exact"/>
        <w:rPr>
          <w:rFonts w:ascii="Arial" w:cs="Arial" w:eastAsia="Arial" w:hAnsi="Arial"/>
          <w:sz w:val="16"/>
          <w:szCs w:val="16"/>
          <w:color w:val="auto"/>
        </w:rPr>
      </w:pPr>
    </w:p>
    <w:p>
      <w:pPr>
        <w:ind w:firstLine="1953"/>
        <w:spacing w:after="0" w:line="277" w:lineRule="auto"/>
        <w:tabs>
          <w:tab w:leader="none" w:pos="22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USA terminates Herbert’s employment hereunder without Cause at any time during the Employment Period, Herbert will be entitled to receive the following compensation and benefits:</w:t>
      </w:r>
    </w:p>
    <w:p>
      <w:pPr>
        <w:spacing w:after="0" w:line="197" w:lineRule="exact"/>
        <w:rPr>
          <w:rFonts w:ascii="Arial" w:cs="Arial" w:eastAsia="Arial" w:hAnsi="Arial"/>
          <w:sz w:val="18"/>
          <w:szCs w:val="18"/>
          <w:color w:val="auto"/>
        </w:rPr>
      </w:pPr>
    </w:p>
    <w:p>
      <w:pPr>
        <w:ind w:firstLine="2601"/>
        <w:spacing w:after="0" w:line="277" w:lineRule="auto"/>
        <w:tabs>
          <w:tab w:leader="none" w:pos="28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On or before the termination of Herbert’s employment, USA shall pay to Herbert a lump sum equal to two years of his base salary at the time of the termination date;</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left="2840" w:hanging="239"/>
        <w:spacing w:after="0"/>
        <w:tabs>
          <w:tab w:leader="none" w:pos="28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restricted stock awards or stock options shall become immediately vested on the date of termination;</w:t>
      </w:r>
    </w:p>
    <w:p>
      <w:pPr>
        <w:spacing w:after="0" w:line="252" w:lineRule="exact"/>
        <w:rPr>
          <w:rFonts w:ascii="Arial" w:cs="Arial" w:eastAsia="Arial" w:hAnsi="Arial"/>
          <w:sz w:val="18"/>
          <w:szCs w:val="18"/>
          <w:color w:val="auto"/>
        </w:rPr>
      </w:pPr>
    </w:p>
    <w:p>
      <w:pPr>
        <w:ind w:left="2860" w:hanging="259"/>
        <w:spacing w:after="0"/>
        <w:tabs>
          <w:tab w:leader="none" w:pos="2860" w:val="left"/>
        </w:tabs>
        <w:numPr>
          <w:ilvl w:val="2"/>
          <w:numId w:val="28"/>
        </w:numPr>
        <w:rPr>
          <w:rFonts w:ascii="Arial" w:cs="Arial" w:eastAsia="Arial" w:hAnsi="Arial"/>
          <w:sz w:val="16"/>
          <w:szCs w:val="16"/>
          <w:color w:val="auto"/>
        </w:rPr>
      </w:pPr>
      <w:r>
        <w:rPr>
          <w:rFonts w:ascii="Arial" w:cs="Arial" w:eastAsia="Arial" w:hAnsi="Arial"/>
          <w:sz w:val="16"/>
          <w:szCs w:val="16"/>
          <w:color w:val="auto"/>
        </w:rPr>
        <w:t>any other benefit or compensation provided under the terms of any benefit plan or other provisions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37" w:lineRule="exact"/>
        <w:rPr>
          <w:rFonts w:ascii="Arial" w:cs="Arial" w:eastAsia="Arial" w:hAnsi="Arial"/>
          <w:sz w:val="16"/>
          <w:szCs w:val="16"/>
          <w:color w:val="auto"/>
        </w:rPr>
      </w:pPr>
    </w:p>
    <w:p>
      <w:pPr>
        <w:jc w:val="both"/>
        <w:ind w:firstLine="2601"/>
        <w:spacing w:after="0" w:line="257" w:lineRule="auto"/>
        <w:tabs>
          <w:tab w:leader="none" w:pos="2851" w:val="left"/>
        </w:tabs>
        <w:numPr>
          <w:ilvl w:val="2"/>
          <w:numId w:val="28"/>
        </w:numPr>
        <w:rPr>
          <w:rFonts w:ascii="Arial" w:cs="Arial" w:eastAsia="Arial" w:hAnsi="Arial"/>
          <w:sz w:val="18"/>
          <w:szCs w:val="18"/>
          <w:color w:val="auto"/>
        </w:rPr>
      </w:pPr>
      <w:r>
        <w:rPr>
          <w:rFonts w:ascii="Arial" w:cs="Arial" w:eastAsia="Arial" w:hAnsi="Arial"/>
          <w:sz w:val="18"/>
          <w:szCs w:val="18"/>
          <w:color w:val="auto"/>
        </w:rPr>
        <w:t>During the two year period following the date of termination, USA shall arrange at its cost to provide Herbert with health, life and disability benefits substantially similar to those which Herbert is receiving immediately prior to the date of termination. Benefits otherwise receivable by Herbert pursuant to this subsection shall be reduced to the extent comparable benefits are actually received by or made available to Herbert without cost during such period following Herbert’s termination of employment (and any such benefits actually received by Herbert shall be reported to USA by Herbert).</w:t>
      </w:r>
    </w:p>
    <w:p>
      <w:pPr>
        <w:spacing w:after="0" w:line="211" w:lineRule="exact"/>
        <w:rPr>
          <w:rFonts w:ascii="Arial" w:cs="Arial" w:eastAsia="Arial" w:hAnsi="Arial"/>
          <w:sz w:val="18"/>
          <w:szCs w:val="18"/>
          <w:color w:val="auto"/>
        </w:rPr>
      </w:pPr>
    </w:p>
    <w:p>
      <w:pPr>
        <w:ind w:left="1980" w:hanging="675"/>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Termination With Cause</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firstLine="1953"/>
        <w:spacing w:after="0" w:line="277" w:lineRule="auto"/>
        <w:tabs>
          <w:tab w:leader="none" w:pos="27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USA may immediately terminate Herbert’s employment hereunder for Cause (as defined below) at any time during the Employment Period upon delivery of written notice to Herbert.</w:t>
      </w:r>
    </w:p>
    <w:p>
      <w:pPr>
        <w:spacing w:after="0" w:line="197" w:lineRule="exact"/>
        <w:rPr>
          <w:rFonts w:ascii="Arial" w:cs="Arial" w:eastAsia="Arial" w:hAnsi="Arial"/>
          <w:sz w:val="18"/>
          <w:szCs w:val="18"/>
          <w:color w:val="auto"/>
        </w:rPr>
      </w:pPr>
    </w:p>
    <w:p>
      <w:pPr>
        <w:ind w:firstLine="1953"/>
        <w:spacing w:after="0" w:line="277" w:lineRule="auto"/>
        <w:tabs>
          <w:tab w:leader="none" w:pos="26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USA terminates Herbert’s employment hereunder with Cause at any time during the Employment Period, Herbert will only be entitled to receive the following compensation and benefits:</w:t>
      </w:r>
    </w:p>
    <w:p>
      <w:pPr>
        <w:spacing w:after="0" w:line="197" w:lineRule="exact"/>
        <w:rPr>
          <w:rFonts w:ascii="Arial" w:cs="Arial" w:eastAsia="Arial" w:hAnsi="Arial"/>
          <w:sz w:val="18"/>
          <w:szCs w:val="18"/>
          <w:color w:val="auto"/>
        </w:rPr>
      </w:pPr>
    </w:p>
    <w:p>
      <w:pPr>
        <w:ind w:left="2860" w:hanging="259"/>
        <w:spacing w:after="0"/>
        <w:tabs>
          <w:tab w:leader="none" w:pos="2860" w:val="left"/>
        </w:tabs>
        <w:numPr>
          <w:ilvl w:val="2"/>
          <w:numId w:val="28"/>
        </w:numPr>
        <w:rPr>
          <w:rFonts w:ascii="Arial" w:cs="Arial" w:eastAsia="Arial" w:hAnsi="Arial"/>
          <w:sz w:val="17"/>
          <w:szCs w:val="17"/>
          <w:color w:val="auto"/>
        </w:rPr>
      </w:pPr>
      <w:r>
        <w:rPr>
          <w:rFonts w:ascii="Arial" w:cs="Arial" w:eastAsia="Arial" w:hAnsi="Arial"/>
          <w:sz w:val="17"/>
          <w:szCs w:val="17"/>
          <w:color w:val="auto"/>
        </w:rPr>
        <w:t>On or before the termination of Herbert’s employment, USA shall pay Herbert his base salary through the date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termination;</w:t>
      </w:r>
    </w:p>
    <w:p>
      <w:pPr>
        <w:spacing w:after="0" w:line="237" w:lineRule="exact"/>
        <w:rPr>
          <w:rFonts w:ascii="Arial" w:cs="Arial" w:eastAsia="Arial" w:hAnsi="Arial"/>
          <w:sz w:val="17"/>
          <w:szCs w:val="17"/>
          <w:color w:val="auto"/>
        </w:rPr>
      </w:pPr>
    </w:p>
    <w:p>
      <w:pPr>
        <w:ind w:left="2860" w:hanging="259"/>
        <w:spacing w:after="0"/>
        <w:tabs>
          <w:tab w:leader="none" w:pos="28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left="2840" w:hanging="239"/>
        <w:spacing w:after="0"/>
        <w:tabs>
          <w:tab w:leader="none" w:pos="2840" w:val="left"/>
        </w:tabs>
        <w:numPr>
          <w:ilvl w:val="2"/>
          <w:numId w:val="28"/>
        </w:numPr>
        <w:rPr>
          <w:rFonts w:ascii="Arial" w:cs="Arial" w:eastAsia="Arial" w:hAnsi="Arial"/>
          <w:sz w:val="16"/>
          <w:szCs w:val="16"/>
          <w:color w:val="auto"/>
        </w:rPr>
      </w:pPr>
      <w:r>
        <w:rPr>
          <w:rFonts w:ascii="Arial" w:cs="Arial" w:eastAsia="Arial" w:hAnsi="Arial"/>
          <w:sz w:val="16"/>
          <w:szCs w:val="16"/>
          <w:color w:val="auto"/>
        </w:rPr>
        <w:t>any other benefit or compensation provided under the terms of any benefit plan or other provisions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37" w:lineRule="exact"/>
        <w:rPr>
          <w:rFonts w:ascii="Arial" w:cs="Arial" w:eastAsia="Arial" w:hAnsi="Arial"/>
          <w:sz w:val="16"/>
          <w:szCs w:val="16"/>
          <w:color w:val="auto"/>
        </w:rPr>
      </w:pPr>
    </w:p>
    <w:p>
      <w:pPr>
        <w:jc w:val="both"/>
        <w:ind w:firstLine="2601"/>
        <w:spacing w:after="0" w:line="257" w:lineRule="auto"/>
        <w:tabs>
          <w:tab w:leader="none" w:pos="2857" w:val="left"/>
        </w:tabs>
        <w:numPr>
          <w:ilvl w:val="2"/>
          <w:numId w:val="28"/>
        </w:numPr>
        <w:rPr>
          <w:rFonts w:ascii="Arial" w:cs="Arial" w:eastAsia="Arial" w:hAnsi="Arial"/>
          <w:sz w:val="18"/>
          <w:szCs w:val="18"/>
          <w:color w:val="auto"/>
        </w:rPr>
      </w:pPr>
      <w:r>
        <w:rPr>
          <w:rFonts w:ascii="Arial" w:cs="Arial" w:eastAsia="Arial" w:hAnsi="Arial"/>
          <w:sz w:val="18"/>
          <w:szCs w:val="18"/>
          <w:color w:val="auto"/>
        </w:rPr>
        <w:t>During the ninety (90) day period following the date of termination, USA shall arrange at its cost to provide Herbert with health, life and disability benefits substantially similar to those which Herbert is receiving immediately prior to the date of termination. Benefits otherwise receivable by Herbert pursuant to this subsection shall be reduced to the extent comparable benefits are actually received by or made available to Herbert without cost during such period following Herbert’s termination of employment (and any such benefits actually received by Herbert shall be reported to USA by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1953"/>
        <w:spacing w:after="0" w:line="293" w:lineRule="auto"/>
        <w:tabs>
          <w:tab w:leader="none" w:pos="2754" w:val="left"/>
        </w:tabs>
        <w:numPr>
          <w:ilvl w:val="3"/>
          <w:numId w:val="29"/>
        </w:numPr>
        <w:rPr>
          <w:rFonts w:ascii="Arial" w:cs="Arial" w:eastAsia="Arial" w:hAnsi="Arial"/>
          <w:sz w:val="16"/>
          <w:szCs w:val="16"/>
          <w:color w:val="auto"/>
        </w:rPr>
      </w:pPr>
      <w:r>
        <w:rPr>
          <w:rFonts w:ascii="Arial" w:cs="Arial" w:eastAsia="Arial" w:hAnsi="Arial"/>
          <w:sz w:val="16"/>
          <w:szCs w:val="16"/>
          <w:color w:val="auto"/>
        </w:rPr>
        <w:t>For purposes of this Agreement, “Cause” means any of the following have occurred or exist as determined by the USA Board of Directors (or its designee): (A) Herbert’s fraud, gross malfeasance, or willful misconduct, with respect to USA’s business; (B) any material breach by Herbert of this Agreement, which breach is not cured (if curable) by Herbert within thirty (30) days after written notice of such breach is delivered to Herbert by USA; (C) any willful violation by Herbert of any law, rule or regulation, which violation results or could reasonably be expected to result, in material harm to the business or reputation of USA; (D) conviction of or the entry of a guilty plea or plea of no contest to any felony or to any other crime involving moral turpitude; or (E) any intentional misapplication by Herbert of USA’s funds, or any material act of dishonesty committed by Herbert.</w:t>
      </w:r>
    </w:p>
    <w:p>
      <w:pPr>
        <w:spacing w:after="0" w:line="187" w:lineRule="exact"/>
        <w:rPr>
          <w:rFonts w:ascii="Arial" w:cs="Arial" w:eastAsia="Arial" w:hAnsi="Arial"/>
          <w:sz w:val="16"/>
          <w:szCs w:val="16"/>
          <w:color w:val="auto"/>
        </w:rPr>
      </w:pPr>
    </w:p>
    <w:p>
      <w:pPr>
        <w:ind w:left="2000" w:hanging="695"/>
        <w:spacing w:after="0"/>
        <w:tabs>
          <w:tab w:leader="none" w:pos="2000" w:val="left"/>
        </w:tabs>
        <w:numPr>
          <w:ilvl w:val="2"/>
          <w:numId w:val="30"/>
        </w:numPr>
        <w:rPr>
          <w:rFonts w:ascii="Arial" w:cs="Arial" w:eastAsia="Arial" w:hAnsi="Arial"/>
          <w:sz w:val="18"/>
          <w:szCs w:val="18"/>
          <w:color w:val="auto"/>
        </w:rPr>
      </w:pPr>
      <w:r>
        <w:rPr>
          <w:rFonts w:ascii="Arial" w:cs="Arial" w:eastAsia="Arial" w:hAnsi="Arial"/>
          <w:sz w:val="18"/>
          <w:szCs w:val="18"/>
          <w:b w:val="1"/>
          <w:bCs w:val="1"/>
          <w:color w:val="auto"/>
        </w:rPr>
        <w:t>Termination Due to Death or Disability</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953"/>
        <w:spacing w:after="0" w:line="288" w:lineRule="auto"/>
        <w:tabs>
          <w:tab w:leader="none" w:pos="2187" w:val="left"/>
        </w:tabs>
        <w:numPr>
          <w:ilvl w:val="3"/>
          <w:numId w:val="30"/>
        </w:numPr>
        <w:rPr>
          <w:rFonts w:ascii="Arial" w:cs="Arial" w:eastAsia="Arial" w:hAnsi="Arial"/>
          <w:sz w:val="16"/>
          <w:szCs w:val="16"/>
          <w:color w:val="auto"/>
        </w:rPr>
      </w:pPr>
      <w:r>
        <w:rPr>
          <w:rFonts w:ascii="Arial" w:cs="Arial" w:eastAsia="Arial" w:hAnsi="Arial"/>
          <w:sz w:val="16"/>
          <w:szCs w:val="16"/>
          <w:color w:val="auto"/>
        </w:rPr>
        <w:t>Herbert’s employment with USA will end upon Herbert’s death. Upon Herbert’s death, his designated beneficiary shall be entitled to receive the proceeds of the life insurance policy paid for by USA that is referred to in Section 2.E, and USA will pay to Herbert’s personal representative only (A) Herbert’s annual base salary earned through the date of death, (B) all bonuses earned and vested on or before the date of death, and</w:t>
      </w: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benefit or compensation provided under the terms of any benefit plan or other provisions of this Agreement.</w:t>
      </w:r>
    </w:p>
    <w:p>
      <w:pPr>
        <w:spacing w:after="0" w:line="237" w:lineRule="exact"/>
        <w:rPr>
          <w:rFonts w:ascii="Arial" w:cs="Arial" w:eastAsia="Arial" w:hAnsi="Arial"/>
          <w:sz w:val="18"/>
          <w:szCs w:val="18"/>
          <w:color w:val="auto"/>
        </w:rPr>
      </w:pPr>
    </w:p>
    <w:p>
      <w:pPr>
        <w:jc w:val="both"/>
        <w:ind w:firstLine="1953"/>
        <w:spacing w:after="0" w:line="293" w:lineRule="auto"/>
        <w:tabs>
          <w:tab w:leader="none" w:pos="2216" w:val="left"/>
        </w:tabs>
        <w:numPr>
          <w:ilvl w:val="3"/>
          <w:numId w:val="31"/>
        </w:numPr>
        <w:rPr>
          <w:rFonts w:ascii="Arial" w:cs="Arial" w:eastAsia="Arial" w:hAnsi="Arial"/>
          <w:sz w:val="16"/>
          <w:szCs w:val="16"/>
          <w:color w:val="auto"/>
        </w:rPr>
      </w:pPr>
      <w:r>
        <w:rPr>
          <w:rFonts w:ascii="Arial" w:cs="Arial" w:eastAsia="Arial" w:hAnsi="Arial"/>
          <w:sz w:val="16"/>
          <w:szCs w:val="16"/>
          <w:color w:val="auto"/>
        </w:rPr>
        <w:t>If Herbert becomes disabled during the Employment Period, USA may terminate Herbert’s employment under this Agreement upon giving Herbert or Herbert’s legal representative written notice at least 30 days before the termination date. For purposes of this Agreement, and subject to any applicable waiting period, “disabled” means if Herbert is deemed disabled for purposes of the supplemental long-term disability policy obtained and paid for by USA which is referred to Section 2.F. If Herbert’s employment hereunder is terminated due to Herbert’s disability, USA will pay to Herbert or his personal representative only (A) Herbert’s annual base salary earned through the date of termination, (B) all bonuses earned and vested on or before the date of termination, and (C) any benefit or compensation provided under the terms of any benefit plan or other provisions of this Agreement.</w:t>
      </w:r>
    </w:p>
    <w:p>
      <w:pPr>
        <w:spacing w:after="0" w:line="191" w:lineRule="exact"/>
        <w:rPr>
          <w:rFonts w:ascii="Arial" w:cs="Arial" w:eastAsia="Arial" w:hAnsi="Arial"/>
          <w:sz w:val="16"/>
          <w:szCs w:val="16"/>
          <w:color w:val="auto"/>
        </w:rPr>
      </w:pPr>
    </w:p>
    <w:p>
      <w:pPr>
        <w:ind w:firstLine="1305"/>
        <w:spacing w:after="0" w:line="342" w:lineRule="auto"/>
        <w:tabs>
          <w:tab w:leader="none" w:pos="2001" w:val="left"/>
        </w:tabs>
        <w:numPr>
          <w:ilvl w:val="2"/>
          <w:numId w:val="31"/>
        </w:numPr>
        <w:rPr>
          <w:rFonts w:ascii="Arial" w:cs="Arial" w:eastAsia="Arial" w:hAnsi="Arial"/>
          <w:sz w:val="16"/>
          <w:szCs w:val="16"/>
          <w:color w:val="auto"/>
        </w:rPr>
      </w:pPr>
      <w:r>
        <w:rPr>
          <w:rFonts w:ascii="Arial" w:cs="Arial" w:eastAsia="Arial" w:hAnsi="Arial"/>
          <w:sz w:val="16"/>
          <w:szCs w:val="16"/>
          <w:color w:val="auto"/>
        </w:rPr>
        <w:t>In addition to any other terms or conditions that survive the termination of Herbert’s employment with USA, all of the terms and conditions of Section 5, 6 and 7 shall survive the termination of Herbert’s employment with USA for any reason whatsoever, including under this Section 4.</w:t>
      </w:r>
    </w:p>
    <w:p>
      <w:pPr>
        <w:spacing w:after="0" w:line="150" w:lineRule="exact"/>
        <w:rPr>
          <w:rFonts w:ascii="Arial" w:cs="Arial" w:eastAsia="Arial" w:hAnsi="Arial"/>
          <w:sz w:val="16"/>
          <w:szCs w:val="16"/>
          <w:color w:val="auto"/>
        </w:rPr>
      </w:pPr>
    </w:p>
    <w:p>
      <w:pPr>
        <w:jc w:val="both"/>
        <w:ind w:firstLine="1305"/>
        <w:spacing w:after="0" w:line="264" w:lineRule="auto"/>
        <w:tabs>
          <w:tab w:leader="none" w:pos="1971" w:val="left"/>
        </w:tabs>
        <w:numPr>
          <w:ilvl w:val="2"/>
          <w:numId w:val="31"/>
        </w:numPr>
        <w:rPr>
          <w:rFonts w:ascii="Arial" w:cs="Arial" w:eastAsia="Arial" w:hAnsi="Arial"/>
          <w:sz w:val="18"/>
          <w:szCs w:val="18"/>
          <w:color w:val="auto"/>
        </w:rPr>
      </w:pPr>
      <w:r>
        <w:rPr>
          <w:rFonts w:ascii="Arial" w:cs="Arial" w:eastAsia="Arial" w:hAnsi="Arial"/>
          <w:sz w:val="18"/>
          <w:szCs w:val="18"/>
          <w:color w:val="auto"/>
        </w:rPr>
        <w:t>Except as specifically provided otherwise herein, Herbert shall not be required to mitigate the amount of any payment provided for in this Section 4 by seeking other employment or otherwise, nor shall the amount of such payment be reduced by reason of compensation or other income Herbert receives for services rendered after Herbert’s termination of employment with USA.</w:t>
      </w:r>
    </w:p>
    <w:p>
      <w:pPr>
        <w:spacing w:after="0" w:line="208" w:lineRule="exact"/>
        <w:rPr>
          <w:rFonts w:ascii="Arial" w:cs="Arial" w:eastAsia="Arial" w:hAnsi="Arial"/>
          <w:sz w:val="18"/>
          <w:szCs w:val="18"/>
          <w:color w:val="auto"/>
        </w:rPr>
      </w:pPr>
    </w:p>
    <w:p>
      <w:pPr>
        <w:ind w:firstLine="1305"/>
        <w:spacing w:after="0" w:line="342" w:lineRule="auto"/>
        <w:tabs>
          <w:tab w:leader="none" w:pos="2025" w:val="left"/>
        </w:tabs>
        <w:numPr>
          <w:ilvl w:val="2"/>
          <w:numId w:val="31"/>
        </w:numPr>
        <w:rPr>
          <w:rFonts w:ascii="Arial" w:cs="Arial" w:eastAsia="Arial" w:hAnsi="Arial"/>
          <w:sz w:val="16"/>
          <w:szCs w:val="16"/>
          <w:color w:val="auto"/>
        </w:rPr>
      </w:pPr>
      <w:r>
        <w:rPr>
          <w:rFonts w:ascii="Arial" w:cs="Arial" w:eastAsia="Arial" w:hAnsi="Arial"/>
          <w:sz w:val="16"/>
          <w:szCs w:val="16"/>
          <w:color w:val="auto"/>
        </w:rPr>
        <w:t>In the event Herbert is terminated for any reason whatsoever other than for Cause, USA, at its expense, shall provide one year of professional outplacement services which are customary for an executive of Herbert’s stature through and at the facilities of an outplacement firm.</w:t>
      </w:r>
    </w:p>
    <w:p>
      <w:pPr>
        <w:spacing w:after="0" w:line="150" w:lineRule="exact"/>
        <w:rPr>
          <w:rFonts w:ascii="Arial" w:cs="Arial" w:eastAsia="Arial" w:hAnsi="Arial"/>
          <w:sz w:val="16"/>
          <w:szCs w:val="16"/>
          <w:color w:val="auto"/>
        </w:rPr>
      </w:pPr>
    </w:p>
    <w:p>
      <w:pPr>
        <w:ind w:firstLine="656"/>
        <w:spacing w:after="0" w:line="277" w:lineRule="auto"/>
        <w:tabs>
          <w:tab w:leader="none" w:pos="135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Employment Agreement shall not be amended or modified in any respect whatsoever and shall continue in full force and effect.</w:t>
      </w:r>
    </w:p>
    <w:p>
      <w:pPr>
        <w:spacing w:after="0" w:line="197" w:lineRule="exact"/>
        <w:rPr>
          <w:rFonts w:ascii="Arial" w:cs="Arial" w:eastAsia="Arial" w:hAnsi="Arial"/>
          <w:sz w:val="18"/>
          <w:szCs w:val="18"/>
          <w:color w:val="auto"/>
        </w:rPr>
      </w:pPr>
    </w:p>
    <w:p>
      <w:pPr>
        <w:ind w:left="1440" w:hanging="784"/>
        <w:spacing w:after="0"/>
        <w:tabs>
          <w:tab w:leader="none" w:pos="144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Effective Time</w:t>
      </w:r>
      <w:r>
        <w:rPr>
          <w:rFonts w:ascii="Arial" w:cs="Arial" w:eastAsia="Arial" w:hAnsi="Arial"/>
          <w:sz w:val="16"/>
          <w:szCs w:val="16"/>
          <w:color w:val="auto"/>
        </w:rPr>
        <w:t>. The amendments to the Employment Agreement made in Paragraph 1 hereof shall be effective from and after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IN WITNESS WHEREOF, the parties hereto have executed this First Amendment on the day and year first above written.</w:t>
      </w:r>
    </w:p>
    <w:p>
      <w:pPr>
        <w:sectPr>
          <w:pgSz w:w="11900" w:h="16838" w:orient="portrait"/>
          <w:cols w:equalWidth="0" w:num="1">
            <w:col w:w="10219"/>
          </w:cols>
          <w:pgMar w:left="240" w:top="517" w:right="1440" w:bottom="1440" w:gutter="0" w:footer="0" w:header="0"/>
        </w:sectPr>
      </w:pP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/s/ Stephen P. Herbert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STEPHEN P. HERBERT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USA TECHNOLOGIES, INC.</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George R. Jensen, Jr.</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George R. Jensen, Jr.,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Fourth Amendment is made on the 14th day of April 2011, by and between DAVID M. DeMEDIO ("DeMedio"), and USA TECHNOLOGIES, INC., a Pennsylvania corporation ("USA").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USA and DeMedio entered into an Employment And Non-Competition Agreement dated April 12, 2005, a First Amendment thereto dated May 11, 2006, a Second Amendment thereto dated March 13, 2007, and a Third Amendment thereto dated September 22, 2008, and USA has issued a letter to DeMedio dated September 14, 2009 (collectively, the "Employment Agreement"). As more fully set forth herein, the parties desire to amend the Employment Agreement in certain respects.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set forth herein, and intending to be legally bound hereby, the parties agree as follows:</w:t>
      </w:r>
    </w:p>
    <w:p>
      <w:pPr>
        <w:spacing w:after="0" w:line="25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05"/>
        <w:spacing w:after="0" w:line="277" w:lineRule="auto"/>
        <w:tabs>
          <w:tab w:leader="none" w:pos="1539"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Subsection (a) of SECTION 1.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of the Employment Agreement is hereby deleted and the following new subsection (a) substituted in its place:</w:t>
      </w:r>
    </w:p>
    <w:p>
      <w:pPr>
        <w:spacing w:after="0" w:line="197" w:lineRule="exact"/>
        <w:rPr>
          <w:rFonts w:ascii="Arial" w:cs="Arial" w:eastAsia="Arial" w:hAnsi="Arial"/>
          <w:sz w:val="18"/>
          <w:szCs w:val="18"/>
          <w:color w:val="auto"/>
        </w:rPr>
      </w:pPr>
    </w:p>
    <w:p>
      <w:pPr>
        <w:jc w:val="both"/>
        <w:ind w:firstLine="656"/>
        <w:spacing w:after="0" w:line="279" w:lineRule="auto"/>
        <w:tabs>
          <w:tab w:leader="none" w:pos="1591" w:val="left"/>
        </w:tabs>
        <w:numPr>
          <w:ilvl w:val="1"/>
          <w:numId w:val="32"/>
        </w:numPr>
        <w:rPr>
          <w:rFonts w:ascii="Arial" w:cs="Arial" w:eastAsia="Arial" w:hAnsi="Arial"/>
          <w:sz w:val="17"/>
          <w:szCs w:val="17"/>
          <w:color w:val="auto"/>
        </w:rPr>
      </w:pPr>
      <w:r>
        <w:rPr>
          <w:rFonts w:ascii="Arial" w:cs="Arial" w:eastAsia="Arial" w:hAnsi="Arial"/>
          <w:sz w:val="17"/>
          <w:szCs w:val="17"/>
          <w:color w:val="auto"/>
        </w:rPr>
        <w:t>USA shall employ DeMedio as Chief Financial Officer commencing on the date hereof and continuing through June 30, 2014 (the "Employment Period"), and DeMedio hereby accepts such employment. Unless terminated by either party hereto upon at least 90-days notice prior to the end of the original Employment Period ending June 30, 2014, or prior to the end of any one year extension of the Employment Period, the Employment Period shall not be terminated and shall automatically continue in full force and effect for consecutive one year periods.</w:t>
      </w:r>
    </w:p>
    <w:p>
      <w:pPr>
        <w:spacing w:after="0" w:line="198" w:lineRule="exact"/>
        <w:rPr>
          <w:rFonts w:ascii="Arial" w:cs="Arial" w:eastAsia="Arial" w:hAnsi="Arial"/>
          <w:sz w:val="17"/>
          <w:szCs w:val="17"/>
          <w:color w:val="auto"/>
        </w:rPr>
      </w:pPr>
    </w:p>
    <w:p>
      <w:pPr>
        <w:ind w:firstLine="1305"/>
        <w:spacing w:after="0" w:line="277" w:lineRule="auto"/>
        <w:tabs>
          <w:tab w:leader="none" w:pos="1957"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Subsection (f) of SECTION 2. </w:t>
      </w: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(f) substituted in its place:</w:t>
      </w:r>
    </w:p>
    <w:p>
      <w:pPr>
        <w:spacing w:after="0" w:line="197" w:lineRule="exact"/>
        <w:rPr>
          <w:sz w:val="20"/>
          <w:szCs w:val="20"/>
          <w:color w:val="auto"/>
        </w:rPr>
      </w:pPr>
    </w:p>
    <w:p>
      <w:pPr>
        <w:jc w:val="both"/>
        <w:ind w:firstLine="656"/>
        <w:spacing w:after="0" w:line="302" w:lineRule="auto"/>
        <w:tabs>
          <w:tab w:leader="none" w:pos="13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the date of the execution and delivery by each of USA and DeMedio of this Fourth Amendment, USA shall issue to DeMedio 25,000 shares of Common Stock in recognition of DeMedio’s dedicated and valuable service to USA and extending the term of his Employment Agreement. These shares shall be vested 1/3 upon signing, 1/3 after one year of signing and 1/3 after two years of signing. The shares shall be issued pursuant to USA’s 2010 Stock Incentive Plan and shall be registered under the Securities Act of 1933, as amended, pursuant to a Form S-8 Registration Statement.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DeMedio acknowledges that the issuance of the shares will represent taxable income to him and that he (and not USA) shall be responsible for the payment of any and all income or other taxes (including any withholding tax obligations of USA) attributable to the issuance of the shares. Not later than the business day following the date on which the shares are included in the taxable income of DeMedio, DeMedio shall satisfy USA’s withholding tax obligations in connection with such shares by either (a) the delivery by DeMedio to USA of a cash payment equal to the amount of the withholding tax obligations, or (b) the assignment and transfer by DeMedio to USA of that number of shares of Common Stock (which may consist of the vested shares issued hereunder as a bonus to DeMedio or any other shares of Common Stock owned by DeMedio) having a value equal to the withholding tax obligations required to be withheld by law, or (c) such other payment method that shall be satisfactory to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7" w:name="page38"/>
    <w:bookmarkEnd w:id="37"/>
    <w:p>
      <w:pPr>
        <w:ind w:firstLine="656"/>
        <w:spacing w:after="0" w:line="277" w:lineRule="auto"/>
        <w:tabs>
          <w:tab w:leader="none" w:pos="135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Employment Agreement shall not be amended or modified in any respect whatsoever and shall continue in full force and effect.</w:t>
      </w:r>
    </w:p>
    <w:p>
      <w:pPr>
        <w:spacing w:after="0" w:line="197" w:lineRule="exact"/>
        <w:rPr>
          <w:rFonts w:ascii="Arial" w:cs="Arial" w:eastAsia="Arial" w:hAnsi="Arial"/>
          <w:sz w:val="18"/>
          <w:szCs w:val="18"/>
          <w:color w:val="auto"/>
        </w:rPr>
      </w:pPr>
    </w:p>
    <w:p>
      <w:pPr>
        <w:ind w:left="1440" w:hanging="784"/>
        <w:spacing w:after="0"/>
        <w:tabs>
          <w:tab w:leader="none" w:pos="144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Effective Time</w:t>
      </w:r>
      <w:r>
        <w:rPr>
          <w:rFonts w:ascii="Arial" w:cs="Arial" w:eastAsia="Arial" w:hAnsi="Arial"/>
          <w:sz w:val="16"/>
          <w:szCs w:val="16"/>
          <w:color w:val="auto"/>
        </w:rPr>
        <w:t>. The amendments to the Employment Agreement made in Paragraph 1 hereof shall be effective from and after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Fourth Amendment on the day and year first above written.</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/s/David M. DeMedio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M. DEMEDIO</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/s/George R. Jensen,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George R. Jensen, Jr.,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13a-14 AND 15d-14 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George R. Jensen, Jr., certify that:</w:t>
      </w:r>
    </w:p>
    <w:p>
      <w:pPr>
        <w:spacing w:after="0" w:line="252"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that has materially affected or is reasonably likely to materially affect, the issuer’s internal control over financial reporting; and</w:t>
      </w:r>
    </w:p>
    <w:p>
      <w:pPr>
        <w:spacing w:after="0" w:line="197" w:lineRule="exact"/>
        <w:rPr>
          <w:sz w:val="20"/>
          <w:szCs w:val="20"/>
          <w:color w:val="auto"/>
        </w:rPr>
      </w:pPr>
    </w:p>
    <w:p>
      <w:pPr>
        <w:ind w:firstLine="8"/>
        <w:spacing w:after="0" w:line="277" w:lineRule="auto"/>
        <w:tabs>
          <w:tab w:leader="none" w:pos="1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5"/>
          <w:szCs w:val="15"/>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1697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R. Jensen,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13a-14 AND 15d-14 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that has materially affected or is reasonably likely to materially affect, the issuer’s internal control over financial reporting; and</w:t>
      </w:r>
    </w:p>
    <w:p>
      <w:pPr>
        <w:spacing w:after="0" w:line="197" w:lineRule="exact"/>
        <w:rPr>
          <w:sz w:val="20"/>
          <w:szCs w:val="20"/>
          <w:color w:val="auto"/>
        </w:rPr>
      </w:pPr>
    </w:p>
    <w:p>
      <w:pPr>
        <w:ind w:firstLine="8"/>
        <w:spacing w:after="0" w:line="277" w:lineRule="auto"/>
        <w:tabs>
          <w:tab w:leader="none" w:pos="1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1697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2011 (the “Report”), I, George R. Jensen, Jr.,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97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R. Jensen,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2011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97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1."/>
      <w:numFmt w:val="decimal"/>
      <w:start w:val="7"/>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lvl w:ilvl="1">
      <w:lvlJc w:val="left"/>
      <w:lvlText w:val="%2"/>
      <w:numFmt w:val="upperLetter"/>
      <w:start w:val="1"/>
    </w:lvl>
  </w:abstractNum>
  <w:abstractNum w:abstractNumId="14">
    <w:nsid w:val="2CA88611"/>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2"/>
    </w:lvl>
  </w:abstractNum>
  <w:abstractNum w:abstractNumId="15">
    <w:nsid w:val="836C40E"/>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abstractNum w:abstractNumId="16">
    <w:nsid w:val="2901D82"/>
    <w:multiLevelType w:val="hybridMultilevel"/>
    <w:lvl w:ilvl="0">
      <w:lvlJc w:val="left"/>
      <w:lvlText w:val="%1."/>
      <w:numFmt w:val="upperLetter"/>
      <w:start w:val="3"/>
    </w:lvl>
  </w:abstractNum>
  <w:abstractNum w:abstractNumId="17">
    <w:nsid w:val="3A95F87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8">
    <w:nsid w:val="8138641"/>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9">
    <w:nsid w:val="1E7FF521"/>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20">
    <w:nsid w:val="7C3DBD3D"/>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5"/>
    </w:lvl>
    <w:lvl w:ilvl="3">
      <w:lvlJc w:val="left"/>
      <w:lvlText w:val="(%4)"/>
      <w:numFmt w:val="lowerRoman"/>
      <w:start w:val="1"/>
    </w:lvl>
  </w:abstractNum>
  <w:abstractNum w:abstractNumId="21">
    <w:nsid w:val="737B8DD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22">
    <w:nsid w:val="6CEAF087"/>
    <w:multiLevelType w:val="hybridMultilevel"/>
    <w:lvl w:ilvl="0">
      <w:lvlJc w:val="left"/>
      <w:lvlText w:val="%1"/>
      <w:numFmt w:val="upperLetter"/>
      <w:start w:val="1"/>
    </w:lvl>
    <w:lvl w:ilvl="1">
      <w:lvlJc w:val="left"/>
      <w:lvlText w:val="%2."/>
      <w:numFmt w:val="upperLetter"/>
      <w:start w:val="2"/>
    </w:lvl>
  </w:abstractNum>
  <w:abstractNum w:abstractNumId="23">
    <w:nsid w:val="22221A70"/>
    <w:multiLevelType w:val="hybridMultilevel"/>
    <w:lvl w:ilvl="0">
      <w:lvlJc w:val="left"/>
      <w:lvlText w:val="%1."/>
      <w:numFmt w:val="upperLetter"/>
      <w:start w:val="4"/>
    </w:lvl>
    <w:lvl w:ilvl="1">
      <w:lvlJc w:val="left"/>
      <w:lvlText w:val="%2"/>
      <w:numFmt w:val="upperLetter"/>
      <w:start w:val="1"/>
    </w:lvl>
  </w:abstractNum>
  <w:abstractNum w:abstractNumId="24">
    <w:nsid w:val="4516DDE9"/>
    <w:multiLevelType w:val="hybridMultilevel"/>
    <w:lvl w:ilvl="0">
      <w:lvlJc w:val="left"/>
      <w:lvlText w:val="%1."/>
      <w:numFmt w:val="upperLetter"/>
      <w:start w:val="3"/>
    </w:lvl>
  </w:abstractNum>
  <w:abstractNum w:abstractNumId="25">
    <w:nsid w:val="3006C83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6">
    <w:nsid w:val="614FD4A1"/>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27">
    <w:nsid w:val="419AC241"/>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28">
    <w:nsid w:val="5577F8E1"/>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lowerRoman"/>
      <w:start w:val="3"/>
    </w:lvl>
  </w:abstractNum>
  <w:abstractNum w:abstractNumId="29">
    <w:nsid w:val="440BADFC"/>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5"/>
    </w:lvl>
    <w:lvl w:ilvl="3">
      <w:lvlJc w:val="left"/>
      <w:lvlText w:val="(%4)"/>
      <w:numFmt w:val="lowerRoman"/>
      <w:start w:val="1"/>
    </w:lvl>
  </w:abstractNum>
  <w:abstractNum w:abstractNumId="30">
    <w:nsid w:val="5072367"/>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5"/>
    </w:lvl>
    <w:lvl w:ilvl="3">
      <w:lvlJc w:val="left"/>
      <w:lvlText w:val="(%4)"/>
      <w:numFmt w:val="lowerRoman"/>
      <w:start w:val="2"/>
    </w:lvl>
  </w:abstractNum>
  <w:abstractNum w:abstractNumId="31">
    <w:nsid w:val="3804823E"/>
    <w:multiLevelType w:val="hybridMultilevel"/>
    <w:lvl w:ilvl="0">
      <w:lvlJc w:val="left"/>
      <w:lvlText w:val="%1."/>
      <w:numFmt w:val="decimal"/>
      <w:start w:val="1"/>
    </w:lvl>
    <w:lvl w:ilvl="1">
      <w:lvlJc w:val="left"/>
      <w:lvlText w:val="(%2)"/>
      <w:numFmt w:val="lowerLetter"/>
    </w:lvl>
    <w:lvl w:ilvl="2">
      <w:lvlJc w:val="left"/>
      <w:lvlText w:val="%3."/>
      <w:numFmt w:val="upperLetter"/>
      <w:start w:val="1"/>
    </w:lvl>
  </w:abstractNum>
  <w:abstractNum w:abstractNumId="32">
    <w:nsid w:val="77465F0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33">
    <w:nsid w:val="7724C67E"/>
    <w:multiLevelType w:val="hybridMultilevel"/>
    <w:lvl w:ilvl="0">
      <w:lvlJc w:val="left"/>
      <w:lvlText w:val="(%1)"/>
      <w:numFmt w:val="lowerLetter"/>
      <w:start w:val="6"/>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5"/>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5"/>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2019-12-10T11:51:21Z</dcterms:created>
  <dcterms:modified xsi:type="dcterms:W3CDTF">2019-12-10T11:51:21Z</dcterms:modified>
</cp:coreProperties>
</file>