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2" w:lineRule="exact"/>
        <w:rPr>
          <w:sz w:val="24"/>
          <w:szCs w:val="24"/>
          <w:color w:val="auto"/>
        </w:rPr>
      </w:pPr>
    </w:p>
    <w:p>
      <w:pPr>
        <w:ind w:left="1240" w:hanging="1070"/>
        <w:spacing w:after="0"/>
        <w:tabs>
          <w:tab w:leader="none" w:pos="124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1"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10"/>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December 31, 2024</w:t>
            </w:r>
          </w:p>
        </w:tc>
      </w:tr>
      <w:tr>
        <w:trPr>
          <w:trHeight w:val="32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5"/>
              </w:rPr>
              <w:t>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600" w:type="dxa"/>
            <w:vAlign w:val="bottom"/>
            <w:gridSpan w:val="14"/>
          </w:tcPr>
          <w:p>
            <w:pPr>
              <w:ind w:left="142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tc>
      </w:tr>
      <w:tr>
        <w:trPr>
          <w:trHeight w:val="391"/>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23"/>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0"/>
        </w:trPr>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20" w:type="dxa"/>
            <w:vAlign w:val="bottom"/>
            <w:gridSpan w:val="10"/>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11"/>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8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23-2679963</w:t>
            </w: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90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0"/>
        </w:trPr>
        <w:tc>
          <w:tcPr>
            <w:tcW w:w="22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101 Lindenwood Drive, Suite 405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Malvern,</w:t>
            </w:r>
          </w:p>
        </w:tc>
        <w:tc>
          <w:tcPr>
            <w:tcW w:w="40" w:type="dxa"/>
            <w:vAlign w:val="bottom"/>
          </w:tcPr>
          <w:p>
            <w:pPr>
              <w:spacing w:after="0"/>
              <w:rPr>
                <w:sz w:val="24"/>
                <w:szCs w:val="24"/>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184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900" w:type="dxa"/>
            <w:vAlign w:val="bottom"/>
            <w:gridSpan w:val="9"/>
          </w:tcPr>
          <w:p>
            <w:pPr>
              <w:jc w:val="center"/>
              <w:ind w:right="19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21"/>
                <w:szCs w:val="21"/>
                <w:color w:val="auto"/>
              </w:rPr>
            </w:pPr>
          </w:p>
        </w:tc>
        <w:tc>
          <w:tcPr>
            <w:tcW w:w="17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72"/>
        </w:trPr>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(610) 989-0340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90"/>
        </w:trPr>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-1998980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CTLP</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4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2025, there were 73,034,575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EE"/>
        </w:rPr>
        <w:t>Part I - Financial Information</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Item</w:t>
      </w:r>
    </w:p>
    <w:p>
      <w:pPr>
        <w:spacing w:after="0" w:line="27" w:lineRule="exact"/>
        <w:rPr>
          <w:sz w:val="20"/>
          <w:szCs w:val="20"/>
          <w:color w:val="auto"/>
        </w:rPr>
      </w:pPr>
    </w:p>
    <w:p>
      <w:pPr>
        <w:ind w:left="1620" w:hanging="487"/>
        <w:spacing w:after="0"/>
        <w:tabs>
          <w:tab w:leader="none" w:pos="1620" w:val="left"/>
        </w:tabs>
        <w:numPr>
          <w:ilvl w:val="0"/>
          <w:numId w:val="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Condensed Consolidated Financial Statements</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December 31, 2024 (unaudited) and June 30,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December 31, 2024 and 2023 (unaudited)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December 31, 2024 and 2023</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98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Convertible Preferred Stock and Shareholders’ Equity - Three and Six Months ended</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December 31, 2024 and 2023 (unaudited)</w:t>
            </w:r>
          </w:p>
        </w:tc>
        <w:tc>
          <w:tcPr>
            <w:tcW w:w="13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gridSpan w:val="2"/>
          </w:tcPr>
          <w:p>
            <w:pPr>
              <w:spacing w:after="0"/>
              <w:rPr>
                <w:sz w:val="13"/>
                <w:szCs w:val="13"/>
                <w:color w:val="auto"/>
              </w:rPr>
            </w:pPr>
          </w:p>
        </w:tc>
        <w:tc>
          <w:tcPr>
            <w:tcW w:w="78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December 31, 2024 and 2023 (unaudited)</w:t>
            </w:r>
          </w:p>
        </w:tc>
        <w:tc>
          <w:tcPr>
            <w:tcW w:w="980" w:type="dxa"/>
            <w:vAlign w:val="bottom"/>
            <w:gridSpan w:val="4"/>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73"/>
              </w:rPr>
              <w:t>2.</w:t>
            </w:r>
          </w:p>
        </w:tc>
        <w:tc>
          <w:tcPr>
            <w:tcW w:w="360" w:type="dxa"/>
            <w:vAlign w:val="bottom"/>
          </w:tcPr>
          <w:p>
            <w:pPr>
              <w:spacing w:after="0"/>
              <w:rPr>
                <w:sz w:val="18"/>
                <w:szCs w:val="18"/>
                <w:color w:val="auto"/>
              </w:rPr>
            </w:pPr>
          </w:p>
        </w:tc>
        <w:tc>
          <w:tcPr>
            <w:tcW w:w="6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40" w:type="dxa"/>
            <w:vAlign w:val="bottom"/>
            <w:gridSpan w:val="6"/>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73"/>
              </w:rPr>
              <w:t>3.</w:t>
            </w:r>
          </w:p>
        </w:tc>
        <w:tc>
          <w:tcPr>
            <w:tcW w:w="360" w:type="dxa"/>
            <w:vAlign w:val="bottom"/>
          </w:tcPr>
          <w:p>
            <w:pPr>
              <w:spacing w:after="0"/>
              <w:rPr>
                <w:sz w:val="18"/>
                <w:szCs w:val="18"/>
                <w:color w:val="auto"/>
              </w:rPr>
            </w:pPr>
          </w:p>
        </w:tc>
        <w:tc>
          <w:tcPr>
            <w:tcW w:w="4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40" w:type="dxa"/>
            <w:vAlign w:val="bottom"/>
            <w:gridSpan w:val="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73"/>
              </w:rPr>
              <w:t>4.</w:t>
            </w:r>
          </w:p>
        </w:tc>
        <w:tc>
          <w:tcPr>
            <w:tcW w:w="360" w:type="dxa"/>
            <w:vAlign w:val="bottom"/>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EE"/>
        </w:rPr>
        <w:t>Part II - Other Information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Item</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tcPr>
          <w:p>
            <w:pPr>
              <w:spacing w:after="0"/>
              <w:rPr>
                <w:sz w:val="18"/>
                <w:szCs w:val="18"/>
                <w:color w:val="auto"/>
              </w:rPr>
            </w:pPr>
          </w:p>
        </w:tc>
        <w:tc>
          <w:tcPr>
            <w:tcW w:w="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0"/>
              </w:rPr>
              <w:t>1A.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540" w:type="dxa"/>
            <w:vAlign w:val="bottom"/>
            <w:gridSpan w:val="4"/>
          </w:tcPr>
          <w:p>
            <w:pPr>
              <w:spacing w:after="0"/>
              <w:rPr>
                <w:sz w:val="18"/>
                <w:szCs w:val="18"/>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9"/>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9"/>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260" w:type="dxa"/>
            <w:vAlign w:val="bottom"/>
            <w:gridSpan w:val="2"/>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2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0000EE"/>
                <w:w w:val="70"/>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Exhibits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22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3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177,774</w:t>
            </w:r>
          </w:p>
        </w:tc>
        <w:tc>
          <w:tcPr>
            <w:tcW w:w="0" w:type="dxa"/>
            <w:vAlign w:val="bottom"/>
          </w:tcPr>
          <w:p>
            <w:pPr>
              <w:spacing w:after="0"/>
              <w:rPr>
                <w:sz w:val="1"/>
                <w:szCs w:val="1"/>
                <w:color w:val="auto"/>
              </w:rPr>
            </w:pPr>
          </w:p>
        </w:tc>
      </w:tr>
      <w:tr>
        <w:trPr>
          <w:trHeight w:val="216"/>
        </w:trPr>
        <w:tc>
          <w:tcPr>
            <w:tcW w:w="8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78,895</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0" w:type="dxa"/>
            <w:vAlign w:val="bottom"/>
          </w:tcPr>
          <w:p>
            <w:pPr>
              <w:spacing w:after="0"/>
              <w:rPr>
                <w:sz w:val="1"/>
                <w:szCs w:val="1"/>
                <w:color w:val="auto"/>
              </w:rPr>
            </w:pPr>
          </w:p>
        </w:tc>
      </w:tr>
      <w:tr>
        <w:trPr>
          <w:trHeight w:val="243"/>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0" w:type="dxa"/>
            <w:vAlign w:val="bottom"/>
          </w:tcPr>
          <w:p>
            <w:pPr>
              <w:spacing w:after="0"/>
              <w:rPr>
                <w:sz w:val="1"/>
                <w:szCs w:val="1"/>
                <w:color w:val="auto"/>
              </w:rPr>
            </w:pPr>
          </w:p>
        </w:tc>
      </w:tr>
      <w:tr>
        <w:trPr>
          <w:trHeight w:val="216"/>
        </w:trPr>
        <w:tc>
          <w:tcPr>
            <w:tcW w:w="8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151,102</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385,782 and 385,782 issued and outstanding, with</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liquidation preferences of $23,011 and $22,722 at December 31, 2024 and June 30, 2024, respectively</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no par value, 640,000,000 shares authorized, 73,034,575 and 72,935,497 shares issued and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2024 and June 30, 2024, respectively</w:t>
            </w:r>
          </w:p>
        </w:tc>
        <w:tc>
          <w:tcPr>
            <w:tcW w:w="12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482,329</w:t>
            </w:r>
          </w:p>
        </w:tc>
        <w:tc>
          <w:tcPr>
            <w:tcW w:w="0" w:type="dxa"/>
            <w:vAlign w:val="bottom"/>
          </w:tcPr>
          <w:p>
            <w:pPr>
              <w:spacing w:after="0"/>
              <w:rPr>
                <w:sz w:val="1"/>
                <w:szCs w:val="1"/>
                <w:color w:val="auto"/>
              </w:rPr>
            </w:pPr>
          </w:p>
        </w:tc>
      </w:tr>
      <w:tr>
        <w:trPr>
          <w:trHeight w:val="27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(300,459)</w:t>
            </w:r>
          </w:p>
        </w:tc>
        <w:tc>
          <w:tcPr>
            <w:tcW w:w="0" w:type="dxa"/>
            <w:vAlign w:val="bottom"/>
          </w:tcPr>
          <w:p>
            <w:pPr>
              <w:spacing w:after="0"/>
              <w:rPr>
                <w:sz w:val="1"/>
                <w:szCs w:val="1"/>
                <w:color w:val="auto"/>
              </w:rPr>
            </w:pPr>
          </w:p>
        </w:tc>
      </w:tr>
      <w:tr>
        <w:trPr>
          <w:trHeight w:val="270"/>
        </w:trPr>
        <w:tc>
          <w:tcPr>
            <w:tcW w:w="8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303,045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062" w:right="339"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062" w:right="339" w:bottom="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9"/>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9"/>
                <w:szCs w:val="19"/>
                <w:color w:val="auto"/>
              </w:rPr>
            </w:pPr>
          </w:p>
        </w:tc>
      </w:tr>
      <w:tr>
        <w:trPr>
          <w:trHeight w:val="37"/>
        </w:trPr>
        <w:tc>
          <w:tcPr>
            <w:tcW w:w="5680" w:type="dxa"/>
            <w:vAlign w:val="bottom"/>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111,164</w:t>
            </w: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128,042</w:t>
            </w:r>
          </w:p>
        </w:tc>
      </w:tr>
      <w:tr>
        <w:trPr>
          <w:trHeight w:val="196"/>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 (exclusive of certain depreciation and amortization):</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w:t>
            </w: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w:t>
            </w: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79,398</w:t>
            </w:r>
          </w:p>
        </w:tc>
      </w:tr>
      <w:tr>
        <w:trPr>
          <w:trHeight w:val="19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42,304</w:t>
            </w:r>
          </w:p>
        </w:tc>
      </w:tr>
      <w:tr>
        <w:trPr>
          <w:trHeight w:val="216"/>
        </w:trPr>
        <w:tc>
          <w:tcPr>
            <w:tcW w:w="5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r>
      <w:tr>
        <w:trPr>
          <w:trHeight w:val="19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19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196"/>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to compute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share applicable to common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73,114,387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72,743,162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73,091,622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72,730,563</w:t>
            </w: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74,733,608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73,913,599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74,358,717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73,934,917</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995" w:right="3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145"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9"/>
                <w:szCs w:val="19"/>
                <w:color w:val="auto"/>
              </w:rPr>
            </w:pPr>
          </w:p>
        </w:tc>
      </w:tr>
      <w:tr>
        <w:trPr>
          <w:trHeight w:val="37"/>
        </w:trPr>
        <w:tc>
          <w:tcPr>
            <w:tcW w:w="568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7"/>
                <w:szCs w:val="17"/>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w w:val="98"/>
              </w:rPr>
              <w:t>4,974</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16"/>
        </w:trPr>
        <w:tc>
          <w:tcPr>
            <w:tcW w:w="5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left="318"/>
              <w:spacing w:after="0"/>
              <w:rPr>
                <w:sz w:val="20"/>
                <w:szCs w:val="20"/>
                <w:color w:val="auto"/>
              </w:rPr>
            </w:pPr>
            <w:r>
              <w:rPr>
                <w:rFonts w:ascii="Times New Roman" w:cs="Times New Roman" w:eastAsia="Times New Roman" w:hAnsi="Times New Roman"/>
                <w:sz w:val="18"/>
                <w:szCs w:val="18"/>
                <w:color w:val="auto"/>
                <w:w w:val="98"/>
              </w:rPr>
              <w:t>(1,818)</w:t>
            </w:r>
          </w:p>
        </w:tc>
        <w:tc>
          <w:tcPr>
            <w:tcW w:w="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w w:val="98"/>
              </w:rPr>
              <w:t>(1,629)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8"/>
                <w:szCs w:val="18"/>
                <w:color w:val="auto"/>
                <w:w w:val="98"/>
              </w:rPr>
              <w:t>(1,818)</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8"/>
                <w:szCs w:val="18"/>
                <w:color w:val="auto"/>
                <w:w w:val="98"/>
              </w:rPr>
              <w:t>(1,629)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w w:val="98"/>
              </w:rPr>
              <w:t>3,156</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1780" w:type="dxa"/>
            <w:vAlign w:val="bottom"/>
            <w:tcBorders>
              <w:right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9"/>
                <w:szCs w:val="19"/>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20" w:type="dxa"/>
            <w:vAlign w:val="bottom"/>
            <w:gridSpan w:val="3"/>
            <w:vMerge w:val="restart"/>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4"/>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0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72,935,497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72,986,172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483,052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186,230</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0" w:type="dxa"/>
            <w:vAlign w:val="bottom"/>
          </w:tcPr>
          <w:p>
            <w:pPr>
              <w:spacing w:after="0"/>
              <w:rPr>
                <w:sz w:val="1"/>
                <w:szCs w:val="1"/>
                <w:color w:val="auto"/>
              </w:rPr>
            </w:pPr>
          </w:p>
        </w:tc>
      </w:tr>
      <w:tr>
        <w:trPr>
          <w:trHeight w:val="234"/>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73,034,575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Three and Six Months Ended December 31, 2023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840" w:type="dxa"/>
            <w:vAlign w:val="bottom"/>
            <w:gridSpan w:val="5"/>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1780" w:type="dxa"/>
            <w:vAlign w:val="bottom"/>
            <w:tcBorders>
              <w:right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60" w:type="dxa"/>
            <w:vAlign w:val="bottom"/>
          </w:tcPr>
          <w:p>
            <w:pPr>
              <w:spacing w:after="0"/>
              <w:rPr>
                <w:sz w:val="20"/>
                <w:szCs w:val="20"/>
                <w:color w:val="auto"/>
              </w:rPr>
            </w:pPr>
          </w:p>
        </w:tc>
        <w:tc>
          <w:tcPr>
            <w:tcW w:w="1860" w:type="dxa"/>
            <w:vAlign w:val="bottom"/>
            <w:gridSpan w:val="4"/>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20" w:type="dxa"/>
            <w:vAlign w:val="bottom"/>
            <w:gridSpan w:val="3"/>
            <w:vMerge w:val="restart"/>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080" w:type="dxa"/>
            <w:vAlign w:val="bottom"/>
          </w:tcPr>
          <w:p>
            <w:pPr>
              <w:jc w:val="center"/>
              <w:ind w:right="6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72,664,464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72,695,265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479,332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168,887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35"/>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72,739,058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173,096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54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20" w:right="2980"/>
        <w:spacing w:after="0" w:line="360" w:lineRule="auto"/>
        <w:rPr>
          <w:sz w:val="20"/>
          <w:szCs w:val="20"/>
          <w:color w:val="auto"/>
        </w:rPr>
      </w:pPr>
      <w:r>
        <w:rPr>
          <w:rFonts w:ascii="Times New Roman" w:cs="Times New Roman" w:eastAsia="Times New Roman" w:hAnsi="Times New Roman"/>
          <w:sz w:val="18"/>
          <w:szCs w:val="18"/>
          <w:color w:val="auto"/>
        </w:rPr>
        <w:t>Payment of employee taxes related to stock-based compensation 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0548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340" w:hanging="1429"/>
        <w:spacing w:after="0"/>
        <w:tabs>
          <w:tab w:leader="none" w:pos="2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w:t>
      </w:r>
    </w:p>
    <w:p>
      <w:pPr>
        <w:spacing w:after="0" w:line="9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63" w:lineRule="exact"/>
        <w:rPr>
          <w:sz w:val="20"/>
          <w:szCs w:val="20"/>
          <w:color w:val="auto"/>
        </w:rPr>
      </w:pPr>
    </w:p>
    <w:p>
      <w:pPr>
        <w:ind w:left="2500" w:hanging="1589"/>
        <w:spacing w:after="0"/>
        <w:tabs>
          <w:tab w:leader="none" w:pos="2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748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0" w:lineRule="exact"/>
        <w:rPr>
          <w:sz w:val="20"/>
          <w:szCs w:val="20"/>
          <w:color w:val="auto"/>
        </w:rPr>
      </w:pPr>
    </w:p>
    <w:p>
      <w:pPr>
        <w:ind w:left="2340" w:hanging="1429"/>
        <w:spacing w:after="0"/>
        <w:tabs>
          <w:tab w:leader="none" w:pos="2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59"/>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50,927</w:t>
            </w:r>
          </w:p>
        </w:tc>
      </w:tr>
      <w:tr>
        <w:trPr>
          <w:trHeight w:val="270"/>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40" w:space="720"/>
            <w:col w:w="2760"/>
          </w:cols>
          <w:pgMar w:left="320" w:top="995" w:right="4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27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7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2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0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120"/>
          </w:cols>
          <w:pgMar w:left="320" w:top="995" w:right="4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Cantaloupe, Inc. and its consolidated subsidiaries are referred to herein collectively as "Cantaloupe," the "Company," "we," "our" or "us," unless the context requires otherwise.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Preparation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transactions and balances have been eliminated in consolidation.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generally accepted accounting principles in the United States of America ("U.S. GAAP")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2024 Annual Report on Form 10-K.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legal entities are based in the United States, Mexico and the United Kingdom. The functional currencies of our foreign wholly-owned subsidiaries are the local currencies. We translate the financial statements of these subsidiaries into U.S. dollars each reporting period for purposes of consolidation.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assumptions and judgments that affect the amounts reported in the condensed consolidated financial statements and accompanying notes. The Company evaluates these estimates on an ongoing basis.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Estimates, judgments, and assumptions in these condensed consolidated financial statements include, but are not limited to, those related to revenue recognition, capitalization of internal-use software and cloud computing arrangements, fair value of acquired assets and liabilities including goodwill through purchase accounting, income taxes and sales tax reserves. See the Company's Annual Report,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section Critical Accounting Estimates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year's reported amounts in order to conform to the current year presentation. These reclassifications did not impact our previously reported net income or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which expands income tax disclosure requirements to include additional information related to the rate reconciliation of effective tax rates to statutory rates as well as additional disaggregation of taxes</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paid. The amendments in the ASU also remove disclosures related to certain unrecognized tax benefits and deferred taxes. ASU 2023-09 is effective for fiscal years beginning after December 15, 2024, which is the Company's fiscal year ended June 30, 2026. The amendments may be applied prospectively or retrospectively, and early adoption is permitted. We are currently assessing the impact of the requirements on our consolidated financial statements and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which is the Company's fiscal year ended June 30, 2025. Interim disclosures are required for periods within fiscal years beginning after December 15, 2024, which is the Company's fiscal year ended June 30, 2026. Retrospective application is required for all prior periods presented, and early adoption is permitted. We are currently assessing the impact of the requirements on our consolidated financial statements and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periods within annual reporting periods beginning after December 15, 2027. The requirements will be applied prospectively with the option for retrospective application. The Company is currently evaluating the impact that the adoption of this accounting standard will have on its financial disclosures.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period ended December 31, 2024, have had or are expected to have a significant impact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$29.1 million as of December 31, 2024 and $43.8 million as of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credit losses for the six months ended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8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34"/>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September 30</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34"/>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FINANCE RECEIVABLES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finance receivables consist of devices under its financing program. Predominately all of the Company’s finance receivables agreements are classified as non-cancellable sixty-month sales-type leases.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The Company collects lease payments from customers primarily as part of the flow of funds from our transaction processing services. Balances are considered past due if customers do not have sufficient transaction revenue to cover the monthly lease payment by the end of the monthly billing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six months ended December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37"/>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7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 30</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7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8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write-offs of finance receivables for the six months ended December 31, 2024 and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w:t>
            </w:r>
          </w:p>
        </w:tc>
      </w:tr>
      <w:tr>
        <w:trPr>
          <w:trHeight w:val="229"/>
        </w:trPr>
        <w:tc>
          <w:tcPr>
            <w:tcW w:w="9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9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allowance for uncollectible receivables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48"/>
        </w:trPr>
        <w:tc>
          <w:tcPr>
            <w:tcW w:w="9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operating leases which are real estate leases used for corporate functions, product development, sales, and other purposes. The following table provides supplemental balance sheet information related to the Company's operating leases: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5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0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70"/>
        </w:trPr>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7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500" w:type="dxa"/>
            <w:vAlign w:val="bottom"/>
          </w:tcPr>
          <w:p>
            <w:pPr>
              <w:jc w:val="right"/>
              <w:ind w:right="13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7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6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60" w:type="dxa"/>
            <w:vAlign w:val="bottom"/>
          </w:tcPr>
          <w:p>
            <w:pPr>
              <w:spacing w:after="0"/>
              <w:rPr>
                <w:sz w:val="22"/>
                <w:szCs w:val="22"/>
                <w:color w:val="auto"/>
              </w:rPr>
            </w:pPr>
          </w:p>
        </w:tc>
        <w:tc>
          <w:tcPr>
            <w:tcW w:w="1500" w:type="dxa"/>
            <w:vAlign w:val="bottom"/>
            <w:tcBorders>
              <w:bottom w:val="single" w:sz="8" w:color="auto"/>
            </w:tcBorders>
          </w:tcPr>
          <w:p>
            <w:pPr>
              <w:jc w:val="right"/>
              <w:ind w:right="13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r>
      <w:tr>
        <w:trPr>
          <w:trHeight w:val="20"/>
        </w:trPr>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80" w:type="dxa"/>
            <w:vAlign w:val="bottom"/>
          </w:tcPr>
          <w:p>
            <w:pPr>
              <w:spacing w:after="0"/>
              <w:rPr>
                <w:sz w:val="13"/>
                <w:szCs w:val="13"/>
                <w:color w:val="auto"/>
              </w:rPr>
            </w:pPr>
          </w:p>
        </w:tc>
        <w:tc>
          <w:tcPr>
            <w:tcW w:w="14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20" w:type="dxa"/>
            <w:vAlign w:val="bottom"/>
          </w:tcPr>
          <w:p>
            <w:pPr>
              <w:spacing w:after="0"/>
              <w:rPr>
                <w:sz w:val="16"/>
                <w:szCs w:val="16"/>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8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138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as of December 31, 2024 are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gridSpan w:val="2"/>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Lessor Accounting</w:t>
            </w: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used for the Cantaloupe One operating lease rental program consisted of the following:</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0" w:type="dxa"/>
            <w:vAlign w:val="bottom"/>
          </w:tcPr>
          <w:p>
            <w:pPr>
              <w:spacing w:after="0"/>
              <w:rPr>
                <w:sz w:val="1"/>
                <w:szCs w:val="1"/>
                <w:color w:val="auto"/>
              </w:rPr>
            </w:pPr>
          </w:p>
        </w:tc>
      </w:tr>
      <w:tr>
        <w:trPr>
          <w:trHeight w:val="24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2024 and 2023, the Company recognized $2.2 million and $2.0 million of revenue from its device rental program, respectively, which is included in the Subscription and Transaction fees on its Condensed Consolidated Statements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2024 and 2023, the Company recognized $4.5 million and $4.0 million of revenue from its device rental program, respectively, which is included in the Subscription and Transaction fees on its Condensed Consolidated Statements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net investment in sales-type leases (carrying value of lease receivables) and the future minimum amounts to be collected on these lease receivables as of December 31, 2024 are disclosed within </w:t>
      </w:r>
      <w:r>
        <w:rPr>
          <w:rFonts w:ascii="Times New Roman" w:cs="Times New Roman" w:eastAsia="Times New Roman" w:hAnsi="Times New Roman"/>
          <w:sz w:val="18"/>
          <w:szCs w:val="18"/>
          <w:i w:val="1"/>
          <w:iCs w:val="1"/>
          <w:color w:val="auto"/>
        </w:rPr>
        <w:t>Note 4 - Finance Receivables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AND OTHER FINANCING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December 31, 2024 and June 30, 2024 consisted of the following:</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7"/>
                <w:szCs w:val="17"/>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37,550</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discussion below on amendment to the JPMorgan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Credit Facility</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secured term facility (the “Amended Secured Term Facility” and together with the Amended Revolving Facility, the “Amended JPMorgan Credit Facility”), and fully replaced our previous 2021 JPMorgan credit facility.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2022, the Company entered into an amendment to the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No issuance costs were capitalized in connection with this amendment. As of December 31, 2024, the weighted-average interest rate for the Amended JPMorgan Credit Facility is approximately 8.7%.</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 The Company was in compliance with its financial covenants for the Amended JPMorgan Credit Facility as of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16 - Subsequent Events</w:t>
      </w:r>
      <w:r>
        <w:rPr>
          <w:rFonts w:ascii="Times New Roman" w:cs="Times New Roman" w:eastAsia="Times New Roman" w:hAnsi="Times New Roman"/>
          <w:sz w:val="18"/>
          <w:szCs w:val="18"/>
          <w:color w:val="auto"/>
        </w:rPr>
        <w:t xml:space="preserve"> for information on the refinancing of the JPMorgan Credit Facility that occurred in January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2024 and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7"/>
                <w:szCs w:val="17"/>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withheld for acquisitions - 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48"/>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Note 9 - Acquisitions</w:t>
      </w:r>
      <w:r>
        <w:rPr>
          <w:rFonts w:ascii="Times New Roman" w:cs="Times New Roman" w:eastAsia="Times New Roman" w:hAnsi="Times New Roman"/>
          <w:sz w:val="16"/>
          <w:szCs w:val="16"/>
          <w:color w:val="auto"/>
        </w:rPr>
        <w:t xml:space="preserve"> for a description of the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6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3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 names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6,758</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17,359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24,626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2024, the Company recognized $1.5 million and $2.7 million, respectively, in amortization expense related to intangible assets.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2023, the Company recognized $1.4 million and $3.0 million, respectively, in amortization expense related to intangible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might be impaired. The Company has determined that there is one single reporting unit for purposes of testing goodwill for impairment. During the six months ended December 31, 2024 and December 31, 2023, the Company did not recognize any impairment charges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2024, the Company acquired all of the equity interests of SB Software Limited ("SB Software"), a United Kingdom private limited company. SB Software is in the business of vending and coffee machine management in the United Kingdom. The acquisition enhances Cantaloupe’s operational capabilities and market reach in Europe.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the Company acquired all of the equity interests of Cheq Lifestyle Technology, Inc. ("Cheq"). Cheq powers payments for numerous professional sports teams, entertainment venues and festival operators through its enterprise-grade payment devices and mobile ordering platform. The acquisition positions Cantaloupe for expansion into the large and rapidly growing sports, entertainment, and restaurant sectors with a comprehensive suite of self-service solutions.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acquisitions were accounted for as business combinations using the acquisition method of accounting. The purchase price of each acquired company was allocated between tangible and intangible assets acquired and liabilities assumed from the acquired businesses based on their estimated fair values using primarily Level 3 inputs under ASC Topic 820, "Fair Value Measurement", with the residual of the purchase price recorded as goodwill.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SB Software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SB Software, the Company paid a purchase price of approximately $11.4 million which includes cash paid of $10.0 million and the estimated fair value of contingent consideration of $1.4 million. The acquisition was funded by the Company's cash on hand.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$1.4 million fair value of the contingent consideration represents the present value of up to $3.3 million in contingent consideration based on a Monte Carlo Simulation should SB Software achieve certain revenue growth targets as defined in the share purchase agreement. Should these targets be achieved, approximately $1.3 million, $1.0 million and $1.0 million, denominated in British Pounds, will be payable in September 2025, September 2026 and September 2027, respectively. Should the targets be achieved, the Company may choose to pay this contingent consideration in either cash or common stock valued based on the average stock price for the 10 trading days preceding the release of these shares. As of December 31, 2024, the current and noncurrent portions of the fair value of the contingent consideration of $0.5 million and $0.8 million are included in Accrued expenses and Other non-current liabilities on the Condensed Consolidated Balance Sheet,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assigned to the assets acquired and liabilities assumed: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estimated fair value of the identifiable intangible assets acquired with the assistance of third-party valuation consultants. Amounts allocated to identifiable intangible assets included $3.0 million related to developed technology, $0.2 million related to customer relationships, and $0.1 million related to trade names. The estimated fair value of the acquired developed technology was determined using a multi-period excess earnings method. The estimated fair value of the acquired customer relationships was determined using the distributor method which estimates the value using the cash flow impact in a scenario where the customer relationships are not in place. The estimated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 trade names were 5, 3 and 3 years, respectively.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of $7.8 million arising from the acquisition includes the expected synergies between SB Software and the Company. Goodwill, which is not deductible for income tax purposes, was assigned to the Company’s only reporting unit.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$0.2 million of integration and acquisition related costs that were expensed during the six months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Integration and acquisition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is currently provisional and is subject to change over the remainder of the measurement period as the Company continues to evaluate and analyze the estimates and assumptions used in the valuation. For the quarter ended December 31, 2024, certain immaterial adjustments were made the allocation of the purchase price. Pro forma financial information of the acquisition and revenue and net income since acquisition are not presented due to the immaterial impact of the financial results of SB Software in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Cheq, the Company paid an aggregate purchase price consideration of $4.7 million, including $1.1 million in accounts payable paid concurrently with the acquisition and $0.9 million cash held back by the Company for net working capital and other post-closing adjustments. The acquisition was funded by the Company's cash on hand. Cash held back by the Company is expected to be paid during the quarter ended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adjusted fair value assigned to the assets acquired and liabilities assumed: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considerations transferred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 trade names were 5, 3 and 3 years, respectively.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$2.0 million arising from the acquisition includes the expected synergies between Cheq and the Company. Goodwill, which is not deductible for income tax purposes, was assigned to the Company’s only reporting unit.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purchase price is currently provisional and is subject to change over the remainder of the measurement period as the Company continues to evaluate and analyze the estimates and assumptions used in the valuation. For the quarter ended December 31, 2024, there were no adjustments made the allocation of the purchase price. Pro forma financial information of the acquisition and revenue and net income since acquisition are not presented due to the immaterial impact of the financial results of Cheq in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revenues are disaggregated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r>
      <w:tr>
        <w:trPr>
          <w:trHeight w:val="194"/>
        </w:trPr>
        <w:tc>
          <w:tcPr>
            <w:tcW w:w="4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6"/>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74,922</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36,242</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111,164</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and is included in Subscription and transaction fees in the Consolidated Statement of Operations and Subscription fees in the table above. As described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4 - Finance Receivables</w:t>
      </w:r>
      <w:r>
        <w:rPr>
          <w:rFonts w:ascii="Times New Roman" w:cs="Times New Roman" w:eastAsia="Times New Roman" w:hAnsi="Times New Roman"/>
          <w:sz w:val="18"/>
          <w:szCs w:val="18"/>
          <w:color w:val="auto"/>
        </w:rPr>
        <w:t>, the Company leases equipment under sales-type finance leases in accordance with ASC 842.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earned under ASC Topic 842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r>
      <w:tr>
        <w:trPr>
          <w:trHeight w:val="196"/>
        </w:trPr>
        <w:tc>
          <w:tcPr>
            <w:tcW w:w="4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Sales-type leases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Subscription and transaction fees in the Consolidated Statement of Operations and Subscription fees in the disaggregated revenue table above. Sales-type finance leases are included in Equipment sales in the Consolidated Statement of Operations and in the disaggregated revenue table above.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represent revenues earned from customers that are not yet billable to customers, generally due to the timing of when equipment and services are delivered to customers on bundled contracts, or as a result of contract costs as described below. Contract assets that will be billed within the next 12 months are included in Prepaid expenses and other current assets and all others are included in Other assets on the Condensed Consolidated Balance Sheets. Contract assets were $2.4 million and $2.6 million, as of December 31, 2024 and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liability balances, presented as Deferred revenue on the Condensed Consolidated Balance Sheets, is primarily the result of timing difference between the Company’s satisfaction of a performance obligation and payment from the customer.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(reversals)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7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4"/>
        </w:trPr>
        <w:tc>
          <w:tcPr>
            <w:tcW w:w="7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7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Operating Lease Payment Receipts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9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net capitalized costs to obtain contracts of $1.0 million and $0.9 million included in Prepaid expenses and other current assets and $2.3 million and $2.4 million included in Other noncurrent assets on the Condensed Consolidated Balance Sheets as of December 31, 2024 and June 30, 2024, respectively. None of these capitalized contract costs were impaired.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December 31, 2024, amortization of capitalized contract costs was $0.2 million and $0.5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December 31, 2023, amortization of capitalized contract costs was $0.2 million and $0.5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costs to obtain a contract are included within Sales and marketing expenses within the Condensed Consolidated Statement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during the six months ended December 31, 2024 and 2023 were determined using the following assumptions and includes only options with an established grant date under ASC 718: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2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- 69.7%</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4.2 - 4.5</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(percent)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125,000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7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6.35</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7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w:t>
            </w:r>
          </w:p>
        </w:tc>
        <w:tc>
          <w:tcPr>
            <w:tcW w:w="8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stock options with an established grant date for the three months ended December 31, 2024 and 2023 was $0.2 million and $0.7 million, respectively. Stock-based compensation related to stock options with an established grant date for the six months ended December 31, 2024 and 2023 was $0.7 million and $1.8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service based restricted stock awards to employees. The Company determines expense related to restricted stock awards using the closing stock price on the grant date and these awards are expensed under the accelerated attribution method over the vesting period which is typically a three-year service period. The total expense recognized for restricted stock awards for the three months ended December 31, 2024 and 2023 was $0.7 million and $0.6 million, respectively. The total expense recognized for restricted stock awards for both the six months ended December 31, 2024 and 2023 was $1.1 million.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awarded performance stock awards to certain executives which vest each year over a three year period. These stock awards are also subject to the achievement of performance goals established by the Company's Board of Directors each fiscal year. During the three and six months ended December 31, 2024, total expense recognized by the Company for these awards was $0.1 million. There was no expense recognized by the Company during the three and six months ended December 31, 2023 related to performance based stock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its interim period income tax expense or benefit using a forecasted estimated annual effective tax rate ("EAETR") and adjusts for any discrete items arising during the interim period and any changes in the Company's projected full-year business interest expense and taxable income. For both the three and six months ended December 31, 2024, the EAETR was 5.0%, and was based primarily on minimum state tax obligations.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December 31, 2024, the Company recorded an income tax provision of $0.4 million and $0.6 million, respectively. For the three and six months ended December 31, 2023, the Company recorded an income tax provision of $0.1 million and $0.2 million, respectively. The income tax provisions for both quarters primarily relate to state income and deferred taxes related to goodwill amortization for tax purposes. The provision was based upon actual income before income taxes for the six months ended December 31, 2024, as this provided a more reliable estimate of the income tax provision than an estimated annual effective income tax rate. The Company had a total unrecognized income tax benefit of $0.7 million and $0.7 million as of December 31, 2024 and 2023, respectively.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The Company believes that for the period ended December 31, 2024, it is more likely than not that its deferred tax assets will not be realized. Accordingly, the Company has established a full valuation allowance on its net deferred tax assets. The Company intends to continue maintaining a full valuation allowance on its federal and state deferred tax assets until there is sufficient evidence to support the reversal of all or some portion of this allowance. However, given the Company’s current earnings and anticipated future earnings, the Company believes that there is a reasonable possibility in a future period that sufficient positive evidence may become available to allow the Company to reach a conclusion that a significant portion of the valuation allowance will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EARNINGS PER SHARE CALCULATION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per share is presented below:</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4"/>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3,124</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50"/>
        </w:trPr>
        <w:tc>
          <w:tcPr>
            <w:tcW w:w="8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73,114,387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72,743,162</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1,619,221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1,170,437</w:t>
            </w:r>
          </w:p>
        </w:tc>
      </w:tr>
      <w:tr>
        <w:trPr>
          <w:trHeight w:val="26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74,733,608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73,913,599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598"/>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4"/>
        </w:trPr>
        <w:tc>
          <w:tcPr>
            <w:tcW w:w="8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5,131</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(289)</w:t>
            </w:r>
          </w:p>
        </w:tc>
      </w:tr>
      <w:tr>
        <w:trPr>
          <w:trHeight w:val="263"/>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50"/>
        </w:trPr>
        <w:tc>
          <w:tcPr>
            <w:tcW w:w="8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73,091,622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72,730,563</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1,267,095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1,204,354</w:t>
            </w:r>
          </w:p>
        </w:tc>
      </w:tr>
      <w:tr>
        <w:trPr>
          <w:trHeight w:val="26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74,358,717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73,934,917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bl>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earnings per share were approximately 1.5 million and 1 million for the six months ended December 31, 2024 and 2023, respectively.</w:t>
      </w: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 We do not expect any claims with a reasonably possible adverse outcome to have a material impact on us, and, accordingly, have not accrued for any material claims.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The total expense recognized within General and administrative operating expenses for these arrangements was $0.1 million for the six months ended December 31, 2024 and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31, 2025 (the "Closing Date", Cantaloupe, Inc. (the “Company”), entered into a second amended and restated credit agreement (the “2025 Credit Facility”) among the Company, as the borrower, certain of its subsidiaries, as guarantors, and JPMorgan Chase Bank, N.A., as a lender and the administrative agent, and Capital One, National Association as a lender.</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2025 Credit Facility provides for a $30 million secured revolving credit facility (the "2025 Revolving Facility"), a $40 million secured term loan facility (the "2025 Term Loan Facility") and a $30 million secured delayed draw term loan facility (the "Delayed Draw Term Loan Facility"), for a total of $100 million. Proceeds from the 2025 Term Loan Facility were used to repay borrowings under the Company's prior JPMorgan Credit Facility described in </w:t>
      </w:r>
      <w:r>
        <w:rPr>
          <w:rFonts w:ascii="Times New Roman" w:cs="Times New Roman" w:eastAsia="Times New Roman" w:hAnsi="Times New Roman"/>
          <w:sz w:val="18"/>
          <w:szCs w:val="18"/>
          <w:i w:val="1"/>
          <w:iCs w:val="1"/>
          <w:color w:val="auto"/>
        </w:rPr>
        <w:t>Note 6, Debt and Other Financing Arrangements</w:t>
      </w:r>
      <w:r>
        <w:rPr>
          <w:rFonts w:ascii="Times New Roman" w:cs="Times New Roman" w:eastAsia="Times New Roman" w:hAnsi="Times New Roman"/>
          <w:sz w:val="18"/>
          <w:szCs w:val="18"/>
          <w:color w:val="auto"/>
        </w:rPr>
        <w:t>, which had total remaining net borrowings of $37.3 million, inclusive of accrued interest 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The remaining proceeds from the 2025 Credit Facility may be otherwise used to finance working capital needs and for general corporate purposes (including permitted acquisitions and investments). The 2025 Delayed Draw Facility is available for a period of up to 24 months following the Closing Date. The Company has not borrowed against the 2025 Revolving Facility or the Delayed Draw Term Loan Facility.</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on the 2025 Credit Facility will be based, at the Company’s option, on a base rate or SOFR plus an applicable margin tied to the Company’s total net leverage ratio and having ranges between 1.75% and 2.50% for base rate loans and between 2.75% to 3.50% for SOFR loans; provided that, until the third business day following the date of delivery of the quarterly consolidated financial statements for fiscal quarter ending December 31, 2024, the applicable margin shall be 1.75% for base rate loans and 2.75% for SOFR loans. The 2025 Revolving Facility will also carry an unused commitment fee tied to the Company's total net leverage ratio between 0.25% to 0.40% per annum. In an event of default, the interest rate may be increased by 2.00%.</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Facility matures on January 31, 2030. Principal in respect of the 2025 Term Loan Facility is payable with 5.0% due in year one and year two, 7.5% due in year three and year 4, 10% due in year 5, and the remainder payable upon maturity. To the extent funded, principal in respect of the Delayed Draw Term Loan Facility will be payable on the same terms as the 2025 Term Loan Facility.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2025 Credit Agreement are unconditionally guaranteed, jointly and severally, by the Company’s material direct and indirect wholly-owned domestic and foreign subsidiaries (the “Guarantors”). All obligations of the Company and the Guarantors under the 2025 Credit Agreement are secured by first priority security interests in substantially all of the assets of the Company and the Guarantors.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Facility includes customary representations, warranties and covenants, and acceleration, indemnity and events of default provisions, including, among other things, two financial covenants. The first financial covenant requires the Company to maintain a total leverage ratio of not more than 3.50 to 1.00 on the last day of any fiscal quarter. However, if a material acquisition occurs, the Company is required to maintain a total leverage ratio not greater than 4.00 to 1.00 on the last day of the fiscal quarter for the next four fiscal quarters following the material acquisition. The second financial covenant requires the Company to maintain a fixed charge coverage ratio for all periods of four consecutive fiscal quarters at least than 1.15 to 1.00.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$0.6 million in transaction fees plus certain legal expenses in connection with the execution of the Secured Credit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the condensed consolidated financial statements and related notes included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elevated interest rates, supply chain disruptions, financial institution disruptions, geopolitical conflicts, public health emergencies, and declines in consumer confidence and discretionary spending;</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debt facilities;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rules and regulations applicable to our business operations and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other card payment processors, software and manufacturing partners upon whom we rely;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our transaction processing and related services, as our customer agreements are generally cancellable by the customer with thirty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develop relevant technology offerings for current, new and potential customers and partners;</w:t>
      </w:r>
    </w:p>
    <w:p>
      <w:pPr>
        <w:spacing w:after="0" w:line="15"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expansion into and our operations in Europe, Mexico and other foreign markets, including general economic conditions, policy changes affecting international trade (including the imposition of new tariffs by the new presidential administration, or changes and adjustments to existing tariffs),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9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personnel, or our loss of the services of our key executives;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and retain key existing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cyber-attacks and data breaches;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and to timely file periodic and current reports with the Securities and Exchange Commission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for the fiscal year ended June 30, 2024.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Unless required by law, we undertake no obligation to publicly revise any forward-looking statement to reflect circumstances or events after the date of this Quarterly Report or to reflect the occurrence of unanticipated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customers in the United States, United Kingdom, Mexico, European Union countries, Australia, and Canada.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streams consist of subscription, transaction processing and equipment sales. During the three and six months ended December 31, 2024, we derived approximately 88% and 89%, respectively, from subscription and transaction fees, and 12% and 11%, respectively, from equipment sales. Our revenue streams consist of subscription, transaction processing and equipment sales. During the three and six months ended December 31, 2023, we derived approximately 86% and 87%, respectively, from subscription and transaction fees, and 14% and 13%, respectively, from equipment sales.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hardware directly from the Company or one of its authorized resellers;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hardware under the Company’s financing program, which are non-cancellable 60-month sales-type leases;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Cantaloupe One program, which are typically 36-months duration agreements.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during the Quarter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quarter ended December 31, 2024 are below:</w:t>
      </w:r>
    </w:p>
    <w:p>
      <w:pPr>
        <w:spacing w:after="0" w:line="25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launched our AdVantage program, which allows brands to engage with consumers through digital advertising on our point-of-sale (POS) touchscreen devices across the U.S. and Canada.</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launched Smart Store. These are advanced, self-service retail solutions designed to address key issues such as labor shortages, theft and shrinkage, while maintaining a seamless consumer experience. Smart Stores work by unlocking after a customer presents payment at the POS. The customer then grabs the items, which are added to their cart, then completes the purchase by pressing "Pay" and walking away.</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were selected by the San Jose Earthquakes, a Major League Soccer club, to be the POS technology solution and Cantaloupe’s Suites premium management system for all games and events at the stadium.</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have approximately 348 full-time employees in the United States, United Kingdom, and Mexico and offices in Malvern, Pennsylvania; Atlanta, Georgia; River Falls, Wisconsin; Seattle, Washington; Birmingham and Sheffield, United Kingdom; and Mexico City,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related notes included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operating metrics (Active Devices, Active Customers, Total Number of Transactions and Total Dollar Volume of Transactions, and Average Revenue Per Unit, Gross Profit, and Gross Margin) and certain non-GAAP financial measures (Adjusted Gross Profit, Adjusted Gross Margin, and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and Dollar Volume of transactions to evaluate the effectiveness of our customer acquisition strategies and our ability to leverage existing customers and partners.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Unit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average revenue per unit ("ARPU") as our total subscription and transaction fees for the trailing 12 months divided by average total active devices for the trailing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tables represents our selected operating metrics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gridSpan w:val="5"/>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4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1"/>
                <w:szCs w:val="11"/>
                <w:color w:val="auto"/>
              </w:rPr>
            </w:pPr>
          </w:p>
        </w:tc>
        <w:tc>
          <w:tcPr>
            <w:tcW w:w="12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1"/>
                <w:szCs w:val="11"/>
                <w:color w:val="auto"/>
              </w:rPr>
            </w:pPr>
          </w:p>
        </w:tc>
        <w:tc>
          <w:tcPr>
            <w:tcW w:w="114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gridSpan w:val="4"/>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1,230</w:t>
            </w:r>
          </w:p>
        </w:tc>
        <w:tc>
          <w:tcPr>
            <w:tcW w:w="6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32,909</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32,338</w:t>
            </w:r>
          </w:p>
        </w:tc>
        <w:tc>
          <w:tcPr>
            <w:tcW w:w="6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31,466</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30,670</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6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843.1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826.7</w:t>
            </w:r>
          </w:p>
        </w:tc>
        <w:tc>
          <w:tcPr>
            <w:tcW w:w="6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767.4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Subscription and transaction fees - Trailing 12 months</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249,210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240,153</w:t>
            </w:r>
          </w:p>
        </w:tc>
        <w:tc>
          <w:tcPr>
            <w:tcW w:w="6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231,497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223,342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215,380</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unit (ARPU)</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202.20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198.31</w:t>
            </w:r>
          </w:p>
        </w:tc>
        <w:tc>
          <w:tcPr>
            <w:tcW w:w="6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186.00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0" w:type="dxa"/>
            <w:vAlign w:val="bottom"/>
          </w:tcPr>
          <w:p>
            <w:pPr>
              <w:spacing w:after="0"/>
              <w:rPr>
                <w:sz w:val="1"/>
                <w:szCs w:val="1"/>
                <w:color w:val="auto"/>
              </w:rPr>
            </w:pPr>
          </w:p>
        </w:tc>
      </w:tr>
      <w:tr>
        <w:trPr>
          <w:trHeight w:val="724"/>
        </w:trPr>
        <w:tc>
          <w:tcPr>
            <w:tcW w:w="76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2024 Compared to Three Months Ended December 31, 2023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6"/>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4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5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37,892</w:t>
            </w:r>
          </w:p>
        </w:tc>
        <w:tc>
          <w:tcPr>
            <w:tcW w:w="8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transaction fees</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29,892</w:t>
            </w: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572"/>
              <w:spacing w:after="0"/>
              <w:rPr>
                <w:sz w:val="20"/>
                <w:szCs w:val="20"/>
                <w:color w:val="auto"/>
              </w:rPr>
            </w:pPr>
            <w:r>
              <w:rPr>
                <w:rFonts w:ascii="Times New Roman" w:cs="Times New Roman" w:eastAsia="Times New Roman" w:hAnsi="Times New Roman"/>
                <w:sz w:val="18"/>
                <w:szCs w:val="18"/>
                <w:color w:val="auto"/>
              </w:rPr>
              <w:t>3,120</w:t>
            </w: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transaction</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8,000</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21.1 %</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4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18,137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fees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1,993</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1,673</w:t>
            </w: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572"/>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fees</w:t>
            </w:r>
          </w:p>
        </w:tc>
        <w:tc>
          <w:tcPr>
            <w:tcW w:w="400" w:type="dxa"/>
            <w:vAlign w:val="bottom"/>
            <w:tcBorders>
              <w:bottom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14,471</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subscription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79.8 %</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4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8"/>
              </w:rPr>
              <w:t>9,330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9,158</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equipment</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equipment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40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4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28,472</w:t>
            </w:r>
          </w:p>
        </w:tc>
        <w:tc>
          <w:tcPr>
            <w:tcW w:w="5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22,643</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5,829</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internal-use software assets and developed technology assets are not associated with transaction fees and equipment revenue.</w:t>
      </w:r>
    </w:p>
    <w:p>
      <w:pPr>
        <w:spacing w:after="0" w:line="27"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Amortization of internal-use software assets and developed technology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Highlights for the quarter ended December 31, 2024 include:</w:t>
      </w:r>
    </w:p>
    <w:p>
      <w:pPr>
        <w:spacing w:after="0" w:line="63"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$73.7 million, an increase of 12.8% quarter over same quarter prior year. The increase was led by higher transaction fees and subscription fees revenue;</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million Active Devices compared to the same quarter last year of 1.23 million, an increase of approximately 43 thousand Active Devices, or 3.5%;</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32,909 Active Customers compared to the same quarter last year of 30,027, an increase of 2,882 Active Customers, or 9.6%;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$843.1 million in Total Dollar Volume of Transactions for the quarter ended December 31, 2024 compared to $730.1 million for the quarter ended December 31, 2023, an increase of $113.0 million, or 15.5%. See "</w:t>
      </w:r>
      <w:r>
        <w:rPr>
          <w:rFonts w:ascii="Times New Roman" w:cs="Times New Roman" w:eastAsia="Times New Roman" w:hAnsi="Times New Roman"/>
          <w:sz w:val="18"/>
          <w:szCs w:val="18"/>
          <w:i w:val="1"/>
          <w:iCs w:val="1"/>
          <w:color w:val="auto"/>
        </w:rPr>
        <w:t>Revenues and Gross Margin</w:t>
      </w:r>
      <w:r>
        <w:rPr>
          <w:rFonts w:ascii="Times New Roman" w:cs="Times New Roman" w:eastAsia="Times New Roman" w:hAnsi="Times New Roman"/>
          <w:sz w:val="18"/>
          <w:szCs w:val="18"/>
          <w:color w:val="auto"/>
        </w:rPr>
        <w:t>" in Management’s Discussion and Analysis of Financial Condition and Results of Operations below for additional information.</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$8.4 million for the three months ended December 31, 2024 compared to the same period in 2023.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$9.1 million increase in subscription and transaction fees, offset by a $0.7 million decrease in equipment sales.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fees was primarily driven by increased average ticket items sold, increased average ticket price, increased processing volumes, and the acquisition Cheq, resulting in a 15.5% increase in total dollar volumes of transactions for the current fiscal year quarter relative to the same quarter in the prior year. There was also an increase in the total number of active devices relative to the same quarter in the prior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subscription fees have increased 14.1% for the three months ended December 31, 2024 compared to the same period in 2023 which is attributed to a continued focus of management to grow our recurring subscription services to our customer base, an increase in our active devices compared to last year, and the acquisition of SB Software.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revenue decreased slightly from $8.6 million for the three months ended December 31, 2024, compared to $9.3 million for the same period in 2023.</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of sales. </w:t>
      </w:r>
      <w:r>
        <w:rPr>
          <w:rFonts w:ascii="Times New Roman" w:cs="Times New Roman" w:eastAsia="Times New Roman" w:hAnsi="Times New Roman"/>
          <w:sz w:val="18"/>
          <w:szCs w:val="18"/>
          <w:color w:val="auto"/>
        </w:rPr>
        <w:t>Costs of sales increased $2.0 million for the three months ended December 31, 2024 compared to the prior year period. The increase in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was primarily due to a $3.3 million increase in subscription and transaction costs as a result of increased processing volumes, offset by a $1.3 million decrease in equipment costs.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38.6% for the three months ended December 31, 2024 from 34.6%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increase was primarily a result of an increase in transaction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18.5% for the three months ended December 31, 2024 compared to the same period in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largely driven by increased technology and product development, sales and market and general and administrative expenses. Total operating expense also increased as a result of the acquisitions of Cheq and SB Software. See further details on individual categories below.</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$1.0 million for the three months ended December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Sales and marketing expense increased due a $0.6 million increase in advertising expenses, compensation costs of approximately $0.5 million, an increase of professional services and contractors of $0.1 million, and travel and entertainment costs of approximately $0.1 million. This is offset by a decrease in various sales and marketing expense reductions of approximately $0.3 million. Overall, these increases are due to investments being made to drive revenue both domestically and internationally.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by $1.5 million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in the current year was driven by increased headcount partially offset by lower expensed personnel costs as we continued to invest in internal-use software which resulted in higher capitalized costs compared to the prior year.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$0.7 million for the three months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General and administrative expenses increased due to a $1.2 million increase in compensation costs and a $0.2 million increase in sales and use taxes. This is offset by a decrease of $0.5 million in consulting fees, a $0.1 million decrease in software subscriptions, a $0.1 million decrease in legal fees compared to the same period in 2023. The increase is also partially due to the acquisitions of Cheq and SB Software.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expenses. </w:t>
      </w:r>
      <w:r>
        <w:rPr>
          <w:rFonts w:ascii="Times New Roman" w:cs="Times New Roman" w:eastAsia="Times New Roman" w:hAnsi="Times New Roman"/>
          <w:sz w:val="18"/>
          <w:szCs w:val="18"/>
          <w:color w:val="auto"/>
        </w:rPr>
        <w:t>On September 5, 2024, the Company acquired all of the equity interests of SB Software.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integration and acquisition expenses were less than $0.1 million primarily due to professional services from accounting and legal advisors and UK taxes. Integration and acquisition expenses for the three months ended December 31, 2023 related to the acquisition of 32M.</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$0.6 million for the three months ended December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due to our acquisitions of Cheq and SB Software.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656"/>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7"/>
              </w:rPr>
              <w:t>(993)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7"/>
              </w:rPr>
              <w:t>(199)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7"/>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increased $0.4 million for the three months ended December 31, 2024 as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from debt and tax liabilities was materially consistent for three months ended December 31, 2024 as compared to the same period in 2023. Decrease in interest income is primarily due to lower outstanding balances for our finance receivables. Other (expense) income, net decreased primarily due to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2024 Compared to Six Months Ended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580" w:type="dxa"/>
            <w:vAlign w:val="bottom"/>
          </w:tcPr>
          <w:p>
            <w:pPr>
              <w:spacing w:after="0"/>
              <w:rPr>
                <w:sz w:val="16"/>
                <w:szCs w:val="16"/>
                <w:color w:val="auto"/>
              </w:rPr>
            </w:pPr>
          </w:p>
        </w:tc>
        <w:tc>
          <w:tcPr>
            <w:tcW w:w="174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87,995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74,922</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13,073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transaction fees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66,315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59,809</w:t>
            </w:r>
          </w:p>
        </w:tc>
        <w:tc>
          <w:tcPr>
            <w:tcW w:w="5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ind w:right="552"/>
              <w:spacing w:after="0"/>
              <w:rPr>
                <w:sz w:val="20"/>
                <w:szCs w:val="20"/>
                <w:color w:val="auto"/>
              </w:rPr>
            </w:pPr>
            <w:r>
              <w:rPr>
                <w:rFonts w:ascii="Times New Roman" w:cs="Times New Roman" w:eastAsia="Times New Roman" w:hAnsi="Times New Roman"/>
                <w:sz w:val="18"/>
                <w:szCs w:val="18"/>
                <w:color w:val="auto"/>
              </w:rPr>
              <w:t>6,506</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transaction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21,680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15,113</w:t>
            </w:r>
          </w:p>
        </w:tc>
        <w:tc>
          <w:tcPr>
            <w:tcW w:w="5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6,567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4.4 %</w:t>
            </w: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20.2 %</w:t>
            </w:r>
          </w:p>
        </w:tc>
        <w:tc>
          <w:tcPr>
            <w:tcW w:w="5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40,882</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36,242</w:t>
            </w:r>
          </w:p>
        </w:tc>
        <w:tc>
          <w:tcPr>
            <w:tcW w:w="580" w:type="dxa"/>
            <w:vAlign w:val="bottom"/>
          </w:tcPr>
          <w:p>
            <w:pPr>
              <w:spacing w:after="0"/>
              <w:rPr>
                <w:sz w:val="19"/>
                <w:szCs w:val="19"/>
                <w:color w:val="auto"/>
              </w:rPr>
            </w:pPr>
          </w:p>
        </w:tc>
        <w:tc>
          <w:tcPr>
            <w:tcW w:w="1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4,640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4,581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3,803</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778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3,616</w:t>
            </w:r>
          </w:p>
        </w:tc>
        <w:tc>
          <w:tcPr>
            <w:tcW w:w="5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ind w:right="552"/>
              <w:spacing w:after="0"/>
              <w:rPr>
                <w:sz w:val="20"/>
                <w:szCs w:val="20"/>
                <w:color w:val="auto"/>
              </w:rPr>
            </w:pPr>
            <w:r>
              <w:rPr>
                <w:rFonts w:ascii="Times New Roman" w:cs="Times New Roman" w:eastAsia="Times New Roman" w:hAnsi="Times New Roman"/>
                <w:sz w:val="18"/>
                <w:szCs w:val="18"/>
                <w:color w:val="auto"/>
              </w:rPr>
              <w:t>379</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32,306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28,823</w:t>
            </w:r>
          </w:p>
        </w:tc>
        <w:tc>
          <w:tcPr>
            <w:tcW w:w="5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3,483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subscription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79.0 %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79.5 %</w:t>
            </w:r>
          </w:p>
        </w:tc>
        <w:tc>
          <w:tcPr>
            <w:tcW w:w="5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15,681</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16,878</w:t>
            </w:r>
          </w:p>
        </w:tc>
        <w:tc>
          <w:tcPr>
            <w:tcW w:w="580" w:type="dxa"/>
            <w:vAlign w:val="bottom"/>
          </w:tcPr>
          <w:p>
            <w:pPr>
              <w:spacing w:after="0"/>
              <w:rPr>
                <w:sz w:val="19"/>
                <w:szCs w:val="19"/>
                <w:color w:val="auto"/>
              </w:rPr>
            </w:pPr>
          </w:p>
        </w:tc>
        <w:tc>
          <w:tcPr>
            <w:tcW w:w="17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(1,197)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14,091</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15,785</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(1,694)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equipment</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1,093</w:t>
            </w:r>
          </w:p>
        </w:tc>
        <w:tc>
          <w:tcPr>
            <w:tcW w:w="580" w:type="dxa"/>
            <w:vAlign w:val="bottom"/>
          </w:tcPr>
          <w:p>
            <w:pPr>
              <w:spacing w:after="0"/>
              <w:rPr>
                <w:sz w:val="19"/>
                <w:szCs w:val="19"/>
                <w:color w:val="auto"/>
              </w:rPr>
            </w:pPr>
          </w:p>
        </w:tc>
        <w:tc>
          <w:tcPr>
            <w:tcW w:w="1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497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3.7 %</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55,576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45,028</w:t>
            </w:r>
          </w:p>
        </w:tc>
        <w:tc>
          <w:tcPr>
            <w:tcW w:w="5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10,547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3.2 %</w:t>
            </w: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5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internal-use software assets and developed technology assets are not associated with transaction fees and equipment revenue.</w:t>
      </w: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of internal-use software assets and developed technology assets.</w:t>
      </w:r>
    </w:p>
    <w:p>
      <w:pPr>
        <w:spacing w:after="0" w:line="200" w:lineRule="exact"/>
        <w:rPr>
          <w:sz w:val="20"/>
          <w:szCs w:val="20"/>
          <w:color w:val="auto"/>
        </w:rPr>
      </w:pP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$16.5 million for the six months ended December 31, 2024 compared to the same period in 2023.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$17.7 million increase in subscription and transaction fees, offset by a $1.2 million decrease in equipment sales.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fees was primarily driven by increased average ticket items sold, increased average ticket price, increased processing volumes, and the acquisition Cheq, resulting in a 14.8% increase in total dollar volumes of transactions for the current fiscal year quarter relative to the same quarter in the prior year. There was also an increase in the total number of active devices relative to the same quarter in the prior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subscription fees have increased 12.8% for the six months ended December 31, 2024 compared to the same period in 2023 which is attributed to a continued focus of management to grow our recurring subscription services to our customer base and an increase in our active devices compared to last year as well as the acquisition of SB Software.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decreased slightly to $14.1 million for the six months ended December 31, 2024, compared to $15.8 million for the same period.</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of sales. </w:t>
      </w:r>
      <w:r>
        <w:rPr>
          <w:rFonts w:ascii="Times New Roman" w:cs="Times New Roman" w:eastAsia="Times New Roman" w:hAnsi="Times New Roman"/>
          <w:sz w:val="18"/>
          <w:szCs w:val="18"/>
          <w:color w:val="auto"/>
        </w:rPr>
        <w:t>Costs of sales increased $5.6 million for the six months ended December 31, 2024 compared to the prior year period. The increase in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was primarily due to a $7.3 million increase in subscription and transaction costs as a direct result of increased transaction processing fees corresponding with an increase in processing volumes offset by the decrease in cost of equipment of $1.7 million.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38.4% for the six months ended December 31, 2024 from 35.2% for the six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increase was primarily a result of an increase in subscription and transaction fees which yield higher margins compared to equipment fees.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17% for the six months ended December 31, 2024 compared to the same period in 2023. This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largely driven by increased sales and marketing, technology and product development and general and administrative expenses. Total operating expense also increased as a result of the acquisitions of Cheq and SB Software. See further details on individual categories below.</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$2.3 million for the six months ended December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Sales and marketing expenses increased $1.3 million due to advertising and trade show expenses, $0.8 million related to compensation expenses, $0.4 million increase due to travel expenses, $0.2 million related to consulting fees and $0.1 million increase in sales and use taxes. This is offset by approximately $0.5 million decrease in various marketing expenses. Overall, these increases are due to investments being made to drive revenue both domestically and internationally.</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by $1.8 million for the six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in the current year was driven by increased headcount partially offset by lower expensed personnel costs as we continued to invest in internal-use software which resulted in higher capitalized costs compared to the prior year.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$2.2 million for the six months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General and administrative expenses increased $1.0 million due to compensation expenses, a $0.7 million increase in consulting expenses, a $0.2 million increase in legal fees, a $0.2 million increase in bad debt expense and a $0.2 million increase in various general and administrative expenses. This is offset by a $0.1 million decrease in rent expense. The increase is also partially due to the acquisitions of Cheq and SB Software.</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expenses. </w:t>
      </w:r>
      <w:r>
        <w:rPr>
          <w:rFonts w:ascii="Times New Roman" w:cs="Times New Roman" w:eastAsia="Times New Roman" w:hAnsi="Times New Roman"/>
          <w:sz w:val="18"/>
          <w:szCs w:val="18"/>
          <w:color w:val="auto"/>
        </w:rPr>
        <w:t>On September 5, 2024, the Company acquired all of the equity interests of SB Software.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the Company incurred integration and acquisition expenses of $0.2 million primarily due to professional services from accounting and legal advisors and UK taxes. Integration and acquisition expenses for the six months ended December 31, 2023 related to the acquisition of 32M.</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increased $0.6 million for the six months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result of increased amortization of acquired assets from the Cheq and SB Software acquisitions.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increased $0.1 million for the six months ended December 31, 2024 as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from debt and tax liabilities decreased $0.1 million primarily due to the reduction of the interest expense related to our outstanding debt balances. Decrease in interest income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is primarily due to lower outstanding balances for our finance receivables. Other income (expense), net decreased primarily due to foreign currency transaction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 (non-GAAP)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Gross Profit (non-GAAP) as revenue less cost of sales, exclusive of 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We have provided below a reconciliation of U.S. GAAP gross profit to Adjusted Gross Profit and Adjusted Gross Margin for the three and six months ended December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transaction (GAAP)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3,380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 (GAAP)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313"/>
              <w:spacing w:after="0"/>
              <w:rPr>
                <w:sz w:val="20"/>
                <w:szCs w:val="20"/>
                <w:color w:val="auto"/>
              </w:rPr>
            </w:pPr>
            <w:r>
              <w:rPr>
                <w:rFonts w:ascii="Times New Roman" w:cs="Times New Roman" w:eastAsia="Times New Roman" w:hAnsi="Times New Roman"/>
                <w:sz w:val="18"/>
                <w:szCs w:val="18"/>
                <w:color w:val="auto"/>
              </w:rPr>
              <w:t>4.5 %</w:t>
            </w: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(GAAP)</w:t>
            </w: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1,835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575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subscription (non-GAAP)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18,554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2,410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subscription (non-GAAP)</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0.6 %</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equipment (GAAP)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614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equipment (GAAP)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313"/>
              <w:spacing w:after="0"/>
              <w:rPr>
                <w:sz w:val="20"/>
                <w:szCs w:val="20"/>
                <w:color w:val="auto"/>
              </w:rPr>
            </w:pPr>
            <w:r>
              <w:rPr>
                <w:rFonts w:ascii="Times New Roman" w:cs="Times New Roman" w:eastAsia="Times New Roman" w:hAnsi="Times New Roman"/>
                <w:sz w:val="18"/>
                <w:szCs w:val="18"/>
                <w:color w:val="auto"/>
              </w:rPr>
              <w:t>7.3 %</w:t>
            </w: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Gross Profit (non-GAAP)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30,720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6,404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Gross Margin (non-GAAP)</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4.5 %</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Amortization of internal-use software assets and developed technology assets.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Adjusted Gross Margin (non-GAAP) was 41.7% for the three months ended December 31, 2024, from 37.2% for the three months ended December 31, 2023. The increase in Adjusted Gross Margin was primarily driven by an increase in our subscription fees revenue and transaction which was a higher percentage of our total revenue in the current quarter and is inherently a higher margin revenue stream.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18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transaction (GAAP)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15,113</w:t>
            </w:r>
          </w:p>
        </w:tc>
        <w:tc>
          <w:tcPr>
            <w:tcW w:w="21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6,567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transaction (GAAP)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93"/>
              <w:spacing w:after="0"/>
              <w:rPr>
                <w:sz w:val="20"/>
                <w:szCs w:val="20"/>
                <w:color w:val="auto"/>
              </w:rPr>
            </w:pPr>
            <w:r>
              <w:rPr>
                <w:rFonts w:ascii="Times New Roman" w:cs="Times New Roman" w:eastAsia="Times New Roman" w:hAnsi="Times New Roman"/>
                <w:sz w:val="18"/>
                <w:szCs w:val="18"/>
                <w:color w:val="auto"/>
              </w:rPr>
              <w:t>4.5 %</w:t>
            </w: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20.2 %</w:t>
            </w:r>
          </w:p>
        </w:tc>
        <w:tc>
          <w:tcPr>
            <w:tcW w:w="21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(GAAP)</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28,823</w:t>
            </w:r>
          </w:p>
        </w:tc>
        <w:tc>
          <w:tcPr>
            <w:tcW w:w="21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3,483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3,616</w:t>
            </w:r>
          </w:p>
        </w:tc>
        <w:tc>
          <w:tcPr>
            <w:tcW w:w="21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379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subscription (non-GAAP)</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36,301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32,439</w:t>
            </w:r>
          </w:p>
        </w:tc>
        <w:tc>
          <w:tcPr>
            <w:tcW w:w="21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3,862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subscription (non-GAAP)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21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equipment (GAAP)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1,093</w:t>
            </w:r>
          </w:p>
        </w:tc>
        <w:tc>
          <w:tcPr>
            <w:tcW w:w="21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497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equipment (GAAP)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93"/>
              <w:spacing w:after="0"/>
              <w:rPr>
                <w:sz w:val="20"/>
                <w:szCs w:val="20"/>
                <w:color w:val="auto"/>
              </w:rPr>
            </w:pPr>
            <w:r>
              <w:rPr>
                <w:rFonts w:ascii="Times New Roman" w:cs="Times New Roman" w:eastAsia="Times New Roman" w:hAnsi="Times New Roman"/>
                <w:sz w:val="18"/>
                <w:szCs w:val="18"/>
                <w:color w:val="auto"/>
              </w:rPr>
              <w:t>3.7 %</w:t>
            </w: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6.5 %</w:t>
            </w:r>
          </w:p>
        </w:tc>
        <w:tc>
          <w:tcPr>
            <w:tcW w:w="21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Gross Profit (non-GAAP)</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59,571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48,645</w:t>
            </w:r>
          </w:p>
        </w:tc>
        <w:tc>
          <w:tcPr>
            <w:tcW w:w="21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10,926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Gross Margin (non-GAAP)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21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3.2 %</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defines Adjusted EBITDA (non-GAAP) as U.S. GAAP net income before (i) interest income, (ii) interest expense, (iii) income tax provision, (iv) depreciation, (v) amortization, (vi) stock-based compensation expense, and (vii) certain other significant infrequent or unusual losses and gains that are not indicative of our core operations such as integration and acquisition expenses and costs as a result of auditor transitions.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Adjusted EBITDA is useful for investors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income to Adjusted EBITDA for the three and six months ended December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7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and acquisition expenses </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auditor transition costs </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remediation expenses </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excluded stock-based compensation, as it does not reflect our cash-based operations.</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have excluded expenses incurred in connection with business acquisitions as it does not represent recurring costs or charges related to our core operations.</w:t>
      </w:r>
    </w:p>
    <w:p>
      <w:pPr>
        <w:spacing w:after="0" w:line="80" w:lineRule="exact"/>
        <w:rPr>
          <w:rFonts w:ascii="Times New Roman" w:cs="Times New Roman" w:eastAsia="Times New Roman" w:hAnsi="Times New Roman"/>
          <w:sz w:val="19"/>
          <w:szCs w:val="19"/>
          <w:color w:val="auto"/>
          <w:vertAlign w:val="superscript"/>
        </w:rPr>
      </w:pPr>
    </w:p>
    <w:p>
      <w:pPr>
        <w:ind w:firstLine="8"/>
        <w:spacing w:after="0"/>
        <w:tabs>
          <w:tab w:leader="none" w:pos="127"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Costs incurred as a result of former auditor consent procedures. See </w:t>
      </w:r>
      <w:r>
        <w:rPr>
          <w:rFonts w:ascii="Times New Roman" w:cs="Times New Roman" w:eastAsia="Times New Roman" w:hAnsi="Times New Roman"/>
          <w:sz w:val="12"/>
          <w:szCs w:val="12"/>
          <w:i w:val="1"/>
          <w:iCs w:val="1"/>
          <w:color w:val="auto"/>
        </w:rPr>
        <w:t>Item 9. Changes in and Disagreements with Accountants on Accounting and Financial Disclosure</w:t>
      </w:r>
      <w:r>
        <w:rPr>
          <w:rFonts w:ascii="Times New Roman" w:cs="Times New Roman" w:eastAsia="Times New Roman" w:hAnsi="Times New Roman"/>
          <w:sz w:val="12"/>
          <w:szCs w:val="12"/>
          <w:color w:val="auto"/>
        </w:rPr>
        <w:t xml:space="preserve"> of the Company's Annual Report</w:t>
      </w:r>
      <w:r>
        <w:rPr>
          <w:rFonts w:ascii="Times New Roman" w:cs="Times New Roman" w:eastAsia="Times New Roman" w:hAnsi="Times New Roman"/>
          <w:sz w:val="12"/>
          <w:szCs w:val="12"/>
          <w:i w:val="1"/>
          <w:iCs w:val="1"/>
          <w:color w:val="auto"/>
        </w:rPr>
        <w:t>.</w:t>
      </w:r>
    </w:p>
    <w:p>
      <w:pPr>
        <w:spacing w:after="0" w:line="209"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46"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Consists of one-time project expenses incurred in connection with remediation of previously identified material weaknesses in our internal control over financial reporting which were remediated during fiscal year ended June 30, 2024. See </w:t>
      </w:r>
      <w:r>
        <w:rPr>
          <w:rFonts w:ascii="Times New Roman" w:cs="Times New Roman" w:eastAsia="Times New Roman" w:hAnsi="Times New Roman"/>
          <w:sz w:val="13"/>
          <w:szCs w:val="13"/>
          <w:i w:val="1"/>
          <w:iCs w:val="1"/>
          <w:color w:val="auto"/>
        </w:rPr>
        <w:t>Item 9A Section e - Remediation of Prior Material Weaknesses</w:t>
      </w:r>
      <w:r>
        <w:rPr>
          <w:rFonts w:ascii="Times New Roman" w:cs="Times New Roman" w:eastAsia="Times New Roman" w:hAnsi="Times New Roman"/>
          <w:sz w:val="13"/>
          <w:szCs w:val="13"/>
          <w:color w:val="auto"/>
        </w:rPr>
        <w:t xml:space="preserve"> of the Company's Annual Report</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Company's primary sources of capital available are cash and cash equivalents on hand of $27.7 million as of December 31, 2024 and the cash that we expect to be provided by operating activities by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2024, net cash used in operating activities was $11.5 million which is the result of $32.8 million of cash utilized by working capital accounts, offset by our net income of $8.5 million and non-cash operating charges of $12.7 million. The change in working capital was primarily driven by an increase in cash utilized by accounts payable and accrued expenses of $40.9 million, offset by a $13.3 million decrease in accounts receivable primarily due to cash collections. Increases in cash utilized by accounts payable and accrued expenses and as well as the collection of accounts receivable were the result of the timing of payments made to our customers for transaction processing as December 31,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2023, net cash used in operating activities was $1.2 million which reflects our net income of $5.1 million and non-cash operating charges of $12.8 million, partially offset by $19.2 million of cash utilized by working capital accounts. The change in working capital accounts was primarily driven by a $12.3 million increase of accounts receivable, and a decrease in accounts payable and accrued expenses of $2.9 million in the period. Increase in the accounts receivable balance as of December 31, 2023 was a result of increased sales during the six months ended December 31, 2023 and the timing of the cash receipts compared to the prior year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amortization of our intangible assets, and provisions for expected losses for the six months ended December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$17.8 million for the six months ended December 31, 2024. We invested $8.1 million in property and equipment as the Company continued to focus on investing in innovative technologies and products, and increasing rental devices enrolled in the Company's Cantaloupe One program. Additionally, the Company invested $9.8 million through its SB Software acquisition.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$5.9 million for the six months ended December 31, 2023. Increase in cash used was $5.9 million for and a result of the investment in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$0.9 million and $0.3 million for the six months ended December 31, 2024 and 2023, both of which are primarily driven by debt repayments on the JPMorgan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2024, there were no significant changes to our contractual obligations from those disclosed in the section “Management’s Discussion and Analysis of Financial Condition and Results of Operations” in our Annual Report for the fiscal year ended June 30, 2024.</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16 - Subsequent Events</w:t>
      </w:r>
      <w:r>
        <w:rPr>
          <w:rFonts w:ascii="Times New Roman" w:cs="Times New Roman" w:eastAsia="Times New Roman" w:hAnsi="Times New Roman"/>
          <w:sz w:val="18"/>
          <w:szCs w:val="18"/>
          <w:color w:val="auto"/>
        </w:rPr>
        <w:t>, in January 2025 the Company amended its debt agreement, which defers certain repayments until January 2030 in addition to increasing its borrowing capacity.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disclosed in our Annual Report on for the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for a description of recent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of December 31, 2024, we are exposed to market risk related to changes in interest rates on our outstanding borrowings described in </w:t>
      </w:r>
      <w:r>
        <w:rPr>
          <w:rFonts w:ascii="Times New Roman" w:cs="Times New Roman" w:eastAsia="Times New Roman" w:hAnsi="Times New Roman"/>
          <w:sz w:val="18"/>
          <w:szCs w:val="18"/>
          <w:i w:val="1"/>
          <w:iCs w:val="1"/>
          <w:color w:val="auto"/>
        </w:rPr>
        <w:t>Note 6 -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Financing Arrangements</w:t>
      </w:r>
      <w:r>
        <w:rPr>
          <w:rFonts w:ascii="Times New Roman" w:cs="Times New Roman" w:eastAsia="Times New Roman" w:hAnsi="Times New Roman"/>
          <w:sz w:val="18"/>
          <w:szCs w:val="18"/>
          <w:color w:val="auto"/>
        </w:rPr>
        <w:t>. As of December 31, 2024, we have $37.1 million total outstanding borrowings, an increase of 100 basis points in SOFR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would result in a change in interest expense of $0.4 million per year.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and foreign currency exchange rates.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December 31, 2024.</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credit risks on accounts receivable and equipment leases where the Company acts as the lessor. Exposure to market and credit risk is materially consistent with our presentation in Part II, Item 7A of our Annual Report for the year ended June 30,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effective as of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fiscal quarter ended December 31, 2024 that have materially affected, or are reasonably likely to materially affect, our internal controls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Notes to condensed consolidated financial statements, </w:t>
      </w:r>
      <w:r>
        <w:rPr>
          <w:rFonts w:ascii="Times New Roman" w:cs="Times New Roman" w:eastAsia="Times New Roman" w:hAnsi="Times New Roman"/>
          <w:sz w:val="18"/>
          <w:szCs w:val="18"/>
          <w:i w:val="1"/>
          <w:iCs w:val="1"/>
          <w:color w:val="auto"/>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Part I, Item 1, of this Quarterly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risk factors, see the information under the heading “Risk Factors” in the Company’s Annual Report on for the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none of the 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00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1"/>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Second Amended and Restated Credit Agreement, by and among the Company, certain of its subsidiaries, and JPMorgan Chase Bank,</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N.A. and Capital One, National Association, dated January 31, 2025 (incorporated by reference to Exhibit 10.1 to Form 8-K filed on</w:t>
              </w:r>
            </w:hyperlink>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February 5, 2025).</w:t>
              </w:r>
            </w:hyperlink>
          </w:p>
        </w:tc>
        <w:tc>
          <w:tcPr>
            <w:tcW w:w="8200" w:type="dxa"/>
            <w:vAlign w:val="bottom"/>
            <w:tcBorders>
              <w:top w:val="single" w:sz="8" w:color="0000FF"/>
            </w:tcBorders>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pursuant to Rule 13a-14(a) under the Securities Exchange Act of 1934.</w:t>
            </w: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1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240" w:right="20" w:hanging="1214"/>
        <w:spacing w:after="0" w:line="215"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December 31, 2024, filed with the SEC on February 6, 2025, is formatted in Inline Extensible Business Reporting Language (“iXBRL”): (1) the Condensed Consolidated Balance Sheets as of December 31, 2024 and June 30, 2024, (2) the Condensed Consolidated Statements of Operations for the three-month and six-month periods ended December 31, 2024 and 2023, (3) the Condensed Consolidated Statements of Other Comprehensive Income for the three-month and six-month periods ended December 31, 2024 and 2023, (4) the Condensed Consolidated Statements of Convertible Preferred Stock and Shareholders’ Equity for the three-month and six-month periods ended December 31, 2024 and 2023, (5) the Condensed Consolidated Statements of Cash Flows for the six-month periods ended December 31, 2024 and 2023, and (6) the Notes to Condensed Consolidated Financial Statements.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252" w:lineRule="exact"/>
        <w:rPr>
          <w:sz w:val="20"/>
          <w:szCs w:val="20"/>
          <w:color w:val="auto"/>
        </w:rPr>
      </w:pPr>
    </w:p>
    <w:p>
      <w:pPr>
        <w:ind w:left="1240" w:right="340" w:hanging="1214"/>
        <w:spacing w:after="0" w:line="237"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December 31, 2024, filed with the SEC on February 6, 2025, is formatted as Inline XBRL and contained in Exhibit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6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211" w:lineRule="exact"/>
        <w:rPr>
          <w:sz w:val="20"/>
          <w:szCs w:val="20"/>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211" w:lineRule="exact"/>
        <w:rPr>
          <w:sz w:val="20"/>
          <w:szCs w:val="20"/>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December 31, 2024 (the “Report”), I, Ravi Venkatesan, Chief Executive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December 31, 2024 (the “Report”), I, Scott Stewart, Chief Financial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573"/>
    </w:lvl>
  </w:abstractNum>
  <w:abstractNum w:abstractNumId="3">
    <w:nsid w:val="3352255A"/>
    <w:multiLevelType w:val="hybridMultilevel"/>
    <w:lvl w:ilvl="0">
      <w:lvlJc w:val="left"/>
      <w:lvlText w:val="(%1)"/>
      <w:numFmt w:val="decimal"/>
      <w:start w:val="353"/>
    </w:lvl>
  </w:abstractNum>
  <w:abstractNum w:abstractNumId="4">
    <w:nsid w:val="109CF92E"/>
    <w:multiLevelType w:val="hybridMultilevel"/>
    <w:lvl w:ilvl="0">
      <w:lvlJc w:val="left"/>
      <w:lvlText w:val="(%1)"/>
      <w:numFmt w:val="decimal"/>
      <w:start w:val="926"/>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58" Type="http://schemas.openxmlformats.org/officeDocument/2006/relationships/hyperlink" Target="https://www.sec.gov/Archives/edgar/data/896429/000162828022001838/a31-amendedandrestatedarti.htm" TargetMode="External"/><Relationship Id="rId59" Type="http://schemas.openxmlformats.org/officeDocument/2006/relationships/hyperlink" Target="https://www.sec.gov/ix?doc=/Archives/edgar/data/0000896429/000091412121005445/p56531664-8ki.htm" TargetMode="External"/><Relationship Id="rId60" Type="http://schemas.openxmlformats.org/officeDocument/2006/relationships/hyperlink" Target="https://www.sec.gov/ix?doc=/Archives/edgar/data/896429/000162828025004018/usat-202501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2025-02-06T15:51:11Z</dcterms:created>
  <dcterms:modified xsi:type="dcterms:W3CDTF">2025-02-06T15:51:11Z</dcterms:modified>
</cp:coreProperties>
</file>