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400685</wp:posOffset>
            </wp:positionV>
            <wp:extent cx="57543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97" w:lineRule="exact"/>
        <w:rPr>
          <w:sz w:val="24"/>
          <w:szCs w:val="24"/>
          <w:color w:val="auto"/>
        </w:rPr>
      </w:pPr>
    </w:p>
    <w:p>
      <w:pPr>
        <w:ind w:left="60"/>
        <w:spacing w:after="0" w:line="228" w:lineRule="exact"/>
        <w:rPr>
          <w:sz w:val="24"/>
          <w:szCs w:val="24"/>
          <w:color w:val="auto"/>
        </w:rPr>
      </w:pPr>
      <w:r>
        <w:rPr>
          <w:rFonts w:ascii="Arial Unicode MS" w:cs="Arial Unicode MS" w:eastAsia="Arial Unicode MS" w:hAnsi="Arial Unicode MS"/>
          <w:sz w:val="17"/>
          <w:szCs w:val="17"/>
          <w:color w:val="auto"/>
        </w:rPr>
        <w:t>☒</w:t>
      </w:r>
      <w:r>
        <w:rPr>
          <w:rFonts w:ascii="Arial" w:cs="Arial" w:eastAsia="Arial" w:hAnsi="Arial"/>
          <w:sz w:val="17"/>
          <w:szCs w:val="17"/>
          <w:b w:val="1"/>
          <w:bCs w:val="1"/>
          <w:color w:val="auto"/>
        </w:rPr>
        <w:t xml:space="preserve"> QUARTERLY REPORT PURSUANT TO SECTION 13 OR 15 (d) OF THE SECURITIES EXCHANGE ACT OF 1934</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September 30, 2017</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OR</w:t>
      </w:r>
    </w:p>
    <w:p>
      <w:pPr>
        <w:spacing w:after="0" w:line="191" w:lineRule="exact"/>
        <w:rPr>
          <w:sz w:val="24"/>
          <w:szCs w:val="24"/>
          <w:color w:val="auto"/>
        </w:rPr>
      </w:pPr>
    </w:p>
    <w:p>
      <w:pPr>
        <w:ind w:left="60"/>
        <w:spacing w:after="0" w:line="228" w:lineRule="exact"/>
        <w:rPr>
          <w:sz w:val="24"/>
          <w:szCs w:val="24"/>
          <w:color w:val="auto"/>
        </w:rPr>
      </w:pPr>
      <w:r>
        <w:rPr>
          <w:rFonts w:ascii="Arial Unicode MS" w:cs="Arial Unicode MS" w:eastAsia="Arial Unicode MS" w:hAnsi="Arial Unicode MS"/>
          <w:sz w:val="17"/>
          <w:szCs w:val="17"/>
          <w:color w:val="auto"/>
        </w:rPr>
        <w:t>☐</w:t>
      </w:r>
      <w:r>
        <w:rPr>
          <w:rFonts w:ascii="Arial" w:cs="Arial" w:eastAsia="Arial" w:hAnsi="Arial"/>
          <w:sz w:val="17"/>
          <w:szCs w:val="17"/>
          <w:b w:val="1"/>
          <w:bCs w:val="1"/>
          <w:color w:val="auto"/>
        </w:rPr>
        <w:t xml:space="preserve"> TRANSITION REPORT PURSUANT TO SECTION 13 OR 15 (d) OF THE EXCHANGE ACT OF 1934</w:t>
      </w:r>
    </w:p>
    <w:p>
      <w:pPr>
        <w:spacing w:after="0" w:line="204" w:lineRule="exact"/>
        <w:rPr>
          <w:sz w:val="24"/>
          <w:szCs w:val="24"/>
          <w:color w:val="auto"/>
        </w:rPr>
      </w:pPr>
    </w:p>
    <w:tbl>
      <w:tblPr>
        <w:tblLayout w:type="fixed"/>
        <w:tblInd w:w="180" w:type="dxa"/>
        <w:tblCellMar>
          <w:top w:w="0" w:type="dxa"/>
          <w:left w:w="0" w:type="dxa"/>
          <w:bottom w:w="0" w:type="dxa"/>
          <w:right w:w="0" w:type="dxa"/>
        </w:tblCellMar>
      </w:tblPr>
      <w:tr>
        <w:trPr>
          <w:trHeight w:val="222"/>
        </w:trPr>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740" w:type="dxa"/>
            <w:vAlign w:val="bottom"/>
            <w:gridSpan w:val="4"/>
          </w:tcPr>
          <w:p>
            <w:pPr>
              <w:ind w:left="480"/>
              <w:spacing w:after="0"/>
              <w:rPr>
                <w:sz w:val="20"/>
                <w:szCs w:val="20"/>
                <w:color w:val="auto"/>
              </w:rPr>
            </w:pPr>
            <w:r>
              <w:rPr>
                <w:rFonts w:ascii="Arial" w:cs="Arial" w:eastAsia="Arial" w:hAnsi="Arial"/>
                <w:sz w:val="17"/>
                <w:szCs w:val="17"/>
                <w:b w:val="1"/>
                <w:bCs w:val="1"/>
                <w:color w:val="auto"/>
              </w:rPr>
              <w:t>For the transition period from</w:t>
            </w:r>
          </w:p>
        </w:tc>
        <w:tc>
          <w:tcPr>
            <w:tcW w:w="2620" w:type="dxa"/>
            <w:vAlign w:val="bottom"/>
            <w:gridSpan w:val="6"/>
          </w:tcPr>
          <w:p>
            <w:pPr>
              <w:ind w:left="100"/>
              <w:spacing w:after="0"/>
              <w:rPr>
                <w:sz w:val="20"/>
                <w:szCs w:val="20"/>
                <w:color w:val="auto"/>
              </w:rPr>
            </w:pPr>
            <w:r>
              <w:rPr>
                <w:rFonts w:ascii="Arial" w:cs="Arial" w:eastAsia="Arial" w:hAnsi="Arial"/>
                <w:sz w:val="17"/>
                <w:szCs w:val="17"/>
                <w:b w:val="1"/>
                <w:bCs w:val="1"/>
                <w:color w:val="auto"/>
              </w:rPr>
              <w:t>to</w:t>
            </w:r>
          </w:p>
        </w:tc>
      </w:tr>
      <w:tr>
        <w:trPr>
          <w:trHeight w:val="405"/>
        </w:trPr>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0" w:type="dxa"/>
            <w:vAlign w:val="bottom"/>
            <w:gridSpan w:val="9"/>
          </w:tcPr>
          <w:p>
            <w:pPr>
              <w:jc w:val="center"/>
              <w:ind w:right="1740"/>
              <w:spacing w:after="0"/>
              <w:rPr>
                <w:sz w:val="20"/>
                <w:szCs w:val="20"/>
                <w:color w:val="auto"/>
              </w:rPr>
            </w:pPr>
            <w:r>
              <w:rPr>
                <w:rFonts w:ascii="Arial" w:cs="Arial" w:eastAsia="Arial" w:hAnsi="Arial"/>
                <w:sz w:val="17"/>
                <w:szCs w:val="17"/>
                <w:b w:val="1"/>
                <w:bCs w:val="1"/>
                <w:color w:val="auto"/>
                <w:w w:val="90"/>
              </w:rPr>
              <w:t>Commission file number 001-33365</w:t>
            </w:r>
          </w:p>
        </w:tc>
      </w:tr>
      <w:tr>
        <w:trPr>
          <w:trHeight w:val="405"/>
        </w:trPr>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80" w:type="dxa"/>
            <w:vAlign w:val="bottom"/>
            <w:gridSpan w:val="2"/>
          </w:tcPr>
          <w:p>
            <w:pPr>
              <w:jc w:val="center"/>
              <w:ind w:left="115"/>
              <w:spacing w:after="0"/>
              <w:rPr>
                <w:sz w:val="20"/>
                <w:szCs w:val="20"/>
                <w:color w:val="auto"/>
              </w:rPr>
            </w:pPr>
            <w:r>
              <w:rPr>
                <w:rFonts w:ascii="Arial" w:cs="Arial" w:eastAsia="Arial" w:hAnsi="Arial"/>
                <w:sz w:val="17"/>
                <w:szCs w:val="17"/>
                <w:b w:val="1"/>
                <w:bCs w:val="1"/>
                <w:color w:val="auto"/>
                <w:w w:val="88"/>
              </w:rPr>
              <w:t>USA Technologies, Inc.</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9"/>
        </w:trPr>
        <w:tc>
          <w:tcPr>
            <w:tcW w:w="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307"/>
        </w:trPr>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0" w:type="dxa"/>
            <w:vAlign w:val="bottom"/>
            <w:gridSpan w:val="9"/>
          </w:tcPr>
          <w:p>
            <w:pPr>
              <w:jc w:val="center"/>
              <w:ind w:right="1740"/>
              <w:spacing w:after="0"/>
              <w:rPr>
                <w:sz w:val="20"/>
                <w:szCs w:val="20"/>
                <w:color w:val="auto"/>
              </w:rPr>
            </w:pPr>
            <w:r>
              <w:rPr>
                <w:rFonts w:ascii="Arial" w:cs="Arial" w:eastAsia="Arial" w:hAnsi="Arial"/>
                <w:sz w:val="17"/>
                <w:szCs w:val="17"/>
                <w:color w:val="auto"/>
                <w:w w:val="91"/>
              </w:rPr>
              <w:t>(Exact name of registrant as specified in its charter)</w:t>
            </w:r>
          </w:p>
        </w:tc>
      </w:tr>
      <w:tr>
        <w:trPr>
          <w:trHeight w:val="369"/>
        </w:trPr>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740" w:type="dxa"/>
            <w:vAlign w:val="bottom"/>
            <w:gridSpan w:val="4"/>
          </w:tcPr>
          <w:p>
            <w:pPr>
              <w:jc w:val="center"/>
              <w:ind w:right="2780"/>
              <w:spacing w:after="0"/>
              <w:rPr>
                <w:sz w:val="20"/>
                <w:szCs w:val="20"/>
                <w:color w:val="auto"/>
              </w:rPr>
            </w:pPr>
            <w:r>
              <w:rPr>
                <w:rFonts w:ascii="Arial" w:cs="Arial" w:eastAsia="Arial" w:hAnsi="Arial"/>
                <w:sz w:val="17"/>
                <w:szCs w:val="17"/>
                <w:b w:val="1"/>
                <w:bCs w:val="1"/>
                <w:color w:val="auto"/>
                <w:w w:val="88"/>
              </w:rPr>
              <w:t>Pennsylvania</w:t>
            </w:r>
          </w:p>
        </w:tc>
        <w:tc>
          <w:tcPr>
            <w:tcW w:w="2620" w:type="dxa"/>
            <w:vAlign w:val="bottom"/>
            <w:gridSpan w:val="6"/>
          </w:tcPr>
          <w:p>
            <w:pPr>
              <w:jc w:val="center"/>
              <w:ind w:left="35"/>
              <w:spacing w:after="0"/>
              <w:rPr>
                <w:sz w:val="20"/>
                <w:szCs w:val="20"/>
                <w:color w:val="auto"/>
              </w:rPr>
            </w:pPr>
            <w:r>
              <w:rPr>
                <w:rFonts w:ascii="Arial" w:cs="Arial" w:eastAsia="Arial" w:hAnsi="Arial"/>
                <w:sz w:val="17"/>
                <w:szCs w:val="17"/>
                <w:b w:val="1"/>
                <w:bCs w:val="1"/>
                <w:color w:val="auto"/>
                <w:w w:val="90"/>
              </w:rPr>
              <w:t>23-2679963</w:t>
            </w:r>
          </w:p>
        </w:tc>
      </w:tr>
      <w:tr>
        <w:trPr>
          <w:trHeight w:val="20"/>
        </w:trPr>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9"/>
        </w:trPr>
        <w:tc>
          <w:tcPr>
            <w:tcW w:w="5300" w:type="dxa"/>
            <w:vAlign w:val="bottom"/>
            <w:gridSpan w:val="6"/>
          </w:tcPr>
          <w:p>
            <w:pPr>
              <w:jc w:val="center"/>
              <w:ind w:right="1220"/>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2620" w:type="dxa"/>
            <w:vAlign w:val="bottom"/>
            <w:gridSpan w:val="6"/>
          </w:tcPr>
          <w:p>
            <w:pPr>
              <w:jc w:val="center"/>
              <w:ind w:left="35"/>
              <w:spacing w:after="0"/>
              <w:rPr>
                <w:sz w:val="20"/>
                <w:szCs w:val="20"/>
                <w:color w:val="auto"/>
              </w:rPr>
            </w:pPr>
            <w:r>
              <w:rPr>
                <w:rFonts w:ascii="Arial" w:cs="Arial" w:eastAsia="Arial" w:hAnsi="Arial"/>
                <w:sz w:val="17"/>
                <w:szCs w:val="17"/>
                <w:color w:val="auto"/>
                <w:w w:val="95"/>
              </w:rPr>
              <w:t>(I.R.S. Employer Identification No.)</w:t>
            </w:r>
          </w:p>
        </w:tc>
      </w:tr>
      <w:tr>
        <w:trPr>
          <w:trHeight w:val="382"/>
        </w:trPr>
        <w:tc>
          <w:tcPr>
            <w:tcW w:w="80" w:type="dxa"/>
            <w:vAlign w:val="bottom"/>
          </w:tcPr>
          <w:p>
            <w:pPr>
              <w:spacing w:after="0"/>
              <w:rPr>
                <w:sz w:val="24"/>
                <w:szCs w:val="24"/>
                <w:color w:val="auto"/>
              </w:rPr>
            </w:pPr>
          </w:p>
        </w:tc>
        <w:tc>
          <w:tcPr>
            <w:tcW w:w="3920" w:type="dxa"/>
            <w:vAlign w:val="bottom"/>
            <w:gridSpan w:val="4"/>
          </w:tcPr>
          <w:p>
            <w:pPr>
              <w:jc w:val="center"/>
              <w:spacing w:after="0"/>
              <w:rPr>
                <w:sz w:val="20"/>
                <w:szCs w:val="20"/>
                <w:color w:val="auto"/>
              </w:rPr>
            </w:pPr>
            <w:r>
              <w:rPr>
                <w:rFonts w:ascii="Arial" w:cs="Arial" w:eastAsia="Arial" w:hAnsi="Arial"/>
                <w:sz w:val="17"/>
                <w:szCs w:val="17"/>
                <w:b w:val="1"/>
                <w:bCs w:val="1"/>
                <w:color w:val="auto"/>
                <w:w w:val="91"/>
              </w:rPr>
              <w:t>100 Deerfield Lane, Suite 300, Malvern, Pennsylvania</w:t>
            </w:r>
          </w:p>
        </w:tc>
        <w:tc>
          <w:tcPr>
            <w:tcW w:w="1300" w:type="dxa"/>
            <w:vAlign w:val="bottom"/>
          </w:tcPr>
          <w:p>
            <w:pPr>
              <w:spacing w:after="0"/>
              <w:rPr>
                <w:sz w:val="24"/>
                <w:szCs w:val="24"/>
                <w:color w:val="auto"/>
              </w:rPr>
            </w:pPr>
          </w:p>
        </w:tc>
        <w:tc>
          <w:tcPr>
            <w:tcW w:w="1140" w:type="dxa"/>
            <w:vAlign w:val="bottom"/>
            <w:gridSpan w:val="3"/>
          </w:tcPr>
          <w:p>
            <w:pPr>
              <w:spacing w:after="0"/>
              <w:rPr>
                <w:sz w:val="24"/>
                <w:szCs w:val="2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19355</w:t>
            </w:r>
          </w:p>
        </w:tc>
        <w:tc>
          <w:tcPr>
            <w:tcW w:w="84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3920" w:type="dxa"/>
            <w:vAlign w:val="bottom"/>
            <w:gridSpan w:val="4"/>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19"/>
        </w:trPr>
        <w:tc>
          <w:tcPr>
            <w:tcW w:w="80" w:type="dxa"/>
            <w:vAlign w:val="bottom"/>
          </w:tcPr>
          <w:p>
            <w:pPr>
              <w:spacing w:after="0"/>
              <w:rPr>
                <w:sz w:val="19"/>
                <w:szCs w:val="19"/>
                <w:color w:val="auto"/>
              </w:rPr>
            </w:pPr>
          </w:p>
        </w:tc>
        <w:tc>
          <w:tcPr>
            <w:tcW w:w="3920" w:type="dxa"/>
            <w:vAlign w:val="bottom"/>
            <w:gridSpan w:val="4"/>
          </w:tcPr>
          <w:p>
            <w:pPr>
              <w:jc w:val="center"/>
              <w:spacing w:after="0"/>
              <w:rPr>
                <w:sz w:val="20"/>
                <w:szCs w:val="20"/>
                <w:color w:val="auto"/>
              </w:rPr>
            </w:pPr>
            <w:r>
              <w:rPr>
                <w:rFonts w:ascii="Arial" w:cs="Arial" w:eastAsia="Arial" w:hAnsi="Arial"/>
                <w:sz w:val="17"/>
                <w:szCs w:val="17"/>
                <w:color w:val="auto"/>
                <w:w w:val="93"/>
              </w:rPr>
              <w:t>(Address of principal executive offices)</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gridSpan w:val="4"/>
          </w:tcPr>
          <w:p>
            <w:pPr>
              <w:jc w:val="center"/>
              <w:ind w:right="860"/>
              <w:spacing w:after="0"/>
              <w:rPr>
                <w:sz w:val="20"/>
                <w:szCs w:val="20"/>
                <w:color w:val="auto"/>
              </w:rPr>
            </w:pPr>
            <w:r>
              <w:rPr>
                <w:rFonts w:ascii="Arial" w:cs="Arial" w:eastAsia="Arial" w:hAnsi="Arial"/>
                <w:sz w:val="17"/>
                <w:szCs w:val="17"/>
                <w:color w:val="auto"/>
                <w:w w:val="94"/>
              </w:rPr>
              <w:t>(Zip Code)</w:t>
            </w:r>
          </w:p>
        </w:tc>
      </w:tr>
      <w:tr>
        <w:trPr>
          <w:trHeight w:val="405"/>
        </w:trPr>
        <w:tc>
          <w:tcPr>
            <w:tcW w:w="5300" w:type="dxa"/>
            <w:vAlign w:val="bottom"/>
            <w:gridSpan w:val="6"/>
          </w:tcPr>
          <w:p>
            <w:pPr>
              <w:jc w:val="center"/>
              <w:ind w:left="3315"/>
              <w:spacing w:after="0"/>
              <w:rPr>
                <w:sz w:val="20"/>
                <w:szCs w:val="20"/>
                <w:color w:val="auto"/>
              </w:rPr>
            </w:pPr>
            <w:r>
              <w:rPr>
                <w:rFonts w:ascii="Arial" w:cs="Arial" w:eastAsia="Arial" w:hAnsi="Arial"/>
                <w:sz w:val="17"/>
                <w:szCs w:val="17"/>
                <w:b w:val="1"/>
                <w:bCs w:val="1"/>
                <w:color w:val="auto"/>
                <w:w w:val="91"/>
              </w:rPr>
              <w:t>(610) 989-0340</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71120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196" w:lineRule="exact"/>
        <w:rPr>
          <w:sz w:val="24"/>
          <w:szCs w:val="24"/>
          <w:color w:val="auto"/>
        </w:rPr>
      </w:pPr>
    </w:p>
    <w:p>
      <w:pPr>
        <w:jc w:val="both"/>
        <w:spacing w:after="0" w:line="205"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w:t>
      </w:r>
    </w:p>
    <w:p>
      <w:pPr>
        <w:spacing w:after="0" w:line="143" w:lineRule="exact"/>
        <w:rPr>
          <w:sz w:val="24"/>
          <w:szCs w:val="24"/>
          <w:color w:val="auto"/>
        </w:rPr>
      </w:pPr>
    </w:p>
    <w:p>
      <w:pPr>
        <w:jc w:val="both"/>
        <w:spacing w:after="0" w:line="205"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w:t>
      </w:r>
    </w:p>
    <w:p>
      <w:pPr>
        <w:spacing w:after="0" w:line="142" w:lineRule="exact"/>
        <w:rPr>
          <w:sz w:val="24"/>
          <w:szCs w:val="24"/>
          <w:color w:val="auto"/>
        </w:rPr>
      </w:pPr>
    </w:p>
    <w:p>
      <w:pPr>
        <w:jc w:val="both"/>
        <w:spacing w:after="0" w:line="24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41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20" w:type="dxa"/>
            <w:vAlign w:val="bottom"/>
          </w:tcPr>
          <w:p>
            <w:pPr>
              <w:spacing w:after="0"/>
              <w:rPr>
                <w:sz w:val="19"/>
                <w:szCs w:val="19"/>
                <w:color w:val="auto"/>
              </w:rPr>
            </w:pPr>
          </w:p>
        </w:tc>
        <w:tc>
          <w:tcPr>
            <w:tcW w:w="3160" w:type="dxa"/>
            <w:vAlign w:val="bottom"/>
          </w:tcPr>
          <w:p>
            <w:pPr>
              <w:ind w:left="100"/>
              <w:spacing w:after="0"/>
              <w:rPr>
                <w:sz w:val="20"/>
                <w:szCs w:val="20"/>
                <w:color w:val="auto"/>
              </w:rPr>
            </w:pPr>
            <w:r>
              <w:rPr>
                <w:rFonts w:ascii="Arial" w:cs="Arial" w:eastAsia="Arial" w:hAnsi="Arial"/>
                <w:sz w:val="17"/>
                <w:szCs w:val="17"/>
                <w:color w:val="auto"/>
              </w:rPr>
              <w:t>Accelerated filer</w:t>
            </w:r>
          </w:p>
        </w:tc>
        <w:tc>
          <w:tcPr>
            <w:tcW w:w="1360" w:type="dxa"/>
            <w:vAlign w:val="bottom"/>
          </w:tcPr>
          <w:p>
            <w:pPr>
              <w:jc w:val="right"/>
              <w:spacing w:after="0" w:line="228" w:lineRule="exact"/>
              <w:rPr>
                <w:sz w:val="20"/>
                <w:szCs w:val="20"/>
                <w:color w:val="auto"/>
              </w:rPr>
            </w:pPr>
            <w:r>
              <w:rPr>
                <w:rFonts w:ascii="Arial Unicode MS" w:cs="Arial Unicode MS" w:eastAsia="Arial Unicode MS" w:hAnsi="Arial Unicode MS"/>
                <w:sz w:val="17"/>
                <w:szCs w:val="17"/>
                <w:color w:val="auto"/>
              </w:rPr>
              <w:t>☒</w:t>
            </w:r>
          </w:p>
        </w:tc>
        <w:tc>
          <w:tcPr>
            <w:tcW w:w="0" w:type="dxa"/>
            <w:vAlign w:val="bottom"/>
          </w:tcPr>
          <w:p>
            <w:pPr>
              <w:spacing w:after="0"/>
              <w:rPr>
                <w:sz w:val="1"/>
                <w:szCs w:val="1"/>
                <w:color w:val="auto"/>
              </w:rPr>
            </w:pPr>
          </w:p>
        </w:tc>
      </w:tr>
      <w:tr>
        <w:trPr>
          <w:trHeight w:val="235"/>
        </w:trPr>
        <w:tc>
          <w:tcPr>
            <w:tcW w:w="4120" w:type="dxa"/>
            <w:vAlign w:val="bottom"/>
          </w:tcPr>
          <w:p>
            <w:pPr>
              <w:spacing w:after="0"/>
              <w:rPr>
                <w:sz w:val="20"/>
                <w:szCs w:val="20"/>
                <w:color w:val="auto"/>
              </w:rPr>
            </w:pPr>
            <w:r>
              <w:rPr>
                <w:rFonts w:ascii="Arial" w:cs="Arial" w:eastAsia="Arial" w:hAnsi="Arial"/>
                <w:sz w:val="17"/>
                <w:szCs w:val="17"/>
                <w:color w:val="auto"/>
                <w:w w:val="96"/>
              </w:rPr>
              <w:t>Non-accelerated filer (Do not check if a smaller reporting</w:t>
            </w:r>
          </w:p>
        </w:tc>
        <w:tc>
          <w:tcPr>
            <w:tcW w:w="420" w:type="dxa"/>
            <w:vAlign w:val="bottom"/>
          </w:tcPr>
          <w:p>
            <w:pPr>
              <w:spacing w:after="0"/>
              <w:rPr>
                <w:sz w:val="20"/>
                <w:szCs w:val="20"/>
                <w:color w:val="auto"/>
              </w:rPr>
            </w:pPr>
          </w:p>
        </w:tc>
        <w:tc>
          <w:tcPr>
            <w:tcW w:w="3160" w:type="dxa"/>
            <w:vAlign w:val="bottom"/>
          </w:tcPr>
          <w:p>
            <w:pPr>
              <w:ind w:left="100"/>
              <w:spacing w:after="0"/>
              <w:rPr>
                <w:sz w:val="20"/>
                <w:szCs w:val="20"/>
                <w:color w:val="auto"/>
              </w:rPr>
            </w:pPr>
            <w:r>
              <w:rPr>
                <w:rFonts w:ascii="Arial" w:cs="Arial" w:eastAsia="Arial" w:hAnsi="Arial"/>
                <w:sz w:val="17"/>
                <w:szCs w:val="17"/>
                <w:color w:val="auto"/>
              </w:rPr>
              <w:t>Smaller reporting company</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company)</w:t>
            </w:r>
          </w:p>
        </w:tc>
        <w:tc>
          <w:tcPr>
            <w:tcW w:w="4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420" w:type="dxa"/>
            <w:vAlign w:val="bottom"/>
            <w:vMerge w:val="continue"/>
          </w:tcPr>
          <w:p>
            <w:pPr>
              <w:spacing w:after="0"/>
              <w:rPr>
                <w:sz w:val="21"/>
                <w:szCs w:val="21"/>
                <w:color w:val="auto"/>
              </w:rPr>
            </w:pPr>
          </w:p>
        </w:tc>
        <w:tc>
          <w:tcPr>
            <w:tcW w:w="3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9" w:lineRule="exact"/>
        <w:rPr>
          <w:sz w:val="24"/>
          <w:szCs w:val="24"/>
          <w:color w:val="auto"/>
        </w:rPr>
      </w:pPr>
    </w:p>
    <w:p>
      <w:pPr>
        <w:ind w:right="280"/>
        <w:spacing w:after="0" w:line="324"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69" w:lineRule="exact"/>
        <w:rPr>
          <w:sz w:val="24"/>
          <w:szCs w:val="24"/>
          <w:color w:val="auto"/>
        </w:rPr>
      </w:pPr>
    </w:p>
    <w:p>
      <w:pPr>
        <w:ind w:right="1080"/>
        <w:spacing w:after="0" w:line="26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No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As of October 31, 2017 there were 50,196,531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54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20320</wp:posOffset>
            </wp:positionV>
            <wp:extent cx="575437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594995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33" w:right="1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60" w:type="dxa"/>
            <w:vAlign w:val="bottom"/>
            <w:gridSpan w:val="19"/>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200" w:type="dxa"/>
            <w:vAlign w:val="bottom"/>
          </w:tcPr>
          <w:p>
            <w:pPr>
              <w:spacing w:after="0"/>
              <w:rPr>
                <w:sz w:val="17"/>
                <w:szCs w:val="17"/>
                <w:color w:val="auto"/>
              </w:rPr>
            </w:pPr>
          </w:p>
        </w:tc>
      </w:tr>
      <w:tr>
        <w:trPr>
          <w:trHeight w:val="758"/>
        </w:trPr>
        <w:tc>
          <w:tcPr>
            <w:tcW w:w="5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20" w:type="dxa"/>
            <w:vAlign w:val="bottom"/>
            <w:tcBorders>
              <w:top w:val="single" w:sz="8" w:color="0563C1"/>
            </w:tcBorders>
          </w:tcPr>
          <w:p>
            <w:pPr>
              <w:spacing w:after="0"/>
              <w:rPr>
                <w:sz w:val="24"/>
                <w:szCs w:val="24"/>
                <w:color w:val="auto"/>
              </w:rPr>
            </w:pPr>
          </w:p>
        </w:tc>
        <w:tc>
          <w:tcPr>
            <w:tcW w:w="520" w:type="dxa"/>
            <w:vAlign w:val="bottom"/>
            <w:tcBorders>
              <w:top w:val="single" w:sz="8" w:color="0563C1"/>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20" w:type="dxa"/>
            <w:vAlign w:val="bottom"/>
            <w:gridSpan w:val="8"/>
          </w:tcPr>
          <w:p>
            <w:pPr>
              <w:jc w:val="center"/>
              <w:ind w:right="1840"/>
              <w:spacing w:after="0"/>
              <w:rPr>
                <w:sz w:val="20"/>
                <w:szCs w:val="20"/>
                <w:color w:val="auto"/>
              </w:rPr>
            </w:pPr>
            <w:r>
              <w:rPr>
                <w:rFonts w:ascii="Arial" w:cs="Arial" w:eastAsia="Arial" w:hAnsi="Arial"/>
                <w:sz w:val="18"/>
                <w:szCs w:val="18"/>
                <w:b w:val="1"/>
                <w:bCs w:val="1"/>
                <w:color w:val="auto"/>
              </w:rPr>
              <w:t>USA TECHNOLOGIES, INC.</w:t>
            </w:r>
          </w:p>
        </w:tc>
        <w:tc>
          <w:tcPr>
            <w:tcW w:w="120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30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w w:val="98"/>
              </w:rPr>
              <w:t>TABLE OF CONTENTS</w:t>
            </w:r>
          </w:p>
        </w:tc>
        <w:tc>
          <w:tcPr>
            <w:tcW w:w="1200" w:type="dxa"/>
            <w:vAlign w:val="bottom"/>
          </w:tcPr>
          <w:p>
            <w:pPr>
              <w:spacing w:after="0"/>
              <w:rPr>
                <w:sz w:val="20"/>
                <w:szCs w:val="20"/>
                <w:color w:val="auto"/>
              </w:rPr>
            </w:pPr>
          </w:p>
        </w:tc>
      </w:tr>
      <w:tr>
        <w:trPr>
          <w:trHeight w:val="392"/>
        </w:trPr>
        <w:tc>
          <w:tcPr>
            <w:tcW w:w="78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20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220" w:type="dxa"/>
            <w:vAlign w:val="bottom"/>
          </w:tcPr>
          <w:p>
            <w:pPr>
              <w:spacing w:after="0"/>
              <w:rPr>
                <w:sz w:val="24"/>
                <w:szCs w:val="24"/>
                <w:color w:val="auto"/>
              </w:rPr>
            </w:pPr>
          </w:p>
        </w:tc>
        <w:tc>
          <w:tcPr>
            <w:tcW w:w="71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 (unaudited)</w:t>
              </w:r>
            </w:hyperlink>
          </w:p>
        </w:tc>
        <w:tc>
          <w:tcPr>
            <w:tcW w:w="120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w:t>
              </w:r>
            </w:hyperlink>
          </w:p>
        </w:tc>
        <w:tc>
          <w:tcPr>
            <w:tcW w:w="5020" w:type="dxa"/>
            <w:vAlign w:val="bottom"/>
            <w:gridSpan w:val="9"/>
          </w:tcPr>
          <w:p>
            <w:pPr>
              <w:spacing w:after="0"/>
              <w:rPr>
                <w:sz w:val="24"/>
                <w:szCs w:val="24"/>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w:t>
              </w:r>
            </w:hyperlink>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w:t>
            </w:r>
          </w:p>
        </w:tc>
      </w:tr>
      <w:tr>
        <w:trPr>
          <w:trHeight w:val="20"/>
        </w:trPr>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w:t>
              </w:r>
            </w:hyperlink>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5</w:t>
            </w:r>
          </w:p>
        </w:tc>
      </w:tr>
      <w:tr>
        <w:trPr>
          <w:trHeight w:val="412"/>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w:t>
              </w:r>
            </w:hyperlink>
          </w:p>
        </w:tc>
        <w:tc>
          <w:tcPr>
            <w:tcW w:w="600" w:type="dxa"/>
            <w:vAlign w:val="bottom"/>
            <w:tcBorders>
              <w:top w:val="single" w:sz="8" w:color="0000EE"/>
            </w:tcBorders>
            <w:gridSpan w:val="3"/>
          </w:tcPr>
          <w:p>
            <w:pPr>
              <w:spacing w:after="0"/>
              <w:rPr>
                <w:sz w:val="24"/>
                <w:szCs w:val="24"/>
                <w:color w:val="auto"/>
              </w:rPr>
            </w:pPr>
          </w:p>
        </w:tc>
        <w:tc>
          <w:tcPr>
            <w:tcW w:w="3640" w:type="dxa"/>
            <w:vAlign w:val="bottom"/>
            <w:gridSpan w:val="3"/>
          </w:tcPr>
          <w:p>
            <w:pPr>
              <w:spacing w:after="0"/>
              <w:rPr>
                <w:sz w:val="24"/>
                <w:szCs w:val="24"/>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6</w:t>
            </w:r>
          </w:p>
        </w:tc>
      </w:tr>
      <w:tr>
        <w:trPr>
          <w:trHeight w:val="412"/>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3960" w:type="dxa"/>
            <w:vAlign w:val="bottom"/>
            <w:gridSpan w:val="5"/>
          </w:tcPr>
          <w:p>
            <w:pPr>
              <w:spacing w:after="0"/>
              <w:rPr>
                <w:sz w:val="24"/>
                <w:szCs w:val="24"/>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w:t>
            </w:r>
          </w:p>
        </w:tc>
      </w:tr>
      <w:tr>
        <w:trPr>
          <w:trHeight w:val="628"/>
        </w:trPr>
        <w:tc>
          <w:tcPr>
            <w:tcW w:w="786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2.   Management’s Discussion and Analysis of Financial Condition and Results of Operations</w:t>
              </w:r>
            </w:hyperlink>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15</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28"/>
        </w:trPr>
        <w:tc>
          <w:tcPr>
            <w:tcW w:w="786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3.   Quantitative and Qualitative Disclosures About Market Risk</w:t>
              </w:r>
            </w:hyperlink>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24</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28"/>
        </w:trPr>
        <w:tc>
          <w:tcPr>
            <w:tcW w:w="786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   Controls and Procedures</w:t>
              </w:r>
            </w:hyperlink>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24</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28"/>
        </w:trPr>
        <w:tc>
          <w:tcPr>
            <w:tcW w:w="786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Part II - Other Information</w:t>
              </w:r>
            </w:hyperlink>
          </w:p>
        </w:tc>
        <w:tc>
          <w:tcPr>
            <w:tcW w:w="120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844"/>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220" w:type="dxa"/>
            <w:vAlign w:val="bottom"/>
          </w:tcPr>
          <w:p>
            <w:pPr>
              <w:spacing w:after="0"/>
              <w:rPr>
                <w:sz w:val="24"/>
                <w:szCs w:val="24"/>
                <w:color w:val="auto"/>
              </w:rPr>
            </w:pPr>
          </w:p>
        </w:tc>
        <w:tc>
          <w:tcPr>
            <w:tcW w:w="712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24</w:t>
            </w: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820" w:type="dxa"/>
            <w:vAlign w:val="bottom"/>
            <w:gridSpan w:val="8"/>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9"/>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3.</w:t>
              </w:r>
            </w:hyperlink>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Defaults upon Senior Securities</w:t>
              </w:r>
            </w:hyperlink>
          </w:p>
        </w:tc>
        <w:tc>
          <w:tcPr>
            <w:tcW w:w="4820" w:type="dxa"/>
            <w:vAlign w:val="bottom"/>
            <w:gridSpan w:val="8"/>
          </w:tcPr>
          <w:p>
            <w:pPr>
              <w:spacing w:after="0"/>
              <w:rPr>
                <w:sz w:val="24"/>
                <w:szCs w:val="24"/>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25</w:t>
            </w:r>
          </w:p>
        </w:tc>
      </w:tr>
      <w:tr>
        <w:trPr>
          <w:trHeight w:val="439"/>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220" w:type="dxa"/>
            <w:vAlign w:val="bottom"/>
          </w:tcPr>
          <w:p>
            <w:pPr>
              <w:spacing w:after="0"/>
              <w:rPr>
                <w:sz w:val="24"/>
                <w:szCs w:val="24"/>
                <w:color w:val="auto"/>
              </w:rPr>
            </w:pPr>
          </w:p>
        </w:tc>
        <w:tc>
          <w:tcPr>
            <w:tcW w:w="712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Exhibits</w:t>
              </w:r>
            </w:hyperlink>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25</w:t>
            </w:r>
          </w:p>
        </w:tc>
      </w:tr>
      <w:tr>
        <w:trPr>
          <w:trHeight w:val="20"/>
        </w:trPr>
        <w:tc>
          <w:tcPr>
            <w:tcW w:w="5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60" w:type="dxa"/>
            <w:vAlign w:val="bottom"/>
            <w:gridSpan w:val="1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gridSpan w:val="17"/>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26</w:t>
            </w:r>
          </w:p>
        </w:tc>
      </w:tr>
      <w:tr>
        <w:trPr>
          <w:trHeight w:val="608"/>
        </w:trPr>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92"/>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85"/>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shares)</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52"/>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32"/>
              <w:spacing w:after="0"/>
              <w:rPr>
                <w:sz w:val="20"/>
                <w:szCs w:val="20"/>
                <w:color w:val="auto"/>
              </w:rPr>
            </w:pPr>
            <w:r>
              <w:rPr>
                <w:rFonts w:ascii="Arial" w:cs="Arial" w:eastAsia="Arial" w:hAnsi="Arial"/>
                <w:sz w:val="14"/>
                <w:szCs w:val="14"/>
                <w:b w:val="1"/>
                <w:bCs w:val="1"/>
                <w:i w:val="1"/>
                <w:iCs w:val="1"/>
                <w:color w:val="auto"/>
                <w:w w:val="91"/>
              </w:rPr>
              <w:t>(unaudited)</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52"/>
              <w:spacing w:after="0"/>
              <w:rPr>
                <w:sz w:val="20"/>
                <w:szCs w:val="20"/>
                <w:color w:val="auto"/>
              </w:rPr>
            </w:pPr>
            <w:r>
              <w:rPr>
                <w:rFonts w:ascii="Arial" w:cs="Arial" w:eastAsia="Arial" w:hAnsi="Arial"/>
                <w:sz w:val="14"/>
                <w:szCs w:val="14"/>
                <w:b w:val="1"/>
                <w:bCs w:val="1"/>
                <w:i w:val="1"/>
                <w:iCs w:val="1"/>
                <w:color w:val="auto"/>
                <w:w w:val="91"/>
              </w:rPr>
              <w:t>(audited)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51,870</w:t>
            </w:r>
          </w:p>
        </w:tc>
        <w:tc>
          <w:tcPr>
            <w:tcW w:w="2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12,745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Accounts receivable, less allowance of $3,445 and $3,149, respectively</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10,288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7,193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Finance receivables, less allowance of $22 and $19, respectively</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3,082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11,010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8,240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1,122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tcPr>
          <w:p>
            <w:pPr>
              <w:spacing w:after="0" w:line="170" w:lineRule="exact"/>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spacing w:after="0" w:line="170" w:lineRule="exact"/>
              <w:rPr>
                <w:sz w:val="20"/>
                <w:szCs w:val="20"/>
                <w:color w:val="auto"/>
              </w:rPr>
            </w:pPr>
            <w:r>
              <w:rPr>
                <w:rFonts w:ascii="Arial" w:cs="Arial" w:eastAsia="Arial" w:hAnsi="Arial"/>
                <w:sz w:val="18"/>
                <w:szCs w:val="18"/>
                <w:color w:val="auto"/>
              </w:rPr>
              <w:t>74,602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70" w:lineRule="exact"/>
              <w:rPr>
                <w:sz w:val="20"/>
                <w:szCs w:val="20"/>
                <w:color w:val="auto"/>
              </w:rPr>
            </w:pPr>
            <w:r>
              <w:rPr>
                <w:rFonts w:ascii="Arial" w:cs="Arial" w:eastAsia="Arial" w:hAnsi="Arial"/>
                <w:sz w:val="18"/>
                <w:szCs w:val="18"/>
                <w:color w:val="auto"/>
              </w:rPr>
              <w:t>36,502</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60" w:type="dxa"/>
            <w:vAlign w:val="bottom"/>
          </w:tcPr>
          <w:p>
            <w:pPr>
              <w:spacing w:after="0" w:line="176" w:lineRule="exact"/>
              <w:rPr>
                <w:sz w:val="20"/>
                <w:szCs w:val="20"/>
                <w:color w:val="auto"/>
              </w:rPr>
            </w:pPr>
            <w:r>
              <w:rPr>
                <w:rFonts w:ascii="Arial" w:cs="Arial" w:eastAsia="Arial" w:hAnsi="Arial"/>
                <w:sz w:val="18"/>
                <w:szCs w:val="18"/>
                <w:color w:val="auto"/>
              </w:rPr>
              <w:t>Non-current assets: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Finance receivables, less current portion</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7,742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750</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11,850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12,111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28,205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27,670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11,492</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non-current assets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60,617</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61,189</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135,219</w:t>
            </w:r>
          </w:p>
        </w:tc>
        <w:tc>
          <w:tcPr>
            <w:tcW w:w="2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97,691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1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Liabilities and shareholders’ equity</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14,211</w:t>
            </w:r>
          </w:p>
        </w:tc>
        <w:tc>
          <w:tcPr>
            <w:tcW w:w="20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16,054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3,795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Line of credit, net</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7,051</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Capital lease obligations and current obligations under long-term debt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2,649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3,230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Deferred gain from sale-leaseback transactions</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197</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27,913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30,699</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rPr>
              <w:t>Capital lease obligations and long-term debt, less current portion</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line="176" w:lineRule="exact"/>
              <w:rPr>
                <w:sz w:val="20"/>
                <w:szCs w:val="20"/>
                <w:color w:val="auto"/>
              </w:rPr>
            </w:pPr>
            <w:r>
              <w:rPr>
                <w:rFonts w:ascii="Arial" w:cs="Arial" w:eastAsia="Arial" w:hAnsi="Arial"/>
                <w:sz w:val="18"/>
                <w:szCs w:val="18"/>
                <w:color w:val="auto"/>
              </w:rPr>
              <w:t>1,049</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Accrued expenses, less current portion</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Deferred gain from sale-leaseback transactions, less current portion</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1,210</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29,123</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31,913</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Commitments and contingencies (Note 12)</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spacing w:after="0" w:line="176" w:lineRule="exact"/>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8"/>
              </w:rPr>
              <w:t>Preferred stock, no par value, 1,800,000 shares authorized, no shares issued</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ind w:left="100"/>
              <w:spacing w:after="0" w:line="149" w:lineRule="exact"/>
              <w:rPr>
                <w:sz w:val="20"/>
                <w:szCs w:val="20"/>
                <w:color w:val="auto"/>
              </w:rPr>
            </w:pPr>
            <w:r>
              <w:rPr>
                <w:rFonts w:ascii="Arial" w:cs="Arial" w:eastAsia="Arial" w:hAnsi="Arial"/>
                <w:sz w:val="17"/>
                <w:szCs w:val="17"/>
                <w:color w:val="auto"/>
                <w:w w:val="94"/>
              </w:rPr>
              <w:t>Series A convertible preferred stock, 900,000 shares authorized, 445,063 issued and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ind w:left="100"/>
              <w:spacing w:after="0" w:line="176" w:lineRule="exact"/>
              <w:rPr>
                <w:sz w:val="20"/>
                <w:szCs w:val="20"/>
                <w:color w:val="auto"/>
              </w:rPr>
            </w:pPr>
            <w:r>
              <w:rPr>
                <w:rFonts w:ascii="Arial" w:cs="Arial" w:eastAsia="Arial" w:hAnsi="Arial"/>
                <w:sz w:val="18"/>
                <w:szCs w:val="18"/>
                <w:color w:val="auto"/>
                <w:w w:val="91"/>
              </w:rPr>
              <w:t>outstanding, with liquidation preferences of $19,109 and $18,775 at September 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3,138</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tcPr>
          <w:p>
            <w:pPr>
              <w:ind w:left="100"/>
              <w:spacing w:after="0" w:line="202" w:lineRule="exact"/>
              <w:rPr>
                <w:sz w:val="20"/>
                <w:szCs w:val="20"/>
                <w:color w:val="auto"/>
              </w:rPr>
            </w:pPr>
            <w:r>
              <w:rPr>
                <w:rFonts w:ascii="Arial" w:cs="Arial" w:eastAsia="Arial" w:hAnsi="Arial"/>
                <w:sz w:val="18"/>
                <w:szCs w:val="18"/>
                <w:color w:val="auto"/>
              </w:rPr>
              <w:t>2017 and June 30, 2017, respectively</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shd w:val="clear" w:color="auto" w:fill="CCEEFF"/>
          </w:tcPr>
          <w:p>
            <w:pPr>
              <w:ind w:left="100"/>
              <w:spacing w:after="0" w:line="149" w:lineRule="exact"/>
              <w:rPr>
                <w:sz w:val="20"/>
                <w:szCs w:val="20"/>
                <w:color w:val="auto"/>
              </w:rPr>
            </w:pPr>
            <w:r>
              <w:rPr>
                <w:rFonts w:ascii="Arial" w:cs="Arial" w:eastAsia="Arial" w:hAnsi="Arial"/>
                <w:sz w:val="17"/>
                <w:szCs w:val="17"/>
                <w:color w:val="auto"/>
              </w:rPr>
              <w:t>Common stock, no par value, 640,000,000 shares authorized, 50,194,731 and</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87"/>
              </w:rPr>
              <w:t>40,331,645 shares issued and outstanding at September 30, 2017 and June 30, 2017,</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286,463</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245,999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(183,505)</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(183,359)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106,096</w:t>
            </w: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65,778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60" w:type="dxa"/>
            <w:vAlign w:val="bottom"/>
          </w:tcPr>
          <w:p>
            <w:pPr>
              <w:spacing w:after="0" w:line="170" w:lineRule="exact"/>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135,219</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97,691</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shares and per share data)</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Revenues:</w:t>
            </w: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100"/>
              <w:spacing w:after="0" w:line="176" w:lineRule="exact"/>
              <w:rPr>
                <w:sz w:val="20"/>
                <w:szCs w:val="20"/>
                <w:color w:val="auto"/>
              </w:rPr>
            </w:pPr>
            <w:r>
              <w:rPr>
                <w:rFonts w:ascii="Arial" w:cs="Arial" w:eastAsia="Arial" w:hAnsi="Arial"/>
                <w:sz w:val="18"/>
                <w:szCs w:val="18"/>
                <w:color w:val="auto"/>
              </w:rPr>
              <w:t>License and transaction fees</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19,944</w:t>
            </w:r>
          </w:p>
        </w:tc>
        <w:tc>
          <w:tcPr>
            <w:tcW w:w="340" w:type="dxa"/>
            <w:vAlign w:val="bottom"/>
            <w:gridSpan w:val="2"/>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16,365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Equipment sales</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5,673</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line="170" w:lineRule="exact"/>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line="170" w:lineRule="exact"/>
              <w:rPr>
                <w:sz w:val="20"/>
                <w:szCs w:val="20"/>
                <w:color w:val="auto"/>
              </w:rPr>
            </w:pPr>
            <w:r>
              <w:rPr>
                <w:rFonts w:ascii="Arial" w:cs="Arial" w:eastAsia="Arial" w:hAnsi="Arial"/>
                <w:sz w:val="18"/>
                <w:szCs w:val="18"/>
                <w:color w:val="auto"/>
              </w:rPr>
              <w:t>25,617</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line="170" w:lineRule="exact"/>
              <w:rPr>
                <w:sz w:val="20"/>
                <w:szCs w:val="20"/>
                <w:color w:val="auto"/>
              </w:rPr>
            </w:pPr>
            <w:r>
              <w:rPr>
                <w:rFonts w:ascii="Arial" w:cs="Arial" w:eastAsia="Arial" w:hAnsi="Arial"/>
                <w:sz w:val="18"/>
                <w:szCs w:val="18"/>
                <w:color w:val="auto"/>
              </w:rPr>
              <w:t>21,588</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tcPr>
          <w:p>
            <w:pPr>
              <w:spacing w:after="0" w:line="176" w:lineRule="exact"/>
              <w:rPr>
                <w:sz w:val="20"/>
                <w:szCs w:val="20"/>
                <w:color w:val="auto"/>
              </w:rPr>
            </w:pPr>
            <w:r>
              <w:rPr>
                <w:rFonts w:ascii="Arial" w:cs="Arial" w:eastAsia="Arial" w:hAnsi="Arial"/>
                <w:sz w:val="18"/>
                <w:szCs w:val="18"/>
                <w:color w:val="auto"/>
              </w:rPr>
              <w:t>Costs of sales: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Cost of services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13,326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11,243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Cost of equipment</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5,090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4,178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costs of sales</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18,416</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15,421</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7,201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6,746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Integration and acquisition costs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245</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7,753</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loss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100"/>
              <w:spacing w:after="0" w:line="176" w:lineRule="exact"/>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80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Change in fair value of warrant liabilities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expense, net</w:t>
            </w:r>
          </w:p>
        </w:tc>
        <w:tc>
          <w:tcPr>
            <w:tcW w:w="1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(681)</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Benefit for income taxes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468</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(213)</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Preferred dividends</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(334)</w:t>
            </w:r>
          </w:p>
        </w:tc>
        <w:tc>
          <w:tcPr>
            <w:tcW w:w="1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 applicable to common shares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(547)</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Net loss per common share - basic and diluted</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(0.01)</w:t>
            </w: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Weighted average number of common shares outstanding - basic and diluted</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47,573,364</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38,488,005</w:t>
            </w:r>
          </w:p>
        </w:tc>
        <w:tc>
          <w:tcPr>
            <w:tcW w:w="0" w:type="dxa"/>
            <w:vAlign w:val="bottom"/>
          </w:tcPr>
          <w:p>
            <w:pPr>
              <w:spacing w:after="0"/>
              <w:rPr>
                <w:sz w:val="1"/>
                <w:szCs w:val="1"/>
                <w:color w:val="auto"/>
              </w:rPr>
            </w:pPr>
          </w:p>
        </w:tc>
      </w:tr>
      <w:tr>
        <w:trPr>
          <w:trHeight w:val="365"/>
        </w:trPr>
        <w:tc>
          <w:tcPr>
            <w:tcW w:w="650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500" w:type="dxa"/>
            <w:vAlign w:val="bottom"/>
            <w:gridSpan w:val="2"/>
          </w:tcPr>
          <w:p>
            <w:pPr>
              <w:jc w:val="right"/>
              <w:ind w:right="183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 of Shareholders’ Equity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9060"/>
          </w:cols>
          <w:pgMar w:left="1420" w:top="125"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in thousands, except shares)</w:t>
      </w:r>
    </w:p>
    <w:p>
      <w:pPr>
        <w:spacing w:after="0" w:line="233" w:lineRule="auto"/>
        <w:rPr>
          <w:sz w:val="20"/>
          <w:szCs w:val="20"/>
          <w:color w:val="auto"/>
        </w:rPr>
      </w:pPr>
      <w:r>
        <w:rPr>
          <w:rFonts w:ascii="Arial" w:cs="Arial" w:eastAsia="Arial" w:hAnsi="Arial"/>
          <w:sz w:val="18"/>
          <w:szCs w:val="18"/>
          <w:color w:val="auto"/>
        </w:rPr>
        <w:t>Balance, June 30, 2017</w:t>
      </w:r>
    </w:p>
    <w:p>
      <w:pPr>
        <w:spacing w:after="0" w:line="214" w:lineRule="auto"/>
        <w:rPr>
          <w:sz w:val="20"/>
          <w:szCs w:val="20"/>
          <w:color w:val="auto"/>
        </w:rPr>
      </w:pPr>
      <w:r>
        <w:rPr>
          <w:rFonts w:ascii="Arial" w:cs="Arial" w:eastAsia="Arial" w:hAnsi="Arial"/>
          <w:sz w:val="18"/>
          <w:szCs w:val="18"/>
          <w:color w:val="auto"/>
        </w:rPr>
        <w:t>Issuance of common stock in relation to public offering, net of offering costs incurred of $3,237</w:t>
      </w:r>
      <w:r>
        <w:rPr>
          <w:rFonts w:ascii="Arial" w:cs="Arial" w:eastAsia="Arial" w:hAnsi="Arial"/>
          <w:sz w:val="8"/>
          <w:szCs w:val="8"/>
          <w:color w:val="auto"/>
        </w:rPr>
        <w:t>(a)</w:t>
      </w:r>
    </w:p>
    <w:p>
      <w:pPr>
        <w:spacing w:after="0" w:line="203" w:lineRule="auto"/>
        <w:rPr>
          <w:sz w:val="20"/>
          <w:szCs w:val="20"/>
          <w:color w:val="auto"/>
        </w:rPr>
      </w:pPr>
      <w:r>
        <w:rPr>
          <w:rFonts w:ascii="Arial" w:cs="Arial" w:eastAsia="Arial" w:hAnsi="Arial"/>
          <w:sz w:val="18"/>
          <w:szCs w:val="18"/>
          <w:color w:val="auto"/>
        </w:rPr>
        <w:t>Stock based compensation</w:t>
      </w:r>
    </w:p>
    <w:p>
      <w:pPr>
        <w:spacing w:after="0" w:line="1"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Excess tax benefit from stock plans</w:t>
      </w:r>
      <w:r>
        <w:rPr>
          <w:rFonts w:ascii="Arial" w:cs="Arial" w:eastAsia="Arial" w:hAnsi="Arial"/>
          <w:sz w:val="8"/>
          <w:szCs w:val="8"/>
          <w:color w:val="auto"/>
        </w:rPr>
        <w:t>(b)</w:t>
      </w:r>
      <w:r>
        <w:rPr>
          <w:rFonts w:ascii="Arial" w:cs="Arial" w:eastAsia="Arial" w:hAnsi="Arial"/>
          <w:sz w:val="18"/>
          <w:szCs w:val="18"/>
          <w:color w:val="auto"/>
        </w:rPr>
        <w:t xml:space="preserve"> Net loss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64770</wp:posOffset>
            </wp:positionV>
            <wp:extent cx="14408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9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Series A</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19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6"/>
              </w:rPr>
              <w:t>Convertible</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5"/>
        </w:trPr>
        <w:tc>
          <w:tcPr>
            <w:tcW w:w="19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19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69"/>
        </w:trPr>
        <w:tc>
          <w:tcPr>
            <w:tcW w:w="82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920" w:type="dxa"/>
            <w:vAlign w:val="bottom"/>
            <w:tcBorders>
              <w:top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Total</w:t>
            </w:r>
          </w:p>
        </w:tc>
      </w:tr>
      <w:tr>
        <w:trPr>
          <w:trHeight w:val="224"/>
        </w:trPr>
        <w:tc>
          <w:tcPr>
            <w:tcW w:w="8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5"/>
              </w:rPr>
              <w:t>445,063</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40,331,645</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245,999</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(183,359)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65,778</w:t>
            </w:r>
          </w:p>
        </w:tc>
      </w:tr>
      <w:tr>
        <w:trPr>
          <w:trHeight w:val="47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9,583,332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39,888</w:t>
            </w:r>
          </w:p>
        </w:tc>
      </w:tr>
      <w:tr>
        <w:trPr>
          <w:trHeight w:val="202"/>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279,754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1" w:lineRule="exact"/>
              <w:rPr>
                <w:sz w:val="20"/>
                <w:szCs w:val="20"/>
                <w:color w:val="auto"/>
              </w:rPr>
            </w:pPr>
            <w:r>
              <w:rPr>
                <w:rFonts w:ascii="Arial" w:cs="Arial" w:eastAsia="Arial" w:hAnsi="Arial"/>
                <w:sz w:val="18"/>
                <w:szCs w:val="18"/>
                <w:color w:val="auto"/>
              </w:rPr>
              <w:t>576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576</w:t>
            </w:r>
          </w:p>
        </w:tc>
      </w:tr>
      <w:tr>
        <w:trPr>
          <w:trHeight w:val="176"/>
        </w:trPr>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67</w:t>
            </w:r>
          </w:p>
        </w:tc>
      </w:tr>
      <w:tr>
        <w:trPr>
          <w:trHeight w:val="203"/>
        </w:trPr>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w:t>
            </w:r>
          </w:p>
        </w:tc>
      </w:tr>
      <w:tr>
        <w:trPr>
          <w:trHeight w:val="176"/>
        </w:trPr>
        <w:tc>
          <w:tcPr>
            <w:tcW w:w="820" w:type="dxa"/>
            <w:vAlign w:val="bottom"/>
            <w:tcBorders>
              <w:bottom w:val="single" w:sz="8" w:color="auto"/>
            </w:tcBorders>
          </w:tcPr>
          <w:p>
            <w:pPr>
              <w:ind w:left="180"/>
              <w:spacing w:after="0" w:line="170" w:lineRule="exact"/>
              <w:rPr>
                <w:sz w:val="20"/>
                <w:szCs w:val="20"/>
                <w:color w:val="auto"/>
              </w:rPr>
            </w:pPr>
            <w:r>
              <w:rPr>
                <w:rFonts w:ascii="Arial" w:cs="Arial" w:eastAsia="Arial" w:hAnsi="Arial"/>
                <w:sz w:val="18"/>
                <w:szCs w:val="18"/>
                <w:color w:val="auto"/>
                <w:w w:val="95"/>
              </w:rPr>
              <w:t>445,063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3,138</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50,194,731</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286,463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3"/>
              </w:rPr>
              <w:t>(183,505)</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106,096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-2029460</wp:posOffset>
            </wp:positionH>
            <wp:positionV relativeFrom="paragraph">
              <wp:posOffset>-488315</wp:posOffset>
            </wp:positionV>
            <wp:extent cx="5754370"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-248285</wp:posOffset>
            </wp:positionV>
            <wp:extent cx="5754370" cy="111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-2029460</wp:posOffset>
            </wp:positionH>
            <wp:positionV relativeFrom="paragraph">
              <wp:posOffset>-960120</wp:posOffset>
            </wp:positionV>
            <wp:extent cx="575437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206" w:lineRule="exact"/>
        <w:rPr>
          <w:sz w:val="20"/>
          <w:szCs w:val="20"/>
          <w:color w:val="auto"/>
        </w:rPr>
      </w:pPr>
    </w:p>
    <w:p>
      <w:pPr>
        <w:sectPr>
          <w:pgSz w:w="11900" w:h="16838" w:orient="portrait"/>
          <w:cols w:equalWidth="0" w:num="2">
            <w:col w:w="2880" w:space="320"/>
            <w:col w:w="5860"/>
          </w:cols>
          <w:pgMar w:left="1420" w:top="125" w:right="1419" w:bottom="1440" w:gutter="0" w:footer="0" w:header="0"/>
          <w:type w:val="continuous"/>
        </w:sectPr>
      </w:pPr>
    </w:p>
    <w:p>
      <w:pPr>
        <w:spacing w:after="0" w:line="9" w:lineRule="exact"/>
        <w:rPr>
          <w:sz w:val="20"/>
          <w:szCs w:val="20"/>
          <w:color w:val="auto"/>
        </w:rPr>
      </w:pPr>
    </w:p>
    <w:p>
      <w:pPr>
        <w:ind w:left="320" w:hanging="317"/>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Refer to Note 11 regarding the public offering issued during July 2017.</w:t>
      </w:r>
    </w:p>
    <w:p>
      <w:pPr>
        <w:spacing w:after="0" w:line="46" w:lineRule="exact"/>
        <w:rPr>
          <w:rFonts w:ascii="Arial" w:cs="Arial" w:eastAsia="Arial" w:hAnsi="Arial"/>
          <w:sz w:val="16"/>
          <w:szCs w:val="16"/>
          <w:color w:val="auto"/>
        </w:rPr>
      </w:pPr>
    </w:p>
    <w:p>
      <w:pPr>
        <w:ind w:left="320" w:hanging="317"/>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Note 2 regarding the adoption of ASU 2016-09.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gridSpan w:val="5"/>
          </w:tcPr>
          <w:p>
            <w:pPr>
              <w:jc w:val="right"/>
              <w:ind w:right="4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ind w:right="331"/>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OPERATING ACTIVITIES:</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(213)</w:t>
            </w:r>
          </w:p>
        </w:tc>
        <w:tc>
          <w:tcPr>
            <w:tcW w:w="160" w:type="dxa"/>
            <w:vAlign w:val="bottom"/>
          </w:tcPr>
          <w:p>
            <w:pPr>
              <w:spacing w:after="0"/>
              <w:rPr>
                <w:sz w:val="15"/>
                <w:szCs w:val="15"/>
                <w:color w:val="auto"/>
              </w:rPr>
            </w:pP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Adjustments to reconcile net loss to net cash provided by (used in) operating activities: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100"/>
              <w:spacing w:after="0" w:line="176" w:lineRule="exact"/>
              <w:rPr>
                <w:sz w:val="20"/>
                <w:szCs w:val="20"/>
                <w:color w:val="auto"/>
              </w:rPr>
            </w:pPr>
            <w:r>
              <w:rPr>
                <w:rFonts w:ascii="Arial" w:cs="Arial" w:eastAsia="Arial" w:hAnsi="Arial"/>
                <w:sz w:val="18"/>
                <w:szCs w:val="18"/>
                <w:color w:val="auto"/>
              </w:rPr>
              <w:t>Non-cash stock based compensation</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576</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Gain on disposal of property and equipment</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100"/>
              <w:spacing w:after="0" w:line="176" w:lineRule="exact"/>
              <w:rPr>
                <w:sz w:val="20"/>
                <w:szCs w:val="20"/>
                <w:color w:val="auto"/>
              </w:rPr>
            </w:pPr>
            <w:r>
              <w:rPr>
                <w:rFonts w:ascii="Arial" w:cs="Arial" w:eastAsia="Arial" w:hAnsi="Arial"/>
                <w:sz w:val="18"/>
                <w:szCs w:val="18"/>
                <w:color w:val="auto"/>
              </w:rPr>
              <w:t>Non-cash interest and amortization of debt discount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Bad debt expense</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100"/>
              <w:spacing w:after="0" w:line="176" w:lineRule="exact"/>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1,492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Change in fair value of warrant liabilities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100"/>
              <w:spacing w:after="0" w:line="176" w:lineRule="exact"/>
              <w:rPr>
                <w:sz w:val="20"/>
                <w:szCs w:val="20"/>
                <w:color w:val="auto"/>
              </w:rPr>
            </w:pPr>
            <w:r>
              <w:rPr>
                <w:rFonts w:ascii="Arial" w:cs="Arial" w:eastAsia="Arial" w:hAnsi="Arial"/>
                <w:sz w:val="18"/>
                <w:szCs w:val="18"/>
                <w:color w:val="auto"/>
              </w:rPr>
              <w:t>Excess tax benefits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67</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(535)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100"/>
              <w:spacing w:after="0" w:line="176" w:lineRule="exact"/>
              <w:rPr>
                <w:sz w:val="20"/>
                <w:szCs w:val="20"/>
                <w:color w:val="auto"/>
              </w:rPr>
            </w:pPr>
            <w:r>
              <w:rPr>
                <w:rFonts w:ascii="Arial" w:cs="Arial" w:eastAsia="Arial" w:hAnsi="Arial"/>
                <w:sz w:val="18"/>
                <w:szCs w:val="18"/>
                <w:color w:val="auto"/>
              </w:rPr>
              <w:t>Recognition of deferred gain from sale-leaseback transactions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100"/>
              <w:spacing w:after="0" w:line="176" w:lineRule="exact"/>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(3,192)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Finance receivables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8,771</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100"/>
              <w:spacing w:after="0" w:line="176" w:lineRule="exact"/>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(3,648)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ind w:left="100"/>
              <w:spacing w:after="0" w:line="176" w:lineRule="exact"/>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(2,168)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line="170" w:lineRule="exact"/>
              <w:rPr>
                <w:sz w:val="20"/>
                <w:szCs w:val="20"/>
                <w:color w:val="auto"/>
              </w:rPr>
            </w:pPr>
            <w:r>
              <w:rPr>
                <w:rFonts w:ascii="Arial" w:cs="Arial" w:eastAsia="Arial" w:hAnsi="Arial"/>
                <w:sz w:val="18"/>
                <w:szCs w:val="18"/>
                <w:color w:val="auto"/>
              </w:rPr>
              <w:t>Net cash provided by (used in) operating activities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8"/>
                <w:szCs w:val="18"/>
                <w:color w:val="auto"/>
              </w:rPr>
              <w:t>1,005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(6,265)</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tcPr>
          <w:p>
            <w:pPr>
              <w:spacing w:after="0" w:line="176" w:lineRule="exact"/>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Purchase of property and equipment, including rentals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Proceeds from sale of property and equipment, including rentals</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(947)</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spacing w:after="0" w:line="176" w:lineRule="exact"/>
              <w:rPr>
                <w:sz w:val="20"/>
                <w:szCs w:val="20"/>
                <w:color w:val="auto"/>
              </w:rPr>
            </w:pPr>
            <w:r>
              <w:rPr>
                <w:rFonts w:ascii="Arial" w:cs="Arial" w:eastAsia="Arial" w:hAnsi="Arial"/>
                <w:sz w:val="18"/>
                <w:szCs w:val="18"/>
                <w:color w:val="auto"/>
              </w:rPr>
              <w:t>Cash used in retirement of common stock</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Proceeds from exercise of common stock warrants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Pr>
          <w:p>
            <w:pPr>
              <w:spacing w:after="0" w:line="176" w:lineRule="exact"/>
              <w:rPr>
                <w:sz w:val="20"/>
                <w:szCs w:val="20"/>
                <w:color w:val="auto"/>
              </w:rPr>
            </w:pPr>
            <w:r>
              <w:rPr>
                <w:rFonts w:ascii="Arial" w:cs="Arial" w:eastAsia="Arial" w:hAnsi="Arial"/>
                <w:sz w:val="18"/>
                <w:szCs w:val="18"/>
                <w:color w:val="auto"/>
              </w:rPr>
              <w:t>Issuance of common stock in public offering, net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39,888</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Repayment of capital lease obligations and long-term debt</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(821)</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80" w:type="dxa"/>
            <w:vAlign w:val="bottom"/>
          </w:tcPr>
          <w:p>
            <w:pPr>
              <w:spacing w:after="0" w:line="170"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8"/>
                <w:szCs w:val="18"/>
                <w:color w:val="auto"/>
              </w:rPr>
              <w:t>39,067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6,001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tcPr>
          <w:p>
            <w:pPr>
              <w:spacing w:after="0" w:line="176" w:lineRule="exact"/>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39,125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and cash equivalents at beginning of period</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12,745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19,272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51,870</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18,198</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480" w:type="dxa"/>
            <w:vAlign w:val="bottom"/>
          </w:tcPr>
          <w:p>
            <w:pPr>
              <w:spacing w:after="0" w:line="176" w:lineRule="exact"/>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Interest paid in cash</w:t>
            </w:r>
          </w:p>
        </w:tc>
        <w:tc>
          <w:tcPr>
            <w:tcW w:w="400" w:type="dxa"/>
            <w:vAlign w:val="bottom"/>
            <w:gridSpan w:val="2"/>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5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480" w:type="dxa"/>
            <w:vAlign w:val="bottom"/>
            <w:tcBorders>
              <w:top w:val="single" w:sz="8" w:color="CCEEFF"/>
              <w:bottom w:val="single" w:sz="8" w:color="CCEEFF"/>
            </w:tcBorders>
          </w:tcPr>
          <w:p>
            <w:pPr>
              <w:spacing w:after="0" w:line="163" w:lineRule="exact"/>
              <w:rPr>
                <w:sz w:val="20"/>
                <w:szCs w:val="20"/>
                <w:color w:val="auto"/>
              </w:rPr>
            </w:pPr>
            <w:r>
              <w:rPr>
                <w:rFonts w:ascii="Arial" w:cs="Arial" w:eastAsia="Arial" w:hAnsi="Arial"/>
                <w:sz w:val="18"/>
                <w:szCs w:val="18"/>
                <w:color w:val="auto"/>
              </w:rPr>
              <w:t>Income taxes paid in cash (refund), net</w:t>
            </w:r>
          </w:p>
        </w:tc>
        <w:tc>
          <w:tcPr>
            <w:tcW w:w="140" w:type="dxa"/>
            <w:vAlign w:val="bottom"/>
            <w:tcBorders>
              <w:top w:val="single" w:sz="8" w:color="CCEEFF"/>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70"/>
              <w:spacing w:after="0" w:line="16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tcPr>
          <w:p>
            <w:pPr>
              <w:spacing w:after="0"/>
              <w:rPr>
                <w:sz w:val="14"/>
                <w:szCs w:val="14"/>
                <w:color w:val="auto"/>
              </w:rPr>
            </w:pPr>
          </w:p>
        </w:tc>
        <w:tc>
          <w:tcPr>
            <w:tcW w:w="20" w:type="dxa"/>
            <w:vAlign w:val="bottom"/>
            <w:tcBorders>
              <w:top w:val="single" w:sz="8" w:color="CCEEFF"/>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80" w:type="dxa"/>
            <w:vAlign w:val="bottom"/>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Supplemental disclosures of noncash financing and investing activities: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480" w:type="dxa"/>
            <w:vAlign w:val="bottom"/>
          </w:tcPr>
          <w:p>
            <w:pPr>
              <w:spacing w:after="0" w:line="176" w:lineRule="exact"/>
              <w:rPr>
                <w:sz w:val="20"/>
                <w:szCs w:val="20"/>
                <w:color w:val="auto"/>
              </w:rPr>
            </w:pPr>
            <w:r>
              <w:rPr>
                <w:rFonts w:ascii="Arial" w:cs="Arial" w:eastAsia="Arial" w:hAnsi="Arial"/>
                <w:sz w:val="18"/>
                <w:szCs w:val="18"/>
                <w:color w:val="auto"/>
              </w:rPr>
              <w:t>Equipment and software acquired under capital lease</w:t>
            </w:r>
          </w:p>
        </w:tc>
        <w:tc>
          <w:tcPr>
            <w:tcW w:w="14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227</w:t>
            </w:r>
          </w:p>
        </w:tc>
        <w:tc>
          <w:tcPr>
            <w:tcW w:w="160" w:type="dxa"/>
            <w:vAlign w:val="bottom"/>
          </w:tcPr>
          <w:p>
            <w:pPr>
              <w:spacing w:after="0"/>
              <w:rPr>
                <w:sz w:val="15"/>
                <w:szCs w:val="15"/>
                <w:color w:val="auto"/>
              </w:rPr>
            </w:pPr>
          </w:p>
        </w:tc>
        <w:tc>
          <w:tcPr>
            <w:tcW w:w="38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USA Technologies, Inc. (the “Company”, “We”, “USAT”, or “Our”)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10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2017. In the opinion of management, all adjustments considered necessary for a fair presentation, consisting of normal recurring adjustments, have been included. Operating results for the three months ended September 30, 2017 are not necessarily indicative of the results that may be expected for the year ending June 30, 2018. The balance sheet at June 30, 2017 has been derived from the audited consolidated financial statements at that date, but does not include all disclosures required by accounting principles generally accepted in the United States of America.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reclassifications of prior year’s data have been made to conform to current year’s presentation. As disclosed in Note 13, the Company incurred integration and acquisition expenses during the current period and deemed it appropriate to have such costs individually captioned within the statement of operations. Accordingly, the Company retrospectively reclassified integration and acquisition costs incurred in the corresponding period from the previous fiscal year to conform to the current period’s presentation.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 in fiscal year 2018</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January 2017, the Financial Accounting Standards Board (the "FASB") issued Accounting Standards Update No. 2017-04 ("ASU 2017-04"), which eliminates Step 2 from the goodwill impairment test. Under ASU 2017-04, an entity should perform its annual, or interim, goodwill impairment test by comparing the fair value of a reporting unit with its carrying amount. An entity should recognize an impairment charge for the amount by which the carrying amount exceeds the reporting unit’s fair value; however, the loss recognized should not exceed the total amount of goodwill allocated to that reporting unit. Additionally, an entity should consider income tax effects from any tax deductible goodwill on the carrying amount of the reporting unit when measuring the goodwill impairment loss, if applicable. ASU 2017-04 is effective for annual or any interim goodwill impairment tests in fiscal years beginning after December 15,</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2019. We early adopted ASU 2017-04 for impairment tests to be performed on testing dates after July 1, 2017, which did not impact our consolidated financial statements.</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which modifies the accounting for certain aspects of share-based payments to employees. The new guidance requires excess tax benefits and tax deficiencies to be recorded in the income statement when stock awards vest or are settled. In addition, cash flows related to excess tax benefits are to be separately classified as an operating activity apart from other income tax cash flows. The standard also allows the Company to repurchase more of an employee’s vested shares for tax withholding purposes without triggering liability accounting, and clarifies that all cash payments made to tax authorities on an employee’s behalf for withheld shares should be presented as a financing activity on the statement of cash flows. The Company adopted this standard as of July 1, 2017.</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primary impact of adoption was the recognition of excess tax benefits in the Company's provision for income taxes which is applied prospectively starting July 1, 2017 in accordance with the guidance. Adoption of the new standard resulted in the recognition of $65 thousand of excess tax benefits in the Company's provision for income taxes for the three months ended September 30, 2017. Through June 30, 2017 excess tax benefits were reflected as a reduction of deferred tax assets via reducing actual operating loss carryforwards because such benefits had not reduced income taxes payable. Under the new standard the treatment of excess tax benefits changed and the cumulative excess tax benefits as of June 30, 2017 amounting to $67 thousand were credited to accumulated deficit.</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adoption of ASU No. 2016-09 did not impact our statement of cash flows for the quarters ended September 30,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to be adopted.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evaluating whether the effects of the following recent accounting pronouncements or any other recently issued, but not yet effective accounting standards, will have a material effect on the Company’s consolidated financial position, results of operations or cash flows.</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222222"/>
        </w:rPr>
        <w:t>In May 2014, the FASB issued ASU 2014-09, “Revenue from Contracts with Customers (Topic 606).” This ASU was amended by ASU No. 2015-14, issued in August 2015, which deferred the original effective date by one year. The new guidance provides a single model for entities to use in accounting for revenue arising from contracts with customers and will supersede most current revenue recognition guidance. The new standard also requires expanded qualitative and quantitative disclosures about the nature, timing and uncertainty of revenue and cash flows rising from contracts with customers. The ASU is now effective for fiscal years, and interim reporting periods within those years, beginning with the year ending June 30, 2019.</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222222"/>
        </w:rPr>
        <w:t>The Company’s project plan includes a three-phase approach to implementing this standard update. The company has commenced phase one, which includes the following activities: conducting internal surveys of the business, holding revenue recognition workshops with sales and business unit finance leadership, and reviewing a representative sample of revenue arrangements across the business to initially identify a set of applicable qualitative revenue recognition changes related to the new standard update. The objectives for the second phase of the project will be to establish and document key accounting policies, assess disclosure, business process and control impacts. Lastly, the objectives of phase three will comprise effectively implementing the new standard update and embedding the new accounting treatment into the Company’s business processes and controls to support the financial reporting requirements. Phase three is expected to be completed in the fourth quarter of 2018.</w:t>
      </w:r>
    </w:p>
    <w:p>
      <w:pPr>
        <w:spacing w:after="0" w:line="18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222222"/>
        </w:rPr>
        <w:t>The Company is still evaluating the impact that the new standard will have on the Company’s consolidated financial statements and will be unable to quantify its impact until the third phase of the project has been completed. The standard is expected to impact the Company’s revenue recognition processes, primarily in the areas of the allocation of contract revenues. An entity can elect to apply the guidance under one of the following two methods: (i) retrospectively to each prior reporting period presented – referred to as the full retrospective method or (ii) retrospectively with the cumulative effect of initially applying the standard recognized at the date of initial application in retained earning – referred to as the modified retrospective method. The method of adoption has not yet been determined and is not expected to be finalized until the second phase of the project plan has been completed.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222222"/>
        </w:rPr>
        <w:t>In February 2016, the FASB issued ASU 2016-02, "Leases (Topic 842)." ASU 2016-02 requires that a lessee recognize the assets and liabilities that arise from operating leases.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The company is the lessee under various agreements which are accounted for as operating leases. This amendment will be effective for the Company beginning with the year ending June 30, 2020, including interim periods within those fiscal years. Early application is permitted.</w:t>
      </w:r>
    </w:p>
    <w:p>
      <w:pPr>
        <w:spacing w:after="0" w:line="182"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June 2016, the FASB issued ASU No. 2016-13, “Financial Instruments – Credit Losses (Topic 326).” The new guidance introduces the accounting for estimated credit losses pertaining to certain types of financial instruments, including but not limited to, trade and lease receivables. This pronouncement will be effective for fiscal years beginning after December 15, 2019. Early adoption of the guidance is permitted for fiscal years beginning after December 15, 2018.</w:t>
      </w:r>
    </w:p>
    <w:p>
      <w:pPr>
        <w:spacing w:after="0" w:line="15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In August 2016, the FASB issued ASU No. 2016-15, “Statement of Cash Flows (Topic 230), Classification of Certain Cash Receipts and Cash Payments.” The new guidance makes eight targeted changes to how cash receipts and cash payments are presented and classified in the statement of cash flows. This pronouncement will be effective for the Company beginning with the year ending June 30, 2019, and interim periods within that fiscal year. Early adoption is permitted, including adoption in an interim period. If an entity early adopts the amendments in an interim period, any adjustments should be reflected as of the beginning of the fiscal year that includes that interim period. An entity that elects early adoption must adopt all of the amendments in the same period. The new guidance requires adoption on a retrospective basis unless it is impracticable to apply, in which case the company would be required to apply the amendments prospectively as of the earliest date practicable. Upon adoption, the Company does not anticipate significant changes to the Company's existing accounting policies or presentation of the Statement of Cash Flows.</w:t>
      </w:r>
    </w:p>
    <w:p>
      <w:pPr>
        <w:spacing w:after="0" w:line="17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ASU 2017-01 provides guidance in ascertaining whether a collection of assets and activities is considered a business. Adoption of the amendment will be applied prospectively effective for annual periods beginning after December 15, 2017 with early adoption permissible for specific transactions. Adoption is not expected to have a material effect on the Company’s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FINANCE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Finance receivables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97"/>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19,617</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11,010</w:t>
            </w:r>
          </w:p>
        </w:tc>
        <w:tc>
          <w:tcPr>
            <w:tcW w:w="0" w:type="dxa"/>
            <w:vAlign w:val="bottom"/>
          </w:tcPr>
          <w:p>
            <w:pPr>
              <w:spacing w:after="0"/>
              <w:rPr>
                <w:sz w:val="1"/>
                <w:szCs w:val="1"/>
                <w:color w:val="auto"/>
              </w:rPr>
            </w:pPr>
          </w:p>
        </w:tc>
      </w:tr>
      <w:tr>
        <w:trPr>
          <w:trHeight w:val="217"/>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 of finance receivables</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their finance receivables using delinquency and nonaccrual data as key performance indicators. The Company classified $248 thousand and $102 thousand as outstanding and nonperforming as of September 30, 2017 and June 30, 2017, respectively. The Company expects to collect on their outstanding finance receivables, less any portion currently reserved, without the contracting of third parties. At September 30, 2017 and June 30, 2017, credit quality indicators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20"/>
                <w:szCs w:val="20"/>
                <w:color w:val="auto"/>
              </w:rPr>
            </w:pPr>
            <w:r>
              <w:rPr>
                <w:rFonts w:ascii="Arial" w:cs="Arial" w:eastAsia="Arial" w:hAnsi="Arial"/>
                <w:sz w:val="14"/>
                <w:szCs w:val="14"/>
                <w:b w:val="1"/>
                <w:bCs w:val="1"/>
                <w:color w:val="auto"/>
              </w:rPr>
              <w:t>Credit risk profile based on payment activity: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216"/>
              <w:spacing w:after="0"/>
              <w:rPr>
                <w:sz w:val="20"/>
                <w:szCs w:val="20"/>
                <w:color w:val="auto"/>
              </w:rPr>
            </w:pPr>
            <w:r>
              <w:rPr>
                <w:rFonts w:ascii="Arial" w:cs="Arial" w:eastAsia="Arial" w:hAnsi="Arial"/>
                <w:sz w:val="14"/>
                <w:szCs w:val="14"/>
                <w:b w:val="1"/>
                <w:bCs w:val="1"/>
                <w:color w:val="auto"/>
                <w:w w:val="98"/>
              </w:rPr>
              <w:t>September 30,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ind w:right="397"/>
              <w:spacing w:after="0"/>
              <w:rPr>
                <w:sz w:val="20"/>
                <w:szCs w:val="20"/>
                <w:color w:val="auto"/>
              </w:rPr>
            </w:pPr>
            <w:r>
              <w:rPr>
                <w:rFonts w:ascii="Arial" w:cs="Arial" w:eastAsia="Arial" w:hAnsi="Arial"/>
                <w:sz w:val="14"/>
                <w:szCs w:val="14"/>
                <w:b w:val="1"/>
                <w:bCs w:val="1"/>
                <w:color w:val="auto"/>
              </w:rPr>
              <w:t>June 30,</w:t>
            </w:r>
          </w:p>
        </w:tc>
        <w:tc>
          <w:tcPr>
            <w:tcW w:w="1820" w:type="dxa"/>
            <w:vAlign w:val="bottom"/>
          </w:tcPr>
          <w:p>
            <w:pPr>
              <w:spacing w:after="0"/>
              <w:rPr>
                <w:sz w:val="14"/>
                <w:szCs w:val="14"/>
                <w:color w:val="auto"/>
              </w:rPr>
            </w:pPr>
          </w:p>
        </w:tc>
      </w:tr>
      <w:tr>
        <w:trPr>
          <w:trHeight w:val="171"/>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820" w:type="dxa"/>
            <w:vAlign w:val="bottom"/>
          </w:tcPr>
          <w:p>
            <w:pPr>
              <w:spacing w:after="0"/>
              <w:rPr>
                <w:sz w:val="14"/>
                <w:szCs w:val="14"/>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1820" w:type="dxa"/>
            <w:vAlign w:val="bottom"/>
          </w:tcPr>
          <w:p>
            <w:pPr>
              <w:spacing w:after="0"/>
              <w:rPr>
                <w:sz w:val="18"/>
                <w:szCs w:val="18"/>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Nonperforming</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820" w:type="dxa"/>
            <w:vAlign w:val="bottom"/>
          </w:tcPr>
          <w:p>
            <w:pPr>
              <w:spacing w:after="0"/>
              <w:rPr>
                <w:sz w:val="18"/>
                <w:szCs w:val="18"/>
                <w:color w:val="auto"/>
              </w:rPr>
            </w:pPr>
          </w:p>
        </w:tc>
      </w:tr>
      <w:tr>
        <w:trPr>
          <w:trHeight w:val="217"/>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w:t>
            </w:r>
          </w:p>
        </w:tc>
        <w:tc>
          <w:tcPr>
            <w:tcW w:w="1820" w:type="dxa"/>
            <w:vAlign w:val="bottom"/>
          </w:tcPr>
          <w:p>
            <w:pPr>
              <w:spacing w:after="0"/>
              <w:rPr>
                <w:sz w:val="18"/>
                <w:szCs w:val="18"/>
                <w:color w:val="auto"/>
              </w:rPr>
            </w:pPr>
          </w:p>
        </w:tc>
      </w:tr>
      <w:tr>
        <w:trPr>
          <w:trHeight w:val="648"/>
        </w:trPr>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976"/>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45"/>
        </w:trPr>
        <w:tc>
          <w:tcPr>
            <w:tcW w:w="4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Age Analysis of Past Due Finance Receivables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September 30, 2017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30 and under</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31 – 60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61 – 90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Greater than</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2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Days Past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Days Past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Days Past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90 Days Past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rPr>
              <w:t>Performing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71"/>
        </w:trPr>
        <w:tc>
          <w:tcPr>
            <w:tcW w:w="1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Due</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0"/>
              </w:rPr>
              <w:t>Due</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8"/>
              </w:rPr>
              <w:t>Due</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Due</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3"/>
              </w:rPr>
              <w:t>Non-Performing</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3"/>
            <w:vMerge w:val="continue"/>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Receivables</w:t>
            </w:r>
          </w:p>
        </w:tc>
        <w:tc>
          <w:tcPr>
            <w:tcW w:w="0" w:type="dxa"/>
            <w:vAlign w:val="bottom"/>
          </w:tcPr>
          <w:p>
            <w:pPr>
              <w:spacing w:after="0"/>
              <w:rPr>
                <w:sz w:val="1"/>
                <w:szCs w:val="1"/>
                <w:color w:val="auto"/>
              </w:rPr>
            </w:pPr>
          </w:p>
        </w:tc>
      </w:tr>
      <w:tr>
        <w:trPr>
          <w:trHeight w:val="217"/>
        </w:trPr>
        <w:tc>
          <w:tcPr>
            <w:tcW w:w="1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QuickStart Leases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10,576</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w:t>
            </w:r>
          </w:p>
        </w:tc>
        <w:tc>
          <w:tcPr>
            <w:tcW w:w="0" w:type="dxa"/>
            <w:vAlign w:val="bottom"/>
          </w:tcPr>
          <w:p>
            <w:pPr>
              <w:spacing w:after="0"/>
              <w:rPr>
                <w:sz w:val="1"/>
                <w:szCs w:val="1"/>
                <w:color w:val="auto"/>
              </w:rPr>
            </w:pPr>
          </w:p>
        </w:tc>
      </w:tr>
      <w:tr>
        <w:trPr>
          <w:trHeight w:val="634"/>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22"/>
          </w:tcPr>
          <w:p>
            <w:pPr>
              <w:jc w:val="center"/>
              <w:ind w:right="560"/>
              <w:spacing w:after="0"/>
              <w:rPr>
                <w:sz w:val="20"/>
                <w:szCs w:val="20"/>
                <w:color w:val="auto"/>
              </w:rPr>
            </w:pPr>
            <w:r>
              <w:rPr>
                <w:rFonts w:ascii="Arial" w:cs="Arial" w:eastAsia="Arial" w:hAnsi="Arial"/>
                <w:sz w:val="18"/>
                <w:szCs w:val="18"/>
                <w:color w:val="auto"/>
                <w:w w:val="90"/>
              </w:rPr>
              <w:t>Age Analysis of Past Due Finance Receivables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00" w:type="dxa"/>
            <w:vAlign w:val="bottom"/>
            <w:gridSpan w:val="11"/>
          </w:tcPr>
          <w:p>
            <w:pPr>
              <w:jc w:val="center"/>
              <w:ind w:right="380"/>
              <w:spacing w:after="0"/>
              <w:rPr>
                <w:sz w:val="20"/>
                <w:szCs w:val="20"/>
                <w:color w:val="auto"/>
              </w:rPr>
            </w:pPr>
            <w:r>
              <w:rPr>
                <w:rFonts w:ascii="Arial" w:cs="Arial" w:eastAsia="Arial" w:hAnsi="Arial"/>
                <w:sz w:val="18"/>
                <w:szCs w:val="18"/>
                <w:color w:val="auto"/>
                <w:w w:val="89"/>
              </w:rPr>
              <w:t>As of June 30, 2017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30 and under</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31 – 60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61 – 90</w:t>
            </w:r>
          </w:p>
        </w:tc>
        <w:tc>
          <w:tcPr>
            <w:tcW w:w="40" w:type="dxa"/>
            <w:vAlign w:val="bottom"/>
          </w:tcPr>
          <w:p>
            <w:pPr>
              <w:spacing w:after="0"/>
              <w:rPr>
                <w:sz w:val="24"/>
                <w:szCs w:val="2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Greater than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1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Days Past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Days Past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Days Past</w:t>
            </w:r>
          </w:p>
        </w:tc>
        <w:tc>
          <w:tcPr>
            <w:tcW w:w="40" w:type="dxa"/>
            <w:vAlign w:val="bottom"/>
          </w:tcPr>
          <w:p>
            <w:pPr>
              <w:spacing w:after="0"/>
              <w:rPr>
                <w:sz w:val="12"/>
                <w:szCs w:val="12"/>
                <w:color w:val="auto"/>
              </w:rPr>
            </w:pPr>
          </w:p>
        </w:tc>
        <w:tc>
          <w:tcPr>
            <w:tcW w:w="9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90 Days Past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Performing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2"/>
              <w:spacing w:after="0" w:line="149" w:lineRule="exact"/>
              <w:rPr>
                <w:sz w:val="20"/>
                <w:szCs w:val="20"/>
                <w:color w:val="auto"/>
              </w:rPr>
            </w:pPr>
            <w:r>
              <w:rPr>
                <w:rFonts w:ascii="Arial" w:cs="Arial" w:eastAsia="Arial" w:hAnsi="Arial"/>
                <w:sz w:val="14"/>
                <w:szCs w:val="14"/>
                <w:b w:val="1"/>
                <w:bCs w:val="1"/>
                <w:color w:val="auto"/>
                <w:w w:val="90"/>
              </w:rPr>
              <w:t>Finance</w:t>
            </w:r>
          </w:p>
        </w:tc>
        <w:tc>
          <w:tcPr>
            <w:tcW w:w="0" w:type="dxa"/>
            <w:vAlign w:val="bottom"/>
          </w:tcPr>
          <w:p>
            <w:pPr>
              <w:spacing w:after="0"/>
              <w:rPr>
                <w:sz w:val="1"/>
                <w:szCs w:val="1"/>
                <w:color w:val="auto"/>
              </w:rPr>
            </w:pPr>
          </w:p>
        </w:tc>
      </w:tr>
      <w:tr>
        <w:trPr>
          <w:trHeight w:val="171"/>
        </w:trPr>
        <w:tc>
          <w:tcPr>
            <w:tcW w:w="1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Due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Due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Due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Due</w:t>
            </w:r>
          </w:p>
        </w:tc>
        <w:tc>
          <w:tcPr>
            <w:tcW w:w="2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Non-Performing</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Receivables</w:t>
            </w:r>
          </w:p>
        </w:tc>
        <w:tc>
          <w:tcPr>
            <w:tcW w:w="0" w:type="dxa"/>
            <w:vAlign w:val="bottom"/>
          </w:tcPr>
          <w:p>
            <w:pPr>
              <w:spacing w:after="0"/>
              <w:rPr>
                <w:sz w:val="1"/>
                <w:szCs w:val="1"/>
                <w:color w:val="auto"/>
              </w:rPr>
            </w:pPr>
          </w:p>
        </w:tc>
      </w:tr>
      <w:tr>
        <w:trPr>
          <w:trHeight w:val="217"/>
        </w:trPr>
        <w:tc>
          <w:tcPr>
            <w:tcW w:w="184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QuickStart Leases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center"/>
              <w:ind w:left="263"/>
              <w:spacing w:after="0"/>
              <w:rPr>
                <w:sz w:val="20"/>
                <w:szCs w:val="20"/>
                <w:color w:val="auto"/>
              </w:rPr>
            </w:pPr>
            <w:r>
              <w:rPr>
                <w:rFonts w:ascii="Arial" w:cs="Arial" w:eastAsia="Arial" w:hAnsi="Arial"/>
                <w:sz w:val="18"/>
                <w:szCs w:val="18"/>
                <w:color w:val="auto"/>
                <w:w w:val="89"/>
              </w:rPr>
              <w:t>35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19,617</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net of reserves, was $8.2 million and $4.6 million as of September 30, 2017 and June 30, 2017,</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respectively. Inventory consists of finished goods. The company's inventories are valued at the lower of cost or net realizable value.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establishes allowances for obsolescence of inventory based upon quality considerations and assumptions about future demand and market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basic earnings per share (“EPS”) and diluted EPS are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60" w:type="dxa"/>
            <w:vAlign w:val="bottom"/>
            <w:gridSpan w:val="8"/>
          </w:tcPr>
          <w:p>
            <w:pPr>
              <w:jc w:val="center"/>
              <w:ind w:right="2000"/>
              <w:spacing w:after="0"/>
              <w:rPr>
                <w:sz w:val="20"/>
                <w:szCs w:val="20"/>
                <w:color w:val="auto"/>
              </w:rPr>
            </w:pPr>
            <w:r>
              <w:rPr>
                <w:rFonts w:ascii="Arial" w:cs="Arial" w:eastAsia="Arial" w:hAnsi="Arial"/>
                <w:sz w:val="14"/>
                <w:szCs w:val="14"/>
                <w:b w:val="1"/>
                <w:bCs w:val="1"/>
                <w:color w:val="auto"/>
                <w:w w:val="91"/>
              </w:rPr>
              <w:t>For the three months ended September 30, 2017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Net Loss</w:t>
            </w:r>
          </w:p>
        </w:tc>
        <w:tc>
          <w:tcPr>
            <w:tcW w:w="126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20"/>
              <w:spacing w:after="0" w:line="119" w:lineRule="exact"/>
              <w:rPr>
                <w:sz w:val="20"/>
                <w:szCs w:val="20"/>
                <w:color w:val="auto"/>
              </w:rPr>
            </w:pPr>
            <w:r>
              <w:rPr>
                <w:rFonts w:ascii="Arial" w:cs="Arial" w:eastAsia="Arial" w:hAnsi="Arial"/>
                <w:sz w:val="13"/>
                <w:szCs w:val="13"/>
                <w:b w:val="1"/>
                <w:bCs w:val="1"/>
                <w:color w:val="auto"/>
              </w:rPr>
              <w:t>Per-Share</w:t>
            </w: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(Numerator)</w:t>
            </w: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(Denominator)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2"/>
          </w:tcPr>
          <w:p>
            <w:pPr>
              <w:jc w:val="center"/>
              <w:ind w:right="20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Preferred stock dividends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Basic EPS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available to common</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Borders>
              <w:right w:val="single" w:sz="8" w:color="CCEEFF"/>
            </w:tcBorders>
            <w:shd w:val="clear" w:color="auto" w:fill="CCEEFF"/>
          </w:tcPr>
          <w:p>
            <w:pPr>
              <w:spacing w:after="0"/>
              <w:rPr>
                <w:sz w:val="19"/>
                <w:szCs w:val="19"/>
                <w:color w:val="auto"/>
              </w:rPr>
            </w:pPr>
          </w:p>
        </w:tc>
        <w:tc>
          <w:tcPr>
            <w:tcW w:w="1060" w:type="dxa"/>
            <w:vAlign w:val="bottom"/>
            <w:shd w:val="clear" w:color="auto" w:fill="CCEEFF"/>
          </w:tcPr>
          <w:p>
            <w:pPr>
              <w:jc w:val="center"/>
              <w:ind w:left="58"/>
              <w:spacing w:after="0"/>
              <w:rPr>
                <w:sz w:val="20"/>
                <w:szCs w:val="20"/>
                <w:color w:val="auto"/>
              </w:rPr>
            </w:pPr>
            <w:r>
              <w:rPr>
                <w:rFonts w:ascii="Arial" w:cs="Arial" w:eastAsia="Arial" w:hAnsi="Arial"/>
                <w:sz w:val="18"/>
                <w:szCs w:val="18"/>
                <w:color w:val="auto"/>
                <w:w w:val="88"/>
              </w:rPr>
              <w:t>47,573,364</w:t>
            </w:r>
          </w:p>
        </w:tc>
        <w:tc>
          <w:tcPr>
            <w:tcW w:w="20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Incremental shares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available to common</w:t>
            </w:r>
          </w:p>
        </w:tc>
        <w:tc>
          <w:tcPr>
            <w:tcW w:w="38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80" w:type="dxa"/>
            <w:vAlign w:val="bottom"/>
            <w:tcBorders>
              <w:right w:val="single" w:sz="8" w:color="CCEEFF"/>
            </w:tcBorders>
            <w:shd w:val="clear" w:color="auto" w:fill="CCEEFF"/>
          </w:tcPr>
          <w:p>
            <w:pPr>
              <w:spacing w:after="0"/>
              <w:rPr>
                <w:sz w:val="17"/>
                <w:szCs w:val="17"/>
                <w:color w:val="auto"/>
              </w:rPr>
            </w:pPr>
          </w:p>
        </w:tc>
        <w:tc>
          <w:tcPr>
            <w:tcW w:w="1060" w:type="dxa"/>
            <w:vAlign w:val="bottom"/>
            <w:vMerge w:val="restart"/>
            <w:shd w:val="clear" w:color="auto" w:fill="CCEEFF"/>
          </w:tcPr>
          <w:p>
            <w:pPr>
              <w:jc w:val="center"/>
              <w:ind w:left="58"/>
              <w:spacing w:after="0"/>
              <w:rPr>
                <w:sz w:val="20"/>
                <w:szCs w:val="20"/>
                <w:color w:val="auto"/>
              </w:rPr>
            </w:pPr>
            <w:r>
              <w:rPr>
                <w:rFonts w:ascii="Arial" w:cs="Arial" w:eastAsia="Arial" w:hAnsi="Arial"/>
                <w:sz w:val="18"/>
                <w:szCs w:val="18"/>
                <w:color w:val="auto"/>
                <w:w w:val="88"/>
              </w:rPr>
              <w:t>47,573,364</w:t>
            </w:r>
          </w:p>
        </w:tc>
        <w:tc>
          <w:tcPr>
            <w:tcW w:w="20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shareholders plus assumed conversions</w:t>
            </w:r>
          </w:p>
        </w:tc>
        <w:tc>
          <w:tcPr>
            <w:tcW w:w="380" w:type="dxa"/>
            <w:vAlign w:val="bottom"/>
            <w:gridSpan w:val="2"/>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6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For the three months ended September 30,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Net Loss</w:t>
            </w:r>
          </w:p>
        </w:tc>
        <w:tc>
          <w:tcPr>
            <w:tcW w:w="130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Shares</w:t>
            </w: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ind w:right="120"/>
              <w:spacing w:after="0" w:line="119" w:lineRule="exact"/>
              <w:rPr>
                <w:sz w:val="20"/>
                <w:szCs w:val="20"/>
                <w:color w:val="auto"/>
              </w:rPr>
            </w:pPr>
            <w:r>
              <w:rPr>
                <w:rFonts w:ascii="Arial" w:cs="Arial" w:eastAsia="Arial" w:hAnsi="Arial"/>
                <w:sz w:val="13"/>
                <w:szCs w:val="13"/>
                <w:b w:val="1"/>
                <w:bCs w:val="1"/>
                <w:color w:val="auto"/>
              </w:rPr>
              <w:t>Per-Share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(Numerator)</w:t>
            </w: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(Denominator)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Preferred stock dividends</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Basic EPS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available to common</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98"/>
              <w:spacing w:after="0"/>
              <w:rPr>
                <w:sz w:val="20"/>
                <w:szCs w:val="20"/>
                <w:color w:val="auto"/>
              </w:rPr>
            </w:pPr>
            <w:r>
              <w:rPr>
                <w:rFonts w:ascii="Arial" w:cs="Arial" w:eastAsia="Arial" w:hAnsi="Arial"/>
                <w:sz w:val="18"/>
                <w:szCs w:val="18"/>
                <w:color w:val="auto"/>
                <w:w w:val="88"/>
              </w:rPr>
              <w:t>38,488,005</w:t>
            </w:r>
          </w:p>
        </w:tc>
        <w:tc>
          <w:tcPr>
            <w:tcW w:w="200" w:type="dxa"/>
            <w:vAlign w:val="bottom"/>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Incremental shares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available to common</w:t>
            </w:r>
          </w:p>
        </w:tc>
        <w:tc>
          <w:tcPr>
            <w:tcW w:w="380" w:type="dxa"/>
            <w:vAlign w:val="bottom"/>
            <w:gridSpan w:val="2"/>
            <w:vMerge w:val="restart"/>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center"/>
              <w:ind w:left="98"/>
              <w:spacing w:after="0"/>
              <w:rPr>
                <w:sz w:val="20"/>
                <w:szCs w:val="20"/>
                <w:color w:val="auto"/>
              </w:rPr>
            </w:pPr>
            <w:r>
              <w:rPr>
                <w:rFonts w:ascii="Arial" w:cs="Arial" w:eastAsia="Arial" w:hAnsi="Arial"/>
                <w:sz w:val="18"/>
                <w:szCs w:val="18"/>
                <w:color w:val="auto"/>
                <w:w w:val="88"/>
              </w:rPr>
              <w:t>38,488,005</w:t>
            </w:r>
          </w:p>
        </w:tc>
        <w:tc>
          <w:tcPr>
            <w:tcW w:w="200" w:type="dxa"/>
            <w:vAlign w:val="bottom"/>
            <w:shd w:val="clear" w:color="auto" w:fill="CCEEFF"/>
          </w:tcPr>
          <w:p>
            <w:pPr>
              <w:spacing w:after="0"/>
              <w:rPr>
                <w:sz w:val="17"/>
                <w:szCs w:val="17"/>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shareholders plus assumed conversions</w:t>
            </w:r>
          </w:p>
        </w:tc>
        <w:tc>
          <w:tcPr>
            <w:tcW w:w="38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00" w:type="dxa"/>
            <w:vAlign w:val="bottom"/>
            <w:tcBorders>
              <w:top w:val="single" w:sz="8" w:color="CCEEFF"/>
            </w:tcBorders>
          </w:tcPr>
          <w:p>
            <w:pPr>
              <w:spacing w:after="0" w:line="204" w:lineRule="exact"/>
              <w:rPr>
                <w:sz w:val="20"/>
                <w:szCs w:val="20"/>
                <w:color w:val="auto"/>
              </w:rPr>
            </w:pPr>
            <w:r>
              <w:rPr>
                <w:rFonts w:ascii="Arial" w:cs="Arial" w:eastAsia="Arial" w:hAnsi="Arial"/>
                <w:sz w:val="18"/>
                <w:szCs w:val="18"/>
                <w:color w:val="auto"/>
              </w:rPr>
              <w:t>____________________</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320" w:hanging="317"/>
        <w:spacing w:after="0" w:line="27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517,825 and 1,281,035 shares were excluded for the three months ended September 30, 2017 and 2016, respectively, as the effects would be anti-dilutive.</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change in the average number of shares that were anti-dilutive in the three months ended September 30, 2017 compared to the same period last year, was due to warrants exercised in connection with our common stock during September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balances and goodwill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As of September 30, 2017</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35"/>
              <w:spacing w:after="0"/>
              <w:rPr>
                <w:sz w:val="20"/>
                <w:szCs w:val="20"/>
                <w:color w:val="auto"/>
              </w:rPr>
            </w:pPr>
            <w:r>
              <w:rPr>
                <w:rFonts w:ascii="Arial" w:cs="Arial" w:eastAsia="Arial" w:hAnsi="Arial"/>
                <w:sz w:val="14"/>
                <w:szCs w:val="14"/>
                <w:b w:val="1"/>
                <w:bCs w:val="1"/>
                <w:color w:val="auto"/>
              </w:rPr>
              <w:t>Period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 years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Brand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 years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11,492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11,492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20" w:type="dxa"/>
            <w:vAlign w:val="bottom"/>
            <w:gridSpan w:val="2"/>
          </w:tcPr>
          <w:p>
            <w:pPr>
              <w:spacing w:after="0"/>
              <w:rPr>
                <w:sz w:val="20"/>
                <w:szCs w:val="20"/>
                <w:color w:val="auto"/>
              </w:rPr>
            </w:pPr>
            <w:r>
              <w:rPr>
                <w:rFonts w:ascii="Arial" w:cs="Arial" w:eastAsia="Arial" w:hAnsi="Arial"/>
                <w:sz w:val="18"/>
                <w:szCs w:val="18"/>
                <w:color w:val="auto"/>
              </w:rPr>
              <w:t>Total Intangible Assets &amp; Goodwill</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12,377</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12,070</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54"/>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As of June 30, 2017</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19"/>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0"/>
                <w:szCs w:val="10"/>
                <w:color w:val="auto"/>
              </w:rPr>
            </w:pPr>
          </w:p>
        </w:tc>
        <w:tc>
          <w:tcPr>
            <w:tcW w:w="11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Net</w:t>
            </w:r>
          </w:p>
        </w:tc>
        <w:tc>
          <w:tcPr>
            <w:tcW w:w="16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35"/>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Non-compete agreements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Brand</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11,492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11,492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20" w:type="dxa"/>
            <w:vAlign w:val="bottom"/>
            <w:gridSpan w:val="2"/>
          </w:tcPr>
          <w:p>
            <w:pPr>
              <w:spacing w:after="0"/>
              <w:rPr>
                <w:sz w:val="20"/>
                <w:szCs w:val="20"/>
                <w:color w:val="auto"/>
              </w:rPr>
            </w:pPr>
            <w:r>
              <w:rPr>
                <w:rFonts w:ascii="Arial" w:cs="Arial" w:eastAsia="Arial" w:hAnsi="Arial"/>
                <w:sz w:val="18"/>
                <w:szCs w:val="18"/>
                <w:color w:val="auto"/>
              </w:rPr>
              <w:t>Total Intangible Assets &amp; Goodwill</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12,377</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12,114</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both the three months ended September 30, 2017 and 2016, there was $44 thousand in amortization expense related to intangible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LINE OF CREDIT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fiscal year ended June 30, 2016, the Company entered into a Loan and Security Agreement and other ancillary documents (as amended, the “Heritage Loan Documents”) with Heritage Bank of Commerce (“Heritage Bank”), providing for a secured asset-based revolving line of credit in an amount of up to $12.0 million (the “Heritage Line of Credit”) at an interest rate calculated based on the Federal Reserves’ Prime, which was 4.25% at September 30, 2017, plus 2.25%. The Heritage Line of Credit and the Company’s obligations under the Heritage Loan Documents are secured by substantially all of the Company’s assets, including its intellectual property.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March 2017, the Company entered into the third amendment with Heritage Bank that extended the maturity date of the Heritage Line of Credit from March 29, 2017 to September 30, 2018.</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time of maturity, all outstanding advances under the Heritage Line of Credit as well as any unpaid interest are due and payable. Prior to maturity of the Heritage Line of Credit, the Company may prepay amounts due under the Heritage Line of Credit without penalty, and subject to the terms of the Heritage Loan Documents, may re-borrow any such amounts. The Heritage Loan Documents contain customary representations and warranties and affirmative and negative covenants applicable to the Company.</w:t>
      </w:r>
    </w:p>
    <w:p>
      <w:pPr>
        <w:spacing w:after="0" w:line="5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balance due on the Heritage Line of Credit was $7.1 million at September 30, 2017 and at June 30, 2017. Included in the Heritage Line of Credit balance is $60 thousand and $75 thousand of unamortized debt issuance costs, which is reflected in our net liability of $7.1 million and $7.0 million as of September 30, 2017 and June 30, 2017, respectively. As of September 30, 2017, $4.9 million was available under our line of credit. Interest expense on the line of credit was approximately $118 thousand and $107 thousand for the three months ended September 30, 2017 and 2016,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periodically enters into capital lease obligations to finance network servers, computers, office furniture and equipment related support for use in its daily operations. During the three months ended September 30, 2017, the Company entered into capital lease obligations totaling $227 thousand, comprised of monthly installments of $7 thousand due within three years. The value of the acquired equipment is included in property and equipment and depreciated accordingly.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2017 the Company held no level 1, level 2, or level 3 financial instruments.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June 30, 2016, 2.2 million warrants with a fair value of $3.7 million comprised the Company’s Level 3 financial instruments. The Level 3 financial instruments consisted of common stock warrants issued by the Company in March 2011 to purchase shares of the Company’s common stock. The Level 3 financial instruments included features requiring liability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treatment of the warrants, with the fair value of the common stock based on valuations performed by an independent third-party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During the three months ended September 30, 2016, all of the aforementioned warrants were exercised resulting in a $5.2 million reclassification to Common Stock and the net difference of $1.5 million was recorded as a loss on fair value associated with the warrant liability.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three months ended September 30, 2017, an income tax benefit of $468 thousand (substantially all deferred income taxes) was recorded based upon loss before benefit for income taxes using an estimated annual effective income tax rate of 59.2% for the fiscal year ending June 30, 2018 plus an income tax benefit for excess tax benefits recognized during the three months which were treated discretely.</w:t>
      </w:r>
    </w:p>
    <w:p>
      <w:pPr>
        <w:spacing w:after="0" w:line="6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For the three months ended September 30, 2016, an income tax benefit of $115 thousand (substantially all deferred income taxes) was recorded based upon loss before benefit for income taxes using an estimated annual effective income tax rate of 25.7% for the fiscal year ending June 30, 2017 net of a provision for the tax effect of the change in the fair value of warrant liabilities which was treated discretely.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w:t>
      </w:r>
    </w:p>
    <w:p>
      <w:pPr>
        <w:spacing w:after="0" w:line="229"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On July 25, 2017, the Company closed its underwritten public offering of 9,583,332 shares of its common stock at a public offering price of $4.50 per share. The foregoing included the full exercise of the underwriters' option to purchase 1,249,999 additional shares from the Company. The gross proceeds to the Company from the offering, before deducting underwriting discounts and commissions and other offering expenses, was approximately $43.1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September 30, 2017, no warrants were exercised as compared to the three months ended September 30, 2016 where 2.4 million warrants were exercised at $2.6058 per share, yielding proceeds of $6.2 million. The following table summarizes warrant activity for the three months ended September 30, 2017 and 2016:</w:t>
      </w:r>
    </w:p>
    <w:p>
      <w:pPr>
        <w:spacing w:after="0" w:line="171"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Three months ended</w:t>
      </w:r>
    </w:p>
    <w:p>
      <w:pPr>
        <w:ind w:left="48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42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720" w:type="dxa"/>
            <w:vAlign w:val="bottom"/>
            <w:tcBorders>
              <w:top w:val="single" w:sz="8" w:color="auto"/>
              <w:bottom w:val="single" w:sz="8" w:color="auto"/>
            </w:tcBorders>
          </w:tcPr>
          <w:p>
            <w:pPr>
              <w:jc w:val="right"/>
              <w:ind w:right="633"/>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23,978</w:t>
            </w:r>
          </w:p>
        </w:tc>
        <w:tc>
          <w:tcPr>
            <w:tcW w:w="3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2,445,653</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(2,376,675)</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Ending balance</w:t>
            </w:r>
          </w:p>
        </w:tc>
        <w:tc>
          <w:tcPr>
            <w:tcW w:w="1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23,978</w:t>
            </w:r>
          </w:p>
        </w:tc>
        <w:tc>
          <w:tcPr>
            <w:tcW w:w="38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68,978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estimates the grant date fair value of the stock options it grants using a Black-Scholes valuation model. The Company’s assumption for expected volatility is based on its historical volatility data related to market trading of its own common stock. The Company bases its assumptions for expected life of the new stock option grants on the life of the option granted, and if relevant, its analysis of the historical exercise patterns of its stock options. The dividend yield assumption is based on dividends expected to be paid over the expected life of the stock option. The risk-free interest rate assumption is determined by using the U.S. Treasury rates of the same period as the expected option term of each stock option.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2017, 135,000 stock options were granted for 11 employees vesting 1/3 on July 26, 2018, 1/3 on July 26, 2019 and 1/3 on July 26, 2020 expiring if not exercised prior to July 26, 2022. The options are intended to qualify as incentive stock options under Section 422 of the Internal Revenue Code of 1986, as amended.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August 2017, the Company awarded stock options to its Chief Executive Officer (CEO) and Chief Financial Officer (CFO) to purchase up to 19,047 and 25,000 shares respectively of common stock at an exercise price of $5.25 per share. The CEO options vest on August 16, 2018, expiring if not exercised prior to August 16, 2024. The CFO options vest 1/3 on August 16, 2018, 1/3 on August 16, 2019 and 1/3 on August 16, 2020, expiring if not exercised prior to August 16, 2024. The CEO options are intended to qualify as incentive stock options under Section 422 of the Internal Revenue Code of 1986, as amended, and the CFO options are non-qualified stock options.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options granted during the three months ended September 30, 2017 and 2016 was determined using the following weighted average assumptions: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r>
      <w:tr>
        <w:trPr>
          <w:trHeight w:val="171"/>
        </w:trPr>
        <w:tc>
          <w:tcPr>
            <w:tcW w:w="3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42"/>
        </w:trPr>
        <w:tc>
          <w:tcPr>
            <w:tcW w:w="344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92"/>
              <w:spacing w:after="0" w:line="142" w:lineRule="exact"/>
              <w:rPr>
                <w:sz w:val="20"/>
                <w:szCs w:val="20"/>
                <w:color w:val="auto"/>
              </w:rPr>
            </w:pPr>
            <w:r>
              <w:rPr>
                <w:rFonts w:ascii="Arial" w:cs="Arial" w:eastAsia="Arial" w:hAnsi="Arial"/>
                <w:sz w:val="14"/>
                <w:szCs w:val="14"/>
                <w:b w:val="1"/>
                <w:bCs w:val="1"/>
                <w:color w:val="auto"/>
                <w:w w:val="96"/>
              </w:rPr>
              <w:t>2016</w:t>
            </w: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95"/>
              </w:rPr>
              <w:t>50.21 - 50.89 %</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50.37 %</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Expected life (years)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235"/>
              <w:spacing w:after="0"/>
              <w:rPr>
                <w:sz w:val="20"/>
                <w:szCs w:val="20"/>
                <w:color w:val="auto"/>
              </w:rPr>
            </w:pPr>
            <w:r>
              <w:rPr>
                <w:rFonts w:ascii="Arial" w:cs="Arial" w:eastAsia="Arial" w:hAnsi="Arial"/>
                <w:sz w:val="18"/>
                <w:szCs w:val="18"/>
                <w:color w:val="auto"/>
              </w:rPr>
              <w:t>4.0 - 4.5</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4.0</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1.64 - 1.72 %</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1.06 %</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Number of options granted</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179,047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20,080</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235"/>
              <w:spacing w:after="0"/>
              <w:rPr>
                <w:sz w:val="20"/>
                <w:szCs w:val="20"/>
                <w:color w:val="auto"/>
              </w:rPr>
            </w:pPr>
            <w:r>
              <w:rPr>
                <w:rFonts w:ascii="Arial" w:cs="Arial" w:eastAsia="Arial" w:hAnsi="Arial"/>
                <w:sz w:val="18"/>
                <w:szCs w:val="18"/>
                <w:color w:val="auto"/>
              </w:rPr>
              <w:t>5.66</w:t>
            </w:r>
          </w:p>
        </w:tc>
        <w:tc>
          <w:tcPr>
            <w:tcW w:w="7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4.98</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2.42</w:t>
            </w: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1.98</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 based compensation related to all stock options for the three months ended September 30, 2017 and 2016 was $149 thousand and $48 thousand,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1, 2017, $90 thousand of stock grants were awarded to each non-employee Director based on the closing price of the Company’s Common Stock on June 8, 2017 (the date for which the stock grants were initially approved), for a total of 98,184 shares. The shares vest ratably on a monthly basis over the two year period following July 1, 2017. The total expense recognized for these grants for the three months ending September 30, 2017 was $101 thousand.</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September 30, 2017, the Company awarded an aggregate of 177,363 shares to its Chief Executive Officer, Chief Financial Officer and Chief Services Officer under its fiscal year 2017 long term stock incentive plan and an aggregate of 4,207 shares to two non-employee Directors in satisfaction of board fees.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 TERM INCENTIVE PLANS</w:t>
      </w:r>
    </w:p>
    <w:p>
      <w:pPr>
        <w:spacing w:after="0" w:line="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approved the Fiscal Year 2018 Long-Term Stock Incentive Plan (the “2018 LTI Stock Plan”) which provides that executive officers would be awarded shares of common stock of the Company in the event that certain metrics relating to the Company’s 2018 fiscal year would result in specified ranges of year-over-year percentage growth. The metrics are total number of connections as of June 30, 2018 as compared to total number of connections as of June 30, 2017 (40% weighting) and adjusted EBITDA earned during the 2018 fiscal year as compared to the adjusted EBITDA earned during the 2017 fiscal year (60% weighting). If none of the minimum threshold year-over-year percentage target goals are achieved, the executive officers would not be awarded any shares. If all of the year-over-year percentage target goals are achieved, the executive officers would be awarded shares having the following value: Chief Executive Officer (“CEO”) - $840,000 (160% of base salary), Chief Financial Officer (“CFO”) - $300,000 (100% of base salary), Chief Services Officer (“CSO”) - $275,000 (100% of base salary). If all of the maximum distinguished year over year percentage target goals are achieved, the executive officers would be awarded shares having the following value: Chief Executive Officer (“CEO”) - $1,260,000 (240% of base salary), Chief Financial Officer (“CFO”) - $450,000 (150% of base salary), Chief Services Officer (“CSO”) - $412,500 (150% of base salary). Assuming the minimum threshold year-over-year percentage target goal would be achieved for a particular metric, the number of shares to be awarded for that metric would be determined on a pro rata basis, provided that the award would not exceed the maximum distinguished award for that metric.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awarded under the 2018 LTI Stock Plan would vest as follows: one-third at the time of issuance; one-third on June 30, 2019; and one-third on June 30, 2020.</w:t>
      </w:r>
    </w:p>
    <w:p>
      <w:pPr>
        <w:spacing w:after="0" w:line="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long-term stock incentive plans (“LTI”) in prior fiscal years for its then executive officers. Stock based compensation related to the LTI plans was as follows in the three months ended September 30, 2017 and 2016:</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3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FY18 LTI Plan</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FY17 LTI Plan</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FY16 LTI Plan</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FY15 LTI Plan</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7"/>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September 30, 2017, the Company expanded the leased space for its headquarters in Malvern, Pennsylvania to a total of 23,138 square feet. The company’s monthly base rent now is approximately $47 thousand with a lease expiration date of November 30, 2023.</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is involved in various legal proceedings arising during the normal course of business. In the opinion of the Company’s management, these proceedings will not have a material adverse effect on the Company’s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7, 2017, the Company announced that it had signed a definitive agreement to acquire Cantaloupe Systems, Inc. (“Cantaloupe”) in a transaction valued at approximately $85 million. Pursuant to the agreement, the Company will pay $65 million cash and issue $19.8 million in common stock of the Company for the acquisition. The Company will also assume up to $1.8 million of Cantaloupe’s notes payable. The purchase price is subject to a working capital adjustment and certain other adjustments to be settled following the closing.</w:t>
      </w:r>
    </w:p>
    <w:p>
      <w:pPr>
        <w:spacing w:after="0" w:line="6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Integration and acquisition costs related to the planned Cantaloupe acquisition were $762 thousand for the three months ended September 30, 2017.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182" w:lineRule="exact"/>
        <w:rPr>
          <w:sz w:val="20"/>
          <w:szCs w:val="20"/>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unrelated to our operating performance;</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or debt financing in order to sustain its operations if an unexpected or unusual event would occur;</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Company’s current or future customers purchase, lease, rent or utilize ePort devices or our other products in the future at levels currently anticipated by our Company;</w:t>
      </w:r>
    </w:p>
    <w:p>
      <w:pPr>
        <w:spacing w:after="0" w:line="170" w:lineRule="exact"/>
        <w:rPr>
          <w:rFonts w:ascii="Arial" w:cs="Arial" w:eastAsia="Arial" w:hAnsi="Arial"/>
          <w:sz w:val="18"/>
          <w:szCs w:val="18"/>
          <w:color w:val="auto"/>
        </w:rPr>
      </w:pPr>
    </w:p>
    <w:p>
      <w:pPr>
        <w:ind w:left="660" w:hanging="333"/>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whether the Company’s customers continue to utilize the Company’s transaction processing and related services, as our customer agreements are generally cancelable by the customer on thirty to sixty days’ notice;</w:t>
      </w:r>
    </w:p>
    <w:p>
      <w:pPr>
        <w:spacing w:after="0" w:line="146" w:lineRule="exact"/>
        <w:rPr>
          <w:rFonts w:ascii="Arial" w:cs="Arial" w:eastAsia="Arial" w:hAnsi="Arial"/>
          <w:sz w:val="17"/>
          <w:szCs w:val="17"/>
          <w:color w:val="auto"/>
        </w:rPr>
      </w:pPr>
    </w:p>
    <w:p>
      <w:pPr>
        <w:ind w:left="660" w:hanging="333"/>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ability of the Company to satisfy its trade obligations included in accounts payable and accrued expenses;</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the Company to sell to third party lenders all or a portion of our finance receivables;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a sufficient number of our customers to utilize third party financing companies under our QuickStart program in order to improve our net cash used by operating activities;</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which would require us to divert our cash resources from achieving our business plan;</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ability of the Company to retain key customers from whom a significant portion of its revenues are derived;</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the Company to obtain widespread commercial acceptance of its products and service offerings such as ePort QuickConnect, mobile payment and loyalty programs;</w:t>
      </w:r>
    </w:p>
    <w:p>
      <w:pPr>
        <w:spacing w:after="0" w:line="170"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any patents issued to the Company will provide the Company with any competitive advantages or adequate protection for its products, or would be challenged, invalidated or circumvented by others;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the Company to operate without infringing the intellectual property rights of others;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products and services to avoid unauthorized hacking or credit card fraud;</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we experience material weaknesses in our internal controls over financial reporting in the future, and are not able to accurately or timely report our financial condition or results of operations;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our suppliers would increase their prices, reduce their output or change their terms of sale; and</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additional financing in the future for working capital, capital expenditures, acquisitions, general corporate purposes or other purposes may be impaired.</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THE COMPANY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USA Technologies, Inc. was incorporated in the Commonwealth of Pennsylvania in January 1992. We are a provider of technology-enabled solutions and value-added services that facilitate electronic payment transactions primarily within the unattended Point of Sale (“POS”) market. We are a leading provider in the small ticket, beverage and food vending industry and are expanding our solutions and services to other unattended market segments, such as amusement, commercial laundry, kiosk and others. Since our founding, we have designed and marketed systems and solutions that facilitate electronic payment options, as well as telemetry Internet of Things (“IoT”) and machine-to-machine (“M2M”) services, which include the ability to remotely monitor, control, and report on the results of distributed assets containing our electronic payment solutions. Historically, these distributed assets have relied on cash for payment in the form of coins or bills, whereas, our systems allow them to accept cashless payments such as through the use of credit or debit cards or other emerging contactless forms, such as mobile payment.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generates revenue in multiple ways. During the quarters ended September 30, 2017 and 2016, we derived 77.9% and 75.8% of our revenues from recurring license and transaction fees related to our ePort Connect service and 22.1% and 24.2% of our revenue from equipment sales, respectively. Connections to our service stem from the sale or lease of our POS electronic payment devices or certified payment software or the servicing of similar third-party installed POS terminals. Connections to the ePort Connect service are the most significant driver of the Company’s revenues, particularly the recurring revenues from license and transaction fees. Customers can obtain POS electronic payment devices from us in the following ways:</w:t>
      </w:r>
    </w:p>
    <w:p>
      <w:pPr>
        <w:spacing w:after="0" w:line="189" w:lineRule="exact"/>
        <w:rPr>
          <w:sz w:val="20"/>
          <w:szCs w:val="20"/>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Purchasing devices directly from the Company or one of its authorized resellers;</w:t>
      </w:r>
    </w:p>
    <w:p>
      <w:pPr>
        <w:spacing w:after="0" w:line="225" w:lineRule="exact"/>
        <w:rPr>
          <w:rFonts w:ascii="Arial" w:cs="Arial" w:eastAsia="Arial" w:hAnsi="Arial"/>
          <w:sz w:val="18"/>
          <w:szCs w:val="18"/>
          <w:color w:val="auto"/>
        </w:rPr>
      </w:pPr>
    </w:p>
    <w:p>
      <w:pPr>
        <w:ind w:left="660" w:right="380" w:hanging="333"/>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Financing devices under the Company’s QuickStart Program, which are non-cancellable sixty month sales-type leases, through an unrelated equipment financing company, if available, or directly from the Company; and</w:t>
      </w:r>
    </w:p>
    <w:p>
      <w:pPr>
        <w:spacing w:after="0" w:line="123" w:lineRule="exact"/>
        <w:rPr>
          <w:rFonts w:ascii="Arial" w:cs="Arial" w:eastAsia="Arial" w:hAnsi="Arial"/>
          <w:sz w:val="16"/>
          <w:szCs w:val="16"/>
          <w:color w:val="auto"/>
        </w:rPr>
      </w:pPr>
    </w:p>
    <w:p>
      <w:pPr>
        <w:ind w:right="120" w:firstLine="327"/>
        <w:spacing w:after="0" w:line="501"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Renting devices under the Company’s JumpStart Program, which are cancellable month-to-month operating leases. Highlights of the Company are below:</w:t>
      </w: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 104 employees with its headquarters in Malvern, Pennsylvania;</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 13,250 customers and 594,000 connections to our service;</w:t>
      </w:r>
    </w:p>
    <w:p>
      <w:pPr>
        <w:spacing w:after="0" w:line="225" w:lineRule="exact"/>
        <w:rPr>
          <w:rFonts w:ascii="Arial" w:cs="Arial" w:eastAsia="Arial" w:hAnsi="Arial"/>
          <w:sz w:val="18"/>
          <w:szCs w:val="18"/>
          <w:color w:val="auto"/>
        </w:rPr>
      </w:pPr>
    </w:p>
    <w:p>
      <w:pPr>
        <w:ind w:left="660" w:right="400" w:hanging="333"/>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Three direct sales teams at the national, regional, and local customer-level and a growing number of OEMs and national distribution partners;</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76 United States and foreign patents are in force;</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fiscal year ends June 30</w:t>
      </w:r>
      <w:r>
        <w:rPr>
          <w:rFonts w:ascii="Arial" w:cs="Arial" w:eastAsia="Arial" w:hAnsi="Arial"/>
          <w:sz w:val="8"/>
          <w:szCs w:val="8"/>
          <w:color w:val="auto"/>
        </w:rPr>
        <w:t>th</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traded on the NASDAQ under the symbol “USAT” since 2007.</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net deferred tax assets of approximately $28.2 million predominantly resulting from a series of operating loss carry forwards that may be available to offset future taxable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consolidated financial statements are prepared applying certain critical accounting policies. The Securities and Exchange Commission (“SEC”) defines “critical accounting policies” as those that require application of management’s most difficult, subjective, or complex judgments. Critical accounting policies require numerous estimates and strategic or economic assumptions that may prove inaccurate or subject to variations and may significantly affect our reported results and financial position for the period or in future periods. Changes in underlying factors, assumptions, or estimates in any of these areas could have a material impact on our future financial condition and results of operations. Our financial statements are prepared in accordance with U.S. GAAP, and they conform to general practices in our industry. We apply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critical accounting policies consistently from period to period and intend that any change in methodology occur in an appropriate manner. Accounting policies currently deemed critical are listed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from the sale or QuickStart lease of equipment is recognized on the terms of free-on-board shipping point. Activation fee revenue, if applicable, is recognized when the Company’s cashless payment device is initially activated for use on the Company network. Transaction processing revenue is recognized upon the usage of the Company’s cashless payment and control network. License fees for access to the Company’s devices and network services are recognized on a monthly basis. In all cases, revenue is only recognized when persuasive evidence of an arrangement exists, delivery has occurred or services have been rendered, the price is fixed and determinable, and collection of the resulting receivable is reasonably assured. The Company estimates an allowance for product returns at the date of sale and license and transaction fee refunds on a monthly basis.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ePort hardware is available to customers under the QuickStart program pursuant to which the customer would enter into a five-year non-cancelable lease with either the Company or a third-party financing company for the devices. The Company utilizes its best estimate of selling price when calculating the revenue to be recorded under these leases. The QuickStart contracts qualify for sales type lease accounting. Accordingly, the Company recognizes a portion of lease payments as interest income. At the end of the lease period, the customer would have the option to purchase the device at its residual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 Lived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ASC 360, “Impairment or Disposal of Long-Lived Assets”, the Company reviews its definite lived long-lived assets whenever events or changes in circumstances indicate that the carrying amount of such assets may not be recoverable. If the carrying amount of an asset or group of assets exceeds its net realizable value, the asset will be written down to its fair value. In the period when the plan of sale criteria of ASC 360 are met, definite lived long-lived assets are reported as held for sale, depreciation and amortization cease, and the assets are reported at the lower of carrying value or fair value less costs to sell.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represents the excess of cost over fair value of the net assets purchased in acquisitions. The Company accounts for goodwill in accordance with ASC 350, “Intangibles – Goodwill and Other”. Under ASC 350, goodwill is not amortized to earnings, but instead is subject to periodic testing for impairment. Testing for impairment is to be done at least annually and at other times if events or circumstances arise that indicate that impairment may have occurred.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 intangible assets include non-compete agreements, brand, developed technology, and customer relationships. They are carried at cost less accumulated amortization, which is calculated on a straight-line basis over their estimated economic life. The Company reviews intangibles, subject to amortization, for impairment whenever events or changes in circumstances indicate that the carrying amount may not be recoverable.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an allowance for doubtful accounts for estimated losses resulting from the inability of its customers to make required payments, including from a shortfall in the customer transaction fund flow from which the Company would normally collect amounts due.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allowance is determined through an analysis of various factors including the aging of the accounts receivable, the strength of the relationship with the customer, the capacity of the customer transaction fund flow to satisfy the amount due from the customer, an assessment of collection costs and other factors. The allowance for doubtful accounts receivable is management’s best estimate as of the respective reporting date. The Company writes off accounts receivable against the allowance when management determines the balance is uncollectible and the Company ceases collection efforts. Management believes that the allowance recorded is adequate to provide for its estimated credit losses.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Allowance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computed using the asset and liability method of accounting. Under the asset and liability method, a deferred tax asset or liability is recognized for estimated future tax effects attributable to temporary differences and carryforwards. The measurement of deferred income tax assets is adjusted by a valuation allowance, if necessary, to recognize future tax benefits only to the extent, based on available evidence, it is more likely than not such benefits will be realized. The Company recognizes interest and penalties, if any, related to uncertain tax positions in selling, general and administrative expenses. No interest or penalties related to uncertain tax positions were incurred during the periods ended September 30, 2017 and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See Note 2 to the interim Consolidated Financial Statements for a description of recent accounting pronouncements.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TRENDING QUARTERLY FINANCIAL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show certain financial and non-financial data that management believes give readers insight into certain trends and relationships about the Company’s financial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Quarter Select Key Performance Indicators including Connections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1"/>
              </w:rPr>
              <w:t>As of and for the three months ended</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right"/>
              <w:ind w:right="31"/>
              <w:spacing w:after="0" w:line="119" w:lineRule="exact"/>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June 30,</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center"/>
              <w:ind w:right="113"/>
              <w:spacing w:after="0" w:line="119"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0"/>
                <w:szCs w:val="10"/>
                <w:color w:val="auto"/>
              </w:rPr>
            </w:pPr>
          </w:p>
        </w:tc>
        <w:tc>
          <w:tcPr>
            <w:tcW w:w="1060" w:type="dxa"/>
            <w:vAlign w:val="bottom"/>
            <w:gridSpan w:val="2"/>
          </w:tcPr>
          <w:p>
            <w:pPr>
              <w:jc w:val="right"/>
              <w:ind w:right="11"/>
              <w:spacing w:after="0" w:line="119" w:lineRule="exact"/>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Connections: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Gross New Connections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from Existing Customer Base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Net New Connections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Connections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Customers: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New Customers Added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Customers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Volumes: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w w:val="94"/>
              </w:rPr>
              <w:t>Total Number of Transactions (millions)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Volume (millions)</w:t>
            </w:r>
          </w:p>
        </w:tc>
        <w:tc>
          <w:tcPr>
            <w:tcW w:w="36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w:t>
            </w:r>
          </w:p>
        </w:tc>
        <w:tc>
          <w:tcPr>
            <w:tcW w:w="400" w:type="dxa"/>
            <w:vAlign w:val="bottom"/>
            <w:gridSpan w:val="2"/>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5"/>
              </w:rPr>
              <w:t>Financing Structure of Connections: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JumpStart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QuickStart &amp; All Others *</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7"/>
        </w:trPr>
        <w:tc>
          <w:tcPr>
            <w:tcW w:w="30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i w:val="1"/>
          <w:iCs w:val="1"/>
          <w:color w:val="auto"/>
        </w:rPr>
        <w:t>*</w:t>
      </w:r>
      <w:r>
        <w:rPr>
          <w:sz w:val="20"/>
          <w:szCs w:val="20"/>
          <w:color w:val="auto"/>
        </w:rPr>
        <w:tab/>
      </w:r>
      <w:r>
        <w:rPr>
          <w:rFonts w:ascii="Arial" w:cs="Arial" w:eastAsia="Arial" w:hAnsi="Arial"/>
          <w:sz w:val="16"/>
          <w:szCs w:val="16"/>
          <w:i w:val="1"/>
          <w:iCs w:val="1"/>
          <w:color w:val="auto"/>
        </w:rPr>
        <w:t>Includes credit sales with standard trade receivable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USAT’s connections for the quarter ended September 30, 2017 include:</w:t>
      </w:r>
    </w:p>
    <w:p>
      <w:pPr>
        <w:spacing w:after="0" w:line="225"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26,000 net new connections to our ePort Connect service in the quarter; and</w:t>
      </w:r>
    </w:p>
    <w:p>
      <w:pPr>
        <w:spacing w:after="0" w:line="23" w:lineRule="exact"/>
        <w:rPr>
          <w:rFonts w:ascii="Arial" w:cs="Arial" w:eastAsia="Arial" w:hAnsi="Arial"/>
          <w:sz w:val="18"/>
          <w:szCs w:val="18"/>
          <w:color w:val="auto"/>
        </w:rPr>
      </w:pPr>
    </w:p>
    <w:p>
      <w:pPr>
        <w:ind w:left="660" w:right="120" w:hanging="333"/>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594,000 connections to the ePort Connect service compared to the same quarter last year of approximately 448,000 connections, an increase of 146,000 connections, or 33%.</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September 30, 2017 Compared to Quarter Ended September 30,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ind w:left="560"/>
              <w:spacing w:after="0"/>
              <w:rPr>
                <w:sz w:val="20"/>
                <w:szCs w:val="20"/>
                <w:color w:val="auto"/>
              </w:rPr>
            </w:pPr>
            <w:r>
              <w:rPr>
                <w:rFonts w:ascii="Arial" w:cs="Arial" w:eastAsia="Arial" w:hAnsi="Arial"/>
                <w:sz w:val="14"/>
                <w:szCs w:val="14"/>
                <w:b w:val="1"/>
                <w:bCs w:val="1"/>
                <w:color w:val="auto"/>
                <w:w w:val="94"/>
              </w:rPr>
              <w:t>For the three months ended September 30,</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3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42"/>
        </w:trPr>
        <w:tc>
          <w:tcPr>
            <w:tcW w:w="2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 of Sales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 of Sales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Change</w:t>
            </w:r>
          </w:p>
        </w:tc>
        <w:tc>
          <w:tcPr>
            <w:tcW w:w="70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100"/>
              <w:spacing w:after="0"/>
              <w:rPr>
                <w:sz w:val="20"/>
                <w:szCs w:val="20"/>
                <w:color w:val="auto"/>
              </w:rPr>
            </w:pPr>
            <w:r>
              <w:rPr>
                <w:rFonts w:ascii="Arial" w:cs="Arial" w:eastAsia="Arial" w:hAnsi="Arial"/>
                <w:sz w:val="18"/>
                <w:szCs w:val="18"/>
                <w:color w:val="auto"/>
                <w:w w:val="94"/>
              </w:rPr>
              <w:t>License and transaction fees</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19,944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16,365</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3,579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Equipment sales</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5,673</w:t>
            </w:r>
          </w:p>
        </w:tc>
        <w:tc>
          <w:tcPr>
            <w:tcW w:w="1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25,617</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21,588</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4,029</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Costs of sales: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Cost of equipment</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5,090</w:t>
            </w:r>
          </w:p>
        </w:tc>
        <w:tc>
          <w:tcPr>
            <w:tcW w:w="16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w:t>
            </w:r>
          </w:p>
        </w:tc>
        <w:tc>
          <w:tcPr>
            <w:tcW w:w="14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costs of sales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18,416</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$4.0 million compared to the same period in 2016. The growth in total revenue resulted</w:t>
      </w:r>
      <w:r>
        <w:rPr>
          <w:rFonts w:ascii="Arial" w:cs="Arial" w:eastAsia="Arial" w:hAnsi="Arial"/>
          <w:sz w:val="18"/>
          <w:szCs w:val="18"/>
          <w:i w:val="1"/>
          <w:iCs w:val="1"/>
          <w:color w:val="auto"/>
        </w:rPr>
        <w:t xml:space="preserve"> </w:t>
      </w:r>
      <w:r>
        <w:rPr>
          <w:rFonts w:ascii="Arial" w:cs="Arial" w:eastAsia="Arial" w:hAnsi="Arial"/>
          <w:sz w:val="18"/>
          <w:szCs w:val="18"/>
          <w:color w:val="auto"/>
        </w:rPr>
        <w:t>from a $3.6 million increase in license and transaction fee revenue, driven by a 146,000 increase in total connections for the quarter ended September 30, 2017 compared to the same period in 2016, and a $0.5 million increase in equipment revenue for the three months ended September 30, 2017 compared to the same period last year, driven by an increased number of units shipped.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Cost of sales. </w:t>
      </w:r>
      <w:r>
        <w:rPr>
          <w:rFonts w:ascii="Arial" w:cs="Arial" w:eastAsia="Arial" w:hAnsi="Arial"/>
          <w:sz w:val="17"/>
          <w:szCs w:val="17"/>
          <w:color w:val="auto"/>
        </w:rPr>
        <w:t>Cost of sales increased by $3.0 million for the three-month period ended September 30, 2017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last year. The increase was driven by a $2.1 million increase in cost of services and a $0.9 million increase in cost of equipment sales arising from an increased number of units sold during the period.</w:t>
      </w:r>
    </w:p>
    <w:p>
      <w:pPr>
        <w:spacing w:after="0" w:line="2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Gross margin</w:t>
      </w:r>
      <w:r>
        <w:rPr>
          <w:rFonts w:ascii="Arial" w:cs="Arial" w:eastAsia="Arial" w:hAnsi="Arial"/>
          <w:sz w:val="17"/>
          <w:szCs w:val="17"/>
          <w:color w:val="auto"/>
        </w:rPr>
        <w:t>. The overall gross margin decreased 1.7%, from 28.6% for the three months ended September 30, 2016 to</w:t>
      </w:r>
      <w:r>
        <w:rPr>
          <w:rFonts w:ascii="Arial" w:cs="Arial" w:eastAsia="Arial" w:hAnsi="Arial"/>
          <w:sz w:val="17"/>
          <w:szCs w:val="17"/>
          <w:i w:val="1"/>
          <w:iCs w:val="1"/>
          <w:color w:val="auto"/>
        </w:rPr>
        <w:t xml:space="preserve"> </w:t>
      </w:r>
      <w:r>
        <w:rPr>
          <w:rFonts w:ascii="Arial" w:cs="Arial" w:eastAsia="Arial" w:hAnsi="Arial"/>
          <w:sz w:val="17"/>
          <w:szCs w:val="17"/>
          <w:color w:val="auto"/>
        </w:rPr>
        <w:t>28.1% for the three months ended September 30, 2017. The decrease in the equipment margin, from 20.0% for the three months ended September 30, 2016 to 10.3% for the three months ended September 30, 2017, arose from reduced fees and/or pricing periodically extended to customers who offer strategic and/or large market opportunities. This decrease was partially offset by an increase in the license fee and transaction margin from 31.3% for the three months ended September 30, 2016 to 33.2% for the three months ended September 30, 2017.</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Expenses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40" w:type="dxa"/>
            <w:vAlign w:val="bottom"/>
            <w:gridSpan w:val="5"/>
          </w:tcPr>
          <w:p>
            <w:pPr>
              <w:ind w:left="40"/>
              <w:spacing w:after="0"/>
              <w:rPr>
                <w:sz w:val="20"/>
                <w:szCs w:val="20"/>
                <w:color w:val="auto"/>
              </w:rPr>
            </w:pPr>
            <w:r>
              <w:rPr>
                <w:rFonts w:ascii="Arial" w:cs="Arial" w:eastAsia="Arial" w:hAnsi="Arial"/>
                <w:sz w:val="14"/>
                <w:szCs w:val="14"/>
                <w:b w:val="1"/>
                <w:bCs w:val="1"/>
                <w:color w:val="auto"/>
              </w:rPr>
              <w:t>For the three months ended September 30,</w:t>
            </w:r>
          </w:p>
        </w:tc>
        <w:tc>
          <w:tcPr>
            <w:tcW w:w="1340" w:type="dxa"/>
            <w:vAlign w:val="bottom"/>
          </w:tcPr>
          <w:p>
            <w:pPr>
              <w:jc w:val="right"/>
              <w:ind w:right="356"/>
              <w:spacing w:after="0"/>
              <w:rPr>
                <w:sz w:val="20"/>
                <w:szCs w:val="20"/>
                <w:color w:val="auto"/>
              </w:rPr>
            </w:pPr>
            <w:r>
              <w:rPr>
                <w:rFonts w:ascii="Arial" w:cs="Arial" w:eastAsia="Arial" w:hAnsi="Arial"/>
                <w:sz w:val="14"/>
                <w:szCs w:val="14"/>
                <w:b w:val="1"/>
                <w:bCs w:val="1"/>
                <w:color w:val="auto"/>
              </w:rPr>
              <w:t>Percent</w:t>
            </w:r>
          </w:p>
        </w:tc>
      </w:tr>
      <w:tr>
        <w:trPr>
          <w:trHeight w:val="210"/>
        </w:trPr>
        <w:tc>
          <w:tcPr>
            <w:tcW w:w="4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Category ($ in thousands)</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r>
      <w:tr>
        <w:trPr>
          <w:trHeight w:val="223"/>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r>
              <w:rPr>
                <w:rFonts w:ascii="Arial" w:cs="Arial" w:eastAsia="Arial" w:hAnsi="Arial"/>
                <w:sz w:val="19"/>
                <w:szCs w:val="19"/>
                <w:color w:val="auto"/>
              </w:rPr>
              <w:t>%</w:t>
            </w:r>
          </w:p>
        </w:tc>
      </w:tr>
      <w:tr>
        <w:trPr>
          <w:trHeight w:val="230"/>
        </w:trPr>
        <w:tc>
          <w:tcPr>
            <w:tcW w:w="4520" w:type="dxa"/>
            <w:vAlign w:val="bottom"/>
          </w:tcPr>
          <w:p>
            <w:pPr>
              <w:ind w:left="120"/>
              <w:spacing w:after="0"/>
              <w:rPr>
                <w:sz w:val="20"/>
                <w:szCs w:val="20"/>
                <w:color w:val="auto"/>
              </w:rPr>
            </w:pPr>
            <w:r>
              <w:rPr>
                <w:rFonts w:ascii="Arial" w:cs="Arial" w:eastAsia="Arial" w:hAnsi="Arial"/>
                <w:sz w:val="18"/>
                <w:szCs w:val="18"/>
                <w:color w:val="auto"/>
              </w:rPr>
              <w:t>Integration and acquisition costs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 xml:space="preserve">654.5 </w:t>
            </w:r>
            <w:r>
              <w:rPr>
                <w:rFonts w:ascii="Arial" w:cs="Arial" w:eastAsia="Arial" w:hAnsi="Arial"/>
                <w:sz w:val="19"/>
                <w:szCs w:val="19"/>
                <w:color w:val="auto"/>
              </w:rPr>
              <w:t>%</w:t>
            </w:r>
          </w:p>
        </w:tc>
      </w:tr>
      <w:tr>
        <w:trPr>
          <w:trHeight w:val="230"/>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xml:space="preserve">17.8 </w:t>
            </w:r>
            <w:r>
              <w:rPr>
                <w:rFonts w:ascii="Arial" w:cs="Arial" w:eastAsia="Arial" w:hAnsi="Arial"/>
                <w:sz w:val="19"/>
                <w:szCs w:val="19"/>
                <w:color w:val="auto"/>
              </w:rPr>
              <w:t>%</w:t>
            </w:r>
          </w:p>
        </w:tc>
      </w:tr>
      <w:tr>
        <w:trPr>
          <w:trHeight w:val="230"/>
        </w:trPr>
        <w:tc>
          <w:tcPr>
            <w:tcW w:w="452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6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19"/>
                <w:szCs w:val="19"/>
                <w:color w:val="auto"/>
              </w:rPr>
              <w:t>%</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and administrative expenses decreased approximately $60</w:t>
      </w:r>
      <w:r>
        <w:rPr>
          <w:rFonts w:ascii="Arial" w:cs="Arial" w:eastAsia="Arial" w:hAnsi="Arial"/>
          <w:sz w:val="17"/>
          <w:szCs w:val="17"/>
          <w:i w:val="1"/>
          <w:iCs w:val="1"/>
          <w:color w:val="auto"/>
        </w:rPr>
        <w:t xml:space="preserve"> </w:t>
      </w:r>
      <w:r>
        <w:rPr>
          <w:rFonts w:ascii="Arial" w:cs="Arial" w:eastAsia="Arial" w:hAnsi="Arial"/>
          <w:sz w:val="17"/>
          <w:szCs w:val="17"/>
          <w:color w:val="auto"/>
        </w:rPr>
        <w:t>thousand for the three months ended September 30, 2017, as compared to the same period in 2016. This change was driven by a decrease in costs incurred in connection with SOX 404 compliance expenses which were primarily attributable to our assessment being subject to audit for the first time in 2016, partially offset by an increase in sales and marketing related consulting expenses as we continue to increase our market share in the cashless-transaction vending industry, and an increase in salaries and wages as the company increased employee headcount.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Integration and acquisition costs</w:t>
      </w:r>
      <w:r>
        <w:rPr>
          <w:rFonts w:ascii="Arial" w:cs="Arial" w:eastAsia="Arial" w:hAnsi="Arial"/>
          <w:sz w:val="18"/>
          <w:szCs w:val="18"/>
          <w:color w:val="auto"/>
        </w:rPr>
        <w:t>. Integration and acquisition costs increased $661 thousand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2017 as compared to the same period in 2016, due to the $762 thousand incurred in connection with the planned acquisition of Cantaloupe, partially offset by $101 thousand of acquisition costs incurred in the first quarter of fiscal year 2017 pertaining to the acquisition of VendScreen.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increased approximately $40 thousand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ending September 30, 2017 due to additional capitalized development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w w:val="92"/>
              </w:rPr>
              <w:t>For the three months ended September 30,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rPr>
              <w:t>Percent</w:t>
            </w:r>
          </w:p>
        </w:tc>
      </w:tr>
      <w:tr>
        <w:trPr>
          <w:trHeight w:val="210"/>
        </w:trPr>
        <w:tc>
          <w:tcPr>
            <w:tcW w:w="348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jc w:val="right"/>
              <w:ind w:right="116"/>
              <w:spacing w:after="0"/>
              <w:rPr>
                <w:sz w:val="20"/>
                <w:szCs w:val="20"/>
                <w:color w:val="auto"/>
              </w:rPr>
            </w:pPr>
            <w:r>
              <w:rPr>
                <w:rFonts w:ascii="Arial" w:cs="Arial" w:eastAsia="Arial" w:hAnsi="Arial"/>
                <w:sz w:val="14"/>
                <w:szCs w:val="14"/>
                <w:b w:val="1"/>
                <w:bCs w:val="1"/>
                <w:color w:val="auto"/>
              </w:rPr>
              <w:t>Change</w:t>
            </w: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6"/>
        </w:trPr>
        <w:tc>
          <w:tcPr>
            <w:tcW w:w="348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c>
          <w:tcPr>
            <w:tcW w:w="4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3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17"/>
        </w:trPr>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decreased $1.5 million for the three months ended September 30, 2017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2016. The decrease was primarily driven by the fair value associated with the exercised warrants recognized during September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w w:val="94"/>
              </w:rPr>
              <w:t>For the three months ended September 30,</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Percent</w:t>
            </w:r>
          </w:p>
        </w:tc>
      </w:tr>
      <w:tr>
        <w:trPr>
          <w:trHeight w:val="210"/>
        </w:trPr>
        <w:tc>
          <w:tcPr>
            <w:tcW w:w="268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3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140" w:type="dxa"/>
            <w:vAlign w:val="bottom"/>
          </w:tcPr>
          <w:p>
            <w:pPr>
              <w:ind w:left="340"/>
              <w:spacing w:after="0"/>
              <w:rPr>
                <w:sz w:val="20"/>
                <w:szCs w:val="20"/>
                <w:color w:val="auto"/>
              </w:rPr>
            </w:pPr>
            <w:r>
              <w:rPr>
                <w:rFonts w:ascii="Arial" w:cs="Arial" w:eastAsia="Arial" w:hAnsi="Arial"/>
                <w:sz w:val="14"/>
                <w:szCs w:val="14"/>
                <w:b w:val="1"/>
                <w:bCs w:val="1"/>
                <w:color w:val="auto"/>
              </w:rPr>
              <w:t>Change</w:t>
            </w:r>
          </w:p>
        </w:tc>
      </w:tr>
      <w:tr>
        <w:trPr>
          <w:trHeight w:val="210"/>
        </w:trPr>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r>
    </w:tbl>
    <w:p>
      <w:pPr>
        <w:spacing w:after="0" w:line="20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three months ended September 30, 2017, an income tax benefit of $468 thousand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income taxes) was recorded based upon loss before benefit for income taxes using an estimated annual effective income tax rate of 59.2% for the fiscal year ending June 30, 2018 plus an income tax benefit for excess tax benefits recognized during the three months which were treated discretely.</w:t>
      </w:r>
    </w:p>
    <w:p>
      <w:pPr>
        <w:spacing w:after="0" w:line="18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For the three months ended September 30, 2016, an income tax benefit of $115 thousand (substantially all deferred income taxes) was recorded based upon loss before benefit for income taxes using an estimated annual effective income tax rate of 25.7% for the fiscal year ending June 30, 2017 net of a provision for the tax effect of the change in the fair value of warrant liabilities which was treated discretely.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Adjusted EBITDA: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88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(2,464)</w:t>
            </w:r>
          </w:p>
        </w:tc>
        <w:tc>
          <w:tcPr>
            <w:tcW w:w="0" w:type="dxa"/>
            <w:vAlign w:val="bottom"/>
          </w:tcPr>
          <w:p>
            <w:pPr>
              <w:spacing w:after="0"/>
              <w:rPr>
                <w:sz w:val="1"/>
                <w:szCs w:val="1"/>
                <w:color w:val="auto"/>
              </w:rPr>
            </w:pPr>
          </w:p>
        </w:tc>
      </w:tr>
      <w:tr>
        <w:trPr>
          <w:trHeight w:val="216"/>
        </w:trPr>
        <w:tc>
          <w:tcPr>
            <w:tcW w:w="5880" w:type="dxa"/>
            <w:vAlign w:val="bottom"/>
          </w:tcPr>
          <w:p>
            <w:pPr>
              <w:ind w:left="120"/>
              <w:spacing w:after="0"/>
              <w:rPr>
                <w:sz w:val="20"/>
                <w:szCs w:val="20"/>
                <w:color w:val="auto"/>
              </w:rPr>
            </w:pPr>
            <w:r>
              <w:rPr>
                <w:rFonts w:ascii="Arial" w:cs="Arial" w:eastAsia="Arial" w:hAnsi="Arial"/>
                <w:sz w:val="18"/>
                <w:szCs w:val="18"/>
                <w:color w:val="auto"/>
              </w:rPr>
              <w:t>Less interest income</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interest expense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5880" w:type="dxa"/>
            <w:vAlign w:val="bottom"/>
          </w:tcPr>
          <w:p>
            <w:pPr>
              <w:ind w:left="120"/>
              <w:spacing w:after="0"/>
              <w:rPr>
                <w:sz w:val="20"/>
                <w:szCs w:val="20"/>
                <w:color w:val="auto"/>
              </w:rPr>
            </w:pPr>
            <w:r>
              <w:rPr>
                <w:rFonts w:ascii="Arial" w:cs="Arial" w:eastAsia="Arial" w:hAnsi="Arial"/>
                <w:sz w:val="18"/>
                <w:szCs w:val="18"/>
                <w:color w:val="auto"/>
              </w:rPr>
              <w:t>Less income tax benefit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depreciation expense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Plus amortization expense</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0"/>
        </w:trPr>
        <w:tc>
          <w:tcPr>
            <w:tcW w:w="5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loss on fair value of warrant liabilities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5880" w:type="dxa"/>
            <w:vAlign w:val="bottom"/>
          </w:tcPr>
          <w:p>
            <w:pPr>
              <w:ind w:left="120"/>
              <w:spacing w:after="0"/>
              <w:rPr>
                <w:sz w:val="20"/>
                <w:szCs w:val="20"/>
                <w:color w:val="auto"/>
              </w:rPr>
            </w:pPr>
            <w:r>
              <w:rPr>
                <w:rFonts w:ascii="Arial" w:cs="Arial" w:eastAsia="Arial" w:hAnsi="Arial"/>
                <w:sz w:val="18"/>
                <w:szCs w:val="18"/>
                <w:color w:val="auto"/>
              </w:rPr>
              <w:t>Plus stock-based compensation</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Plus integration and acquisition costs</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5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Adjustments to EBITDA</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7"/>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As used herein, Adjusted EBITDA represents net loss before interest income, interest expense, income taxes, depreciation, amortization, change in fair value of warrant liabilities, stock-based compensation expense, and non-recurring integration and acquisition costs that were incurred in connection with the planned acquisition of Cantaloupe in the current fiscal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year and the acquisition of the VendScreen business the previous fiscal year. We have excluded the non-operating item, change in fair value of warrant liabilities, because it represents a non-cash gain or charge that is not related to the Company’s operations. We have excluded the non-cash expense, stock-based compensation, as it does not reflect the cash-based operations of the Company. We have excluded the integration and acquisition expenses incurred in connection with the planned Cantaloupe acquisition during the current fiscal year and the VendScreen transaction from the previous fiscal year in order to allow for a more accurate comparison of the financial results to historical operations, as they pertain to period operational expenses that are not a core function of our business.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Additionally, the Company utilizes Adjusted EBTIDA as a metric in its executive officer and management incentive compensation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Operating Loss to Adjusted Operating Income/ (Loss):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40" w:type="dxa"/>
            <w:vAlign w:val="bottom"/>
            <w:gridSpan w:val="3"/>
          </w:tcPr>
          <w:p>
            <w:pPr>
              <w:jc w:val="right"/>
              <w:ind w:right="10"/>
              <w:spacing w:after="0" w:line="149" w:lineRule="exact"/>
              <w:rPr>
                <w:sz w:val="20"/>
                <w:szCs w:val="20"/>
                <w:color w:val="auto"/>
              </w:rPr>
            </w:pPr>
            <w:r>
              <w:rPr>
                <w:rFonts w:ascii="Arial" w:cs="Arial" w:eastAsia="Arial" w:hAnsi="Arial"/>
                <w:sz w:val="14"/>
                <w:szCs w:val="14"/>
                <w:b w:val="1"/>
                <w:bCs w:val="1"/>
                <w:color w:val="auto"/>
              </w:rPr>
              <w:t>September 30, 2017</w:t>
            </w:r>
          </w:p>
        </w:tc>
        <w:tc>
          <w:tcPr>
            <w:tcW w:w="1000" w:type="dxa"/>
            <w:vAlign w:val="bottom"/>
            <w:vMerge w:val="restart"/>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71"/>
        </w:trPr>
        <w:tc>
          <w:tcPr>
            <w:tcW w:w="45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Plus integration and acquisition costs</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7"/>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operating income/(loss)</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As used herein, adjusted operating income represents operating loss before the non-recurring integration and acquisition costs and expenses incurred in connection with the VendScreen transaction and the proposed acquisition of Cantaloupe. We have excluded these non-recurring costs and expenses in order to allow for a more accurate comparison of the financial results to historical operations and we believe such a comparison is useful to investors as a measure of comparative operating performance.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Loss to Non-GAAP Net Income/ (Loss):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76"/>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Non-GAAP adjustments: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portion of income tax benefit</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540" w:type="dxa"/>
            <w:vAlign w:val="bottom"/>
          </w:tcPr>
          <w:p>
            <w:pPr>
              <w:ind w:left="120"/>
              <w:spacing w:after="0"/>
              <w:rPr>
                <w:sz w:val="20"/>
                <w:szCs w:val="20"/>
                <w:color w:val="auto"/>
              </w:rPr>
            </w:pPr>
            <w:r>
              <w:rPr>
                <w:rFonts w:ascii="Arial" w:cs="Arial" w:eastAsia="Arial" w:hAnsi="Arial"/>
                <w:sz w:val="18"/>
                <w:szCs w:val="18"/>
                <w:color w:val="auto"/>
              </w:rPr>
              <w:t>Fair value of warrant adjustment</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Litigation related professional fees</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Integration and acquisition costs</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7"/>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Non-GAAP net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As used herein, non-GAAP net income (loss) represents GAAP net loss excluding costs or benefits relating to any non-cash portions of the Company’s income tax benefit, adjustment for fair value of warrant liabilities, professional fees incurred in connection with the class action litigation and the special litigation committee investigation, and non-recurring costs and expenses that were incurred in connection with the acquisition and integration of the VendScreen business and the planned acquisition of Cantaloupe. Management believes that non-GAAP net income (loss) is an important measure of USAT’s business. Non-GAAP net income (loss) is a non-GAAP financial measure which is not required by or defined under GAAP. The presentation of this financial measure is not intended to be considered in isolation or as a substitute for the financial measures prepared and presented in accordance with GAAP, including the net income or net loss of the Company or net cash provided by or (used in) operating activities. Management recognizes that non-GAAP financial measures have limitations in that they do not reflect all of the items associated with the Company’s net loss as determined in accordance with GAAP, and are not a substitute for or a measure of the Company’s profitability or net earnings. Management uses the aforementioned non-GAAP measure to monitor and evaluate ongoing operating results and trends and to gain an understanding of our comparative operating performance. We believe that this non-GAAP financial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measure serves as a useful metric for our management and investors because they enable a better understanding of the long-term performance of our core business and facilitate comparisons of our operating results over multiple periods, and when taken together with the corresponding GAAP financial measures and our reconciliations, enhance investors’ overall understanding of our current and future financial performance. Additionally, the Company utilizes non-GAAP net income (loss) as a metric in its executive officer and management incentive compensation plans.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Cash provided by operating activities was $1.0 million for the three months ended September 30, 2017 compared to $6.3 million used in the same period in 2016. The $7.3 million increase in cash provided by operating activities was primarily driven by payment of a significant order received during the fourth quarter of fiscal year 2017 from an existing customer which resulted in a cash inflow of $8.8 million from finance receivables, partially offset by a $2.2 million increase in merchant receivables due to timing differences related to the remittance of credit card receipts and a $1.4 million increase related to inventory due to purchases made to support the company’s anticipated future growth.</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investing activities was $0.9 million for the three months ended September 30, 2017 compared to $0.8 million for the same period in 2016. The $0.1 million increase arose to a due to a slight increase in equipment purchases for the rental program and capitalized development costs.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provided by financing activities was $39.1 million for the three months ended September 30, 2017 compared to $6.0 million for the same period in 2016. The $33.1 million increase was primarily due to the public offering which closed in July 2017 with gross proceeds of $43.1 million, partially offset by $3.2 million in equity financing costs and $6.2 million in proceeds received from the exercise of the warrants during the quarter ending September 30, 2016.</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September 2014, the Company reintroduced QuickStart, a program whereby our customers are able to purchase our ePort hardware via a five-year, non-cancellable finance agreement. Under the QuickStart program, the Company sells the equipment to customers and creates a long-term and current finance receivable for five-year agreements. In the third and fourth quarters of fiscal 2015, the Company signed vendor agreements with two finance companies, whereby our customers would enter into agreements directly with the finance companies as part of our QuickStart program. Under this scenario, the Company invoices the finance company for the equipment financed by our customer, and typically receives full payment within thirty days. Prior to the reintroduction of QuickStart, the Company had financed its customers’ acquisition of ePort equipment primarily through the JumpStart rental program. Under Jumpstart, the Company records an investing capital expenditure cash outflow for the equipment provided and fixed assets on the balance sheet, and then receives rental income from a month-to-month lease. Customers who utilize third party finance companies in connection with the QuickStart program improve our cash flow from operations, and our QuickStart program reduces cash flow needed for investing activities otherwise incurred by us for our JumpStart program.</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entering into vendor agreements with two third-party finance companies, the majority of QuickStart sales consummated have been with customers entering into agreements directly with the finance companies. Our customers have shifted from acquiring our products via JumpStart, which accounted for 65% of our gross connections in fiscal year 2014, to QuickStart and sales under normal trade receivable terms, which accounted for 89%, 91%, and 93% of our gross connections in fiscal years 2015, 2016, and 2017 respectively. JumpStart was approximately 4% for the three months ended September 30,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seeking to expand its outside financing partners in order to accommodate expected growth.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Cash</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net working capital, which is defined as current assets less current liabilities, increased $40.9 million from $5.8 million for the year ended June 30, 2017, to $46.7 million for the three months ended September 30, 2017. As of September 30, 2017, the Company’s primary sources of cash include:</w:t>
      </w:r>
    </w:p>
    <w:p>
      <w:pPr>
        <w:spacing w:after="0" w:line="181"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on hand of approximately $51.9 million;</w:t>
      </w:r>
    </w:p>
    <w:p>
      <w:pPr>
        <w:spacing w:after="0" w:line="225"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$4.9 million available under the line of credit provided we continue to satisfy the various covenants set forth in the loan agreement, including the requirement to meet minimum quarterly adjusted EBITDA, as defined in the loan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Sales to third party lenders of all or a portion of our finance receivables which may occur in future quarters; and</w:t>
      </w:r>
    </w:p>
    <w:p>
      <w:pPr>
        <w:spacing w:after="0" w:line="236" w:lineRule="exact"/>
        <w:rPr>
          <w:rFonts w:ascii="Arial" w:cs="Arial" w:eastAsia="Arial" w:hAnsi="Arial"/>
          <w:sz w:val="17"/>
          <w:szCs w:val="17"/>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Anticipated cash which may be provided by operating activities in future quarters.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believes its existing cash and available cash resources described above, would provide sufficient capital resources to operate its anticipated business over the next twelve months.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significant changes to our market risk since June 30, 2017. For a discussion of our exposure to market risk, refer to Part II, Item 7A. “Quantitative and Qualitative Disclosures about Market Risk,” contained in our Annual Report on Form 10-K for the year ended June 30,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evaluated, with the participation of our chief executive officer and chief financial officer, the effectiveness as of the end of the period covered by this Form 10-Q of our disclosure controls and procedures (as defined in Rule 13a-15(e) under the Securities Exchange Act of 1934 (the "Exchange Act")). We maintain disclosure controls and procedures to ensure that information required to be disclosed by us in reports that we file or submit under the Exchange Act is recorded, processed, summarized and reported within the time periods specified in Securities and Exchange Commission rules, and that such information is accumulated and communicated to our management, including our chief executive officer and chief financial officer, to allow timely decisions regarding required disclosure. Based on this evaluation, our management, including our chief executive officer and chief financial officer, has concluded that our disclosure controls and procedures were effective as of the end of such period.</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controls over financial reporting that occurred during the quarter ended September 30, 2017 that materially affected, or are reasonably likely to materially affect, our internal controls over financial reporting.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reported, in our fiscal year 2016 Form 10-K, on June 1, 2016, a shareholder filed a purported derivative action on behalf of the Company in the Chester County, Pennsylvania, Court of Common Pleas (No. 2016-05225-MJ), against certain current and former officers and Directors. On August 17, 2016, the Company filed with the Chester County Court a motion to dismiss the complaint. On March 8, 2017, the Court entered an order granting the Company’s motion to dismiss the complaint. On April 6, 2017, the plaintiff appealed the order to the Superior Court of Pennsylvania. As of the date hereof, the Superior Court has not rendered a decision.</w:t>
      </w:r>
    </w:p>
    <w:p>
      <w:pPr>
        <w:spacing w:after="0" w:line="7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previously reported, on October 1, 2015, a purported class action was filed in the United States District Court for the Eastern District of Pennsylvania (No. 2:15-05427) against the Company and its executive officers alleging violations under the Securities Exchange Act of 1934. Following the filing of an amended complaint, on April 14, 2016, the Court issued an order granting the Company’s motion to dismiss the amended complaint without leave to amend. On May 13, 2016, the plaintiff appealed the Court’s order to the United States Court of Appeals for the Third Circuit (No. 16-2436), and on August 16, 2016, the plaintiff filed a motion for relief from final judgment with the District Court seeking an order permitting the plaintiff to file another amended complaint. On September 19, 2016, the District Court issued an order denying the plaintiff’s motion for relief from final judgment, and on October 4, 2016, the plaintiff filed an appeal of this order with the Third Circuit Court of Appeals. On October 6, 2016, the Third Circuit Court of Appeals consolidated the two appeals for all purposes, and by Order dated August 30, 2017, the Third Circuit Court of Appeals affirmed the District Court’s dismissal of the action.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0" w:lineRule="exact"/>
        <w:rPr>
          <w:sz w:val="20"/>
          <w:szCs w:val="20"/>
          <w:color w:val="auto"/>
        </w:rPr>
      </w:pP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were no defaults on any senior securities. On August 1, 2017, an additional $334 thousand of dividends were accrued on our cumulative Series A Convertible Preferred Stock. The total accrued and unpaid dividends on our Series A Convertible Preferred Stock as of September 30, 2017 was $14.7 million. The dividend accrual dates for our Preferred Stock are February 1 and August 1. The annual cumulative dividend on our Preferred Stock is $1.50 per share.</w:t>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57543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830"/>
              <w:spacing w:after="0"/>
              <w:rPr>
                <w:sz w:val="20"/>
                <w:szCs w:val="20"/>
                <w:color w:val="auto"/>
              </w:rPr>
            </w:pPr>
            <w:r>
              <w:rPr>
                <w:rFonts w:ascii="Arial" w:cs="Arial" w:eastAsia="Arial" w:hAnsi="Arial"/>
                <w:sz w:val="18"/>
                <w:szCs w:val="18"/>
                <w:color w:val="auto"/>
                <w:w w:val="85"/>
              </w:rPr>
              <w:t>31.1</w:t>
            </w:r>
          </w:p>
        </w:tc>
        <w:tc>
          <w:tcPr>
            <w:tcW w:w="76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Certifications of Chief Executive Officer pursuant to Rule 13a-14(a) under the Securities Exchange Act of</w:t>
              </w:r>
            </w:hyperlink>
          </w:p>
        </w:tc>
      </w:tr>
      <w:tr>
        <w:trPr>
          <w:trHeight w:val="196"/>
        </w:trPr>
        <w:tc>
          <w:tcPr>
            <w:tcW w:w="12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1934.</w:t>
              </w:r>
            </w:hyperlink>
          </w:p>
        </w:tc>
        <w:tc>
          <w:tcPr>
            <w:tcW w:w="30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240" w:type="dxa"/>
            <w:vAlign w:val="bottom"/>
          </w:tcPr>
          <w:p>
            <w:pPr>
              <w:jc w:val="right"/>
              <w:ind w:right="830"/>
              <w:spacing w:after="0"/>
              <w:rPr>
                <w:sz w:val="20"/>
                <w:szCs w:val="20"/>
                <w:color w:val="auto"/>
              </w:rPr>
            </w:pPr>
            <w:r>
              <w:rPr>
                <w:rFonts w:ascii="Arial" w:cs="Arial" w:eastAsia="Arial" w:hAnsi="Arial"/>
                <w:sz w:val="18"/>
                <w:szCs w:val="18"/>
                <w:color w:val="auto"/>
                <w:w w:val="85"/>
              </w:rPr>
              <w:t>31.2</w:t>
            </w:r>
          </w:p>
        </w:tc>
        <w:tc>
          <w:tcPr>
            <w:tcW w:w="7640" w:type="dxa"/>
            <w:vAlign w:val="bottom"/>
            <w:gridSpan w:val="6"/>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Certifications of Chief Financial Officer pursuant to Rule 13a-14(a) under the Securities Exchange Act of</w:t>
              </w:r>
            </w:hyperlink>
          </w:p>
        </w:tc>
      </w:tr>
      <w:tr>
        <w:trPr>
          <w:trHeight w:val="196"/>
        </w:trPr>
        <w:tc>
          <w:tcPr>
            <w:tcW w:w="12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28">
              <w:r>
                <w:rPr>
                  <w:rFonts w:ascii="Arial" w:cs="Arial" w:eastAsia="Arial" w:hAnsi="Arial"/>
                  <w:sz w:val="18"/>
                  <w:szCs w:val="18"/>
                  <w:color w:val="0000EE"/>
                  <w:w w:val="84"/>
                </w:rPr>
                <w:t>1934.</w:t>
              </w:r>
            </w:hyperlink>
          </w:p>
        </w:tc>
        <w:tc>
          <w:tcPr>
            <w:tcW w:w="3060" w:type="dxa"/>
            <w:vAlign w:val="bottom"/>
            <w:tcBorders>
              <w:top w:val="single" w:sz="8" w:color="0000EE"/>
            </w:tcBorders>
          </w:tcPr>
          <w:p>
            <w:pPr>
              <w:spacing w:after="0"/>
              <w:rPr>
                <w:sz w:val="17"/>
                <w:szCs w:val="17"/>
                <w:color w:val="auto"/>
              </w:rPr>
            </w:pPr>
          </w:p>
        </w:tc>
        <w:tc>
          <w:tcPr>
            <w:tcW w:w="37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r>
      <w:tr>
        <w:trPr>
          <w:trHeight w:val="412"/>
        </w:trPr>
        <w:tc>
          <w:tcPr>
            <w:tcW w:w="1240" w:type="dxa"/>
            <w:vAlign w:val="bottom"/>
          </w:tcPr>
          <w:p>
            <w:pPr>
              <w:jc w:val="right"/>
              <w:ind w:right="830"/>
              <w:spacing w:after="0"/>
              <w:rPr>
                <w:sz w:val="20"/>
                <w:szCs w:val="20"/>
                <w:color w:val="auto"/>
              </w:rPr>
            </w:pPr>
            <w:r>
              <w:rPr>
                <w:rFonts w:ascii="Arial" w:cs="Arial" w:eastAsia="Arial" w:hAnsi="Arial"/>
                <w:sz w:val="18"/>
                <w:szCs w:val="18"/>
                <w:color w:val="auto"/>
                <w:w w:val="85"/>
              </w:rPr>
              <w:t>32.1</w:t>
            </w:r>
          </w:p>
        </w:tc>
        <w:tc>
          <w:tcPr>
            <w:tcW w:w="73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Certification of the Chief Executive Officer pursuant to 18 USC Section 1350, as adopted pursuant to</w:t>
              </w:r>
            </w:hyperlink>
          </w:p>
        </w:tc>
        <w:tc>
          <w:tcPr>
            <w:tcW w:w="34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346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Section 906 of the Sarbanes-Oxley Act of 2002.</w:t>
              </w:r>
            </w:hyperlink>
          </w:p>
        </w:tc>
        <w:tc>
          <w:tcPr>
            <w:tcW w:w="4180" w:type="dxa"/>
            <w:vAlign w:val="bottom"/>
            <w:gridSpan w:val="4"/>
          </w:tcPr>
          <w:p>
            <w:pPr>
              <w:spacing w:after="0"/>
              <w:rPr>
                <w:sz w:val="17"/>
                <w:szCs w:val="17"/>
                <w:color w:val="auto"/>
              </w:rPr>
            </w:pPr>
          </w:p>
        </w:tc>
      </w:tr>
      <w:tr>
        <w:trPr>
          <w:trHeight w:val="412"/>
        </w:trPr>
        <w:tc>
          <w:tcPr>
            <w:tcW w:w="1240" w:type="dxa"/>
            <w:vAlign w:val="bottom"/>
          </w:tcPr>
          <w:p>
            <w:pPr>
              <w:jc w:val="right"/>
              <w:ind w:right="830"/>
              <w:spacing w:after="0"/>
              <w:rPr>
                <w:sz w:val="20"/>
                <w:szCs w:val="20"/>
                <w:color w:val="auto"/>
              </w:rPr>
            </w:pPr>
            <w:r>
              <w:rPr>
                <w:rFonts w:ascii="Arial" w:cs="Arial" w:eastAsia="Arial" w:hAnsi="Arial"/>
                <w:sz w:val="18"/>
                <w:szCs w:val="18"/>
                <w:color w:val="auto"/>
                <w:w w:val="85"/>
              </w:rPr>
              <w:t>32.2</w:t>
            </w:r>
          </w:p>
        </w:tc>
        <w:tc>
          <w:tcPr>
            <w:tcW w:w="7640" w:type="dxa"/>
            <w:vAlign w:val="bottom"/>
            <w:gridSpan w:val="6"/>
          </w:tcPr>
          <w:p>
            <w:pPr>
              <w:spacing w:after="0"/>
              <w:rPr>
                <w:rFonts w:ascii="Arial" w:cs="Arial" w:eastAsia="Arial" w:hAnsi="Arial"/>
                <w:sz w:val="18"/>
                <w:szCs w:val="18"/>
                <w:color w:val="0000EE"/>
                <w:w w:val="95"/>
              </w:rPr>
            </w:pPr>
            <w:hyperlink w:anchor="page30">
              <w:r>
                <w:rPr>
                  <w:rFonts w:ascii="Arial" w:cs="Arial" w:eastAsia="Arial" w:hAnsi="Arial"/>
                  <w:sz w:val="18"/>
                  <w:szCs w:val="18"/>
                  <w:color w:val="0000EE"/>
                  <w:w w:val="95"/>
                </w:rPr>
                <w:t>Certification of the Chief Financial Officer pursuant to 18 USC Section 1350, as adopted pursuant to</w:t>
              </w:r>
            </w:hyperlink>
          </w:p>
        </w:tc>
      </w:tr>
      <w:tr>
        <w:trPr>
          <w:trHeight w:val="196"/>
        </w:trPr>
        <w:tc>
          <w:tcPr>
            <w:tcW w:w="12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Section 906 of the Sarbanes-Oxley Act of 2002.</w:t>
              </w:r>
            </w:hyperlink>
          </w:p>
        </w:tc>
        <w:tc>
          <w:tcPr>
            <w:tcW w:w="3780" w:type="dxa"/>
            <w:vAlign w:val="bottom"/>
            <w:tcBorders>
              <w:top w:val="single" w:sz="8" w:color="0000EE"/>
            </w:tcBorders>
          </w:tcPr>
          <w:p>
            <w:pPr>
              <w:spacing w:after="0"/>
              <w:rPr>
                <w:sz w:val="17"/>
                <w:szCs w:val="17"/>
                <w:color w:val="auto"/>
              </w:rPr>
            </w:pPr>
          </w:p>
        </w:tc>
        <w:tc>
          <w:tcPr>
            <w:tcW w:w="400" w:type="dxa"/>
            <w:vAlign w:val="bottom"/>
            <w:gridSpan w:val="3"/>
          </w:tcPr>
          <w:p>
            <w:pPr>
              <w:spacing w:after="0"/>
              <w:rPr>
                <w:sz w:val="17"/>
                <w:szCs w:val="17"/>
                <w:color w:val="auto"/>
              </w:rPr>
            </w:pPr>
          </w:p>
        </w:tc>
      </w:tr>
    </w:tbl>
    <w:p>
      <w:pPr>
        <w:spacing w:after="0" w:line="229" w:lineRule="exact"/>
        <w:rPr>
          <w:sz w:val="20"/>
          <w:szCs w:val="20"/>
          <w:color w:val="auto"/>
        </w:rPr>
      </w:pPr>
    </w:p>
    <w:p>
      <w:pPr>
        <w:ind w:left="1240" w:right="80" w:hanging="1237"/>
        <w:spacing w:after="0" w:line="286"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financial information from our Quarterly Report on Form 10-Q for the quarter ended September 30, 2017, filed with the SEC on November 8, 2017, formatted in Extensible Business Reporting Language (XBRL): (1) the Consolidated Balance Sheets as of September 30, 2017 and June 30, 2017, (2) the Consolidated Statements of Operations for the three-month period ended September 30, 2017 and 2016,</w:t>
      </w:r>
    </w:p>
    <w:p>
      <w:pPr>
        <w:spacing w:after="0" w:line="1" w:lineRule="exact"/>
        <w:rPr>
          <w:rFonts w:ascii="Arial" w:cs="Arial" w:eastAsia="Arial" w:hAnsi="Arial"/>
          <w:sz w:val="16"/>
          <w:szCs w:val="16"/>
          <w:color w:val="auto"/>
        </w:rPr>
      </w:pPr>
    </w:p>
    <w:p>
      <w:pPr>
        <w:ind w:left="1240" w:right="80"/>
        <w:spacing w:after="0" w:line="255" w:lineRule="auto"/>
        <w:rPr>
          <w:rFonts w:ascii="Arial" w:cs="Arial" w:eastAsia="Arial" w:hAnsi="Arial"/>
          <w:sz w:val="16"/>
          <w:szCs w:val="16"/>
          <w:color w:val="auto"/>
        </w:rPr>
      </w:pPr>
      <w:r>
        <w:rPr>
          <w:rFonts w:ascii="Arial" w:cs="Arial" w:eastAsia="Arial" w:hAnsi="Arial"/>
          <w:sz w:val="18"/>
          <w:szCs w:val="18"/>
          <w:color w:val="auto"/>
        </w:rPr>
        <w:t>(3) the Consolidated Statements of Shareholders’ Equity for the three-month period ended September 30, 2017, (4) the Consolidated Statements of Cash Flows for the three-month period ended September 30, 2017 and 2016, and (5)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33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Date: November 8, 2017</w:t>
            </w:r>
          </w:p>
        </w:tc>
        <w:tc>
          <w:tcPr>
            <w:tcW w:w="14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3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3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rPr>
              <w:t>Date: November 8, 2017</w:t>
            </w:r>
          </w:p>
        </w:tc>
        <w:tc>
          <w:tcPr>
            <w:tcW w:w="142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Priyanka Singh</w:t>
            </w:r>
          </w:p>
        </w:tc>
      </w:tr>
      <w:tr>
        <w:trPr>
          <w:trHeight w:val="195"/>
        </w:trPr>
        <w:tc>
          <w:tcPr>
            <w:tcW w:w="3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Priyanka Singh</w:t>
            </w:r>
          </w:p>
        </w:tc>
      </w:tr>
      <w:tr>
        <w:trPr>
          <w:trHeight w:val="230"/>
        </w:trPr>
        <w:tc>
          <w:tcPr>
            <w:tcW w:w="3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78"/>
        </w:trPr>
        <w:tc>
          <w:tcPr>
            <w:tcW w:w="3120" w:type="dxa"/>
            <w:vAlign w:val="bottom"/>
          </w:tcPr>
          <w:p>
            <w:pPr>
              <w:spacing w:after="0"/>
              <w:rPr>
                <w:sz w:val="24"/>
                <w:szCs w:val="24"/>
                <w:color w:val="auto"/>
              </w:rPr>
            </w:pPr>
          </w:p>
        </w:tc>
        <w:tc>
          <w:tcPr>
            <w:tcW w:w="5940" w:type="dxa"/>
            <w:vAlign w:val="bottom"/>
            <w:gridSpan w:val="2"/>
          </w:tcPr>
          <w:p>
            <w:pPr>
              <w:jc w:val="right"/>
              <w:ind w:right="4350"/>
              <w:spacing w:after="0"/>
              <w:rPr>
                <w:sz w:val="20"/>
                <w:szCs w:val="20"/>
                <w:color w:val="auto"/>
              </w:rPr>
            </w:pPr>
            <w:r>
              <w:rPr>
                <w:rFonts w:ascii="Arial" w:cs="Arial" w:eastAsia="Arial" w:hAnsi="Arial"/>
                <w:sz w:val="18"/>
                <w:szCs w:val="18"/>
                <w:color w:val="auto"/>
              </w:rPr>
              <w:t>26</w:t>
            </w:r>
          </w:p>
        </w:tc>
      </w:tr>
      <w:tr>
        <w:trPr>
          <w:trHeight w:val="345"/>
        </w:trPr>
        <w:tc>
          <w:tcPr>
            <w:tcW w:w="3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5" w:right="141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25" w:lineRule="exact"/>
        <w:rPr>
          <w:sz w:val="20"/>
          <w:szCs w:val="20"/>
          <w:color w:val="auto"/>
        </w:rPr>
      </w:pPr>
    </w:p>
    <w:p>
      <w:pPr>
        <w:ind w:left="660" w:hanging="657"/>
        <w:spacing w:after="0" w:line="207" w:lineRule="exact"/>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225" w:lineRule="exact"/>
        <w:rPr>
          <w:rFonts w:ascii="Arial" w:cs="Arial" w:eastAsia="Arial" w:hAnsi="Arial"/>
          <w:sz w:val="18"/>
          <w:szCs w:val="18"/>
          <w:color w:val="auto"/>
        </w:rPr>
      </w:pPr>
    </w:p>
    <w:p>
      <w:pPr>
        <w:jc w:val="both"/>
        <w:ind w:left="660" w:hanging="657"/>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60" w:hanging="657"/>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81" w:lineRule="exact"/>
        <w:rPr>
          <w:rFonts w:ascii="Arial" w:cs="Arial" w:eastAsia="Arial" w:hAnsi="Arial"/>
          <w:sz w:val="18"/>
          <w:szCs w:val="18"/>
          <w:color w:val="auto"/>
        </w:rPr>
      </w:pPr>
    </w:p>
    <w:p>
      <w:pPr>
        <w:jc w:val="both"/>
        <w:ind w:left="660" w:hanging="657"/>
        <w:spacing w:after="0" w:line="221" w:lineRule="exact"/>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1300" w:hanging="649"/>
        <w:spacing w:after="0" w:line="259" w:lineRule="auto"/>
        <w:tabs>
          <w:tab w:leader="none" w:pos="131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hanging="649"/>
        <w:spacing w:after="0" w:line="259" w:lineRule="auto"/>
        <w:tabs>
          <w:tab w:leader="none" w:pos="13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300" w:hanging="649"/>
        <w:spacing w:after="0" w:line="264" w:lineRule="auto"/>
        <w:tabs>
          <w:tab w:leader="none" w:pos="1317"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81" w:lineRule="exact"/>
        <w:rPr>
          <w:rFonts w:ascii="Arial" w:cs="Arial" w:eastAsia="Arial" w:hAnsi="Arial"/>
          <w:sz w:val="18"/>
          <w:szCs w:val="18"/>
          <w:color w:val="auto"/>
        </w:rPr>
      </w:pPr>
    </w:p>
    <w:p>
      <w:pPr>
        <w:jc w:val="both"/>
        <w:ind w:left="1300" w:hanging="649"/>
        <w:spacing w:after="0" w:line="259" w:lineRule="auto"/>
        <w:tabs>
          <w:tab w:leader="none" w:pos="13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6" w:lineRule="exact"/>
        <w:rPr>
          <w:rFonts w:ascii="Arial" w:cs="Arial" w:eastAsia="Arial" w:hAnsi="Arial"/>
          <w:sz w:val="18"/>
          <w:szCs w:val="18"/>
          <w:color w:val="auto"/>
        </w:rPr>
      </w:pPr>
    </w:p>
    <w:p>
      <w:pPr>
        <w:jc w:val="both"/>
        <w:ind w:left="660" w:hanging="657"/>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81" w:lineRule="exact"/>
        <w:rPr>
          <w:rFonts w:ascii="Arial" w:cs="Arial" w:eastAsia="Arial" w:hAnsi="Arial"/>
          <w:sz w:val="18"/>
          <w:szCs w:val="18"/>
          <w:color w:val="auto"/>
        </w:rPr>
      </w:pPr>
    </w:p>
    <w:p>
      <w:pPr>
        <w:jc w:val="both"/>
        <w:ind w:left="1300" w:hanging="649"/>
        <w:spacing w:after="0" w:line="264" w:lineRule="auto"/>
        <w:tabs>
          <w:tab w:leader="none" w:pos="131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81" w:lineRule="exact"/>
        <w:rPr>
          <w:rFonts w:ascii="Arial" w:cs="Arial" w:eastAsia="Arial" w:hAnsi="Arial"/>
          <w:sz w:val="18"/>
          <w:szCs w:val="18"/>
          <w:color w:val="auto"/>
        </w:rPr>
      </w:pPr>
    </w:p>
    <w:p>
      <w:pPr>
        <w:ind w:left="1300" w:hanging="649"/>
        <w:spacing w:after="0" w:line="277" w:lineRule="auto"/>
        <w:tabs>
          <w:tab w:leader="none" w:pos="13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November 8,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Priyanka Singh, certify that:</w:t>
      </w:r>
    </w:p>
    <w:p>
      <w:pPr>
        <w:spacing w:after="0" w:line="225" w:lineRule="exact"/>
        <w:rPr>
          <w:sz w:val="20"/>
          <w:szCs w:val="20"/>
          <w:color w:val="auto"/>
        </w:rPr>
      </w:pPr>
    </w:p>
    <w:p>
      <w:pPr>
        <w:ind w:left="660" w:hanging="657"/>
        <w:spacing w:after="0" w:line="207" w:lineRule="exact"/>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USA Technologies, Inc.;</w:t>
      </w:r>
    </w:p>
    <w:p>
      <w:pPr>
        <w:spacing w:after="0" w:line="225" w:lineRule="exact"/>
        <w:rPr>
          <w:rFonts w:ascii="Arial" w:cs="Arial" w:eastAsia="Arial" w:hAnsi="Arial"/>
          <w:sz w:val="18"/>
          <w:szCs w:val="18"/>
          <w:color w:val="auto"/>
        </w:rPr>
      </w:pPr>
    </w:p>
    <w:p>
      <w:pPr>
        <w:jc w:val="both"/>
        <w:ind w:left="660" w:hanging="657"/>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660" w:hanging="657"/>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81" w:lineRule="exact"/>
        <w:rPr>
          <w:rFonts w:ascii="Arial" w:cs="Arial" w:eastAsia="Arial" w:hAnsi="Arial"/>
          <w:sz w:val="18"/>
          <w:szCs w:val="18"/>
          <w:color w:val="auto"/>
        </w:rPr>
      </w:pPr>
    </w:p>
    <w:p>
      <w:pPr>
        <w:jc w:val="both"/>
        <w:ind w:left="660" w:hanging="657"/>
        <w:spacing w:after="0" w:line="221" w:lineRule="exact"/>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1300" w:hanging="649"/>
        <w:spacing w:after="0" w:line="259" w:lineRule="auto"/>
        <w:tabs>
          <w:tab w:leader="none" w:pos="131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1300" w:hanging="649"/>
        <w:spacing w:after="0" w:line="259" w:lineRule="auto"/>
        <w:tabs>
          <w:tab w:leader="none" w:pos="132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1300" w:hanging="649"/>
        <w:spacing w:after="0" w:line="264" w:lineRule="auto"/>
        <w:tabs>
          <w:tab w:leader="none" w:pos="1317"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81" w:lineRule="exact"/>
        <w:rPr>
          <w:rFonts w:ascii="Arial" w:cs="Arial" w:eastAsia="Arial" w:hAnsi="Arial"/>
          <w:sz w:val="18"/>
          <w:szCs w:val="18"/>
          <w:color w:val="auto"/>
        </w:rPr>
      </w:pPr>
    </w:p>
    <w:p>
      <w:pPr>
        <w:jc w:val="both"/>
        <w:ind w:left="1300" w:hanging="649"/>
        <w:spacing w:after="0" w:line="259" w:lineRule="auto"/>
        <w:tabs>
          <w:tab w:leader="none" w:pos="132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186" w:lineRule="exact"/>
        <w:rPr>
          <w:rFonts w:ascii="Arial" w:cs="Arial" w:eastAsia="Arial" w:hAnsi="Arial"/>
          <w:sz w:val="18"/>
          <w:szCs w:val="18"/>
          <w:color w:val="auto"/>
        </w:rPr>
      </w:pPr>
    </w:p>
    <w:p>
      <w:pPr>
        <w:jc w:val="both"/>
        <w:ind w:left="660" w:hanging="657"/>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81" w:lineRule="exact"/>
        <w:rPr>
          <w:rFonts w:ascii="Arial" w:cs="Arial" w:eastAsia="Arial" w:hAnsi="Arial"/>
          <w:sz w:val="18"/>
          <w:szCs w:val="18"/>
          <w:color w:val="auto"/>
        </w:rPr>
      </w:pPr>
    </w:p>
    <w:p>
      <w:pPr>
        <w:jc w:val="both"/>
        <w:ind w:left="1300" w:hanging="649"/>
        <w:spacing w:after="0" w:line="264" w:lineRule="auto"/>
        <w:tabs>
          <w:tab w:leader="none" w:pos="131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81" w:lineRule="exact"/>
        <w:rPr>
          <w:rFonts w:ascii="Arial" w:cs="Arial" w:eastAsia="Arial" w:hAnsi="Arial"/>
          <w:sz w:val="18"/>
          <w:szCs w:val="18"/>
          <w:color w:val="auto"/>
        </w:rPr>
      </w:pPr>
    </w:p>
    <w:p>
      <w:pPr>
        <w:ind w:left="1300" w:hanging="649"/>
        <w:spacing w:after="0" w:line="277" w:lineRule="auto"/>
        <w:tabs>
          <w:tab w:leader="none" w:pos="132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issuer’s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November 8,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Priyanka Singh</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Priyanka Singh</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1440" w:right="2180"/>
        <w:spacing w:after="0" w:line="266"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80"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September 30, 2017 (the “Report”), I, Stephen P. Herbert., Chief Executive Officer of the Company, hereby certify that to my knowledge:</w:t>
      </w:r>
    </w:p>
    <w:p>
      <w:pPr>
        <w:spacing w:after="0" w:line="202" w:lineRule="exact"/>
        <w:rPr>
          <w:sz w:val="20"/>
          <w:szCs w:val="20"/>
          <w:color w:val="auto"/>
        </w:rPr>
      </w:pPr>
    </w:p>
    <w:p>
      <w:pPr>
        <w:ind w:left="660" w:hanging="657"/>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7"/>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November 8,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Stephen P. Herbert</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left="1440" w:right="2180"/>
        <w:spacing w:after="0" w:line="266" w:lineRule="auto"/>
        <w:rPr>
          <w:sz w:val="20"/>
          <w:szCs w:val="20"/>
          <w:color w:val="auto"/>
        </w:rPr>
      </w:pPr>
      <w:r>
        <w:rPr>
          <w:rFonts w:ascii="Arial" w:cs="Arial" w:eastAsia="Arial" w:hAnsi="Arial"/>
          <w:sz w:val="18"/>
          <w:szCs w:val="18"/>
          <w:b w:val="1"/>
          <w:bCs w:val="1"/>
          <w:color w:val="auto"/>
        </w:rPr>
        <w:t>CERTIFICATION PURSUANT TO SECTION 906 OF THE SARBANES-OXLEY ACT OF 2002 (18 U.S.C. SECTION 1350)</w:t>
      </w:r>
    </w:p>
    <w:p>
      <w:pPr>
        <w:spacing w:after="0" w:line="180"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In connection with the accompanying Quarterly Report of USA Technologies,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period ended September 30, 2017 (the “Report”), I, Priyanka Singh, Chief Financial Officer of the Company, hereby certify that to my knowledge:</w:t>
      </w:r>
    </w:p>
    <w:p>
      <w:pPr>
        <w:spacing w:after="0" w:line="202" w:lineRule="exact"/>
        <w:rPr>
          <w:sz w:val="20"/>
          <w:szCs w:val="20"/>
          <w:color w:val="auto"/>
        </w:rPr>
      </w:pPr>
    </w:p>
    <w:p>
      <w:pPr>
        <w:ind w:left="660" w:hanging="657"/>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660" w:hanging="657"/>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Date: November 8, 2017</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Priyanka Singh</w:t>
            </w:r>
          </w:p>
        </w:tc>
      </w:tr>
      <w:tr>
        <w:trPr>
          <w:trHeight w:val="195"/>
        </w:trPr>
        <w:tc>
          <w:tcPr>
            <w:tcW w:w="454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Priyanka Singh</w:t>
            </w:r>
          </w:p>
        </w:tc>
      </w:tr>
      <w:tr>
        <w:trPr>
          <w:trHeight w:val="230"/>
        </w:trPr>
        <w:tc>
          <w:tcPr>
            <w:tcW w:w="45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77"/>
        </w:trPr>
        <w:tc>
          <w:tcPr>
            <w:tcW w:w="454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
      <w:numFmt w:val="bullet"/>
      <w:start w:val="1"/>
    </w:lvl>
  </w:abstractNum>
  <w:abstractNum w:abstractNumId="1">
    <w:nsid w:val="515F007C"/>
    <w:multiLevelType w:val="hybridMultilevel"/>
    <w:lvl w:ilvl="0">
      <w:lvlJc w:val="left"/>
      <w:lvlText w:val=" "/>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0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2019-12-29T03:15:57Z</dcterms:created>
  <dcterms:modified xsi:type="dcterms:W3CDTF">2019-12-29T03:15:57Z</dcterms:modified>
</cp:coreProperties>
</file>