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1O-Q</w:t>
      </w:r>
    </w:p>
    <w:p>
      <w:pPr>
        <w:spacing w:after="0" w:line="252" w:lineRule="exact"/>
        <w:rPr>
          <w:sz w:val="24"/>
          <w:szCs w:val="24"/>
          <w:color w:val="auto"/>
        </w:rPr>
      </w:pPr>
    </w:p>
    <w:p>
      <w:pPr>
        <w:ind w:left="3900" w:right="1560" w:hanging="3892"/>
        <w:spacing w:after="0" w:line="534" w:lineRule="auto"/>
        <w:tabs>
          <w:tab w:leader="none" w:pos="65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 (d) OF THE SECURITIES EXCHANGE ACT OF 1934 For the quarterly period ended March 31,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48" w:lineRule="exact"/>
        <w:rPr>
          <w:sz w:val="24"/>
          <w:szCs w:val="24"/>
          <w:color w:val="auto"/>
        </w:rPr>
      </w:pPr>
    </w:p>
    <w:p>
      <w:pPr>
        <w:jc w:val="right"/>
        <w:ind w:left="2660" w:right="2660" w:hanging="2652"/>
        <w:spacing w:after="0" w:line="566" w:lineRule="auto"/>
        <w:tabs>
          <w:tab w:leader="none" w:pos="655"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TRANSITION REPORT PURSUANT TO SECTION 13 OR 15 (d) OF THE EXCHANGE ACT OF 1934 </w:t>
      </w:r>
      <w:r>
        <w:rPr>
          <w:rFonts w:ascii="Arial" w:cs="Arial" w:eastAsia="Arial" w:hAnsi="Arial"/>
          <w:sz w:val="17"/>
          <w:szCs w:val="17"/>
          <w:color w:val="auto"/>
        </w:rPr>
        <w:t>For the transition period from ____________________ to _____________________</w:t>
      </w:r>
    </w:p>
    <w:tbl>
      <w:tblPr>
        <w:tblLayout w:type="fixed"/>
        <w:tblInd w:w="1140" w:type="dxa"/>
        <w:tblCellMar>
          <w:top w:w="0" w:type="dxa"/>
          <w:left w:w="0" w:type="dxa"/>
          <w:bottom w:w="0" w:type="dxa"/>
          <w:right w:w="0" w:type="dxa"/>
        </w:tblCellMar>
      </w:tblPr>
      <w:tr>
        <w:trPr>
          <w:trHeight w:val="230"/>
        </w:trPr>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180" w:type="dxa"/>
            <w:vAlign w:val="bottom"/>
            <w:gridSpan w:val="6"/>
          </w:tcPr>
          <w:p>
            <w:pPr>
              <w:jc w:val="center"/>
              <w:ind w:right="350"/>
              <w:spacing w:after="0"/>
              <w:rPr>
                <w:sz w:val="20"/>
                <w:szCs w:val="20"/>
                <w:color w:val="auto"/>
              </w:rPr>
            </w:pPr>
            <w:r>
              <w:rPr>
                <w:rFonts w:ascii="Arial" w:cs="Arial" w:eastAsia="Arial" w:hAnsi="Arial"/>
                <w:sz w:val="18"/>
                <w:szCs w:val="18"/>
                <w:color w:val="auto"/>
                <w:w w:val="92"/>
              </w:rPr>
              <w:t>Commission file number 001-33365</w:t>
            </w: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40" w:type="dxa"/>
            <w:vAlign w:val="bottom"/>
            <w:gridSpan w:val="5"/>
          </w:tcPr>
          <w:p>
            <w:pPr>
              <w:jc w:val="center"/>
              <w:ind w:right="1250"/>
              <w:spacing w:after="0"/>
              <w:rPr>
                <w:sz w:val="20"/>
                <w:szCs w:val="20"/>
                <w:color w:val="auto"/>
              </w:rPr>
            </w:pPr>
            <w:r>
              <w:rPr>
                <w:rFonts w:ascii="Arial" w:cs="Arial" w:eastAsia="Arial" w:hAnsi="Arial"/>
                <w:sz w:val="18"/>
                <w:szCs w:val="18"/>
                <w:b w:val="1"/>
                <w:bCs w:val="1"/>
                <w:color w:val="auto"/>
                <w:w w:val="88"/>
              </w:rPr>
              <w:t>USA Technologies, Inc.</w:t>
            </w: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ind w:left="60"/>
              <w:spacing w:after="0"/>
              <w:rPr>
                <w:sz w:val="20"/>
                <w:szCs w:val="20"/>
                <w:color w:val="auto"/>
              </w:rPr>
            </w:pPr>
            <w:r>
              <w:rPr>
                <w:rFonts w:ascii="Arial" w:cs="Arial" w:eastAsia="Arial" w:hAnsi="Arial"/>
                <w:sz w:val="18"/>
                <w:szCs w:val="18"/>
                <w:color w:val="auto"/>
                <w:w w:val="85"/>
              </w:rPr>
              <w:t>(Exact name</w:t>
            </w:r>
          </w:p>
        </w:tc>
        <w:tc>
          <w:tcPr>
            <w:tcW w:w="1860" w:type="dxa"/>
            <w:vAlign w:val="bottom"/>
            <w:tcBorders>
              <w:top w:val="single" w:sz="8" w:color="auto"/>
            </w:tcBorders>
            <w:gridSpan w:val="4"/>
          </w:tcPr>
          <w:p>
            <w:pPr>
              <w:jc w:val="center"/>
              <w:spacing w:after="0"/>
              <w:rPr>
                <w:sz w:val="20"/>
                <w:szCs w:val="20"/>
                <w:color w:val="auto"/>
              </w:rPr>
            </w:pPr>
            <w:r>
              <w:rPr>
                <w:rFonts w:ascii="Arial" w:cs="Arial" w:eastAsia="Arial" w:hAnsi="Arial"/>
                <w:sz w:val="18"/>
                <w:szCs w:val="18"/>
                <w:color w:val="auto"/>
                <w:w w:val="91"/>
              </w:rPr>
              <w:t>of registrant as specified</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w w:val="92"/>
              </w:rPr>
              <w:t>in its charter)</w:t>
            </w: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89"/>
              </w:rPr>
              <w:t>Pennsylvania</w:t>
            </w:r>
          </w:p>
        </w:tc>
        <w:tc>
          <w:tcPr>
            <w:tcW w:w="4180" w:type="dxa"/>
            <w:vAlign w:val="bottom"/>
            <w:gridSpan w:val="6"/>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23-2679963</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720" w:type="dxa"/>
            <w:vAlign w:val="bottom"/>
            <w:gridSpan w:val="2"/>
            <w:vMerge w:val="restart"/>
          </w:tcPr>
          <w:p>
            <w:pPr>
              <w:spacing w:after="0"/>
              <w:rPr>
                <w:sz w:val="20"/>
                <w:szCs w:val="20"/>
                <w:color w:val="auto"/>
              </w:rPr>
            </w:pPr>
            <w:r>
              <w:rPr>
                <w:rFonts w:ascii="Arial" w:cs="Arial" w:eastAsia="Arial" w:hAnsi="Arial"/>
                <w:sz w:val="18"/>
                <w:szCs w:val="18"/>
                <w:color w:val="auto"/>
                <w:w w:val="82"/>
              </w:rPr>
              <w:t>(State or other jurisdiction</w:t>
            </w:r>
          </w:p>
        </w:tc>
        <w:tc>
          <w:tcPr>
            <w:tcW w:w="980" w:type="dxa"/>
            <w:vAlign w:val="bottom"/>
            <w:shd w:val="clear" w:color="auto" w:fill="000000"/>
          </w:tcPr>
          <w:p>
            <w:pPr>
              <w:spacing w:after="0"/>
              <w:rPr>
                <w:sz w:val="2"/>
                <w:szCs w:val="2"/>
                <w:color w:val="auto"/>
              </w:rPr>
            </w:pPr>
          </w:p>
        </w:tc>
        <w:tc>
          <w:tcPr>
            <w:tcW w:w="120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6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720" w:type="dxa"/>
            <w:vAlign w:val="bottom"/>
            <w:gridSpan w:val="2"/>
            <w:vMerge w:val="continue"/>
          </w:tcPr>
          <w:p>
            <w:pPr>
              <w:spacing w:after="0"/>
              <w:rPr>
                <w:sz w:val="20"/>
                <w:szCs w:val="20"/>
                <w:color w:val="auto"/>
              </w:rPr>
            </w:pPr>
          </w:p>
        </w:tc>
        <w:tc>
          <w:tcPr>
            <w:tcW w:w="5160" w:type="dxa"/>
            <w:vAlign w:val="bottom"/>
            <w:gridSpan w:val="7"/>
          </w:tcPr>
          <w:p>
            <w:pPr>
              <w:jc w:val="right"/>
              <w:ind w:right="2490"/>
              <w:spacing w:after="0"/>
              <w:rPr>
                <w:sz w:val="20"/>
                <w:szCs w:val="20"/>
                <w:color w:val="auto"/>
              </w:rPr>
            </w:pPr>
            <w:r>
              <w:rPr>
                <w:rFonts w:ascii="Arial" w:cs="Arial" w:eastAsia="Arial" w:hAnsi="Arial"/>
                <w:sz w:val="18"/>
                <w:szCs w:val="18"/>
                <w:color w:val="auto"/>
              </w:rPr>
              <w:t>of incorporation or organization)</w:t>
            </w:r>
          </w:p>
        </w:tc>
        <w:tc>
          <w:tcPr>
            <w:tcW w:w="3000" w:type="dxa"/>
            <w:vAlign w:val="bottom"/>
            <w:gridSpan w:val="4"/>
          </w:tcPr>
          <w:p>
            <w:pPr>
              <w:ind w:left="400"/>
              <w:spacing w:after="0"/>
              <w:rPr>
                <w:sz w:val="20"/>
                <w:szCs w:val="20"/>
                <w:color w:val="auto"/>
              </w:rPr>
            </w:pPr>
            <w:r>
              <w:rPr>
                <w:rFonts w:ascii="Arial" w:cs="Arial" w:eastAsia="Arial" w:hAnsi="Arial"/>
                <w:sz w:val="18"/>
                <w:szCs w:val="18"/>
                <w:color w:val="auto"/>
                <w:w w:val="93"/>
              </w:rPr>
              <w:t>(I.R.S. Employer Identification No.)</w:t>
            </w:r>
          </w:p>
        </w:tc>
        <w:tc>
          <w:tcPr>
            <w:tcW w:w="0" w:type="dxa"/>
            <w:vAlign w:val="bottom"/>
          </w:tcPr>
          <w:p>
            <w:pPr>
              <w:spacing w:after="0"/>
              <w:rPr>
                <w:sz w:val="1"/>
                <w:szCs w:val="1"/>
                <w:color w:val="auto"/>
              </w:rPr>
            </w:pPr>
          </w:p>
        </w:tc>
      </w:tr>
      <w:tr>
        <w:trPr>
          <w:trHeight w:val="445"/>
        </w:trPr>
        <w:tc>
          <w:tcPr>
            <w:tcW w:w="400" w:type="dxa"/>
            <w:vAlign w:val="bottom"/>
          </w:tcPr>
          <w:p>
            <w:pPr>
              <w:spacing w:after="0"/>
              <w:rPr>
                <w:sz w:val="24"/>
                <w:szCs w:val="24"/>
                <w:color w:val="auto"/>
              </w:rPr>
            </w:pPr>
          </w:p>
        </w:tc>
        <w:tc>
          <w:tcPr>
            <w:tcW w:w="3940" w:type="dxa"/>
            <w:vAlign w:val="bottom"/>
            <w:gridSpan w:val="5"/>
          </w:tcPr>
          <w:p>
            <w:pPr>
              <w:jc w:val="right"/>
              <w:spacing w:after="0"/>
              <w:rPr>
                <w:sz w:val="20"/>
                <w:szCs w:val="20"/>
                <w:color w:val="auto"/>
              </w:rPr>
            </w:pPr>
            <w:r>
              <w:rPr>
                <w:rFonts w:ascii="Arial" w:cs="Arial" w:eastAsia="Arial" w:hAnsi="Arial"/>
                <w:sz w:val="18"/>
                <w:szCs w:val="18"/>
                <w:color w:val="auto"/>
                <w:w w:val="91"/>
              </w:rPr>
              <w:t>100 Deerfield Lane, Suite 140, Malvern, Pennsylvania</w:t>
            </w:r>
          </w:p>
        </w:tc>
        <w:tc>
          <w:tcPr>
            <w:tcW w:w="2540" w:type="dxa"/>
            <w:vAlign w:val="bottom"/>
            <w:gridSpan w:val="3"/>
          </w:tcPr>
          <w:p>
            <w:pPr>
              <w:spacing w:after="0"/>
              <w:rPr>
                <w:sz w:val="24"/>
                <w:szCs w:val="24"/>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19355</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3500" w:type="dxa"/>
            <w:vAlign w:val="bottom"/>
            <w:gridSpan w:val="4"/>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vMerge w:val="restart"/>
          </w:tcPr>
          <w:p>
            <w:pPr>
              <w:spacing w:after="0"/>
              <w:rPr>
                <w:sz w:val="2"/>
                <w:szCs w:val="2"/>
                <w:color w:val="auto"/>
              </w:rPr>
            </w:pPr>
          </w:p>
        </w:tc>
        <w:tc>
          <w:tcPr>
            <w:tcW w:w="1860" w:type="dxa"/>
            <w:vAlign w:val="bottom"/>
            <w:gridSpan w:val="2"/>
            <w:vMerge w:val="restart"/>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0" w:type="dxa"/>
            <w:vAlign w:val="bottom"/>
          </w:tcPr>
          <w:p>
            <w:pPr>
              <w:spacing w:after="0"/>
              <w:rPr>
                <w:sz w:val="20"/>
                <w:szCs w:val="20"/>
                <w:color w:val="auto"/>
              </w:rPr>
            </w:pPr>
          </w:p>
        </w:tc>
        <w:tc>
          <w:tcPr>
            <w:tcW w:w="3940" w:type="dxa"/>
            <w:vAlign w:val="bottom"/>
            <w:gridSpan w:val="5"/>
          </w:tcPr>
          <w:p>
            <w:pPr>
              <w:jc w:val="right"/>
              <w:ind w:right="580"/>
              <w:spacing w:after="0"/>
              <w:rPr>
                <w:sz w:val="20"/>
                <w:szCs w:val="20"/>
                <w:color w:val="auto"/>
              </w:rPr>
            </w:pPr>
            <w:r>
              <w:rPr>
                <w:rFonts w:ascii="Arial" w:cs="Arial" w:eastAsia="Arial" w:hAnsi="Arial"/>
                <w:sz w:val="18"/>
                <w:szCs w:val="18"/>
                <w:color w:val="auto"/>
              </w:rPr>
              <w:t>(Address of principal executive offices)</w:t>
            </w:r>
          </w:p>
        </w:tc>
        <w:tc>
          <w:tcPr>
            <w:tcW w:w="680" w:type="dxa"/>
            <w:vAlign w:val="bottom"/>
            <w:vMerge w:val="continue"/>
          </w:tcPr>
          <w:p>
            <w:pPr>
              <w:spacing w:after="0"/>
              <w:rPr>
                <w:sz w:val="20"/>
                <w:szCs w:val="20"/>
                <w:color w:val="auto"/>
              </w:rPr>
            </w:pPr>
          </w:p>
        </w:tc>
        <w:tc>
          <w:tcPr>
            <w:tcW w:w="1860" w:type="dxa"/>
            <w:vAlign w:val="bottom"/>
            <w:gridSpan w:val="2"/>
            <w:vMerge w:val="continue"/>
          </w:tcPr>
          <w:p>
            <w:pPr>
              <w:spacing w:after="0"/>
              <w:rPr>
                <w:sz w:val="20"/>
                <w:szCs w:val="20"/>
                <w:color w:val="auto"/>
              </w:rPr>
            </w:pPr>
          </w:p>
        </w:tc>
        <w:tc>
          <w:tcPr>
            <w:tcW w:w="1200" w:type="dxa"/>
            <w:vAlign w:val="bottom"/>
          </w:tcPr>
          <w:p>
            <w:pPr>
              <w:spacing w:after="0"/>
              <w:rPr>
                <w:sz w:val="20"/>
                <w:szCs w:val="20"/>
                <w:color w:val="auto"/>
              </w:rPr>
            </w:pPr>
          </w:p>
        </w:tc>
        <w:tc>
          <w:tcPr>
            <w:tcW w:w="1800" w:type="dxa"/>
            <w:vAlign w:val="bottom"/>
            <w:gridSpan w:val="3"/>
          </w:tcPr>
          <w:p>
            <w:pPr>
              <w:jc w:val="center"/>
              <w:ind w:right="56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445"/>
        </w:trPr>
        <w:tc>
          <w:tcPr>
            <w:tcW w:w="5020" w:type="dxa"/>
            <w:vAlign w:val="bottom"/>
            <w:gridSpan w:val="7"/>
          </w:tcPr>
          <w:p>
            <w:pPr>
              <w:jc w:val="right"/>
              <w:spacing w:after="0"/>
              <w:rPr>
                <w:sz w:val="20"/>
                <w:szCs w:val="20"/>
                <w:color w:val="auto"/>
              </w:rPr>
            </w:pPr>
            <w:r>
              <w:rPr>
                <w:rFonts w:ascii="Arial" w:cs="Arial" w:eastAsia="Arial" w:hAnsi="Arial"/>
                <w:sz w:val="18"/>
                <w:szCs w:val="18"/>
                <w:color w:val="auto"/>
              </w:rPr>
              <w:t>(610) 989-0340</w:t>
            </w:r>
          </w:p>
        </w:tc>
        <w:tc>
          <w:tcPr>
            <w:tcW w:w="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180" w:type="dxa"/>
            <w:vAlign w:val="bottom"/>
            <w:gridSpan w:val="3"/>
          </w:tcPr>
          <w:p>
            <w:pPr>
              <w:spacing w:after="0"/>
              <w:rPr>
                <w:sz w:val="2"/>
                <w:szCs w:val="2"/>
                <w:color w:val="auto"/>
              </w:rPr>
            </w:pPr>
          </w:p>
        </w:tc>
        <w:tc>
          <w:tcPr>
            <w:tcW w:w="1120" w:type="dxa"/>
            <w:vAlign w:val="bottom"/>
            <w:gridSpan w:val="2"/>
            <w:shd w:val="clear" w:color="auto" w:fill="000000"/>
          </w:tcPr>
          <w:p>
            <w:pPr>
              <w:spacing w:after="0"/>
              <w:rPr>
                <w:sz w:val="2"/>
                <w:szCs w:val="2"/>
                <w:color w:val="auto"/>
              </w:rPr>
            </w:pPr>
          </w:p>
        </w:tc>
        <w:tc>
          <w:tcPr>
            <w:tcW w:w="1860" w:type="dxa"/>
            <w:vAlign w:val="bottom"/>
            <w:gridSpan w:val="2"/>
            <w:vMerge w:val="restart"/>
          </w:tcPr>
          <w:p>
            <w:pPr>
              <w:jc w:val="right"/>
              <w:ind w:right="310"/>
              <w:spacing w:after="0"/>
              <w:rPr>
                <w:sz w:val="20"/>
                <w:szCs w:val="20"/>
                <w:color w:val="auto"/>
              </w:rPr>
            </w:pPr>
            <w:r>
              <w:rPr>
                <w:rFonts w:ascii="Arial" w:cs="Arial" w:eastAsia="Arial" w:hAnsi="Arial"/>
                <w:sz w:val="18"/>
                <w:szCs w:val="18"/>
                <w:color w:val="auto"/>
                <w:w w:val="88"/>
              </w:rPr>
              <w:t>including area code)</w:t>
            </w: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300" w:type="dxa"/>
            <w:vAlign w:val="bottom"/>
            <w:gridSpan w:val="5"/>
          </w:tcPr>
          <w:p>
            <w:pPr>
              <w:jc w:val="right"/>
              <w:ind w:right="60"/>
              <w:spacing w:after="0"/>
              <w:rPr>
                <w:sz w:val="20"/>
                <w:szCs w:val="20"/>
                <w:color w:val="auto"/>
              </w:rPr>
            </w:pPr>
            <w:r>
              <w:rPr>
                <w:rFonts w:ascii="Arial" w:cs="Arial" w:eastAsia="Arial" w:hAnsi="Arial"/>
                <w:sz w:val="18"/>
                <w:szCs w:val="18"/>
                <w:color w:val="auto"/>
              </w:rPr>
              <w:t>(Registrant’s telephone number,</w:t>
            </w:r>
          </w:p>
        </w:tc>
        <w:tc>
          <w:tcPr>
            <w:tcW w:w="1860" w:type="dxa"/>
            <w:vAlign w:val="bottom"/>
            <w:gridSpan w:val="2"/>
            <w:vMerge w:val="continue"/>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20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208"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310" w:right="239" w:bottom="1440" w:gutter="0" w:footer="0" w:header="0"/>
        </w:sectPr>
      </w:pPr>
    </w:p>
    <w:p>
      <w:pPr>
        <w:spacing w:after="0" w:line="174"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Accelerated filer o</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6"/>
          <w:szCs w:val="16"/>
          <w:color w:val="auto"/>
        </w:rPr>
        <w:t>Smaller reporting company x</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 o</w:t>
      </w:r>
    </w:p>
    <w:p>
      <w:pPr>
        <w:spacing w:after="0" w:line="430" w:lineRule="exact"/>
        <w:rPr>
          <w:sz w:val="24"/>
          <w:szCs w:val="24"/>
          <w:color w:val="auto"/>
        </w:rPr>
      </w:pPr>
    </w:p>
    <w:p>
      <w:pPr>
        <w:sectPr>
          <w:pgSz w:w="11900" w:h="16838" w:orient="portrait"/>
          <w:cols w:equalWidth="0" w:num="3">
            <w:col w:w="3940" w:space="720"/>
            <w:col w:w="3320" w:space="720"/>
            <w:col w:w="2720"/>
          </w:cols>
          <w:pgMar w:left="240" w:top="310" w:right="239" w:bottom="1440" w:gutter="0" w:footer="0" w:header="0"/>
          <w:type w:val="continuous"/>
        </w:sectPr>
      </w:pPr>
    </w:p>
    <w:p>
      <w:pPr>
        <w:spacing w:after="0" w:line="6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Act).Yes o No x</w:t>
      </w: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color w:val="auto"/>
        </w:rPr>
        <w:t>As of May 2, 2012, there were 32,514,266 shares of Common Stock, no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60" w:type="dxa"/>
            <w:vAlign w:val="bottom"/>
            <w:gridSpan w:val="7"/>
          </w:tcPr>
          <w:p>
            <w:pPr>
              <w:jc w:val="center"/>
              <w:ind w:right="2400"/>
              <w:spacing w:after="0"/>
              <w:rPr>
                <w:sz w:val="20"/>
                <w:szCs w:val="20"/>
                <w:color w:val="auto"/>
              </w:rPr>
            </w:pPr>
            <w:r>
              <w:rPr>
                <w:rFonts w:ascii="Arial" w:cs="Arial" w:eastAsia="Arial" w:hAnsi="Arial"/>
                <w:sz w:val="18"/>
                <w:szCs w:val="18"/>
                <w:color w:val="auto"/>
                <w:w w:val="96"/>
              </w:rPr>
              <w:t>USA TECHNOLOGIES, INC.</w:t>
            </w:r>
          </w:p>
        </w:tc>
        <w:tc>
          <w:tcPr>
            <w:tcW w:w="1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60" w:type="dxa"/>
            <w:vAlign w:val="bottom"/>
            <w:gridSpan w:val="7"/>
          </w:tcPr>
          <w:p>
            <w:pPr>
              <w:jc w:val="center"/>
              <w:ind w:right="2400"/>
              <w:spacing w:after="0"/>
              <w:rPr>
                <w:sz w:val="20"/>
                <w:szCs w:val="20"/>
                <w:color w:val="auto"/>
              </w:rPr>
            </w:pPr>
            <w:r>
              <w:rPr>
                <w:rFonts w:ascii="Arial" w:cs="Arial" w:eastAsia="Arial" w:hAnsi="Arial"/>
                <w:sz w:val="18"/>
                <w:szCs w:val="18"/>
                <w:color w:val="auto"/>
                <w:w w:val="95"/>
              </w:rPr>
              <w:t>TABLE OF CONTENTS</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80" w:type="dxa"/>
            <w:vAlign w:val="bottom"/>
          </w:tcPr>
          <w:p>
            <w:pPr>
              <w:jc w:val="right"/>
              <w:ind w:right="3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432"/>
        </w:trPr>
        <w:tc>
          <w:tcPr>
            <w:tcW w:w="9540" w:type="dxa"/>
            <w:vAlign w:val="bottom"/>
            <w:gridSpan w:val="16"/>
          </w:tcPr>
          <w:p>
            <w:pPr>
              <w:spacing w:after="0"/>
              <w:rPr>
                <w:sz w:val="20"/>
                <w:szCs w:val="20"/>
                <w:color w:val="auto"/>
              </w:rPr>
            </w:pPr>
            <w:r>
              <w:rPr>
                <w:rFonts w:ascii="Arial" w:cs="Arial" w:eastAsia="Arial" w:hAnsi="Arial"/>
                <w:sz w:val="18"/>
                <w:szCs w:val="18"/>
                <w:color w:val="auto"/>
              </w:rPr>
              <w:t>Part I - Financial Information</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8420" w:type="dxa"/>
            <w:vAlign w:val="bottom"/>
            <w:gridSpan w:val="13"/>
          </w:tcPr>
          <w:p>
            <w:pPr>
              <w:spacing w:after="0"/>
              <w:rPr>
                <w:sz w:val="20"/>
                <w:szCs w:val="20"/>
                <w:color w:val="auto"/>
              </w:rPr>
            </w:pPr>
            <w:r>
              <w:rPr>
                <w:rFonts w:ascii="Arial" w:cs="Arial" w:eastAsia="Arial" w:hAnsi="Arial"/>
                <w:sz w:val="18"/>
                <w:szCs w:val="18"/>
                <w:color w:val="auto"/>
              </w:rPr>
              <w:t>Condensed Financial Statements (Unaudited)</w:t>
            </w: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20" w:type="dxa"/>
            <w:vAlign w:val="bottom"/>
            <w:gridSpan w:val="13"/>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 March 31, 2012 and June 30, 2011</w:t>
              </w:r>
            </w:hyperlink>
          </w:p>
        </w:tc>
        <w:tc>
          <w:tcPr>
            <w:tcW w:w="18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20" w:type="dxa"/>
            <w:vAlign w:val="bottom"/>
            <w:gridSpan w:val="13"/>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 Three and Nine months ended March 31, 2012 and 2011</w:t>
              </w:r>
            </w:hyperlink>
          </w:p>
        </w:tc>
        <w:tc>
          <w:tcPr>
            <w:tcW w:w="18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20" w:type="dxa"/>
            <w:vAlign w:val="bottom"/>
            <w:gridSpan w:val="13"/>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 of Shareholders’ Equity – Nine months ended March 31, 2012</w:t>
              </w:r>
            </w:hyperlink>
          </w:p>
        </w:tc>
        <w:tc>
          <w:tcPr>
            <w:tcW w:w="18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20" w:type="dxa"/>
            <w:vAlign w:val="bottom"/>
            <w:gridSpan w:val="13"/>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 Nine months ended March 31, 2012 and 2011</w:t>
              </w:r>
            </w:hyperlink>
          </w:p>
        </w:tc>
        <w:tc>
          <w:tcPr>
            <w:tcW w:w="18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20" w:type="dxa"/>
            <w:vAlign w:val="bottom"/>
            <w:gridSpan w:val="13"/>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Consolidated Financial Statements</w:t>
              </w:r>
            </w:hyperlink>
          </w:p>
        </w:tc>
        <w:tc>
          <w:tcPr>
            <w:tcW w:w="18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8420" w:type="dxa"/>
            <w:vAlign w:val="bottom"/>
            <w:gridSpan w:val="13"/>
            <w:shd w:val="clear" w:color="auto" w:fill="CCEEFF"/>
          </w:tcPr>
          <w:p>
            <w:pPr>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18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4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8420" w:type="dxa"/>
            <w:vAlign w:val="bottom"/>
            <w:gridSpan w:val="1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18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Item 4.</w:t>
              </w:r>
            </w:hyperlink>
          </w:p>
        </w:tc>
        <w:tc>
          <w:tcPr>
            <w:tcW w:w="6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4"/>
            <w:shd w:val="clear" w:color="auto" w:fill="CCEEFF"/>
          </w:tcPr>
          <w:p>
            <w:pPr>
              <w:spacing w:after="0" w:line="176" w:lineRule="exact"/>
              <w:rPr>
                <w:rFonts w:ascii="Arial" w:cs="Arial" w:eastAsia="Arial" w:hAnsi="Arial"/>
                <w:sz w:val="18"/>
                <w:szCs w:val="18"/>
                <w:color w:val="0000EE"/>
                <w:w w:val="88"/>
              </w:rPr>
            </w:pPr>
            <w:hyperlink w:anchor="page24">
              <w:r>
                <w:rPr>
                  <w:rFonts w:ascii="Arial" w:cs="Arial" w:eastAsia="Arial" w:hAnsi="Arial"/>
                  <w:sz w:val="18"/>
                  <w:szCs w:val="18"/>
                  <w:color w:val="0000EE"/>
                  <w:w w:val="88"/>
                </w:rPr>
                <w:t>Controls and Procedures</w:t>
              </w:r>
            </w:hyperlink>
          </w:p>
        </w:tc>
        <w:tc>
          <w:tcPr>
            <w:tcW w:w="6640" w:type="dxa"/>
            <w:vAlign w:val="bottom"/>
            <w:tcBorders>
              <w:bottom w:val="single" w:sz="8" w:color="CCEEFF"/>
            </w:tcBorders>
            <w:gridSpan w:val="9"/>
            <w:shd w:val="clear" w:color="auto" w:fill="CCEEFF"/>
          </w:tcPr>
          <w:p>
            <w:pPr>
              <w:spacing w:after="0"/>
              <w:rPr>
                <w:sz w:val="17"/>
                <w:szCs w:val="17"/>
                <w:color w:val="auto"/>
              </w:rPr>
            </w:pPr>
          </w:p>
        </w:tc>
        <w:tc>
          <w:tcPr>
            <w:tcW w:w="1880" w:type="dxa"/>
            <w:vAlign w:val="bottom"/>
            <w:tcBorders>
              <w:bottom w:val="single" w:sz="8" w:color="CCEEFF"/>
            </w:tcBorders>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520" w:type="dxa"/>
            <w:vAlign w:val="bottom"/>
            <w:gridSpan w:val="15"/>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Part II - Other Information</w:t>
              </w:r>
            </w:hyperlink>
          </w:p>
        </w:tc>
        <w:tc>
          <w:tcPr>
            <w:tcW w:w="18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3.</w:t>
              </w:r>
            </w:hyperlink>
          </w:p>
        </w:tc>
        <w:tc>
          <w:tcPr>
            <w:tcW w:w="8420" w:type="dxa"/>
            <w:vAlign w:val="bottom"/>
            <w:gridSpan w:val="1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Defaults Upon Senior Securities</w:t>
              </w:r>
            </w:hyperlink>
          </w:p>
        </w:tc>
        <w:tc>
          <w:tcPr>
            <w:tcW w:w="18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00" w:type="dxa"/>
            <w:vAlign w:val="bottom"/>
            <w:gridSpan w:val="2"/>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Item 6.</w:t>
              </w:r>
            </w:hyperlink>
          </w:p>
        </w:tc>
        <w:tc>
          <w:tcPr>
            <w:tcW w:w="8420" w:type="dxa"/>
            <w:vAlign w:val="bottom"/>
            <w:gridSpan w:val="1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18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360" w:type="dxa"/>
            <w:vAlign w:val="bottom"/>
            <w:tcBorders>
              <w:top w:val="single" w:sz="8" w:color="CCEEFF"/>
            </w:tcBorders>
          </w:tcPr>
          <w:p>
            <w:pPr>
              <w:spacing w:after="0"/>
              <w:rPr>
                <w:sz w:val="18"/>
                <w:szCs w:val="18"/>
                <w:color w:val="auto"/>
              </w:rPr>
            </w:pPr>
          </w:p>
        </w:tc>
        <w:tc>
          <w:tcPr>
            <w:tcW w:w="18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420" w:type="dxa"/>
            <w:vAlign w:val="bottom"/>
            <w:gridSpan w:val="1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Signatures</w:t>
              </w:r>
            </w:hyperlink>
          </w:p>
        </w:tc>
        <w:tc>
          <w:tcPr>
            <w:tcW w:w="1880" w:type="dxa"/>
            <w:vAlign w:val="bottom"/>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760" w:type="dxa"/>
            <w:vAlign w:val="bottom"/>
            <w:tcBorders>
              <w:top w:val="single" w:sz="8" w:color="0000EE"/>
            </w:tcBorders>
            <w:gridSpan w:val="2"/>
          </w:tcPr>
          <w:p>
            <w:pPr>
              <w:spacing w:after="0"/>
              <w:rPr>
                <w:sz w:val="24"/>
                <w:szCs w:val="24"/>
                <w:color w:val="auto"/>
              </w:rPr>
            </w:pPr>
          </w:p>
        </w:tc>
        <w:tc>
          <w:tcPr>
            <w:tcW w:w="4020" w:type="dxa"/>
            <w:vAlign w:val="bottom"/>
            <w:tcBorders>
              <w:top w:val="single" w:sz="8" w:color="CCEEFF"/>
            </w:tcBorders>
            <w:gridSpan w:val="6"/>
          </w:tcPr>
          <w:p>
            <w:pPr>
              <w:jc w:val="center"/>
              <w:ind w:left="3550"/>
              <w:spacing w:after="0"/>
              <w:rPr>
                <w:sz w:val="20"/>
                <w:szCs w:val="20"/>
                <w:color w:val="auto"/>
              </w:rPr>
            </w:pPr>
            <w:r>
              <w:rPr>
                <w:rFonts w:ascii="Arial" w:cs="Arial" w:eastAsia="Arial" w:hAnsi="Arial"/>
                <w:sz w:val="18"/>
                <w:szCs w:val="18"/>
                <w:color w:val="auto"/>
                <w:w w:val="99"/>
              </w:rPr>
              <w:t>2</w:t>
            </w:r>
          </w:p>
        </w:tc>
        <w:tc>
          <w:tcPr>
            <w:tcW w:w="14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600" w:type="dxa"/>
            <w:vAlign w:val="bottom"/>
            <w:tcBorders>
              <w:top w:val="single" w:sz="8" w:color="CCEEFF"/>
            </w:tcBorders>
          </w:tcPr>
          <w:p>
            <w:pPr>
              <w:spacing w:after="0"/>
              <w:rPr>
                <w:sz w:val="24"/>
                <w:szCs w:val="24"/>
                <w:color w:val="auto"/>
              </w:rPr>
            </w:pPr>
          </w:p>
        </w:tc>
        <w:tc>
          <w:tcPr>
            <w:tcW w:w="136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98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12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4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1360" w:type="dxa"/>
            <w:vAlign w:val="bottom"/>
            <w:tcBorders>
              <w:bottom w:val="single" w:sz="8" w:color="808080"/>
            </w:tcBorders>
          </w:tcPr>
          <w:p>
            <w:pPr>
              <w:spacing w:after="0"/>
              <w:rPr>
                <w:sz w:val="9"/>
                <w:szCs w:val="9"/>
                <w:color w:val="auto"/>
              </w:rPr>
            </w:pPr>
          </w:p>
        </w:tc>
        <w:tc>
          <w:tcPr>
            <w:tcW w:w="18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90"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4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360" w:type="dxa"/>
            <w:vAlign w:val="bottom"/>
          </w:tcPr>
          <w:p>
            <w:pPr>
              <w:jc w:val="center"/>
              <w:ind w:left="2410"/>
              <w:spacing w:after="0"/>
              <w:rPr>
                <w:sz w:val="20"/>
                <w:szCs w:val="20"/>
                <w:color w:val="auto"/>
              </w:rPr>
            </w:pPr>
            <w:r>
              <w:rPr>
                <w:rFonts w:ascii="Arial" w:cs="Arial" w:eastAsia="Arial" w:hAnsi="Arial"/>
                <w:sz w:val="18"/>
                <w:szCs w:val="18"/>
                <w:b w:val="1"/>
                <w:bCs w:val="1"/>
                <w:color w:val="auto"/>
                <w:w w:val="88"/>
              </w:rPr>
              <w:t>USA Technologies, Inc.</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60" w:type="dxa"/>
            <w:vAlign w:val="bottom"/>
          </w:tcPr>
          <w:p>
            <w:pPr>
              <w:jc w:val="center"/>
              <w:ind w:left="2430"/>
              <w:spacing w:after="0"/>
              <w:rPr>
                <w:sz w:val="20"/>
                <w:szCs w:val="20"/>
                <w:color w:val="auto"/>
              </w:rPr>
            </w:pPr>
            <w:r>
              <w:rPr>
                <w:rFonts w:ascii="Arial" w:cs="Arial" w:eastAsia="Arial" w:hAnsi="Arial"/>
                <w:sz w:val="18"/>
                <w:szCs w:val="18"/>
                <w:b w:val="1"/>
                <w:bCs w:val="1"/>
                <w:color w:val="auto"/>
                <w:w w:val="87"/>
              </w:rPr>
              <w:t>Consolidated Balance Sheets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2"/>
              </w:rPr>
              <w:t>March 31,</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color w:val="auto"/>
              </w:rPr>
              <w:t>June 30,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0"/>
        </w:trPr>
        <w:tc>
          <w:tcPr>
            <w:tcW w:w="7640" w:type="dxa"/>
            <w:vAlign w:val="bottom"/>
            <w:gridSpan w:val="3"/>
            <w:vMerge w:val="restart"/>
          </w:tcPr>
          <w:p>
            <w:pPr>
              <w:spacing w:after="0"/>
              <w:rPr>
                <w:sz w:val="20"/>
                <w:szCs w:val="20"/>
                <w:color w:val="auto"/>
              </w:rPr>
            </w:pPr>
            <w:r>
              <w:rPr>
                <w:rFonts w:ascii="Arial" w:cs="Arial" w:eastAsia="Arial" w:hAnsi="Arial"/>
                <w:sz w:val="18"/>
                <w:szCs w:val="18"/>
                <w:color w:val="auto"/>
              </w:rPr>
              <w:t>Assets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7640" w:type="dxa"/>
            <w:vAlign w:val="bottom"/>
            <w:gridSpan w:val="3"/>
            <w:vMerge w:val="continue"/>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76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Cash and cash equivalents</w:t>
            </w:r>
          </w:p>
        </w:tc>
        <w:tc>
          <w:tcPr>
            <w:tcW w:w="12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6,194,035</w:t>
            </w:r>
          </w:p>
        </w:tc>
        <w:tc>
          <w:tcPr>
            <w:tcW w:w="2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12,991,511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w w:val="91"/>
              </w:rPr>
              <w:t>Accounts receivable, less allowance for uncollectible accounts of $28,000 and $113,000, respectively</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2,131,845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1,634,719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Finance receivables</w:t>
            </w:r>
          </w:p>
        </w:tc>
        <w:tc>
          <w:tcPr>
            <w:tcW w:w="1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1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249,912</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285,786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220"/>
              <w:spacing w:after="0"/>
              <w:rPr>
                <w:sz w:val="20"/>
                <w:szCs w:val="20"/>
                <w:color w:val="auto"/>
              </w:rPr>
            </w:pPr>
            <w:r>
              <w:rPr>
                <w:rFonts w:ascii="Arial" w:cs="Arial" w:eastAsia="Arial" w:hAnsi="Arial"/>
                <w:sz w:val="18"/>
                <w:szCs w:val="18"/>
                <w:color w:val="auto"/>
              </w:rPr>
              <w:t>Inventory</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3,233,320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2,670,332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bottom w:val="single" w:sz="8" w:color="C0C0C0"/>
            </w:tcBorders>
            <w:gridSpan w:val="2"/>
            <w:shd w:val="clear" w:color="auto" w:fill="C0C0C0"/>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11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114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1,275,630</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112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846,033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13,084,742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18,428,381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0C0C0"/>
          </w:tcPr>
          <w:p>
            <w:pPr>
              <w:spacing w:after="0"/>
              <w:rPr>
                <w:sz w:val="18"/>
                <w:szCs w:val="18"/>
                <w:color w:val="auto"/>
              </w:rPr>
            </w:pPr>
          </w:p>
        </w:tc>
        <w:tc>
          <w:tcPr>
            <w:tcW w:w="6360" w:type="dxa"/>
            <w:vAlign w:val="bottom"/>
            <w:shd w:val="clear" w:color="auto" w:fill="C0C0C0"/>
          </w:tcPr>
          <w:p>
            <w:pPr>
              <w:spacing w:after="0"/>
              <w:rPr>
                <w:sz w:val="18"/>
                <w:szCs w:val="18"/>
                <w:color w:val="auto"/>
              </w:rPr>
            </w:pPr>
          </w:p>
        </w:tc>
        <w:tc>
          <w:tcPr>
            <w:tcW w:w="1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Finance receivables, less current portion</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309,690</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195,601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Property and equipment, net</w:t>
            </w:r>
          </w:p>
        </w:tc>
        <w:tc>
          <w:tcPr>
            <w:tcW w:w="1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1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9,869,930</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7,395,775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Intangibles, net</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1,418,553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2,194,353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Goodwill</w:t>
            </w:r>
          </w:p>
        </w:tc>
        <w:tc>
          <w:tcPr>
            <w:tcW w:w="1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1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7,663,208</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7,663,208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83,236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126,687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6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assets</w:t>
            </w:r>
          </w:p>
        </w:tc>
        <w:tc>
          <w:tcPr>
            <w:tcW w:w="12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32,429,359</w:t>
            </w:r>
          </w:p>
        </w:tc>
        <w:tc>
          <w:tcPr>
            <w:tcW w:w="2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36,004,005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0C0C0"/>
            </w:tcBorders>
          </w:tcPr>
          <w:p>
            <w:pPr>
              <w:spacing w:after="0"/>
              <w:rPr>
                <w:sz w:val="18"/>
                <w:szCs w:val="18"/>
                <w:color w:val="auto"/>
              </w:rPr>
            </w:pPr>
          </w:p>
        </w:tc>
        <w:tc>
          <w:tcPr>
            <w:tcW w:w="6360" w:type="dxa"/>
            <w:vAlign w:val="bottom"/>
            <w:tcBorders>
              <w:top w:val="single" w:sz="8" w:color="C0C0C0"/>
            </w:tcBorders>
          </w:tcPr>
          <w:p>
            <w:pPr>
              <w:spacing w:after="0"/>
              <w:rPr>
                <w:sz w:val="18"/>
                <w:szCs w:val="18"/>
                <w:color w:val="auto"/>
              </w:rPr>
            </w:pPr>
          </w:p>
        </w:tc>
        <w:tc>
          <w:tcPr>
            <w:tcW w:w="1180" w:type="dxa"/>
            <w:vAlign w:val="bottom"/>
            <w:tcBorders>
              <w:top w:val="single" w:sz="8" w:color="C0C0C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Borders>
              <w:top w:val="single" w:sz="8" w:color="C0C0C0"/>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Liabilities and shareholders’ equity</w:t>
            </w:r>
          </w:p>
        </w:tc>
        <w:tc>
          <w:tcPr>
            <w:tcW w:w="1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0C0C0"/>
          </w:tcPr>
          <w:p>
            <w:pPr>
              <w:ind w:left="200"/>
              <w:spacing w:after="0"/>
              <w:rPr>
                <w:sz w:val="20"/>
                <w:szCs w:val="20"/>
                <w:color w:val="auto"/>
              </w:rPr>
            </w:pPr>
            <w:r>
              <w:rPr>
                <w:rFonts w:ascii="Arial" w:cs="Arial" w:eastAsia="Arial" w:hAnsi="Arial"/>
                <w:sz w:val="18"/>
                <w:szCs w:val="18"/>
                <w:color w:val="auto"/>
              </w:rPr>
              <w:t>Accounts payable</w:t>
            </w:r>
          </w:p>
        </w:tc>
        <w:tc>
          <w:tcPr>
            <w:tcW w:w="12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4,607,580</w:t>
            </w:r>
          </w:p>
        </w:tc>
        <w:tc>
          <w:tcPr>
            <w:tcW w:w="2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5,638,361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Accrued expenses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1,880,772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1,088,090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bottom w:val="single" w:sz="8" w:color="C0C0C0"/>
            </w:tcBorders>
            <w:gridSpan w:val="2"/>
            <w:shd w:val="clear" w:color="auto" w:fill="C0C0C0"/>
          </w:tcPr>
          <w:p>
            <w:pPr>
              <w:ind w:left="220"/>
              <w:spacing w:after="0"/>
              <w:rPr>
                <w:sz w:val="20"/>
                <w:szCs w:val="20"/>
                <w:color w:val="auto"/>
              </w:rPr>
            </w:pPr>
            <w:r>
              <w:rPr>
                <w:rFonts w:ascii="Arial" w:cs="Arial" w:eastAsia="Arial" w:hAnsi="Arial"/>
                <w:sz w:val="18"/>
                <w:szCs w:val="18"/>
                <w:color w:val="auto"/>
              </w:rPr>
              <w:t>Current obligations under long-term debt</w:t>
            </w:r>
          </w:p>
        </w:tc>
        <w:tc>
          <w:tcPr>
            <w:tcW w:w="11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114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267,869</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112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155,428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6,756,221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6,881,879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0C0C0"/>
          </w:tcPr>
          <w:p>
            <w:pPr>
              <w:spacing w:after="0"/>
              <w:rPr>
                <w:sz w:val="18"/>
                <w:szCs w:val="18"/>
                <w:color w:val="auto"/>
              </w:rPr>
            </w:pPr>
          </w:p>
        </w:tc>
        <w:tc>
          <w:tcPr>
            <w:tcW w:w="6360" w:type="dxa"/>
            <w:vAlign w:val="bottom"/>
            <w:shd w:val="clear" w:color="auto" w:fill="C0C0C0"/>
          </w:tcPr>
          <w:p>
            <w:pPr>
              <w:spacing w:after="0"/>
              <w:rPr>
                <w:sz w:val="18"/>
                <w:szCs w:val="18"/>
                <w:color w:val="auto"/>
              </w:rPr>
            </w:pPr>
          </w:p>
        </w:tc>
        <w:tc>
          <w:tcPr>
            <w:tcW w:w="1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Long-term liabilities:</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Long-term debt, less current portion</w:t>
            </w:r>
          </w:p>
        </w:tc>
        <w:tc>
          <w:tcPr>
            <w:tcW w:w="1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1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300,166</w:t>
            </w: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97,633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ind w:left="200"/>
              <w:spacing w:after="0"/>
              <w:rPr>
                <w:sz w:val="20"/>
                <w:szCs w:val="20"/>
                <w:color w:val="auto"/>
              </w:rPr>
            </w:pPr>
            <w:r>
              <w:rPr>
                <w:rFonts w:ascii="Arial" w:cs="Arial" w:eastAsia="Arial" w:hAnsi="Arial"/>
                <w:sz w:val="18"/>
                <w:szCs w:val="18"/>
                <w:color w:val="auto"/>
              </w:rPr>
              <w:t>Accrued expenses, less current portion</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428,495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166,709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bottom w:val="single" w:sz="8" w:color="C0C0C0"/>
            </w:tcBorders>
            <w:gridSpan w:val="2"/>
            <w:shd w:val="clear" w:color="auto" w:fill="C0C0C0"/>
          </w:tcPr>
          <w:p>
            <w:pPr>
              <w:ind w:left="200"/>
              <w:spacing w:after="0"/>
              <w:rPr>
                <w:sz w:val="20"/>
                <w:szCs w:val="20"/>
                <w:color w:val="auto"/>
              </w:rPr>
            </w:pPr>
            <w:r>
              <w:rPr>
                <w:rFonts w:ascii="Arial" w:cs="Arial" w:eastAsia="Arial" w:hAnsi="Arial"/>
                <w:sz w:val="18"/>
                <w:szCs w:val="18"/>
                <w:color w:val="auto"/>
              </w:rPr>
              <w:t>Warrant liabilities, non-current</w:t>
            </w:r>
          </w:p>
        </w:tc>
        <w:tc>
          <w:tcPr>
            <w:tcW w:w="11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114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748,811</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112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2,732,253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Total long-term liabilities</w:t>
            </w:r>
          </w:p>
        </w:tc>
        <w:tc>
          <w:tcPr>
            <w:tcW w:w="1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1,477,472</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2,996,595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Total liabilities</w:t>
            </w:r>
          </w:p>
        </w:tc>
        <w:tc>
          <w:tcPr>
            <w:tcW w:w="11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114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8,233,693</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112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9,878,474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Commitments and contingencies</w:t>
            </w:r>
          </w:p>
        </w:tc>
        <w:tc>
          <w:tcPr>
            <w:tcW w:w="1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Shareholders’ equity:</w:t>
            </w:r>
          </w:p>
        </w:tc>
        <w:tc>
          <w:tcPr>
            <w:tcW w:w="1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1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Preferred stock, no par value:</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00" w:type="dxa"/>
            <w:vAlign w:val="bottom"/>
            <w:gridSpan w:val="4"/>
            <w:shd w:val="clear" w:color="auto" w:fill="C0C0C0"/>
          </w:tcPr>
          <w:p>
            <w:pPr>
              <w:spacing w:after="0" w:line="201" w:lineRule="exact"/>
              <w:rPr>
                <w:sz w:val="20"/>
                <w:szCs w:val="20"/>
                <w:color w:val="auto"/>
              </w:rPr>
            </w:pPr>
            <w:r>
              <w:rPr>
                <w:rFonts w:ascii="Arial" w:cs="Arial" w:eastAsia="Arial" w:hAnsi="Arial"/>
                <w:sz w:val="18"/>
                <w:szCs w:val="18"/>
                <w:color w:val="auto"/>
                <w:w w:val="98"/>
              </w:rPr>
              <w:t>Authorized shares- 1,800,000 Series A convertible preferred-Issued and outstanding shares- 442,968 (liquidation</w:t>
            </w:r>
          </w:p>
        </w:tc>
        <w:tc>
          <w:tcPr>
            <w:tcW w:w="114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1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gridSpan w:val="2"/>
            <w:shd w:val="clear" w:color="auto" w:fill="C0C0C0"/>
          </w:tcPr>
          <w:p>
            <w:pPr>
              <w:ind w:left="160"/>
              <w:spacing w:after="0"/>
              <w:rPr>
                <w:sz w:val="20"/>
                <w:szCs w:val="20"/>
                <w:color w:val="auto"/>
              </w:rPr>
            </w:pPr>
            <w:r>
              <w:rPr>
                <w:rFonts w:ascii="Arial" w:cs="Arial" w:eastAsia="Arial" w:hAnsi="Arial"/>
                <w:sz w:val="18"/>
                <w:szCs w:val="18"/>
                <w:color w:val="auto"/>
              </w:rPr>
              <w:t>preference of $15,361,552 and $14,697,100, respectively)</w:t>
            </w:r>
          </w:p>
        </w:tc>
        <w:tc>
          <w:tcPr>
            <w:tcW w:w="11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1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3,138,056</w:t>
            </w:r>
          </w:p>
        </w:tc>
        <w:tc>
          <w:tcPr>
            <w:tcW w:w="1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1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3,138,056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gridSpan w:val="2"/>
          </w:tcPr>
          <w:p>
            <w:pPr>
              <w:spacing w:after="0" w:line="201" w:lineRule="exact"/>
              <w:rPr>
                <w:sz w:val="20"/>
                <w:szCs w:val="20"/>
                <w:color w:val="auto"/>
              </w:rPr>
            </w:pPr>
            <w:r>
              <w:rPr>
                <w:rFonts w:ascii="Arial" w:cs="Arial" w:eastAsia="Arial" w:hAnsi="Arial"/>
                <w:sz w:val="18"/>
                <w:szCs w:val="18"/>
                <w:color w:val="auto"/>
                <w:w w:val="89"/>
              </w:rPr>
              <w:t>Common stock, no par value: Authorized shares- 640,000,000 Issued and outstanding shares- 32,470,934</w:t>
            </w:r>
          </w:p>
        </w:tc>
        <w:tc>
          <w:tcPr>
            <w:tcW w:w="1280" w:type="dxa"/>
            <w:vAlign w:val="bottom"/>
            <w:gridSpan w:val="2"/>
          </w:tcPr>
          <w:p>
            <w:pPr>
              <w:jc w:val="right"/>
              <w:ind w:right="980"/>
              <w:spacing w:after="0" w:line="201" w:lineRule="exact"/>
              <w:rPr>
                <w:sz w:val="20"/>
                <w:szCs w:val="20"/>
                <w:color w:val="auto"/>
              </w:rPr>
            </w:pPr>
            <w:r>
              <w:rPr>
                <w:rFonts w:ascii="Arial" w:cs="Arial" w:eastAsia="Arial" w:hAnsi="Arial"/>
                <w:sz w:val="18"/>
                <w:szCs w:val="18"/>
                <w:color w:val="auto"/>
                <w:w w:val="93"/>
              </w:rPr>
              <w:t>and</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gridSpan w:val="2"/>
          </w:tcPr>
          <w:p>
            <w:pPr>
              <w:ind w:left="160"/>
              <w:spacing w:after="0"/>
              <w:rPr>
                <w:sz w:val="20"/>
                <w:szCs w:val="20"/>
                <w:color w:val="auto"/>
              </w:rPr>
            </w:pPr>
            <w:r>
              <w:rPr>
                <w:rFonts w:ascii="Arial" w:cs="Arial" w:eastAsia="Arial" w:hAnsi="Arial"/>
                <w:sz w:val="18"/>
                <w:szCs w:val="18"/>
                <w:color w:val="auto"/>
              </w:rPr>
              <w:t>32,281,140, respectively</w:t>
            </w: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220,281,364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9"/>
              </w:rPr>
              <w:t>219,772,598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Accumulated deficit</w:t>
            </w:r>
          </w:p>
        </w:tc>
        <w:tc>
          <w:tcPr>
            <w:tcW w:w="11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1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6"/>
              </w:rPr>
              <w:t>(199,223,754)</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11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94"/>
              </w:rPr>
              <w:t>(196,785,123)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762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Total shareholders’ equity</w:t>
            </w:r>
          </w:p>
        </w:tc>
        <w:tc>
          <w:tcPr>
            <w:tcW w:w="1180" w:type="dxa"/>
            <w:vAlign w:val="bottom"/>
            <w:tcBorders>
              <w:bottom w:val="single" w:sz="8" w:color="C0C0C0"/>
            </w:tcBorders>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114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24,195,666</w:t>
            </w:r>
          </w:p>
        </w:tc>
        <w:tc>
          <w:tcPr>
            <w:tcW w:w="12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112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26,125,531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762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liabilities and shareholders’ equity</w:t>
            </w:r>
          </w:p>
        </w:tc>
        <w:tc>
          <w:tcPr>
            <w:tcW w:w="128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32,429,359</w:t>
            </w:r>
          </w:p>
        </w:tc>
        <w:tc>
          <w:tcPr>
            <w:tcW w:w="24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36,004,005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0C0C0"/>
            </w:tcBorders>
            <w:shd w:val="clear" w:color="auto" w:fill="C0C0C0"/>
          </w:tcPr>
          <w:p>
            <w:pPr>
              <w:spacing w:after="0" w:line="20" w:lineRule="exact"/>
              <w:rPr>
                <w:sz w:val="1"/>
                <w:szCs w:val="1"/>
                <w:color w:val="auto"/>
              </w:rPr>
            </w:pPr>
          </w:p>
        </w:tc>
        <w:tc>
          <w:tcPr>
            <w:tcW w:w="6360" w:type="dxa"/>
            <w:vAlign w:val="bottom"/>
            <w:tcBorders>
              <w:top w:val="single" w:sz="8" w:color="C0C0C0"/>
            </w:tcBorders>
            <w:shd w:val="clear" w:color="auto" w:fill="C0C0C0"/>
          </w:tcPr>
          <w:p>
            <w:pPr>
              <w:spacing w:after="0" w:line="20" w:lineRule="exact"/>
              <w:rPr>
                <w:sz w:val="1"/>
                <w:szCs w:val="1"/>
                <w:color w:val="auto"/>
              </w:rPr>
            </w:pPr>
          </w:p>
        </w:tc>
        <w:tc>
          <w:tcPr>
            <w:tcW w:w="1180" w:type="dxa"/>
            <w:vAlign w:val="bottom"/>
            <w:tcBorders>
              <w:top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3"/>
          </w:tcPr>
          <w:p>
            <w:pPr>
              <w:spacing w:after="0"/>
              <w:rPr>
                <w:sz w:val="20"/>
                <w:szCs w:val="20"/>
                <w:color w:val="auto"/>
              </w:rPr>
            </w:pPr>
            <w:r>
              <w:rPr>
                <w:rFonts w:ascii="Arial" w:cs="Arial" w:eastAsia="Arial" w:hAnsi="Arial"/>
                <w:sz w:val="18"/>
                <w:szCs w:val="18"/>
                <w:i w:val="1"/>
                <w:iCs w:val="1"/>
                <w:color w:val="auto"/>
              </w:rPr>
              <w:t>See accompanying notes.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7640" w:type="dxa"/>
            <w:vAlign w:val="bottom"/>
            <w:gridSpan w:val="3"/>
          </w:tcPr>
          <w:p>
            <w:pPr>
              <w:jc w:val="center"/>
              <w:ind w:left="3690"/>
              <w:spacing w:after="0"/>
              <w:rPr>
                <w:sz w:val="20"/>
                <w:szCs w:val="20"/>
                <w:color w:val="auto"/>
              </w:rPr>
            </w:pPr>
            <w:r>
              <w:rPr>
                <w:rFonts w:ascii="Arial" w:cs="Arial" w:eastAsia="Arial" w:hAnsi="Arial"/>
                <w:sz w:val="18"/>
                <w:szCs w:val="18"/>
                <w:color w:val="auto"/>
                <w:w w:val="99"/>
              </w:rPr>
              <w:t>3</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260" w:type="dxa"/>
            <w:vAlign w:val="bottom"/>
            <w:tcBorders>
              <w:bottom w:val="single" w:sz="8" w:color="808080"/>
            </w:tcBorders>
          </w:tcPr>
          <w:p>
            <w:pPr>
              <w:spacing w:after="0"/>
              <w:rPr>
                <w:sz w:val="9"/>
                <w:szCs w:val="9"/>
                <w:color w:val="auto"/>
              </w:rPr>
            </w:pPr>
          </w:p>
        </w:tc>
        <w:tc>
          <w:tcPr>
            <w:tcW w:w="6360" w:type="dxa"/>
            <w:vAlign w:val="bottom"/>
            <w:tcBorders>
              <w:bottom w:val="single" w:sz="8" w:color="808080"/>
            </w:tcBorders>
          </w:tcPr>
          <w:p>
            <w:pPr>
              <w:spacing w:after="0"/>
              <w:rPr>
                <w:sz w:val="9"/>
                <w:szCs w:val="9"/>
                <w:color w:val="auto"/>
              </w:rPr>
            </w:pPr>
          </w:p>
        </w:tc>
        <w:tc>
          <w:tcPr>
            <w:tcW w:w="1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2380" w:type="dxa"/>
            <w:vAlign w:val="bottom"/>
          </w:tcPr>
          <w:p>
            <w:pPr>
              <w:spacing w:after="0"/>
              <w:rPr>
                <w:sz w:val="24"/>
                <w:szCs w:val="24"/>
                <w:color w:val="auto"/>
              </w:rPr>
            </w:pPr>
          </w:p>
        </w:tc>
        <w:tc>
          <w:tcPr>
            <w:tcW w:w="3700" w:type="dxa"/>
            <w:vAlign w:val="bottom"/>
            <w:gridSpan w:val="3"/>
          </w:tcPr>
          <w:p>
            <w:pPr>
              <w:jc w:val="center"/>
              <w:ind w:left="310"/>
              <w:spacing w:after="0"/>
              <w:rPr>
                <w:sz w:val="20"/>
                <w:szCs w:val="20"/>
                <w:color w:val="auto"/>
              </w:rPr>
            </w:pPr>
            <w:r>
              <w:rPr>
                <w:rFonts w:ascii="Arial" w:cs="Arial" w:eastAsia="Arial" w:hAnsi="Arial"/>
                <w:sz w:val="18"/>
                <w:szCs w:val="18"/>
                <w:b w:val="1"/>
                <w:bCs w:val="1"/>
                <w:color w:val="auto"/>
                <w:w w:val="88"/>
              </w:rPr>
              <w:t>USA Technologies, Inc.</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370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8"/>
              </w:rPr>
              <w:t>Consolidated Statements of Operations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640" w:type="dxa"/>
            <w:vAlign w:val="bottom"/>
            <w:gridSpan w:val="2"/>
          </w:tcPr>
          <w:p>
            <w:pPr>
              <w:jc w:val="center"/>
              <w:ind w:left="1370"/>
              <w:spacing w:after="0"/>
              <w:rPr>
                <w:sz w:val="20"/>
                <w:szCs w:val="20"/>
                <w:color w:val="auto"/>
              </w:rPr>
            </w:pPr>
            <w:r>
              <w:rPr>
                <w:rFonts w:ascii="Arial" w:cs="Arial" w:eastAsia="Arial" w:hAnsi="Arial"/>
                <w:sz w:val="18"/>
                <w:szCs w:val="18"/>
                <w:b w:val="1"/>
                <w:bCs w:val="1"/>
                <w:color w:val="auto"/>
                <w:w w:val="93"/>
              </w:rPr>
              <w:t>(Unaudited)</w:t>
            </w: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gridSpan w:val="4"/>
          </w:tcPr>
          <w:p>
            <w:pPr>
              <w:jc w:val="right"/>
              <w:ind w:right="550"/>
              <w:spacing w:after="0"/>
              <w:rPr>
                <w:sz w:val="20"/>
                <w:szCs w:val="20"/>
                <w:color w:val="auto"/>
              </w:rPr>
            </w:pPr>
            <w:r>
              <w:rPr>
                <w:rFonts w:ascii="Arial" w:cs="Arial" w:eastAsia="Arial" w:hAnsi="Arial"/>
                <w:sz w:val="18"/>
                <w:szCs w:val="18"/>
                <w:color w:val="auto"/>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4"/>
          </w:tcPr>
          <w:p>
            <w:pPr>
              <w:jc w:val="right"/>
              <w:ind w:right="5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March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March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432"/>
        </w:trPr>
        <w:tc>
          <w:tcPr>
            <w:tcW w:w="3660" w:type="dxa"/>
            <w:vAlign w:val="bottom"/>
            <w:gridSpan w:val="3"/>
          </w:tcPr>
          <w:p>
            <w:pPr>
              <w:spacing w:after="0"/>
              <w:rPr>
                <w:sz w:val="20"/>
                <w:szCs w:val="20"/>
                <w:color w:val="auto"/>
              </w:rPr>
            </w:pPr>
            <w:r>
              <w:rPr>
                <w:rFonts w:ascii="Arial" w:cs="Arial" w:eastAsia="Arial" w:hAnsi="Arial"/>
                <w:sz w:val="18"/>
                <w:szCs w:val="18"/>
                <w:color w:val="auto"/>
              </w:rPr>
              <w:t>Revenues:</w:t>
            </w:r>
          </w:p>
        </w:tc>
        <w:tc>
          <w:tcPr>
            <w:tcW w:w="2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License and transaction fees</w:t>
            </w:r>
          </w:p>
        </w:tc>
        <w:tc>
          <w:tcPr>
            <w:tcW w:w="26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5,985,052</w:t>
            </w:r>
          </w:p>
        </w:tc>
        <w:tc>
          <w:tcPr>
            <w:tcW w:w="4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4,313,503</w:t>
            </w:r>
          </w:p>
        </w:tc>
        <w:tc>
          <w:tcPr>
            <w:tcW w:w="3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w w:val="99"/>
              </w:rPr>
              <w:t>16,988,179</w:t>
            </w:r>
          </w:p>
        </w:tc>
        <w:tc>
          <w:tcPr>
            <w:tcW w:w="4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w w:val="90"/>
              </w:rPr>
              <w:t>11,413,665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Equipment sales</w:t>
            </w:r>
          </w:p>
        </w:tc>
        <w:tc>
          <w:tcPr>
            <w:tcW w:w="2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1,541,999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1,209,474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4,126,218</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4,566,494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revenues</w:t>
            </w:r>
          </w:p>
        </w:tc>
        <w:tc>
          <w:tcPr>
            <w:tcW w:w="24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6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7,527,051</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5,522,977</w:t>
            </w: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w w:val="99"/>
              </w:rPr>
              <w:t>21,114,397</w:t>
            </w: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w w:val="90"/>
              </w:rPr>
              <w:t>15,980,159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Cost of services</w:t>
            </w:r>
          </w:p>
        </w:tc>
        <w:tc>
          <w:tcPr>
            <w:tcW w:w="24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6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3,749,862</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3,187,601</w:t>
            </w: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w w:val="99"/>
              </w:rPr>
              <w:t>11,494,690</w:t>
            </w: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8,308,612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Cost of equipment</w:t>
            </w:r>
          </w:p>
        </w:tc>
        <w:tc>
          <w:tcPr>
            <w:tcW w:w="2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981,969</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782,244</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2,836,995</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2,274,825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Gross profit</w:t>
            </w:r>
          </w:p>
        </w:tc>
        <w:tc>
          <w:tcPr>
            <w:tcW w:w="24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6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2,795,220</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1,553,132</w:t>
            </w: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6,782,712</w:t>
            </w: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5,396,722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Operating expenses:</w:t>
            </w:r>
          </w:p>
        </w:tc>
        <w:tc>
          <w:tcPr>
            <w:tcW w:w="24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3,040,562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2,860,273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10,039,712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8,036,539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0C0C0"/>
            </w:tcBorders>
            <w:gridSpan w:val="2"/>
            <w:shd w:val="clear" w:color="auto" w:fill="C0C0C0"/>
          </w:tcPr>
          <w:p>
            <w:pPr>
              <w:ind w:left="220"/>
              <w:spacing w:after="0"/>
              <w:rPr>
                <w:sz w:val="20"/>
                <w:szCs w:val="20"/>
                <w:color w:val="auto"/>
              </w:rPr>
            </w:pPr>
            <w:r>
              <w:rPr>
                <w:rFonts w:ascii="Arial" w:cs="Arial" w:eastAsia="Arial" w:hAnsi="Arial"/>
                <w:sz w:val="18"/>
                <w:szCs w:val="18"/>
                <w:color w:val="auto"/>
              </w:rPr>
              <w:t>Depreciation and amortization</w:t>
            </w:r>
          </w:p>
        </w:tc>
        <w:tc>
          <w:tcPr>
            <w:tcW w:w="242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auto"/>
            </w:tcBorders>
            <w:shd w:val="clear" w:color="auto" w:fill="C0C0C0"/>
          </w:tcPr>
          <w:p>
            <w:pPr>
              <w:spacing w:after="0"/>
              <w:rPr>
                <w:sz w:val="19"/>
                <w:szCs w:val="19"/>
                <w:color w:val="auto"/>
              </w:rPr>
            </w:pPr>
          </w:p>
        </w:tc>
        <w:tc>
          <w:tcPr>
            <w:tcW w:w="106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391,859</w:t>
            </w:r>
          </w:p>
        </w:tc>
        <w:tc>
          <w:tcPr>
            <w:tcW w:w="12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auto"/>
            </w:tcBorders>
            <w:shd w:val="clear" w:color="auto" w:fill="C0C0C0"/>
          </w:tcPr>
          <w:p>
            <w:pPr>
              <w:spacing w:after="0"/>
              <w:rPr>
                <w:sz w:val="19"/>
                <w:szCs w:val="19"/>
                <w:color w:val="auto"/>
              </w:rPr>
            </w:pPr>
          </w:p>
        </w:tc>
        <w:tc>
          <w:tcPr>
            <w:tcW w:w="96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360,528</w:t>
            </w:r>
          </w:p>
        </w:tc>
        <w:tc>
          <w:tcPr>
            <w:tcW w:w="10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auto"/>
            </w:tcBorders>
            <w:shd w:val="clear" w:color="auto" w:fill="C0C0C0"/>
          </w:tcPr>
          <w:p>
            <w:pPr>
              <w:spacing w:after="0"/>
              <w:rPr>
                <w:sz w:val="19"/>
                <w:szCs w:val="19"/>
                <w:color w:val="auto"/>
              </w:rPr>
            </w:pPr>
          </w:p>
        </w:tc>
        <w:tc>
          <w:tcPr>
            <w:tcW w:w="102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1,139,500</w:t>
            </w:r>
          </w:p>
        </w:tc>
        <w:tc>
          <w:tcPr>
            <w:tcW w:w="12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auto"/>
            </w:tcBorders>
            <w:shd w:val="clear" w:color="auto" w:fill="C0C0C0"/>
          </w:tcPr>
          <w:p>
            <w:pPr>
              <w:spacing w:after="0"/>
              <w:rPr>
                <w:sz w:val="19"/>
                <w:szCs w:val="19"/>
                <w:color w:val="auto"/>
              </w:rPr>
            </w:pPr>
          </w:p>
        </w:tc>
        <w:tc>
          <w:tcPr>
            <w:tcW w:w="94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1,067,746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3,432,421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3,220,801</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11,179,212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9,104,285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Operating loss</w:t>
            </w:r>
          </w:p>
        </w:tc>
        <w:tc>
          <w:tcPr>
            <w:tcW w:w="24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(637,201)</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(1,667,669)</w:t>
            </w: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(4,396,500)</w:t>
            </w: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5"/>
              </w:rPr>
              <w:t>(3,707,563)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Other income (expense):</w:t>
            </w:r>
          </w:p>
        </w:tc>
        <w:tc>
          <w:tcPr>
            <w:tcW w:w="24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Interest income</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14,029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13,936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45,183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56,715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Interest expense</w:t>
            </w:r>
          </w:p>
        </w:tc>
        <w:tc>
          <w:tcPr>
            <w:tcW w:w="24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(10,520)</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(9,795)</w:t>
            </w: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(70,756)</w:t>
            </w: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(32,424)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gridSpan w:val="2"/>
          </w:tcPr>
          <w:p>
            <w:pPr>
              <w:ind w:left="220"/>
              <w:spacing w:after="0"/>
              <w:rPr>
                <w:sz w:val="20"/>
                <w:szCs w:val="20"/>
                <w:color w:val="auto"/>
              </w:rPr>
            </w:pPr>
            <w:r>
              <w:rPr>
                <w:rFonts w:ascii="Arial" w:cs="Arial" w:eastAsia="Arial" w:hAnsi="Arial"/>
                <w:sz w:val="18"/>
                <w:szCs w:val="18"/>
                <w:color w:val="auto"/>
              </w:rPr>
              <w:t>Change in fair value of warrants</w:t>
            </w:r>
          </w:p>
        </w:tc>
        <w:tc>
          <w:tcPr>
            <w:tcW w:w="24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95,074</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(850,740)</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1,983,442</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 other income, net</w:t>
            </w:r>
          </w:p>
        </w:tc>
        <w:tc>
          <w:tcPr>
            <w:tcW w:w="242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6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98,583</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(846,599)</w:t>
            </w:r>
          </w:p>
        </w:tc>
        <w:tc>
          <w:tcPr>
            <w:tcW w:w="10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1,957,869</w:t>
            </w:r>
          </w:p>
        </w:tc>
        <w:tc>
          <w:tcPr>
            <w:tcW w:w="12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(826,449)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2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(538,618)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(2,514,268)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(2,438,631)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(4,534,012)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4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Cumulative preferred dividends</w:t>
            </w:r>
          </w:p>
        </w:tc>
        <w:tc>
          <w:tcPr>
            <w:tcW w:w="242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auto"/>
            </w:tcBorders>
            <w:shd w:val="clear" w:color="auto" w:fill="C0C0C0"/>
          </w:tcPr>
          <w:p>
            <w:pPr>
              <w:spacing w:after="0"/>
              <w:rPr>
                <w:sz w:val="19"/>
                <w:szCs w:val="19"/>
                <w:color w:val="auto"/>
              </w:rPr>
            </w:pPr>
          </w:p>
        </w:tc>
        <w:tc>
          <w:tcPr>
            <w:tcW w:w="10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(332,226)</w:t>
            </w:r>
          </w:p>
        </w:tc>
        <w:tc>
          <w:tcPr>
            <w:tcW w:w="12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auto"/>
            </w:tcBorders>
            <w:shd w:val="clear" w:color="auto" w:fill="C0C0C0"/>
          </w:tcPr>
          <w:p>
            <w:pPr>
              <w:spacing w:after="0"/>
              <w:rPr>
                <w:sz w:val="19"/>
                <w:szCs w:val="19"/>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(332,226)</w:t>
            </w:r>
          </w:p>
        </w:tc>
        <w:tc>
          <w:tcPr>
            <w:tcW w:w="100" w:type="dxa"/>
            <w:vAlign w:val="bottom"/>
            <w:tcBorders>
              <w:bottom w:val="single" w:sz="8" w:color="C0C0C0"/>
            </w:tcBorders>
            <w:shd w:val="clear" w:color="auto" w:fill="C0C0C0"/>
          </w:tcPr>
          <w:p>
            <w:pPr>
              <w:spacing w:after="0"/>
              <w:rPr>
                <w:sz w:val="19"/>
                <w:szCs w:val="19"/>
                <w:color w:val="auto"/>
              </w:rPr>
            </w:pPr>
          </w:p>
        </w:tc>
        <w:tc>
          <w:tcPr>
            <w:tcW w:w="220" w:type="dxa"/>
            <w:vAlign w:val="bottom"/>
            <w:tcBorders>
              <w:bottom w:val="single" w:sz="8" w:color="auto"/>
            </w:tcBorders>
            <w:shd w:val="clear" w:color="auto" w:fill="C0C0C0"/>
          </w:tcPr>
          <w:p>
            <w:pPr>
              <w:spacing w:after="0"/>
              <w:rPr>
                <w:sz w:val="19"/>
                <w:szCs w:val="19"/>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(664,452)</w:t>
            </w:r>
          </w:p>
        </w:tc>
        <w:tc>
          <w:tcPr>
            <w:tcW w:w="120" w:type="dxa"/>
            <w:vAlign w:val="bottom"/>
            <w:tcBorders>
              <w:bottom w:val="single" w:sz="8" w:color="C0C0C0"/>
            </w:tcBorders>
            <w:shd w:val="clear" w:color="auto" w:fill="C0C0C0"/>
          </w:tcPr>
          <w:p>
            <w:pPr>
              <w:spacing w:after="0"/>
              <w:rPr>
                <w:sz w:val="19"/>
                <w:szCs w:val="19"/>
                <w:color w:val="auto"/>
              </w:rPr>
            </w:pPr>
          </w:p>
        </w:tc>
        <w:tc>
          <w:tcPr>
            <w:tcW w:w="300" w:type="dxa"/>
            <w:vAlign w:val="bottom"/>
            <w:tcBorders>
              <w:bottom w:val="single" w:sz="8" w:color="auto"/>
            </w:tcBorders>
            <w:shd w:val="clear" w:color="auto" w:fill="C0C0C0"/>
          </w:tcPr>
          <w:p>
            <w:pPr>
              <w:spacing w:after="0"/>
              <w:rPr>
                <w:sz w:val="19"/>
                <w:szCs w:val="19"/>
                <w:color w:val="auto"/>
              </w:rPr>
            </w:pPr>
          </w:p>
        </w:tc>
        <w:tc>
          <w:tcPr>
            <w:tcW w:w="9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(665,577)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gridSpan w:val="2"/>
          </w:tcPr>
          <w:p>
            <w:pPr>
              <w:spacing w:after="0"/>
              <w:rPr>
                <w:sz w:val="20"/>
                <w:szCs w:val="20"/>
                <w:color w:val="auto"/>
              </w:rPr>
            </w:pPr>
            <w:r>
              <w:rPr>
                <w:rFonts w:ascii="Arial" w:cs="Arial" w:eastAsia="Arial" w:hAnsi="Arial"/>
                <w:sz w:val="18"/>
                <w:szCs w:val="18"/>
                <w:color w:val="auto"/>
              </w:rPr>
              <w:t>Loss applicable to common shares</w:t>
            </w:r>
          </w:p>
        </w:tc>
        <w:tc>
          <w:tcPr>
            <w:tcW w:w="2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(870,844)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(2,846,494)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(3,103,083)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(5,199,589)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Loss per common share (basic and diluted)</w:t>
            </w:r>
          </w:p>
        </w:tc>
        <w:tc>
          <w:tcPr>
            <w:tcW w:w="2640" w:type="dxa"/>
            <w:vAlign w:val="bottom"/>
            <w:gridSpan w:val="2"/>
            <w:shd w:val="clear" w:color="auto" w:fill="C0C0C0"/>
          </w:tcPr>
          <w:p>
            <w:pPr>
              <w:jc w:val="right"/>
              <w:ind w:righ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(0.03)</w:t>
            </w:r>
          </w:p>
        </w:tc>
        <w:tc>
          <w:tcPr>
            <w:tcW w:w="4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(0.11)</w:t>
            </w:r>
          </w:p>
        </w:tc>
        <w:tc>
          <w:tcPr>
            <w:tcW w:w="3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(0.10)</w:t>
            </w:r>
          </w:p>
        </w:tc>
        <w:tc>
          <w:tcPr>
            <w:tcW w:w="420" w:type="dxa"/>
            <w:vAlign w:val="bottom"/>
            <w:gridSpan w:val="2"/>
            <w:shd w:val="clear" w:color="auto" w:fill="C0C0C0"/>
          </w:tcPr>
          <w:p>
            <w:pPr>
              <w:jc w:val="right"/>
              <w:ind w:right="2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60" w:type="dxa"/>
            <w:vAlign w:val="bottom"/>
            <w:tcBorders>
              <w:top w:val="single" w:sz="8" w:color="C0C0C0"/>
            </w:tcBorders>
            <w:gridSpan w:val="3"/>
          </w:tcPr>
          <w:p>
            <w:pPr>
              <w:spacing w:after="0"/>
              <w:rPr>
                <w:sz w:val="20"/>
                <w:szCs w:val="20"/>
                <w:color w:val="auto"/>
              </w:rPr>
            </w:pPr>
            <w:r>
              <w:rPr>
                <w:rFonts w:ascii="Arial" w:cs="Arial" w:eastAsia="Arial" w:hAnsi="Arial"/>
                <w:sz w:val="18"/>
                <w:szCs w:val="18"/>
                <w:color w:val="auto"/>
                <w:w w:val="98"/>
              </w:rPr>
              <w:t>Weighted average number of common shares outstanding (basic and diluted)</w:t>
            </w: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32,466,528</w:t>
            </w:r>
          </w:p>
        </w:tc>
        <w:tc>
          <w:tcPr>
            <w:tcW w:w="120" w:type="dxa"/>
            <w:vAlign w:val="bottom"/>
            <w:tcBorders>
              <w:top w:val="single" w:sz="8" w:color="C0C0C0"/>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3"/>
              </w:rPr>
              <w:t>26,914,004</w:t>
            </w:r>
          </w:p>
        </w:tc>
        <w:tc>
          <w:tcPr>
            <w:tcW w:w="100" w:type="dxa"/>
            <w:vAlign w:val="bottom"/>
            <w:tcBorders>
              <w:top w:val="single" w:sz="8" w:color="C0C0C0"/>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32,400,049</w:t>
            </w:r>
          </w:p>
        </w:tc>
        <w:tc>
          <w:tcPr>
            <w:tcW w:w="120" w:type="dxa"/>
            <w:vAlign w:val="bottom"/>
            <w:tcBorders>
              <w:top w:val="single" w:sz="8" w:color="C0C0C0"/>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26,249,137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20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20" w:type="dxa"/>
            <w:vAlign w:val="bottom"/>
            <w:gridSpan w:val="5"/>
          </w:tcPr>
          <w:p>
            <w:pPr>
              <w:jc w:val="center"/>
              <w:ind w:right="590"/>
              <w:spacing w:after="0"/>
              <w:rPr>
                <w:sz w:val="20"/>
                <w:szCs w:val="20"/>
                <w:color w:val="auto"/>
              </w:rPr>
            </w:pPr>
            <w:r>
              <w:rPr>
                <w:rFonts w:ascii="Arial" w:cs="Arial" w:eastAsia="Arial" w:hAnsi="Arial"/>
                <w:sz w:val="18"/>
                <w:szCs w:val="18"/>
                <w:b w:val="1"/>
                <w:bCs w:val="1"/>
                <w:color w:val="auto"/>
                <w:w w:val="88"/>
              </w:rPr>
              <w:t>USA Technologies, Inc.</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00" w:type="dxa"/>
            <w:vAlign w:val="bottom"/>
            <w:gridSpan w:val="9"/>
          </w:tcPr>
          <w:p>
            <w:pPr>
              <w:jc w:val="right"/>
              <w:ind w:right="60"/>
              <w:spacing w:after="0"/>
              <w:rPr>
                <w:sz w:val="20"/>
                <w:szCs w:val="20"/>
                <w:color w:val="auto"/>
              </w:rPr>
            </w:pPr>
            <w:r>
              <w:rPr>
                <w:rFonts w:ascii="Arial" w:cs="Arial" w:eastAsia="Arial" w:hAnsi="Arial"/>
                <w:sz w:val="18"/>
                <w:szCs w:val="18"/>
                <w:b w:val="1"/>
                <w:bCs w:val="1"/>
                <w:color w:val="auto"/>
              </w:rPr>
              <w:t>Consolidated Statement of Shareholders’ Equity</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4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3"/>
              </w:rPr>
              <w:t>(Unaudited)</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3"/>
          </w:tcPr>
          <w:p>
            <w:pPr>
              <w:jc w:val="center"/>
              <w:ind w:left="610"/>
              <w:spacing w:after="0"/>
              <w:rPr>
                <w:sz w:val="20"/>
                <w:szCs w:val="20"/>
                <w:color w:val="auto"/>
              </w:rPr>
            </w:pPr>
            <w:r>
              <w:rPr>
                <w:rFonts w:ascii="Arial" w:cs="Arial" w:eastAsia="Arial" w:hAnsi="Arial"/>
                <w:sz w:val="18"/>
                <w:szCs w:val="18"/>
                <w:color w:val="auto"/>
                <w:w w:val="91"/>
              </w:rPr>
              <w:t>Series A</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gridSpan w:val="3"/>
          </w:tcPr>
          <w:p>
            <w:pPr>
              <w:jc w:val="center"/>
              <w:ind w:left="610"/>
              <w:spacing w:after="0"/>
              <w:rPr>
                <w:sz w:val="20"/>
                <w:szCs w:val="20"/>
                <w:color w:val="auto"/>
              </w:rPr>
            </w:pPr>
            <w:r>
              <w:rPr>
                <w:rFonts w:ascii="Arial" w:cs="Arial" w:eastAsia="Arial" w:hAnsi="Arial"/>
                <w:sz w:val="18"/>
                <w:szCs w:val="18"/>
                <w:color w:val="auto"/>
                <w:w w:val="94"/>
              </w:rPr>
              <w:t>Convertible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color w:val="auto"/>
                <w:w w:val="89"/>
              </w:rPr>
              <w:t>Preferred Stock</w:t>
            </w: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Common Stock</w:t>
            </w:r>
          </w:p>
        </w:tc>
        <w:tc>
          <w:tcPr>
            <w:tcW w:w="10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Accumulated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280" w:type="dxa"/>
            <w:vAlign w:val="bottom"/>
            <w:tcBorders>
              <w:bottom w:val="single" w:sz="8" w:color="auto"/>
            </w:tcBorders>
            <w:gridSpan w:val="2"/>
          </w:tcPr>
          <w:p>
            <w:pPr>
              <w:jc w:val="right"/>
              <w:ind w:right="31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Amount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Deficit</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Balance, June 30, 2011</w:t>
            </w:r>
          </w:p>
        </w:tc>
        <w:tc>
          <w:tcPr>
            <w:tcW w:w="1420" w:type="dxa"/>
            <w:vAlign w:val="bottom"/>
            <w:gridSpan w:val="2"/>
            <w:shd w:val="clear" w:color="auto" w:fill="C0C0C0"/>
          </w:tcPr>
          <w:p>
            <w:pPr>
              <w:jc w:val="right"/>
              <w:ind w:right="30"/>
              <w:spacing w:after="0"/>
              <w:rPr>
                <w:sz w:val="20"/>
                <w:szCs w:val="20"/>
                <w:color w:val="auto"/>
              </w:rPr>
            </w:pPr>
            <w:r>
              <w:rPr>
                <w:rFonts w:ascii="Arial" w:cs="Arial" w:eastAsia="Arial" w:hAnsi="Arial"/>
                <w:sz w:val="18"/>
                <w:szCs w:val="18"/>
                <w:color w:val="auto"/>
              </w:rPr>
              <w:t>442,968</w:t>
            </w:r>
          </w:p>
        </w:tc>
        <w:tc>
          <w:tcPr>
            <w:tcW w:w="560" w:type="dxa"/>
            <w:vAlign w:val="bottom"/>
            <w:gridSpan w:val="2"/>
            <w:shd w:val="clear" w:color="auto" w:fill="C0C0C0"/>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w w:val="87"/>
              </w:rPr>
              <w:t>3,138,056</w:t>
            </w:r>
          </w:p>
        </w:tc>
        <w:tc>
          <w:tcPr>
            <w:tcW w:w="1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32,281,140</w:t>
            </w:r>
          </w:p>
        </w:tc>
        <w:tc>
          <w:tcPr>
            <w:tcW w:w="2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w w:val="95"/>
              </w:rPr>
              <w:t>219,772,598</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2"/>
              </w:rPr>
              <w:t>(196,785,123)</w:t>
            </w:r>
          </w:p>
        </w:tc>
        <w:tc>
          <w:tcPr>
            <w:tcW w:w="320" w:type="dxa"/>
            <w:vAlign w:val="bottom"/>
            <w:gridSpan w:val="2"/>
            <w:shd w:val="clear" w:color="auto" w:fill="C0C0C0"/>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26,125,531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Issuance of shares for exercise of</w:t>
            </w:r>
          </w:p>
        </w:tc>
        <w:tc>
          <w:tcPr>
            <w:tcW w:w="140" w:type="dxa"/>
            <w:vAlign w:val="bottom"/>
            <w:shd w:val="clear" w:color="auto" w:fill="C0C0C0"/>
          </w:tcPr>
          <w:p>
            <w:pPr>
              <w:spacing w:after="0"/>
              <w:rPr>
                <w:sz w:val="18"/>
                <w:szCs w:val="18"/>
                <w:color w:val="auto"/>
              </w:rPr>
            </w:pPr>
          </w:p>
        </w:tc>
        <w:tc>
          <w:tcPr>
            <w:tcW w:w="12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0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10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warrants at $2.20 per share</w:t>
            </w:r>
          </w:p>
        </w:tc>
        <w:tc>
          <w:tcPr>
            <w:tcW w:w="140" w:type="dxa"/>
            <w:vAlign w:val="bottom"/>
            <w:shd w:val="clear" w:color="auto" w:fill="C0C0C0"/>
          </w:tcPr>
          <w:p>
            <w:pPr>
              <w:spacing w:after="0"/>
              <w:rPr>
                <w:sz w:val="18"/>
                <w:szCs w:val="18"/>
                <w:color w:val="auto"/>
              </w:rPr>
            </w:pPr>
          </w:p>
        </w:tc>
        <w:tc>
          <w:tcPr>
            <w:tcW w:w="12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4,550</w:t>
            </w:r>
          </w:p>
        </w:tc>
        <w:tc>
          <w:tcPr>
            <w:tcW w:w="1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08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10,010</w:t>
            </w: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10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10,010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80" w:type="dxa"/>
            <w:vAlign w:val="bottom"/>
            <w:gridSpan w:val="2"/>
          </w:tcPr>
          <w:p>
            <w:pPr>
              <w:spacing w:after="0" w:line="201" w:lineRule="exact"/>
              <w:rPr>
                <w:sz w:val="20"/>
                <w:szCs w:val="20"/>
                <w:color w:val="auto"/>
              </w:rPr>
            </w:pPr>
            <w:r>
              <w:rPr>
                <w:rFonts w:ascii="Arial" w:cs="Arial" w:eastAsia="Arial" w:hAnsi="Arial"/>
                <w:sz w:val="18"/>
                <w:szCs w:val="18"/>
                <w:color w:val="auto"/>
              </w:rPr>
              <w:t>Issuance and vesting of shares granted</w:t>
            </w: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to employees and directors under</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80" w:type="dxa"/>
            <w:vAlign w:val="bottom"/>
            <w:gridSpan w:val="2"/>
          </w:tcPr>
          <w:p>
            <w:pPr>
              <w:ind w:left="220"/>
              <w:spacing w:after="0"/>
              <w:rPr>
                <w:sz w:val="20"/>
                <w:szCs w:val="20"/>
                <w:color w:val="auto"/>
              </w:rPr>
            </w:pPr>
            <w:r>
              <w:rPr>
                <w:rFonts w:ascii="Arial" w:cs="Arial" w:eastAsia="Arial" w:hAnsi="Arial"/>
                <w:sz w:val="18"/>
                <w:szCs w:val="18"/>
                <w:color w:val="auto"/>
              </w:rPr>
              <w:t>the 2010 Stock Incentive Plan</w:t>
            </w: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53,612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215,111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215,111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Issuance and vesting of shares granted</w:t>
            </w:r>
          </w:p>
        </w:tc>
        <w:tc>
          <w:tcPr>
            <w:tcW w:w="140" w:type="dxa"/>
            <w:vAlign w:val="bottom"/>
            <w:shd w:val="clear" w:color="auto" w:fill="C0C0C0"/>
          </w:tcPr>
          <w:p>
            <w:pPr>
              <w:spacing w:after="0"/>
              <w:rPr>
                <w:sz w:val="18"/>
                <w:szCs w:val="18"/>
                <w:color w:val="auto"/>
              </w:rPr>
            </w:pPr>
          </w:p>
        </w:tc>
        <w:tc>
          <w:tcPr>
            <w:tcW w:w="12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0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10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to employees and directors under</w:t>
            </w:r>
          </w:p>
        </w:tc>
        <w:tc>
          <w:tcPr>
            <w:tcW w:w="140" w:type="dxa"/>
            <w:vAlign w:val="bottom"/>
            <w:shd w:val="clear" w:color="auto" w:fill="C0C0C0"/>
          </w:tcPr>
          <w:p>
            <w:pPr>
              <w:spacing w:after="0"/>
              <w:rPr>
                <w:sz w:val="18"/>
                <w:szCs w:val="18"/>
                <w:color w:val="auto"/>
              </w:rPr>
            </w:pPr>
          </w:p>
        </w:tc>
        <w:tc>
          <w:tcPr>
            <w:tcW w:w="12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0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10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shd w:val="clear" w:color="auto" w:fill="C0C0C0"/>
          </w:tcPr>
          <w:p>
            <w:pPr>
              <w:ind w:left="220"/>
              <w:spacing w:after="0"/>
              <w:rPr>
                <w:sz w:val="20"/>
                <w:szCs w:val="20"/>
                <w:color w:val="auto"/>
              </w:rPr>
            </w:pPr>
            <w:r>
              <w:rPr>
                <w:rFonts w:ascii="Arial" w:cs="Arial" w:eastAsia="Arial" w:hAnsi="Arial"/>
                <w:sz w:val="18"/>
                <w:szCs w:val="18"/>
                <w:color w:val="auto"/>
              </w:rPr>
              <w:t>the 2011 Stock Incentive Plan</w:t>
            </w:r>
          </w:p>
        </w:tc>
        <w:tc>
          <w:tcPr>
            <w:tcW w:w="140" w:type="dxa"/>
            <w:vAlign w:val="bottom"/>
            <w:shd w:val="clear" w:color="auto" w:fill="C0C0C0"/>
          </w:tcPr>
          <w:p>
            <w:pPr>
              <w:spacing w:after="0"/>
              <w:rPr>
                <w:sz w:val="18"/>
                <w:szCs w:val="18"/>
                <w:color w:val="auto"/>
              </w:rPr>
            </w:pPr>
          </w:p>
        </w:tc>
        <w:tc>
          <w:tcPr>
            <w:tcW w:w="128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440" w:type="dxa"/>
            <w:vAlign w:val="bottom"/>
            <w:shd w:val="clear" w:color="auto" w:fill="C0C0C0"/>
          </w:tcPr>
          <w:p>
            <w:pPr>
              <w:spacing w:after="0"/>
              <w:rPr>
                <w:sz w:val="18"/>
                <w:szCs w:val="18"/>
                <w:color w:val="auto"/>
              </w:rPr>
            </w:pPr>
          </w:p>
        </w:tc>
        <w:tc>
          <w:tcPr>
            <w:tcW w:w="84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141,666</w:t>
            </w:r>
          </w:p>
        </w:tc>
        <w:tc>
          <w:tcPr>
            <w:tcW w:w="12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08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295,686</w:t>
            </w: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10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00" w:type="dxa"/>
            <w:vAlign w:val="bottom"/>
            <w:shd w:val="clear" w:color="auto" w:fill="C0C0C0"/>
          </w:tcPr>
          <w:p>
            <w:pPr>
              <w:spacing w:after="0"/>
              <w:rPr>
                <w:sz w:val="18"/>
                <w:szCs w:val="18"/>
                <w:color w:val="auto"/>
              </w:rPr>
            </w:pPr>
          </w:p>
        </w:tc>
        <w:tc>
          <w:tcPr>
            <w:tcW w:w="10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295,686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80" w:type="dxa"/>
            <w:vAlign w:val="bottom"/>
            <w:gridSpan w:val="2"/>
          </w:tcPr>
          <w:p>
            <w:pPr>
              <w:spacing w:after="0"/>
              <w:rPr>
                <w:sz w:val="20"/>
                <w:szCs w:val="20"/>
                <w:color w:val="auto"/>
              </w:rPr>
            </w:pPr>
            <w:r>
              <w:rPr>
                <w:rFonts w:ascii="Arial" w:cs="Arial" w:eastAsia="Arial" w:hAnsi="Arial"/>
                <w:sz w:val="18"/>
                <w:szCs w:val="18"/>
                <w:color w:val="auto"/>
              </w:rPr>
              <w:t>Retirement of common stock</w:t>
            </w:r>
          </w:p>
        </w:tc>
        <w:tc>
          <w:tcPr>
            <w:tcW w:w="1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(12,041)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18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0C0C0"/>
            </w:tcBorders>
            <w:shd w:val="clear" w:color="auto" w:fill="C0C0C0"/>
          </w:tcPr>
          <w:p>
            <w:pPr>
              <w:spacing w:after="0"/>
              <w:rPr>
                <w:sz w:val="19"/>
                <w:szCs w:val="19"/>
                <w:color w:val="auto"/>
              </w:rPr>
            </w:pPr>
          </w:p>
        </w:tc>
        <w:tc>
          <w:tcPr>
            <w:tcW w:w="1280" w:type="dxa"/>
            <w:vAlign w:val="bottom"/>
            <w:tcBorders>
              <w:bottom w:val="single" w:sz="8" w:color="auto"/>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440" w:type="dxa"/>
            <w:vAlign w:val="bottom"/>
            <w:tcBorders>
              <w:bottom w:val="single" w:sz="8" w:color="auto"/>
            </w:tcBorders>
            <w:shd w:val="clear" w:color="auto" w:fill="C0C0C0"/>
          </w:tcPr>
          <w:p>
            <w:pPr>
              <w:spacing w:after="0"/>
              <w:rPr>
                <w:sz w:val="19"/>
                <w:szCs w:val="19"/>
                <w:color w:val="auto"/>
              </w:rPr>
            </w:pPr>
          </w:p>
        </w:tc>
        <w:tc>
          <w:tcPr>
            <w:tcW w:w="840" w:type="dxa"/>
            <w:vAlign w:val="bottom"/>
            <w:tcBorders>
              <w:bottom w:val="single" w:sz="8" w:color="auto"/>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auto"/>
            </w:tcBorders>
            <w:shd w:val="clear" w:color="auto" w:fill="C0C0C0"/>
          </w:tcPr>
          <w:p>
            <w:pPr>
              <w:spacing w:after="0"/>
              <w:rPr>
                <w:sz w:val="19"/>
                <w:szCs w:val="19"/>
                <w:color w:val="auto"/>
              </w:rPr>
            </w:pPr>
          </w:p>
        </w:tc>
        <w:tc>
          <w:tcPr>
            <w:tcW w:w="1040" w:type="dxa"/>
            <w:vAlign w:val="bottom"/>
            <w:tcBorders>
              <w:bottom w:val="single" w:sz="8" w:color="auto"/>
            </w:tcBorders>
            <w:shd w:val="clear" w:color="auto" w:fill="C0C0C0"/>
          </w:tcPr>
          <w:p>
            <w:pPr>
              <w:spacing w:after="0"/>
              <w:rPr>
                <w:sz w:val="19"/>
                <w:szCs w:val="19"/>
                <w:color w:val="auto"/>
              </w:rPr>
            </w:pPr>
          </w:p>
        </w:tc>
        <w:tc>
          <w:tcPr>
            <w:tcW w:w="120" w:type="dxa"/>
            <w:vAlign w:val="bottom"/>
            <w:tcBorders>
              <w:bottom w:val="single" w:sz="8" w:color="C0C0C0"/>
            </w:tcBorders>
            <w:shd w:val="clear" w:color="auto" w:fill="C0C0C0"/>
          </w:tcPr>
          <w:p>
            <w:pPr>
              <w:spacing w:after="0"/>
              <w:rPr>
                <w:sz w:val="19"/>
                <w:szCs w:val="19"/>
                <w:color w:val="auto"/>
              </w:rPr>
            </w:pPr>
          </w:p>
        </w:tc>
        <w:tc>
          <w:tcPr>
            <w:tcW w:w="160" w:type="dxa"/>
            <w:vAlign w:val="bottom"/>
            <w:tcBorders>
              <w:bottom w:val="single" w:sz="8" w:color="auto"/>
            </w:tcBorders>
            <w:shd w:val="clear" w:color="auto" w:fill="C0C0C0"/>
          </w:tcPr>
          <w:p>
            <w:pPr>
              <w:spacing w:after="0"/>
              <w:rPr>
                <w:sz w:val="19"/>
                <w:szCs w:val="19"/>
                <w:color w:val="auto"/>
              </w:rPr>
            </w:pPr>
          </w:p>
        </w:tc>
        <w:tc>
          <w:tcPr>
            <w:tcW w:w="1080" w:type="dxa"/>
            <w:vAlign w:val="bottom"/>
            <w:tcBorders>
              <w:bottom w:val="single" w:sz="8" w:color="auto"/>
            </w:tcBorders>
            <w:shd w:val="clear" w:color="auto" w:fill="C0C0C0"/>
          </w:tcPr>
          <w:p>
            <w:pPr>
              <w:spacing w:after="0"/>
              <w:rPr>
                <w:sz w:val="19"/>
                <w:szCs w:val="19"/>
                <w:color w:val="auto"/>
              </w:rPr>
            </w:pPr>
          </w:p>
        </w:tc>
        <w:tc>
          <w:tcPr>
            <w:tcW w:w="100" w:type="dxa"/>
            <w:vAlign w:val="bottom"/>
            <w:tcBorders>
              <w:bottom w:val="single" w:sz="8" w:color="C0C0C0"/>
            </w:tcBorders>
            <w:shd w:val="clear" w:color="auto" w:fill="C0C0C0"/>
          </w:tcPr>
          <w:p>
            <w:pPr>
              <w:spacing w:after="0"/>
              <w:rPr>
                <w:sz w:val="19"/>
                <w:szCs w:val="19"/>
                <w:color w:val="auto"/>
              </w:rPr>
            </w:pPr>
          </w:p>
        </w:tc>
        <w:tc>
          <w:tcPr>
            <w:tcW w:w="140" w:type="dxa"/>
            <w:vAlign w:val="bottom"/>
            <w:tcBorders>
              <w:bottom w:val="single" w:sz="8" w:color="auto"/>
            </w:tcBorders>
            <w:shd w:val="clear" w:color="auto" w:fill="C0C0C0"/>
          </w:tcPr>
          <w:p>
            <w:pPr>
              <w:spacing w:after="0"/>
              <w:rPr>
                <w:sz w:val="19"/>
                <w:szCs w:val="19"/>
                <w:color w:val="auto"/>
              </w:rPr>
            </w:pPr>
          </w:p>
        </w:tc>
        <w:tc>
          <w:tcPr>
            <w:tcW w:w="1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(2,438,631)</w:t>
            </w:r>
          </w:p>
        </w:tc>
        <w:tc>
          <w:tcPr>
            <w:tcW w:w="120" w:type="dxa"/>
            <w:vAlign w:val="bottom"/>
            <w:tcBorders>
              <w:bottom w:val="single" w:sz="8" w:color="C0C0C0"/>
            </w:tcBorders>
            <w:shd w:val="clear" w:color="auto" w:fill="C0C0C0"/>
          </w:tcPr>
          <w:p>
            <w:pPr>
              <w:spacing w:after="0"/>
              <w:rPr>
                <w:sz w:val="19"/>
                <w:szCs w:val="19"/>
                <w:color w:val="auto"/>
              </w:rPr>
            </w:pPr>
          </w:p>
        </w:tc>
        <w:tc>
          <w:tcPr>
            <w:tcW w:w="200" w:type="dxa"/>
            <w:vAlign w:val="bottom"/>
            <w:tcBorders>
              <w:bottom w:val="single" w:sz="8" w:color="auto"/>
            </w:tcBorders>
            <w:shd w:val="clear" w:color="auto" w:fill="C0C0C0"/>
          </w:tcPr>
          <w:p>
            <w:pPr>
              <w:spacing w:after="0"/>
              <w:rPr>
                <w:sz w:val="19"/>
                <w:szCs w:val="19"/>
                <w:color w:val="auto"/>
              </w:rPr>
            </w:pPr>
          </w:p>
        </w:tc>
        <w:tc>
          <w:tcPr>
            <w:tcW w:w="10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(2,438,631)</w:t>
            </w:r>
          </w:p>
        </w:tc>
        <w:tc>
          <w:tcPr>
            <w:tcW w:w="0" w:type="dxa"/>
            <w:vAlign w:val="bottom"/>
          </w:tcPr>
          <w:p>
            <w:pPr>
              <w:spacing w:after="0"/>
              <w:rPr>
                <w:sz w:val="1"/>
                <w:szCs w:val="1"/>
                <w:color w:val="auto"/>
              </w:rPr>
            </w:pPr>
          </w:p>
        </w:tc>
      </w:tr>
      <w:tr>
        <w:trPr>
          <w:trHeight w:val="432"/>
        </w:trPr>
        <w:tc>
          <w:tcPr>
            <w:tcW w:w="3200" w:type="dxa"/>
            <w:vAlign w:val="bottom"/>
            <w:gridSpan w:val="3"/>
          </w:tcPr>
          <w:p>
            <w:pPr>
              <w:spacing w:after="0"/>
              <w:rPr>
                <w:sz w:val="20"/>
                <w:szCs w:val="20"/>
                <w:color w:val="auto"/>
              </w:rPr>
            </w:pPr>
            <w:r>
              <w:rPr>
                <w:rFonts w:ascii="Arial" w:cs="Arial" w:eastAsia="Arial" w:hAnsi="Arial"/>
                <w:sz w:val="18"/>
                <w:szCs w:val="18"/>
                <w:color w:val="auto"/>
              </w:rPr>
              <w:t>Balance, March 31, 2012</w:t>
            </w:r>
          </w:p>
        </w:tc>
        <w:tc>
          <w:tcPr>
            <w:tcW w:w="1420" w:type="dxa"/>
            <w:vAlign w:val="bottom"/>
            <w:gridSpan w:val="2"/>
          </w:tcPr>
          <w:p>
            <w:pPr>
              <w:jc w:val="right"/>
              <w:ind w:right="30"/>
              <w:spacing w:after="0"/>
              <w:rPr>
                <w:sz w:val="20"/>
                <w:szCs w:val="20"/>
                <w:color w:val="auto"/>
              </w:rPr>
            </w:pPr>
            <w:r>
              <w:rPr>
                <w:rFonts w:ascii="Arial" w:cs="Arial" w:eastAsia="Arial" w:hAnsi="Arial"/>
                <w:sz w:val="18"/>
                <w:szCs w:val="18"/>
                <w:color w:val="auto"/>
              </w:rPr>
              <w:t>442,968</w:t>
            </w:r>
          </w:p>
        </w:tc>
        <w:tc>
          <w:tcPr>
            <w:tcW w:w="56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30"/>
              <w:spacing w:after="0"/>
              <w:rPr>
                <w:sz w:val="20"/>
                <w:szCs w:val="20"/>
                <w:color w:val="auto"/>
              </w:rPr>
            </w:pPr>
            <w:r>
              <w:rPr>
                <w:rFonts w:ascii="Arial" w:cs="Arial" w:eastAsia="Arial" w:hAnsi="Arial"/>
                <w:sz w:val="18"/>
                <w:szCs w:val="18"/>
                <w:color w:val="auto"/>
                <w:w w:val="87"/>
              </w:rPr>
              <w:t>3,138,056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32,470,934</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w w:val="95"/>
              </w:rPr>
              <w:t>220,281,364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w w:val="92"/>
              </w:rPr>
              <w:t>(199,223,754)</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24,195,666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8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Table of Contents</w:t>
              </w:r>
            </w:hyperlink>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540" w:type="dxa"/>
            <w:vAlign w:val="bottom"/>
          </w:tcPr>
          <w:p>
            <w:pPr>
              <w:jc w:val="center"/>
              <w:ind w:left="1230"/>
              <w:spacing w:after="0"/>
              <w:rPr>
                <w:sz w:val="20"/>
                <w:szCs w:val="20"/>
                <w:color w:val="auto"/>
              </w:rPr>
            </w:pPr>
            <w:r>
              <w:rPr>
                <w:rFonts w:ascii="Arial" w:cs="Arial" w:eastAsia="Arial" w:hAnsi="Arial"/>
                <w:sz w:val="18"/>
                <w:szCs w:val="18"/>
                <w:b w:val="1"/>
                <w:bCs w:val="1"/>
                <w:color w:val="auto"/>
                <w:w w:val="88"/>
              </w:rPr>
              <w:t>USA Technologies, Inc.</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540" w:type="dxa"/>
            <w:vAlign w:val="bottom"/>
          </w:tcPr>
          <w:p>
            <w:pPr>
              <w:jc w:val="center"/>
              <w:ind w:left="123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540" w:type="dxa"/>
            <w:vAlign w:val="bottom"/>
          </w:tcPr>
          <w:p>
            <w:pPr>
              <w:jc w:val="center"/>
              <w:ind w:left="123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80" w:type="dxa"/>
            <w:vAlign w:val="bottom"/>
            <w:gridSpan w:val="4"/>
          </w:tcPr>
          <w:p>
            <w:pPr>
              <w:jc w:val="right"/>
              <w:ind w:right="570"/>
              <w:spacing w:after="0"/>
              <w:rPr>
                <w:sz w:val="20"/>
                <w:szCs w:val="20"/>
                <w:color w:val="auto"/>
              </w:rPr>
            </w:pPr>
            <w:r>
              <w:rPr>
                <w:rFonts w:ascii="Arial" w:cs="Arial" w:eastAsia="Arial" w:hAnsi="Arial"/>
                <w:sz w:val="18"/>
                <w:szCs w:val="18"/>
                <w:color w:val="auto"/>
              </w:rPr>
              <w:t>Nine months ended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March 31,</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16"/>
        </w:trPr>
        <w:tc>
          <w:tcPr>
            <w:tcW w:w="8820" w:type="dxa"/>
            <w:vAlign w:val="bottom"/>
            <w:gridSpan w:val="3"/>
          </w:tcPr>
          <w:p>
            <w:pPr>
              <w:spacing w:after="0"/>
              <w:rPr>
                <w:sz w:val="20"/>
                <w:szCs w:val="20"/>
                <w:color w:val="auto"/>
              </w:rPr>
            </w:pPr>
            <w:r>
              <w:rPr>
                <w:rFonts w:ascii="Arial" w:cs="Arial" w:eastAsia="Arial" w:hAnsi="Arial"/>
                <w:sz w:val="18"/>
                <w:szCs w:val="18"/>
                <w:color w:val="auto"/>
              </w:rPr>
              <w:t>OPERATING ACTIVITIES: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0C0C0"/>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(2,438,631)</w:t>
            </w:r>
          </w:p>
        </w:tc>
        <w:tc>
          <w:tcPr>
            <w:tcW w:w="4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7"/>
              </w:rPr>
              <w:t>(4,534,012)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Charges incurred in connection with the issuance and vesting</w:t>
            </w: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220"/>
              <w:spacing w:after="0"/>
              <w:rPr>
                <w:sz w:val="20"/>
                <w:szCs w:val="20"/>
                <w:color w:val="auto"/>
              </w:rPr>
            </w:pPr>
            <w:r>
              <w:rPr>
                <w:rFonts w:ascii="Arial" w:cs="Arial" w:eastAsia="Arial" w:hAnsi="Arial"/>
                <w:sz w:val="18"/>
                <w:szCs w:val="18"/>
                <w:color w:val="auto"/>
              </w:rPr>
              <w:t>of common stock for employee and director compensation</w:t>
            </w: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510,797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9,090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Charges incurred in connection with the Long-term Equity Incentive Program</w:t>
            </w: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54,395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Change in fair value of warrants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(1,983,442)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850,740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Loss on disposal of property and equipment</w:t>
            </w: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1,841</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10,380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Depreciation, $1,383,745 and $781,329, respectively, of which is allocated to cost of services</w:t>
            </w:r>
          </w:p>
        </w:tc>
        <w:tc>
          <w:tcPr>
            <w:tcW w:w="2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1,747,445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1,073,275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Amortization</w:t>
            </w: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775,800</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775,800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Bad debt expense (recovery)</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(45,356)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receivable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(451,770)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456,326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Finance receivables</w:t>
            </w: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(78,215)</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168,272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(3,845,500)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(2,740,227)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(290,883)</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356,608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(1,030,781)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449,861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auto"/>
            </w:tcBorders>
            <w:shd w:val="clear" w:color="auto" w:fill="C0C0C0"/>
          </w:tcPr>
          <w:p>
            <w:pPr>
              <w:spacing w:after="0"/>
              <w:rPr>
                <w:sz w:val="19"/>
                <w:szCs w:val="19"/>
                <w:color w:val="auto"/>
              </w:rPr>
            </w:pPr>
          </w:p>
        </w:tc>
        <w:tc>
          <w:tcPr>
            <w:tcW w:w="102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1,054,468</w:t>
            </w:r>
          </w:p>
        </w:tc>
        <w:tc>
          <w:tcPr>
            <w:tcW w:w="12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auto"/>
            </w:tcBorders>
            <w:shd w:val="clear" w:color="auto" w:fill="C0C0C0"/>
          </w:tcPr>
          <w:p>
            <w:pPr>
              <w:spacing w:after="0"/>
              <w:rPr>
                <w:sz w:val="19"/>
                <w:szCs w:val="19"/>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(560,994)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(6,074,227)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7"/>
              </w:rPr>
              <w:t>(3,627,934)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0C0C0"/>
          </w:tcPr>
          <w:p>
            <w:pPr>
              <w:spacing w:after="0"/>
              <w:rPr>
                <w:sz w:val="18"/>
                <w:szCs w:val="18"/>
                <w:color w:val="auto"/>
              </w:rPr>
            </w:pPr>
          </w:p>
        </w:tc>
        <w:tc>
          <w:tcPr>
            <w:tcW w:w="75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INVESTING ACTIVITIES: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Purchase of property and equipment, net</w:t>
            </w:r>
          </w:p>
        </w:tc>
        <w:tc>
          <w:tcPr>
            <w:tcW w:w="220" w:type="dxa"/>
            <w:vAlign w:val="bottom"/>
            <w:tcBorders>
              <w:bottom w:val="single" w:sz="8" w:color="auto"/>
            </w:tcBorders>
            <w:shd w:val="clear" w:color="auto" w:fill="C0C0C0"/>
          </w:tcPr>
          <w:p>
            <w:pPr>
              <w:spacing w:after="0"/>
              <w:rPr>
                <w:sz w:val="19"/>
                <w:szCs w:val="19"/>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(404,103)</w:t>
            </w:r>
          </w:p>
        </w:tc>
        <w:tc>
          <w:tcPr>
            <w:tcW w:w="12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auto"/>
            </w:tcBorders>
            <w:shd w:val="clear" w:color="auto" w:fill="C0C0C0"/>
          </w:tcPr>
          <w:p>
            <w:pPr>
              <w:spacing w:after="0"/>
              <w:rPr>
                <w:sz w:val="19"/>
                <w:szCs w:val="19"/>
                <w:color w:val="auto"/>
              </w:rPr>
            </w:pPr>
          </w:p>
        </w:tc>
        <w:tc>
          <w:tcPr>
            <w:tcW w:w="9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(240,811)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(404,103)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(240,811)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shd w:val="clear" w:color="auto" w:fill="C0C0C0"/>
          </w:tcPr>
          <w:p>
            <w:pPr>
              <w:spacing w:after="0"/>
              <w:rPr>
                <w:sz w:val="18"/>
                <w:szCs w:val="18"/>
                <w:color w:val="auto"/>
              </w:rPr>
            </w:pPr>
          </w:p>
        </w:tc>
        <w:tc>
          <w:tcPr>
            <w:tcW w:w="75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Net proceeds from issuance (retirements) of common stock and exercise of common stock warrants</w:t>
            </w: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(2,031)</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9,915,590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Repayment of long-term debt</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(317,115)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(359,292)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Borders>
              <w:bottom w:val="single" w:sz="8" w:color="C0C0C0"/>
            </w:tcBorders>
            <w:gridSpan w:val="2"/>
            <w:shd w:val="clear" w:color="auto" w:fill="C0C0C0"/>
          </w:tcPr>
          <w:p>
            <w:pPr>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shd w:val="clear" w:color="auto" w:fill="C0C0C0"/>
          </w:tcPr>
          <w:p>
            <w:pPr>
              <w:spacing w:after="0"/>
              <w:rPr>
                <w:sz w:val="19"/>
                <w:szCs w:val="19"/>
                <w:color w:val="auto"/>
              </w:rPr>
            </w:pP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(319,146)</w:t>
            </w:r>
          </w:p>
        </w:tc>
        <w:tc>
          <w:tcPr>
            <w:tcW w:w="120" w:type="dxa"/>
            <w:vAlign w:val="bottom"/>
            <w:tcBorders>
              <w:bottom w:val="single" w:sz="8" w:color="C0C0C0"/>
            </w:tcBorders>
            <w:shd w:val="clear" w:color="auto" w:fill="C0C0C0"/>
          </w:tcPr>
          <w:p>
            <w:pPr>
              <w:spacing w:after="0"/>
              <w:rPr>
                <w:sz w:val="19"/>
                <w:szCs w:val="19"/>
                <w:color w:val="auto"/>
              </w:rPr>
            </w:pPr>
          </w:p>
        </w:tc>
        <w:tc>
          <w:tcPr>
            <w:tcW w:w="280" w:type="dxa"/>
            <w:vAlign w:val="bottom"/>
            <w:tcBorders>
              <w:bottom w:val="single" w:sz="8" w:color="auto"/>
            </w:tcBorders>
            <w:shd w:val="clear" w:color="auto" w:fill="C0C0C0"/>
          </w:tcPr>
          <w:p>
            <w:pPr>
              <w:spacing w:after="0"/>
              <w:rPr>
                <w:sz w:val="19"/>
                <w:szCs w:val="19"/>
                <w:color w:val="auto"/>
              </w:rPr>
            </w:pPr>
          </w:p>
        </w:tc>
        <w:tc>
          <w:tcPr>
            <w:tcW w:w="96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9,556,298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(6,797,476)</w:t>
            </w: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5,687,553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12,991,511</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7,604,324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shd w:val="clear" w:color="auto" w:fill="C0C0C0"/>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6,194,035</w:t>
            </w:r>
          </w:p>
        </w:tc>
        <w:tc>
          <w:tcPr>
            <w:tcW w:w="4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w w:val="93"/>
              </w:rPr>
              <w:t>13,291,877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Borders>
              <w:top w:val="single" w:sz="8" w:color="C0C0C0"/>
            </w:tcBorders>
          </w:tcPr>
          <w:p>
            <w:pPr>
              <w:spacing w:after="0"/>
              <w:rPr>
                <w:sz w:val="18"/>
                <w:szCs w:val="18"/>
                <w:color w:val="auto"/>
              </w:rPr>
            </w:pPr>
          </w:p>
        </w:tc>
        <w:tc>
          <w:tcPr>
            <w:tcW w:w="7540" w:type="dxa"/>
            <w:vAlign w:val="bottom"/>
            <w:tcBorders>
              <w:top w:val="single" w:sz="8" w:color="C0C0C0"/>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0C0C0"/>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i w:val="1"/>
                <w:iCs w:val="1"/>
                <w:color w:val="auto"/>
              </w:rPr>
              <w:t>Supplemental disclosures of cash flow information</w:t>
            </w:r>
            <w:r>
              <w:rPr>
                <w:rFonts w:ascii="Arial" w:cs="Arial" w:eastAsia="Arial" w:hAnsi="Arial"/>
                <w:sz w:val="18"/>
                <w:szCs w:val="18"/>
                <w:color w:val="auto"/>
              </w:rPr>
              <w:t>:</w:t>
            </w: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28,419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32,141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0C0C0"/>
          </w:tcPr>
          <w:p>
            <w:pPr>
              <w:spacing w:after="0"/>
              <w:rPr>
                <w:sz w:val="18"/>
                <w:szCs w:val="18"/>
                <w:color w:val="auto"/>
              </w:rPr>
            </w:pPr>
          </w:p>
        </w:tc>
        <w:tc>
          <w:tcPr>
            <w:tcW w:w="7540" w:type="dxa"/>
            <w:vAlign w:val="bottom"/>
            <w:shd w:val="clear" w:color="auto" w:fill="C0C0C0"/>
          </w:tcPr>
          <w:p>
            <w:pPr>
              <w:spacing w:after="0"/>
              <w:rPr>
                <w:sz w:val="18"/>
                <w:szCs w:val="18"/>
                <w:color w:val="auto"/>
              </w:rPr>
            </w:pPr>
          </w:p>
        </w:tc>
        <w:tc>
          <w:tcPr>
            <w:tcW w:w="220" w:type="dxa"/>
            <w:vAlign w:val="bottom"/>
            <w:shd w:val="clear" w:color="auto" w:fill="C0C0C0"/>
          </w:tcPr>
          <w:p>
            <w:pPr>
              <w:spacing w:after="0"/>
              <w:rPr>
                <w:sz w:val="18"/>
                <w:szCs w:val="18"/>
                <w:color w:val="auto"/>
              </w:rPr>
            </w:pPr>
          </w:p>
        </w:tc>
        <w:tc>
          <w:tcPr>
            <w:tcW w:w="102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280" w:type="dxa"/>
            <w:vAlign w:val="bottom"/>
            <w:shd w:val="clear" w:color="auto" w:fill="C0C0C0"/>
          </w:tcPr>
          <w:p>
            <w:pPr>
              <w:spacing w:after="0"/>
              <w:rPr>
                <w:sz w:val="18"/>
                <w:szCs w:val="18"/>
                <w:color w:val="auto"/>
              </w:rPr>
            </w:pPr>
          </w:p>
        </w:tc>
        <w:tc>
          <w:tcPr>
            <w:tcW w:w="960" w:type="dxa"/>
            <w:vAlign w:val="bottom"/>
            <w:shd w:val="clear" w:color="auto" w:fill="C0C0C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i w:val="1"/>
                <w:iCs w:val="1"/>
                <w:color w:val="auto"/>
              </w:rPr>
              <w:t>Non-cash investing &amp; financing activities: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Reclass of inventory to property and equipment for rental units, net</w:t>
            </w:r>
          </w:p>
        </w:tc>
        <w:tc>
          <w:tcPr>
            <w:tcW w:w="220" w:type="dxa"/>
            <w:vAlign w:val="bottom"/>
            <w:shd w:val="clear" w:color="auto" w:fill="C0C0C0"/>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3,282,512</w:t>
            </w:r>
          </w:p>
        </w:tc>
        <w:tc>
          <w:tcPr>
            <w:tcW w:w="4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3,779,877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C0C0C0"/>
            </w:tcBorders>
            <w:shd w:val="clear" w:color="auto" w:fill="C0C0C0"/>
          </w:tcPr>
          <w:p>
            <w:pPr>
              <w:spacing w:after="0" w:line="20" w:lineRule="exact"/>
              <w:rPr>
                <w:sz w:val="1"/>
                <w:szCs w:val="1"/>
                <w:color w:val="auto"/>
              </w:rPr>
            </w:pPr>
          </w:p>
        </w:tc>
        <w:tc>
          <w:tcPr>
            <w:tcW w:w="7540" w:type="dxa"/>
            <w:vAlign w:val="bottom"/>
            <w:tcBorders>
              <w:top w:val="single" w:sz="8" w:color="C0C0C0"/>
            </w:tcBorders>
            <w:shd w:val="clear" w:color="auto" w:fill="C0C0C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Equipment acquired under capital lease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495,955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Equipment acquired with long-term debt</w:t>
            </w:r>
          </w:p>
        </w:tc>
        <w:tc>
          <w:tcPr>
            <w:tcW w:w="220" w:type="dxa"/>
            <w:vAlign w:val="bottom"/>
            <w:shd w:val="clear" w:color="auto" w:fill="C0C0C0"/>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40,871</w:t>
            </w:r>
          </w:p>
        </w:tc>
        <w:tc>
          <w:tcPr>
            <w:tcW w:w="4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C0C0C0"/>
            </w:tcBorders>
            <w:shd w:val="clear" w:color="auto" w:fill="C0C0C0"/>
          </w:tcPr>
          <w:p>
            <w:pPr>
              <w:spacing w:after="0" w:line="20" w:lineRule="exact"/>
              <w:rPr>
                <w:sz w:val="1"/>
                <w:szCs w:val="1"/>
                <w:color w:val="auto"/>
              </w:rPr>
            </w:pPr>
          </w:p>
        </w:tc>
        <w:tc>
          <w:tcPr>
            <w:tcW w:w="7540" w:type="dxa"/>
            <w:vAlign w:val="bottom"/>
            <w:tcBorders>
              <w:top w:val="single" w:sz="8" w:color="C0C0C0"/>
            </w:tcBorders>
            <w:shd w:val="clear" w:color="auto" w:fill="C0C0C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Prepaid expenses financed with long-term debt</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95,263</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94,311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Disposal of property and equipment</w:t>
            </w:r>
          </w:p>
        </w:tc>
        <w:tc>
          <w:tcPr>
            <w:tcW w:w="220" w:type="dxa"/>
            <w:vAlign w:val="bottom"/>
            <w:shd w:val="clear" w:color="auto" w:fill="C0C0C0"/>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54,638</w:t>
            </w:r>
          </w:p>
        </w:tc>
        <w:tc>
          <w:tcPr>
            <w:tcW w:w="4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140,931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C0C0C0"/>
            </w:tcBorders>
            <w:shd w:val="clear" w:color="auto" w:fill="C0C0C0"/>
          </w:tcPr>
          <w:p>
            <w:pPr>
              <w:spacing w:after="0" w:line="20" w:lineRule="exact"/>
              <w:rPr>
                <w:sz w:val="1"/>
                <w:szCs w:val="1"/>
                <w:color w:val="auto"/>
              </w:rPr>
            </w:pPr>
          </w:p>
        </w:tc>
        <w:tc>
          <w:tcPr>
            <w:tcW w:w="7540" w:type="dxa"/>
            <w:vAlign w:val="bottom"/>
            <w:tcBorders>
              <w:top w:val="single" w:sz="8" w:color="C0C0C0"/>
            </w:tcBorders>
            <w:shd w:val="clear" w:color="auto" w:fill="C0C0C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Fair value of common stock warrants at issuance</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1,917,122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Conversion of cumulative preferred dividends to common stock</w:t>
            </w:r>
          </w:p>
        </w:tc>
        <w:tc>
          <w:tcPr>
            <w:tcW w:w="220" w:type="dxa"/>
            <w:vAlign w:val="bottom"/>
            <w:shd w:val="clear" w:color="auto" w:fill="C0C0C0"/>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0C0C0"/>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33,000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260" w:type="dxa"/>
            <w:vAlign w:val="bottom"/>
            <w:tcBorders>
              <w:top w:val="single" w:sz="8" w:color="C0C0C0"/>
            </w:tcBorders>
            <w:shd w:val="clear" w:color="auto" w:fill="C0C0C0"/>
          </w:tcPr>
          <w:p>
            <w:pPr>
              <w:spacing w:after="0" w:line="20" w:lineRule="exact"/>
              <w:rPr>
                <w:sz w:val="1"/>
                <w:szCs w:val="1"/>
                <w:color w:val="auto"/>
              </w:rPr>
            </w:pPr>
          </w:p>
        </w:tc>
        <w:tc>
          <w:tcPr>
            <w:tcW w:w="7540" w:type="dxa"/>
            <w:vAlign w:val="bottom"/>
            <w:tcBorders>
              <w:top w:val="single" w:sz="8" w:color="C0C0C0"/>
            </w:tcBorders>
            <w:shd w:val="clear" w:color="auto" w:fill="C0C0C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800" w:type="dxa"/>
            <w:vAlign w:val="bottom"/>
            <w:gridSpan w:val="2"/>
          </w:tcPr>
          <w:p>
            <w:pPr>
              <w:spacing w:after="0"/>
              <w:rPr>
                <w:sz w:val="20"/>
                <w:szCs w:val="20"/>
                <w:color w:val="auto"/>
              </w:rPr>
            </w:pPr>
            <w:r>
              <w:rPr>
                <w:rFonts w:ascii="Arial" w:cs="Arial" w:eastAsia="Arial" w:hAnsi="Arial"/>
                <w:sz w:val="18"/>
                <w:szCs w:val="18"/>
                <w:color w:val="auto"/>
              </w:rPr>
              <w:t>Conversion of convertible preferred stock to common stock</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10,620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See accompanying notes.</w:t>
      </w:r>
    </w:p>
    <w:p>
      <w:pPr>
        <w:sectPr>
          <w:pgSz w:w="11900" w:h="16838" w:orient="portrait"/>
          <w:cols w:equalWidth="0" w:num="1">
            <w:col w:w="11420"/>
          </w:cols>
          <w:pgMar w:left="240" w:top="108" w:right="239" w:bottom="1440" w:gutter="0" w:footer="0" w:header="0"/>
        </w:sect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type w:val="continuous"/>
        </w:sectPr>
      </w:pPr>
    </w:p>
    <w:bookmarkStart w:id="6" w:name="page7"/>
    <w:bookmarkEnd w:id="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Accounting Policies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w:t>
      </w:r>
    </w:p>
    <w:p>
      <w:pPr>
        <w:spacing w:after="0" w:line="252"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USA Technologies, Inc. (the “Company”, “We” or “Our”) incorporated in the Commonwealth of Pennsylvania in January 1992. The Company is a leading supplier of cashless, remote management, reporting and energy management solutions serving the unattended Point of Sale (“POS”) market. Our networked devices and associated services enable the owners and operators of everyday, stand-alone, distributed assets, such as vending machines, kiosks, personal computers, photocopiers, and laundry equipment, the ability to remotely monitor, control and report on the results of these distributed assets, as well as the ability to offer their customers cashless payment options. The Company also manufactures and sells energy management products that reduce the electrical power consumption by various equipment such as refrigerated vending machines and glass front coolers, thus reducing the electrical energy costs associated with operating this equipment. The Company’s customers are primarily located in the United States.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Interim Financial Information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consolidated financial statements of USA Technologies, Inc. have been prepared in accordance with U.S. generally accepted accounting principles for interim financial information and with the instructions to Form 10-Q. Accordingly, they do not include all of the information and footnotes required by U.S. generally accepted accounting principles for complete financial statements and therefore should be read in conjunction with the Company’s Annual Report on Form 10-K for the year ended June 30, 2011. In the opinion of management, all adjustments considered necessary for a fair presentation, consisting of normal recurring adjustments, have been included. Operating results for the nine-month period ended March 31, 2012 are not necessarily indicative of the results that may be expected for the year ending June 30, 2012. The balance sheet at June 30, 2011 has been derived from the audited financial statements at that date, but does not include all of the information and footnotes required by U.S. generally accepted accounting principles for complete financial statements.</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incurred losses from its inception through June 30, 2011 and losses have continued through March 31, 2012 and are expected to continue during the remaining 2012 fiscal year. The Company’s ability to meet its future obligations is dependent upon the success of its products and services in the marketplace and available capital resources. Until the Company’s products and services can generate sufficient operating revenues, the Company will be required to use its cash and cash equivalents on hand, as well as raise capital to meet its cash flow requirements including the potential issuance of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w:t>
      </w:r>
    </w:p>
    <w:p>
      <w:pPr>
        <w:spacing w:after="0" w:line="25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accompanying consolidated financial statements include the accounts of the Company and its wholly-owned subsidiaries, Stitch Networks Corporation (“Stitch”) and USAT Capital Corp LLC (“USAT Capital”). All significant intercompany accounts and transactions have been eliminated in consolidation.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consolidated financial statements in conformity with U.S. generally accepted accounting principles requires management to make estimates and assumptions that affect the amounts reported in the financial statements and accompanying notes. Actual results could differ from those estimates.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and cash equivalents represent all highly liquid investments with original maturities of three months or less. Cash equivalents are comprised of money market funds. The Company maintains its cash in bank deposit accounts, which may exceed federally insured limits at times.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Included in cash and cash equivalents at March 31, 2012 and June 30, 2011 was approximately $0 and $410,000, respectively, of cash received by the Company for transaction processing services which is payable to our customers. Included in accounts receivable are amounts for transactions processed with our card processers for which cash has not been received by the Company and included in accounts payable are amounts for transactions processed with our card processers and due to our customers, which are recorded net of fees due to the Company. Generally, contractual terms require us to remit amounts owed to our customers on a weekly basis.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 w:name="page8"/>
    <w:bookmarkEnd w:id="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Inventory consists of finished goods and packaging materials. The Company’s inventory is stated at the lower of cost (average cost basis) or market.</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Financial Instruments</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September 2009, the Financial Accounting Standards Board (“FASB”) issued Accounting Standards Update (“ASU”) 2010-06, “Fair Value Measurements and Disclosures (“Topic 820”): Improving Disclosures about Fair Value Measurements.” ASU 2009-06 amends certain disclosure requirements of Subtopic 820-10. This ASU provides additional disclosures for transfers in and out of Levels 1 and 2 and for activity in Level 3. This ASU also clarifies certain other existing disclosure requirements including level of desegregation and disclosures around inputs and valuation techniques.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Company’s financial assets and liabilities are measured using inputs from the three levels of the fair value hierarchy. The three levels are as follows:</w:t>
      </w:r>
    </w:p>
    <w:p>
      <w:pPr>
        <w:spacing w:after="0" w:line="2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1- Inputs are unadjusted quoted prices in active markets for identical assets or liabilities that the Company has the ability to access at the measurement date.</w:t>
      </w:r>
    </w:p>
    <w:p>
      <w:pPr>
        <w:spacing w:after="0" w:line="19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Inputs are other than quoted prices included within Level 1 that are observable for the asset or liability, either directly or indirectly. Level 2 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9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Level 3- Inputs are unobservable and reflect the Company’s assumptions that market participants would use in pricing the asset or liability. The Company develops these inputs based on the best information available.</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financial instruments, principally cash equivalents, accounts receivable, finance receivables, prepaid expenses and other assets, accounts payable and accrued expenses, are carried at cost which approximates fair value due to the short-term maturity of these instruments. The fair value of the Company’s obligations under its long-term debt and credit agreements approximates their carrying value, as such instruments are at market rates currently available to the Company.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Property and equipment are recorded at cost. Property and equipment are depreciated on the straight-line basis over the estimated useful lives of the related assets. Leasehold improvements are amortized on the straight-line basis over the lesser of the estimated useful life of the asset or the respective lease term. Inventory is transferred to property and equipment upon the shipment of ePorts to our customers under the terms of an operating lease.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provision for income taxes has been made for the three and nine months ended March 31, 2012 and 2011 given the Company’s losses in 2011 and 2010 and available net operating loss carryforwards. A benefit has not been recorded as the realization of the net operating losses is not assured and the timing in which the Company can utilize its net operating loss carryforwards in any year or in total may be limited by provisions of the Internal Revenue Code regarding changes in ownership of corporations.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accordance with the FASB Accounting Standards Codification (“ASC”) Topic 718, the cost of employee and director services received in exchange for an award of equity instruments is based on the grant-date fair value of the award and allocated over the vesting period of the award.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1. Accounting Policies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Awards (Continued)</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September 15, 2011, at the recommendation of the Compensation Committee, the board of directors adopted the Fiscal Year 2012 Performance Share Plan (the “2012 Plan”) covering the Company’s executive officers. On that date, there were not sufficient shares available under the existing stock plans that had been approved by the shareholders of the Company. Pursuant to the 2012 Plan the Company may be required to pay the executives an amount of cash equal to the value of shares earned but not available to be issued to the executives. As such and in accordance with ASC Topic 718, “Stock Compensation”, this award is accounted for as a liability of the Company. The Company recorded a liability as if the award will be settled in cash and recorded expense of $47,549 and $114,117 for the three and nine months ended March 31, 2012, respectively, as its estimate of the award earned by Company’s executive officers.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recorded stock compensation expense of $83,300 and $510,797 related to common stock grants and vesting of shares previously granted to employees and directors during the three and nine months ended March 31, 2012, respectively. There was no expense during the three or nine months ended March 31, 2012 related to the Long-Term Equity Incentive Program (“LTIP” or “LTIP Program”) the Company had for its executives in prior fiscal years. There were no common stock options granted, vested or recorded as expense during the three or nine months ended March 31, 2012 and 2011. On March 30, 2012, 9,000 common stock options, with an exercise price of $7.50 expired unexercised.</w:t>
      </w:r>
    </w:p>
    <w:p>
      <w:pPr>
        <w:spacing w:after="0" w:line="20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recorded stock compensation expense of $288 and $9,090 related to common stock grants and vesting of shares previously granted to employees and directors during the three and nine months ended March 31, 2011, respectively. Related to the change in fair value and/or the vesting of shares under the LTIP, the Company recorded stock compensation expense of $0 and $54,395 during the three and nine months ended March 31, 2011,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Per Common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calculated by dividing income (loss) applicable to common shares by the weighted average common shares outstanding for the period. Diluted earnings per share is calculated by dividing income (loss) applicable to common shares by the weighted average common shares outstanding for the period plus the dilutive effect (unless such effect is anti-dilutive) of potential common shares. No exercise of stock options, stock purchase warrants, or the conversion of preferred stock or cumulative preferred dividends was assumed during the periods presented because the assumed exercise of these securities would be anti-dilutive.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believe that the following recent accounting pronouncements or any other recently issued, but not yet effective accounting standards will have a material effect on the Company’s consolidated financial position, results of operations, or cash flows.</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December 2010, the Financial Accounting Standards Board issued ASU 2010-28 Intangibles—Goodwill and Other (Topic 350): When to Perform Step 2 of the Goodwill Impairment Test for Reporting Units with Zero or Negative Carrying Amounts Consensus reached in EITF Issue No. 10-A. This is effective for the Company in the current 2012 fiscal year.</w:t>
      </w:r>
    </w:p>
    <w:p>
      <w:pPr>
        <w:spacing w:after="0" w:line="20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April 2011, the Financial Accounting Standards Board issued ASU 2011-04 Fair Value Measurement (Topic 820): Amendments to Achieve Common Fair Value Measurement and Disclosure Requirements in U.S. GAAP. This is effective for the Company in the quarter ended March 31, 2012.</w:t>
      </w:r>
    </w:p>
    <w:p>
      <w:pPr>
        <w:spacing w:after="0" w:line="17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September 2011, the Financial Accounting Standards Board issued ASU 2011-08 Intangibles—Goodwill and Other (Topic 350): Testing Goodwill for Impairment. This will be effective for the Company beginning with the fiscal year ending June 30, 2013.</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December 2011, the Financial Accounting Standards Board issued ASU 2011-11 Balance Sheet (Topic 210): Disclosures about Offsetting Assets and Liabilities. This will be effective for the Company beginning with the fiscal year ending June 30, 2014.</w:t>
      </w:r>
    </w:p>
    <w:p>
      <w:pPr>
        <w:spacing w:after="0" w:line="19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December 2011, the Financial Accounting Standards Board issued ASU 2011-12 Comprehensive Income (Topic 220): Deferral of the Effective Date for Amendments to the Presentation of Reclassifications of Items Out of Accumulated Other Comprehensive Income in Accounting Standards Update No. 2011-</w:t>
      </w:r>
    </w:p>
    <w:p>
      <w:pPr>
        <w:ind w:left="5660" w:right="4540" w:hanging="5652"/>
        <w:spacing w:after="0" w:line="715" w:lineRule="auto"/>
        <w:tabs>
          <w:tab w:leader="none" w:pos="26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will be effective for the Company beginning with the fiscal year ending June 30, 2013.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ind w:left="380" w:hanging="372"/>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Finance Receivables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Finance receivables include sales-type leases to accommodate extended payment terms for equipment purchases to certain customers. Finance receivables are carried at their contractual amount and charged off against the allowance for credit losses when management determines that recovery is unlikely and the Company ceases collection efforts. Monthly payments for the receivables are collected by deduction from our customers’ vending and equipment transaction funds. The Company recognizes a portion of the lease payments as interest income in the accompanying consolidated financial statements based on the effective interest rate method.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20" w:type="dxa"/>
            <w:vAlign w:val="bottom"/>
            <w:gridSpan w:val="2"/>
          </w:tcPr>
          <w:p>
            <w:pPr>
              <w:spacing w:after="0"/>
              <w:rPr>
                <w:sz w:val="20"/>
                <w:szCs w:val="20"/>
                <w:color w:val="auto"/>
              </w:rPr>
            </w:pPr>
            <w:r>
              <w:rPr>
                <w:rFonts w:ascii="Arial" w:cs="Arial" w:eastAsia="Arial" w:hAnsi="Arial"/>
                <w:sz w:val="18"/>
                <w:szCs w:val="18"/>
                <w:color w:val="auto"/>
              </w:rPr>
              <w:t>Finance receivables consist of the following:</w:t>
            </w: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45"/>
        </w:trPr>
        <w:tc>
          <w:tcPr>
            <w:tcW w:w="17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ind w:right="310"/>
              <w:spacing w:after="0"/>
              <w:rPr>
                <w:sz w:val="20"/>
                <w:szCs w:val="20"/>
                <w:color w:val="auto"/>
              </w:rPr>
            </w:pPr>
            <w:r>
              <w:rPr>
                <w:rFonts w:ascii="Arial" w:cs="Arial" w:eastAsia="Arial" w:hAnsi="Arial"/>
                <w:sz w:val="18"/>
                <w:szCs w:val="18"/>
                <w:color w:val="auto"/>
                <w:w w:val="98"/>
              </w:rPr>
              <w:t>June 30,</w:t>
            </w:r>
          </w:p>
        </w:tc>
      </w:tr>
      <w:tr>
        <w:trPr>
          <w:trHeight w:val="237"/>
        </w:trPr>
        <w:tc>
          <w:tcPr>
            <w:tcW w:w="17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2012</w:t>
            </w: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r>
      <w:tr>
        <w:trPr>
          <w:trHeight w:val="216"/>
        </w:trPr>
        <w:tc>
          <w:tcPr>
            <w:tcW w:w="17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center"/>
              <w:ind w:right="150"/>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4200" w:type="dxa"/>
            <w:vAlign w:val="bottom"/>
            <w:shd w:val="clear" w:color="auto" w:fill="C0C0C0"/>
          </w:tcPr>
          <w:p>
            <w:pPr>
              <w:spacing w:after="0"/>
              <w:rPr>
                <w:sz w:val="20"/>
                <w:szCs w:val="20"/>
                <w:color w:val="auto"/>
              </w:rPr>
            </w:pPr>
            <w:r>
              <w:rPr>
                <w:rFonts w:ascii="Arial" w:cs="Arial" w:eastAsia="Arial" w:hAnsi="Arial"/>
                <w:sz w:val="18"/>
                <w:szCs w:val="18"/>
                <w:color w:val="auto"/>
              </w:rPr>
              <w:t>Total finance receivables</w:t>
            </w:r>
          </w:p>
        </w:tc>
        <w:tc>
          <w:tcPr>
            <w:tcW w:w="1260" w:type="dxa"/>
            <w:vAlign w:val="bottom"/>
            <w:gridSpan w:val="2"/>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559,602</w:t>
            </w:r>
          </w:p>
        </w:tc>
        <w:tc>
          <w:tcPr>
            <w:tcW w:w="280" w:type="dxa"/>
            <w:vAlign w:val="bottom"/>
            <w:gridSpan w:val="2"/>
            <w:shd w:val="clear" w:color="auto" w:fill="C0C0C0"/>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481,387</w:t>
            </w:r>
          </w:p>
        </w:tc>
      </w:tr>
      <w:tr>
        <w:trPr>
          <w:trHeight w:val="223"/>
        </w:trPr>
        <w:tc>
          <w:tcPr>
            <w:tcW w:w="17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Less current portion</w:t>
            </w:r>
          </w:p>
        </w:tc>
        <w:tc>
          <w:tcPr>
            <w:tcW w:w="1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249,912</w:t>
            </w: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285,786</w:t>
            </w:r>
          </w:p>
        </w:tc>
      </w:tr>
      <w:tr>
        <w:trPr>
          <w:trHeight w:val="257"/>
        </w:trPr>
        <w:tc>
          <w:tcPr>
            <w:tcW w:w="1720" w:type="dxa"/>
            <w:vAlign w:val="bottom"/>
          </w:tcPr>
          <w:p>
            <w:pPr>
              <w:spacing w:after="0"/>
              <w:rPr>
                <w:sz w:val="22"/>
                <w:szCs w:val="22"/>
                <w:color w:val="auto"/>
              </w:rPr>
            </w:pPr>
          </w:p>
        </w:tc>
        <w:tc>
          <w:tcPr>
            <w:tcW w:w="42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Non-current portion of finance receivables</w:t>
            </w:r>
          </w:p>
        </w:tc>
        <w:tc>
          <w:tcPr>
            <w:tcW w:w="112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309,690</w:t>
            </w:r>
          </w:p>
        </w:tc>
        <w:tc>
          <w:tcPr>
            <w:tcW w:w="80" w:type="dxa"/>
            <w:vAlign w:val="bottom"/>
            <w:tcBorders>
              <w:bottom w:val="single" w:sz="8" w:color="C0C0C0"/>
            </w:tcBorders>
            <w:shd w:val="clear" w:color="auto" w:fill="C0C0C0"/>
          </w:tcPr>
          <w:p>
            <w:pPr>
              <w:spacing w:after="0"/>
              <w:rPr>
                <w:sz w:val="22"/>
                <w:szCs w:val="22"/>
                <w:color w:val="auto"/>
              </w:rPr>
            </w:pPr>
          </w:p>
        </w:tc>
        <w:tc>
          <w:tcPr>
            <w:tcW w:w="20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195,601</w:t>
            </w:r>
          </w:p>
        </w:tc>
      </w:tr>
    </w:tbl>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2012 and June 30, 2011, there was no allowance for credit losses of finance receivables. As the Company collects monthly payments of the receivables from the customers’ transaction funds the risk of loss was determined to be remote.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20" w:type="dxa"/>
            <w:vAlign w:val="bottom"/>
            <w:gridSpan w:val="7"/>
          </w:tcPr>
          <w:p>
            <w:pPr>
              <w:jc w:val="center"/>
              <w:ind w:right="50"/>
              <w:spacing w:after="0"/>
              <w:rPr>
                <w:sz w:val="20"/>
                <w:szCs w:val="20"/>
                <w:color w:val="auto"/>
              </w:rPr>
            </w:pPr>
            <w:r>
              <w:rPr>
                <w:rFonts w:ascii="Arial" w:cs="Arial" w:eastAsia="Arial" w:hAnsi="Arial"/>
                <w:sz w:val="18"/>
                <w:szCs w:val="18"/>
                <w:color w:val="auto"/>
                <w:w w:val="93"/>
              </w:rPr>
              <w:t>Credit Quality Indicators</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7"/>
          </w:tcPr>
          <w:p>
            <w:pPr>
              <w:jc w:val="center"/>
              <w:ind w:right="70"/>
              <w:spacing w:after="0"/>
              <w:rPr>
                <w:sz w:val="20"/>
                <w:szCs w:val="20"/>
                <w:color w:val="auto"/>
              </w:rPr>
            </w:pPr>
            <w:r>
              <w:rPr>
                <w:rFonts w:ascii="Arial" w:cs="Arial" w:eastAsia="Arial" w:hAnsi="Arial"/>
                <w:sz w:val="18"/>
                <w:szCs w:val="18"/>
                <w:color w:val="auto"/>
                <w:w w:val="92"/>
              </w:rPr>
              <w:t>As of March 31, 2012</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gridSpan w:val="10"/>
          </w:tcPr>
          <w:p>
            <w:pPr>
              <w:ind w:left="580"/>
              <w:spacing w:after="0"/>
              <w:rPr>
                <w:sz w:val="20"/>
                <w:szCs w:val="20"/>
                <w:color w:val="auto"/>
              </w:rPr>
            </w:pPr>
            <w:r>
              <w:rPr>
                <w:rFonts w:ascii="Arial" w:cs="Arial" w:eastAsia="Arial" w:hAnsi="Arial"/>
                <w:sz w:val="18"/>
                <w:szCs w:val="18"/>
                <w:color w:val="auto"/>
                <w:w w:val="94"/>
              </w:rPr>
              <w:t>Credit risk profile based on payment activity:</w:t>
            </w: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gridSpan w:val="7"/>
            <w:vMerge w:val="restart"/>
          </w:tcPr>
          <w:p>
            <w:pPr>
              <w:jc w:val="center"/>
              <w:ind w:right="720"/>
              <w:spacing w:after="0"/>
              <w:rPr>
                <w:sz w:val="20"/>
                <w:szCs w:val="20"/>
                <w:color w:val="auto"/>
              </w:rPr>
            </w:pPr>
            <w:r>
              <w:rPr>
                <w:rFonts w:ascii="Arial" w:cs="Arial" w:eastAsia="Arial" w:hAnsi="Arial"/>
                <w:sz w:val="18"/>
                <w:szCs w:val="18"/>
                <w:color w:val="auto"/>
                <w:w w:val="82"/>
              </w:rPr>
              <w:t>Leases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gridSpan w:val="7"/>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vMerge w:val="restart"/>
          </w:tcPr>
          <w:p>
            <w:pPr>
              <w:spacing w:after="0"/>
              <w:rPr>
                <w:sz w:val="18"/>
                <w:szCs w:val="18"/>
                <w:color w:val="auto"/>
              </w:rPr>
            </w:pPr>
          </w:p>
        </w:tc>
        <w:tc>
          <w:tcPr>
            <w:tcW w:w="580" w:type="dxa"/>
            <w:vAlign w:val="bottom"/>
            <w:vMerge w:val="restart"/>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vMerge w:val="continue"/>
          </w:tcPr>
          <w:p>
            <w:pPr>
              <w:spacing w:after="0"/>
              <w:rPr>
                <w:sz w:val="18"/>
                <w:szCs w:val="18"/>
                <w:color w:val="auto"/>
              </w:rPr>
            </w:pPr>
          </w:p>
        </w:tc>
        <w:tc>
          <w:tcPr>
            <w:tcW w:w="580" w:type="dxa"/>
            <w:vAlign w:val="bottom"/>
            <w:vMerge w:val="continue"/>
          </w:tcPr>
          <w:p>
            <w:pPr>
              <w:spacing w:after="0"/>
              <w:rPr>
                <w:sz w:val="18"/>
                <w:szCs w:val="18"/>
                <w:color w:val="auto"/>
              </w:rPr>
            </w:pPr>
          </w:p>
        </w:tc>
        <w:tc>
          <w:tcPr>
            <w:tcW w:w="15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Performing</w:t>
            </w: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0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98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0C0C0"/>
            </w:tcBorders>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780" w:type="dxa"/>
            <w:vAlign w:val="bottom"/>
            <w:gridSpan w:val="3"/>
            <w:shd w:val="clear" w:color="auto" w:fill="C0C0C0"/>
          </w:tcPr>
          <w:p>
            <w:pPr>
              <w:jc w:val="right"/>
              <w:ind w:right="30"/>
              <w:spacing w:after="0"/>
              <w:rPr>
                <w:sz w:val="20"/>
                <w:szCs w:val="20"/>
                <w:color w:val="auto"/>
              </w:rPr>
            </w:pPr>
            <w:r>
              <w:rPr>
                <w:rFonts w:ascii="Arial" w:cs="Arial" w:eastAsia="Arial" w:hAnsi="Arial"/>
                <w:sz w:val="18"/>
                <w:szCs w:val="18"/>
                <w:color w:val="auto"/>
                <w:w w:val="98"/>
              </w:rPr>
              <w:t>559,602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gridSpan w:val="2"/>
          </w:tcPr>
          <w:p>
            <w:pPr>
              <w:spacing w:after="0"/>
              <w:rPr>
                <w:sz w:val="20"/>
                <w:szCs w:val="20"/>
                <w:color w:val="auto"/>
              </w:rPr>
            </w:pPr>
            <w:r>
              <w:rPr>
                <w:rFonts w:ascii="Arial" w:cs="Arial" w:eastAsia="Arial" w:hAnsi="Arial"/>
                <w:sz w:val="18"/>
                <w:szCs w:val="18"/>
                <w:color w:val="auto"/>
              </w:rPr>
              <w:t>Nonperforming</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540" w:type="dxa"/>
            <w:vAlign w:val="bottom"/>
            <w:gridSpan w:val="2"/>
            <w:shd w:val="clear" w:color="auto" w:fill="C0C0C0"/>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10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40" w:type="dxa"/>
            <w:vAlign w:val="bottom"/>
            <w:shd w:val="clear" w:color="auto" w:fill="C0C0C0"/>
          </w:tcPr>
          <w:p>
            <w:pPr>
              <w:spacing w:after="0"/>
              <w:rPr>
                <w:sz w:val="22"/>
                <w:szCs w:val="22"/>
                <w:color w:val="auto"/>
              </w:rPr>
            </w:pPr>
          </w:p>
        </w:tc>
        <w:tc>
          <w:tcPr>
            <w:tcW w:w="112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180" w:type="dxa"/>
            <w:vAlign w:val="bottom"/>
            <w:shd w:val="clear" w:color="auto" w:fill="C0C0C0"/>
          </w:tcPr>
          <w:p>
            <w:pPr>
              <w:spacing w:after="0"/>
              <w:rPr>
                <w:sz w:val="22"/>
                <w:szCs w:val="22"/>
                <w:color w:val="auto"/>
              </w:rPr>
            </w:pPr>
          </w:p>
        </w:tc>
        <w:tc>
          <w:tcPr>
            <w:tcW w:w="100" w:type="dxa"/>
            <w:vAlign w:val="bottom"/>
            <w:shd w:val="clear" w:color="auto" w:fill="C0C0C0"/>
          </w:tcPr>
          <w:p>
            <w:pPr>
              <w:spacing w:after="0"/>
              <w:rPr>
                <w:sz w:val="22"/>
                <w:szCs w:val="22"/>
                <w:color w:val="auto"/>
              </w:rPr>
            </w:pPr>
          </w:p>
        </w:tc>
        <w:tc>
          <w:tcPr>
            <w:tcW w:w="980" w:type="dxa"/>
            <w:vAlign w:val="bottom"/>
            <w:gridSpan w:val="2"/>
            <w:shd w:val="clear" w:color="auto" w:fill="C0C0C0"/>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0C0C0"/>
            </w:tcBorders>
            <w:shd w:val="clear" w:color="auto" w:fill="C0C0C0"/>
          </w:tcPr>
          <w:p>
            <w:pPr>
              <w:spacing w:after="0"/>
              <w:rPr>
                <w:sz w:val="22"/>
                <w:szCs w:val="22"/>
                <w:color w:val="auto"/>
              </w:rPr>
            </w:pPr>
          </w:p>
        </w:tc>
        <w:tc>
          <w:tcPr>
            <w:tcW w:w="80" w:type="dxa"/>
            <w:vAlign w:val="bottom"/>
            <w:shd w:val="clear" w:color="auto" w:fill="C0C0C0"/>
          </w:tcPr>
          <w:p>
            <w:pPr>
              <w:spacing w:after="0"/>
              <w:rPr>
                <w:sz w:val="22"/>
                <w:szCs w:val="22"/>
                <w:color w:val="auto"/>
              </w:rPr>
            </w:pPr>
          </w:p>
        </w:tc>
        <w:tc>
          <w:tcPr>
            <w:tcW w:w="40" w:type="dxa"/>
            <w:vAlign w:val="bottom"/>
            <w:shd w:val="clear" w:color="auto" w:fill="C0C0C0"/>
          </w:tcPr>
          <w:p>
            <w:pPr>
              <w:spacing w:after="0"/>
              <w:rPr>
                <w:sz w:val="22"/>
                <w:szCs w:val="22"/>
                <w:color w:val="auto"/>
              </w:rPr>
            </w:pPr>
          </w:p>
        </w:tc>
        <w:tc>
          <w:tcPr>
            <w:tcW w:w="780" w:type="dxa"/>
            <w:vAlign w:val="bottom"/>
            <w:gridSpan w:val="3"/>
            <w:shd w:val="clear" w:color="auto" w:fill="C0C0C0"/>
          </w:tcPr>
          <w:p>
            <w:pPr>
              <w:jc w:val="right"/>
              <w:ind w:right="30"/>
              <w:spacing w:after="0"/>
              <w:rPr>
                <w:sz w:val="20"/>
                <w:szCs w:val="20"/>
                <w:color w:val="auto"/>
              </w:rPr>
            </w:pPr>
            <w:r>
              <w:rPr>
                <w:rFonts w:ascii="Arial" w:cs="Arial" w:eastAsia="Arial" w:hAnsi="Arial"/>
                <w:sz w:val="18"/>
                <w:szCs w:val="18"/>
                <w:color w:val="auto"/>
                <w:w w:val="98"/>
              </w:rPr>
              <w:t>559,602</w:t>
            </w: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1"/>
        </w:trPr>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Borders>
              <w:top w:val="single" w:sz="8" w:color="C0C0C0"/>
            </w:tcBorders>
          </w:tcPr>
          <w:p>
            <w:pPr>
              <w:spacing w:after="0"/>
              <w:rPr>
                <w:sz w:val="24"/>
                <w:szCs w:val="24"/>
                <w:color w:val="auto"/>
              </w:rPr>
            </w:pPr>
          </w:p>
        </w:tc>
        <w:tc>
          <w:tcPr>
            <w:tcW w:w="106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3900" w:type="dxa"/>
            <w:vAlign w:val="bottom"/>
            <w:tcBorders>
              <w:top w:val="single" w:sz="8" w:color="C0C0C0"/>
            </w:tcBorders>
            <w:gridSpan w:val="11"/>
          </w:tcPr>
          <w:p>
            <w:pPr>
              <w:jc w:val="center"/>
              <w:ind w:right="310"/>
              <w:spacing w:after="0"/>
              <w:rPr>
                <w:sz w:val="20"/>
                <w:szCs w:val="20"/>
                <w:color w:val="auto"/>
              </w:rPr>
            </w:pPr>
            <w:r>
              <w:rPr>
                <w:rFonts w:ascii="Arial" w:cs="Arial" w:eastAsia="Arial" w:hAnsi="Arial"/>
                <w:sz w:val="18"/>
                <w:szCs w:val="18"/>
                <w:color w:val="auto"/>
                <w:w w:val="90"/>
              </w:rPr>
              <w:t>Age Analysis of Past Due Finance Receivables</w:t>
            </w:r>
          </w:p>
        </w:tc>
        <w:tc>
          <w:tcPr>
            <w:tcW w:w="380" w:type="dxa"/>
            <w:vAlign w:val="bottom"/>
            <w:tcBorders>
              <w:top w:val="single" w:sz="8" w:color="auto"/>
            </w:tcBorders>
            <w:gridSpan w:val="2"/>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20" w:type="dxa"/>
            <w:vAlign w:val="bottom"/>
            <w:gridSpan w:val="7"/>
          </w:tcPr>
          <w:p>
            <w:pPr>
              <w:jc w:val="center"/>
              <w:spacing w:after="0"/>
              <w:rPr>
                <w:sz w:val="20"/>
                <w:szCs w:val="20"/>
                <w:color w:val="auto"/>
              </w:rPr>
            </w:pPr>
            <w:r>
              <w:rPr>
                <w:rFonts w:ascii="Arial" w:cs="Arial" w:eastAsia="Arial" w:hAnsi="Arial"/>
                <w:sz w:val="18"/>
                <w:szCs w:val="18"/>
                <w:color w:val="auto"/>
                <w:w w:val="92"/>
              </w:rPr>
              <w:t>As of March 31, 2012</w:t>
            </w:r>
          </w:p>
        </w:tc>
        <w:tc>
          <w:tcPr>
            <w:tcW w:w="7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31 – 60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gridSpan w:val="3"/>
          </w:tcPr>
          <w:p>
            <w:pPr>
              <w:ind w:left="120"/>
              <w:spacing w:after="0"/>
              <w:rPr>
                <w:sz w:val="20"/>
                <w:szCs w:val="20"/>
                <w:color w:val="auto"/>
              </w:rPr>
            </w:pPr>
            <w:r>
              <w:rPr>
                <w:rFonts w:ascii="Arial" w:cs="Arial" w:eastAsia="Arial" w:hAnsi="Arial"/>
                <w:sz w:val="18"/>
                <w:szCs w:val="18"/>
                <w:color w:val="auto"/>
              </w:rPr>
              <w:t>61 – 90</w:t>
            </w:r>
          </w:p>
        </w:tc>
        <w:tc>
          <w:tcPr>
            <w:tcW w:w="1500" w:type="dxa"/>
            <w:vAlign w:val="bottom"/>
            <w:gridSpan w:val="4"/>
          </w:tcPr>
          <w:p>
            <w:pPr>
              <w:jc w:val="center"/>
              <w:ind w:right="430"/>
              <w:spacing w:after="0"/>
              <w:rPr>
                <w:sz w:val="20"/>
                <w:szCs w:val="20"/>
                <w:color w:val="auto"/>
              </w:rPr>
            </w:pPr>
            <w:r>
              <w:rPr>
                <w:rFonts w:ascii="Arial" w:cs="Arial" w:eastAsia="Arial" w:hAnsi="Arial"/>
                <w:sz w:val="18"/>
                <w:szCs w:val="18"/>
                <w:color w:val="auto"/>
                <w:w w:val="89"/>
              </w:rPr>
              <w:t>Greater than</w:t>
            </w: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89"/>
              </w:rPr>
              <w:t>Total</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Days Past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3"/>
          </w:tcPr>
          <w:p>
            <w:pPr>
              <w:jc w:val="center"/>
              <w:ind w:right="440"/>
              <w:spacing w:after="0"/>
              <w:rPr>
                <w:sz w:val="20"/>
                <w:szCs w:val="20"/>
                <w:color w:val="auto"/>
              </w:rPr>
            </w:pPr>
            <w:r>
              <w:rPr>
                <w:rFonts w:ascii="Arial" w:cs="Arial" w:eastAsia="Arial" w:hAnsi="Arial"/>
                <w:sz w:val="18"/>
                <w:szCs w:val="18"/>
                <w:color w:val="auto"/>
                <w:w w:val="87"/>
              </w:rPr>
              <w:t>Days Past</w:t>
            </w:r>
          </w:p>
        </w:tc>
        <w:tc>
          <w:tcPr>
            <w:tcW w:w="1500" w:type="dxa"/>
            <w:vAlign w:val="bottom"/>
            <w:gridSpan w:val="4"/>
          </w:tcPr>
          <w:p>
            <w:pPr>
              <w:jc w:val="center"/>
              <w:ind w:right="450"/>
              <w:spacing w:after="0"/>
              <w:rPr>
                <w:sz w:val="20"/>
                <w:szCs w:val="20"/>
                <w:color w:val="auto"/>
              </w:rPr>
            </w:pPr>
            <w:r>
              <w:rPr>
                <w:rFonts w:ascii="Arial" w:cs="Arial" w:eastAsia="Arial" w:hAnsi="Arial"/>
                <w:sz w:val="18"/>
                <w:szCs w:val="18"/>
                <w:color w:val="auto"/>
                <w:w w:val="90"/>
              </w:rPr>
              <w:t>90 Days</w:t>
            </w:r>
          </w:p>
        </w:tc>
        <w:tc>
          <w:tcPr>
            <w:tcW w:w="1100" w:type="dxa"/>
            <w:vAlign w:val="bottom"/>
            <w:gridSpan w:val="3"/>
          </w:tcPr>
          <w:p>
            <w:pPr>
              <w:jc w:val="right"/>
              <w:ind w:right="310"/>
              <w:spacing w:after="0"/>
              <w:rPr>
                <w:sz w:val="20"/>
                <w:szCs w:val="20"/>
                <w:color w:val="auto"/>
              </w:rPr>
            </w:pPr>
            <w:r>
              <w:rPr>
                <w:rFonts w:ascii="Arial" w:cs="Arial" w:eastAsia="Arial" w:hAnsi="Arial"/>
                <w:sz w:val="18"/>
                <w:szCs w:val="18"/>
                <w:color w:val="auto"/>
                <w:w w:val="83"/>
              </w:rPr>
              <w:t>Total Past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center"/>
              <w:ind w:right="150"/>
              <w:spacing w:after="0"/>
              <w:rPr>
                <w:sz w:val="20"/>
                <w:szCs w:val="20"/>
                <w:color w:val="auto"/>
              </w:rPr>
            </w:pPr>
            <w:r>
              <w:rPr>
                <w:rFonts w:ascii="Arial" w:cs="Arial" w:eastAsia="Arial" w:hAnsi="Arial"/>
                <w:sz w:val="18"/>
                <w:szCs w:val="18"/>
                <w:color w:val="auto"/>
                <w:w w:val="87"/>
              </w:rPr>
              <w:t>Finance</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Due</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90"/>
              </w:rPr>
              <w:t>Due</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Past Due</w:t>
            </w:r>
          </w:p>
        </w:tc>
        <w:tc>
          <w:tcPr>
            <w:tcW w:w="100" w:type="dxa"/>
            <w:vAlign w:val="bottom"/>
          </w:tcPr>
          <w:p>
            <w:pPr>
              <w:spacing w:after="0"/>
              <w:rPr>
                <w:sz w:val="20"/>
                <w:szCs w:val="20"/>
                <w:color w:val="auto"/>
              </w:rPr>
            </w:pPr>
          </w:p>
        </w:tc>
        <w:tc>
          <w:tcPr>
            <w:tcW w:w="280" w:type="dxa"/>
            <w:vAlign w:val="bottom"/>
            <w:tcBorders>
              <w:bottom w:val="single" w:sz="8" w:color="auto"/>
            </w:tcBorders>
            <w:gridSpan w:val="2"/>
          </w:tcPr>
          <w:p>
            <w:pPr>
              <w:spacing w:after="0"/>
              <w:rPr>
                <w:sz w:val="20"/>
                <w:szCs w:val="20"/>
                <w:color w:val="auto"/>
              </w:rPr>
            </w:pPr>
          </w:p>
        </w:tc>
        <w:tc>
          <w:tcPr>
            <w:tcW w:w="98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8"/>
                <w:szCs w:val="18"/>
                <w:color w:val="auto"/>
              </w:rPr>
              <w:t>Due</w:t>
            </w:r>
          </w:p>
        </w:tc>
        <w:tc>
          <w:tcPr>
            <w:tcW w:w="1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89"/>
              </w:rPr>
              <w:t>Current</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Receivables</w:t>
            </w:r>
          </w:p>
        </w:tc>
        <w:tc>
          <w:tcPr>
            <w:tcW w:w="0" w:type="dxa"/>
            <w:vAlign w:val="bottom"/>
          </w:tcPr>
          <w:p>
            <w:pPr>
              <w:spacing w:after="0"/>
              <w:rPr>
                <w:sz w:val="1"/>
                <w:szCs w:val="1"/>
                <w:color w:val="auto"/>
              </w:rPr>
            </w:pPr>
          </w:p>
        </w:tc>
      </w:tr>
      <w:tr>
        <w:trPr>
          <w:trHeight w:val="432"/>
        </w:trPr>
        <w:tc>
          <w:tcPr>
            <w:tcW w:w="2780" w:type="dxa"/>
            <w:vAlign w:val="bottom"/>
            <w:gridSpan w:val="5"/>
          </w:tcPr>
          <w:p>
            <w:pPr>
              <w:ind w:left="580"/>
              <w:spacing w:after="0"/>
              <w:rPr>
                <w:sz w:val="20"/>
                <w:szCs w:val="20"/>
                <w:color w:val="auto"/>
              </w:rPr>
            </w:pPr>
            <w:r>
              <w:rPr>
                <w:rFonts w:ascii="Arial" w:cs="Arial" w:eastAsia="Arial" w:hAnsi="Arial"/>
                <w:sz w:val="18"/>
                <w:szCs w:val="18"/>
                <w:color w:val="auto"/>
              </w:rPr>
              <w:t>Finance Receivables</w:t>
            </w:r>
          </w:p>
        </w:tc>
        <w:tc>
          <w:tcPr>
            <w:tcW w:w="10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ind w:left="9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ind w:left="9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120" w:type="dxa"/>
            <w:vAlign w:val="bottom"/>
            <w:gridSpan w:val="2"/>
          </w:tcPr>
          <w:p>
            <w:pPr>
              <w:jc w:val="right"/>
              <w:ind w:right="40"/>
              <w:spacing w:after="0"/>
              <w:rPr>
                <w:sz w:val="20"/>
                <w:szCs w:val="20"/>
                <w:color w:val="auto"/>
              </w:rPr>
            </w:pPr>
            <w:r>
              <w:rPr>
                <w:rFonts w:ascii="Arial" w:cs="Arial" w:eastAsia="Arial" w:hAnsi="Arial"/>
                <w:sz w:val="15"/>
                <w:szCs w:val="15"/>
                <w:color w:val="auto"/>
                <w:w w:val="71"/>
              </w:rPr>
              <w:t>$</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559,602</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559,602</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80" w:type="dxa"/>
            <w:vAlign w:val="bottom"/>
            <w:vMerge w:val="continue"/>
          </w:tcPr>
          <w:p>
            <w:pPr>
              <w:spacing w:after="0"/>
              <w:rPr>
                <w:sz w:val="20"/>
                <w:szCs w:val="20"/>
                <w:color w:val="auto"/>
              </w:rPr>
            </w:pPr>
          </w:p>
        </w:tc>
        <w:tc>
          <w:tcPr>
            <w:tcW w:w="1060" w:type="dxa"/>
            <w:vAlign w:val="bottom"/>
            <w:shd w:val="clear" w:color="auto" w:fill="C0C0C0"/>
          </w:tcPr>
          <w:p>
            <w:pPr>
              <w:spacing w:after="0"/>
              <w:rPr>
                <w:sz w:val="20"/>
                <w:szCs w:val="20"/>
                <w:color w:val="auto"/>
              </w:rPr>
            </w:pPr>
            <w:r>
              <w:rPr>
                <w:rFonts w:ascii="Arial" w:cs="Arial" w:eastAsia="Arial" w:hAnsi="Arial"/>
                <w:sz w:val="18"/>
                <w:szCs w:val="18"/>
                <w:color w:val="auto"/>
              </w:rPr>
              <w:t>Total</w:t>
            </w:r>
          </w:p>
        </w:tc>
        <w:tc>
          <w:tcPr>
            <w:tcW w:w="2200" w:type="dxa"/>
            <w:vAlign w:val="bottom"/>
            <w:gridSpan w:val="4"/>
            <w:shd w:val="clear" w:color="auto" w:fill="C0C0C0"/>
          </w:tcPr>
          <w:p>
            <w:pPr>
              <w:jc w:val="right"/>
              <w:ind w:right="890"/>
              <w:spacing w:after="0"/>
              <w:rPr>
                <w:sz w:val="20"/>
                <w:szCs w:val="20"/>
                <w:color w:val="auto"/>
              </w:rPr>
            </w:pPr>
            <w:r>
              <w:rPr>
                <w:rFonts w:ascii="Arial" w:cs="Arial" w:eastAsia="Arial" w:hAnsi="Arial"/>
                <w:sz w:val="18"/>
                <w:szCs w:val="18"/>
                <w:color w:val="auto"/>
              </w:rPr>
              <w:t>$</w:t>
            </w:r>
          </w:p>
        </w:tc>
        <w:tc>
          <w:tcPr>
            <w:tcW w:w="12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w:t>
            </w:r>
          </w:p>
        </w:tc>
        <w:tc>
          <w:tcPr>
            <w:tcW w:w="360" w:type="dxa"/>
            <w:vAlign w:val="bottom"/>
            <w:gridSpan w:val="3"/>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0C0C0"/>
          </w:tcPr>
          <w:p>
            <w:pPr>
              <w:ind w:left="900"/>
              <w:spacing w:after="0"/>
              <w:rPr>
                <w:sz w:val="20"/>
                <w:szCs w:val="20"/>
                <w:color w:val="auto"/>
              </w:rPr>
            </w:pPr>
            <w:r>
              <w:rPr>
                <w:rFonts w:ascii="Arial" w:cs="Arial" w:eastAsia="Arial" w:hAnsi="Arial"/>
                <w:sz w:val="18"/>
                <w:szCs w:val="18"/>
                <w:color w:val="auto"/>
              </w:rPr>
              <w:t>-   $</w:t>
            </w:r>
          </w:p>
        </w:tc>
        <w:tc>
          <w:tcPr>
            <w:tcW w:w="1400" w:type="dxa"/>
            <w:vAlign w:val="bottom"/>
            <w:gridSpan w:val="3"/>
            <w:shd w:val="clear" w:color="auto" w:fill="C0C0C0"/>
          </w:tcPr>
          <w:p>
            <w:pPr>
              <w:ind w:left="940"/>
              <w:spacing w:after="0"/>
              <w:rPr>
                <w:sz w:val="20"/>
                <w:szCs w:val="20"/>
                <w:color w:val="auto"/>
              </w:rPr>
            </w:pPr>
            <w:r>
              <w:rPr>
                <w:rFonts w:ascii="Arial" w:cs="Arial" w:eastAsia="Arial" w:hAnsi="Arial"/>
                <w:sz w:val="18"/>
                <w:szCs w:val="18"/>
                <w:color w:val="auto"/>
              </w:rPr>
              <w:t>-   $</w:t>
            </w:r>
          </w:p>
        </w:tc>
        <w:tc>
          <w:tcPr>
            <w:tcW w:w="100" w:type="dxa"/>
            <w:vAlign w:val="bottom"/>
            <w:shd w:val="clear" w:color="auto" w:fill="C0C0C0"/>
          </w:tcPr>
          <w:p>
            <w:pPr>
              <w:spacing w:after="0"/>
              <w:rPr>
                <w:sz w:val="20"/>
                <w:szCs w:val="20"/>
                <w:color w:val="auto"/>
              </w:rPr>
            </w:pPr>
          </w:p>
        </w:tc>
        <w:tc>
          <w:tcPr>
            <w:tcW w:w="9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Borders>
              <w:right w:val="single" w:sz="8" w:color="C0C0C0"/>
            </w:tcBorders>
            <w:shd w:val="clear" w:color="auto" w:fill="C0C0C0"/>
          </w:tcPr>
          <w:p>
            <w:pPr>
              <w:spacing w:after="0"/>
              <w:rPr>
                <w:sz w:val="20"/>
                <w:szCs w:val="20"/>
                <w:color w:val="auto"/>
              </w:rPr>
            </w:pPr>
          </w:p>
        </w:tc>
        <w:tc>
          <w:tcPr>
            <w:tcW w:w="120" w:type="dxa"/>
            <w:vAlign w:val="bottom"/>
            <w:gridSpan w:val="2"/>
            <w:shd w:val="clear" w:color="auto" w:fill="C0C0C0"/>
          </w:tcPr>
          <w:p>
            <w:pPr>
              <w:jc w:val="right"/>
              <w:ind w:right="40"/>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96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559,602</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559,602</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1060" w:type="dxa"/>
            <w:vAlign w:val="bottom"/>
            <w:tcBorders>
              <w:top w:val="single" w:sz="8" w:color="C0C0C0"/>
            </w:tcBorders>
            <w:shd w:val="clear" w:color="auto" w:fill="C0C0C0"/>
          </w:tcPr>
          <w:p>
            <w:pPr>
              <w:spacing w:after="0" w:line="20" w:lineRule="exact"/>
              <w:rPr>
                <w:sz w:val="1"/>
                <w:szCs w:val="1"/>
                <w:color w:val="auto"/>
              </w:rPr>
            </w:pPr>
          </w:p>
        </w:tc>
        <w:tc>
          <w:tcPr>
            <w:tcW w:w="80" w:type="dxa"/>
            <w:vAlign w:val="bottom"/>
            <w:tcBorders>
              <w:top w:val="single" w:sz="8" w:color="C0C0C0"/>
            </w:tcBorders>
            <w:shd w:val="clear" w:color="auto" w:fill="C0C0C0"/>
          </w:tcPr>
          <w:p>
            <w:pPr>
              <w:spacing w:after="0" w:line="20" w:lineRule="exact"/>
              <w:rPr>
                <w:sz w:val="1"/>
                <w:szCs w:val="1"/>
                <w:color w:val="auto"/>
              </w:rPr>
            </w:pPr>
          </w:p>
        </w:tc>
        <w:tc>
          <w:tcPr>
            <w:tcW w:w="580" w:type="dxa"/>
            <w:vAlign w:val="bottom"/>
            <w:tcBorders>
              <w:top w:val="single" w:sz="8" w:color="C0C0C0"/>
            </w:tcBorders>
            <w:shd w:val="clear" w:color="auto" w:fill="C0C0C0"/>
          </w:tcPr>
          <w:p>
            <w:pPr>
              <w:spacing w:after="0" w:line="20" w:lineRule="exact"/>
              <w:rPr>
                <w:sz w:val="1"/>
                <w:szCs w:val="1"/>
                <w:color w:val="auto"/>
              </w:rPr>
            </w:pPr>
          </w:p>
        </w:tc>
        <w:tc>
          <w:tcPr>
            <w:tcW w:w="480" w:type="dxa"/>
            <w:vAlign w:val="bottom"/>
            <w:tcBorders>
              <w:top w:val="single" w:sz="8" w:color="C0C0C0"/>
            </w:tcBorders>
            <w:shd w:val="clear" w:color="auto" w:fill="C0C0C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right w:val="single" w:sz="8" w:color="C0C0C0"/>
            </w:tcBorders>
            <w:shd w:val="clear" w:color="auto" w:fill="C0C0C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0C0C0"/>
            </w:tcBorders>
            <w:shd w:val="clear" w:color="auto" w:fill="C0C0C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1640" w:type="dxa"/>
            <w:vAlign w:val="bottom"/>
            <w:gridSpan w:val="2"/>
          </w:tcPr>
          <w:p>
            <w:pPr>
              <w:spacing w:after="0"/>
              <w:rPr>
                <w:sz w:val="20"/>
                <w:szCs w:val="20"/>
                <w:color w:val="auto"/>
              </w:rPr>
            </w:pPr>
            <w:r>
              <w:rPr>
                <w:rFonts w:ascii="Arial" w:cs="Arial" w:eastAsia="Arial" w:hAnsi="Arial"/>
                <w:sz w:val="18"/>
                <w:szCs w:val="18"/>
                <w:color w:val="auto"/>
                <w:w w:val="95"/>
              </w:rPr>
              <w:t>3. Accrued Expenses</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80" w:type="dxa"/>
            <w:vAlign w:val="bottom"/>
          </w:tcPr>
          <w:p>
            <w:pPr>
              <w:spacing w:after="0"/>
              <w:rPr>
                <w:sz w:val="24"/>
                <w:szCs w:val="24"/>
                <w:color w:val="auto"/>
              </w:rPr>
            </w:pPr>
          </w:p>
        </w:tc>
        <w:tc>
          <w:tcPr>
            <w:tcW w:w="3260" w:type="dxa"/>
            <w:vAlign w:val="bottom"/>
            <w:gridSpan w:val="5"/>
          </w:tcPr>
          <w:p>
            <w:pPr>
              <w:jc w:val="right"/>
              <w:spacing w:after="0"/>
              <w:rPr>
                <w:sz w:val="20"/>
                <w:szCs w:val="20"/>
                <w:color w:val="auto"/>
              </w:rPr>
            </w:pPr>
            <w:r>
              <w:rPr>
                <w:rFonts w:ascii="Arial" w:cs="Arial" w:eastAsia="Arial" w:hAnsi="Arial"/>
                <w:sz w:val="18"/>
                <w:szCs w:val="18"/>
                <w:color w:val="auto"/>
                <w:w w:val="93"/>
              </w:rPr>
              <w:t>Accrued expenses consist of the following:</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5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March 31,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color w:val="auto"/>
                <w:w w:val="89"/>
              </w:rPr>
              <w:t>2012</w:t>
            </w:r>
          </w:p>
        </w:tc>
        <w:tc>
          <w:tcPr>
            <w:tcW w:w="2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8"/>
                <w:szCs w:val="18"/>
                <w:color w:val="auto"/>
              </w:rPr>
              <w:t>2011</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center"/>
              <w:ind w:right="30"/>
              <w:spacing w:after="0"/>
              <w:rPr>
                <w:sz w:val="20"/>
                <w:szCs w:val="20"/>
                <w:color w:val="auto"/>
              </w:rPr>
            </w:pPr>
            <w:r>
              <w:rPr>
                <w:rFonts w:ascii="Arial" w:cs="Arial" w:eastAsia="Arial" w:hAnsi="Arial"/>
                <w:sz w:val="18"/>
                <w:szCs w:val="18"/>
                <w:color w:val="auto"/>
                <w:w w:val="90"/>
              </w:rPr>
              <w:t>(unaudited)</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gridSpan w:val="10"/>
            <w:shd w:val="clear" w:color="auto" w:fill="C0C0C0"/>
          </w:tcPr>
          <w:p>
            <w:pPr>
              <w:spacing w:after="0"/>
              <w:rPr>
                <w:sz w:val="20"/>
                <w:szCs w:val="20"/>
                <w:color w:val="auto"/>
              </w:rPr>
            </w:pPr>
            <w:r>
              <w:rPr>
                <w:rFonts w:ascii="Arial" w:cs="Arial" w:eastAsia="Arial" w:hAnsi="Arial"/>
                <w:sz w:val="18"/>
                <w:szCs w:val="18"/>
                <w:color w:val="auto"/>
                <w:w w:val="89"/>
              </w:rPr>
              <w:t>Accrued compensation and related sales commissions</w:t>
            </w:r>
          </w:p>
        </w:tc>
        <w:tc>
          <w:tcPr>
            <w:tcW w:w="1500" w:type="dxa"/>
            <w:vAlign w:val="bottom"/>
            <w:gridSpan w:val="4"/>
            <w:shd w:val="clear" w:color="auto" w:fill="C0C0C0"/>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8"/>
                <w:szCs w:val="18"/>
                <w:color w:val="auto"/>
              </w:rPr>
              <w:t>523,019</w:t>
            </w:r>
          </w:p>
        </w:tc>
        <w:tc>
          <w:tcPr>
            <w:tcW w:w="8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160" w:type="dxa"/>
            <w:vAlign w:val="bottom"/>
            <w:gridSpan w:val="2"/>
            <w:shd w:val="clear" w:color="auto" w:fill="C0C0C0"/>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gridSpan w:val="4"/>
            <w:shd w:val="clear" w:color="auto" w:fill="C0C0C0"/>
          </w:tcPr>
          <w:p>
            <w:pPr>
              <w:jc w:val="right"/>
              <w:ind w:right="100"/>
              <w:spacing w:after="0"/>
              <w:rPr>
                <w:sz w:val="20"/>
                <w:szCs w:val="20"/>
                <w:color w:val="auto"/>
              </w:rPr>
            </w:pPr>
            <w:r>
              <w:rPr>
                <w:rFonts w:ascii="Arial" w:cs="Arial" w:eastAsia="Arial" w:hAnsi="Arial"/>
                <w:sz w:val="18"/>
                <w:szCs w:val="18"/>
                <w:color w:val="auto"/>
              </w:rPr>
              <w:t>269,335</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Accrued professional fees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241,477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197,964</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3"/>
            <w:shd w:val="clear" w:color="auto" w:fill="C0C0C0"/>
          </w:tcPr>
          <w:p>
            <w:pPr>
              <w:spacing w:after="0"/>
              <w:rPr>
                <w:sz w:val="20"/>
                <w:szCs w:val="20"/>
                <w:color w:val="auto"/>
              </w:rPr>
            </w:pPr>
            <w:r>
              <w:rPr>
                <w:rFonts w:ascii="Arial" w:cs="Arial" w:eastAsia="Arial" w:hAnsi="Arial"/>
                <w:sz w:val="18"/>
                <w:szCs w:val="18"/>
                <w:color w:val="auto"/>
                <w:w w:val="91"/>
              </w:rPr>
              <w:t>Accrued taxes and filing fees</w:t>
            </w: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0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10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8"/>
                <w:szCs w:val="18"/>
                <w:color w:val="auto"/>
              </w:rPr>
              <w:t>541,262</w:t>
            </w:r>
          </w:p>
        </w:tc>
        <w:tc>
          <w:tcPr>
            <w:tcW w:w="8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80" w:type="dxa"/>
            <w:vAlign w:val="bottom"/>
            <w:gridSpan w:val="4"/>
            <w:shd w:val="clear" w:color="auto" w:fill="C0C0C0"/>
          </w:tcPr>
          <w:p>
            <w:pPr>
              <w:jc w:val="right"/>
              <w:ind w:right="100"/>
              <w:spacing w:after="0"/>
              <w:rPr>
                <w:sz w:val="20"/>
                <w:szCs w:val="20"/>
                <w:color w:val="auto"/>
              </w:rPr>
            </w:pPr>
            <w:r>
              <w:rPr>
                <w:rFonts w:ascii="Arial" w:cs="Arial" w:eastAsia="Arial" w:hAnsi="Arial"/>
                <w:sz w:val="18"/>
                <w:szCs w:val="18"/>
                <w:color w:val="auto"/>
              </w:rPr>
              <w:t>302,147</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Accrued rent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292,361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jc w:val="right"/>
              <w:ind w:right="100"/>
              <w:spacing w:after="0"/>
              <w:rPr>
                <w:sz w:val="20"/>
                <w:szCs w:val="20"/>
                <w:color w:val="auto"/>
              </w:rPr>
            </w:pPr>
            <w:r>
              <w:rPr>
                <w:rFonts w:ascii="Arial" w:cs="Arial" w:eastAsia="Arial" w:hAnsi="Arial"/>
                <w:sz w:val="18"/>
                <w:szCs w:val="18"/>
                <w:color w:val="auto"/>
              </w:rPr>
              <w:t>114,511</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20" w:type="dxa"/>
            <w:vAlign w:val="bottom"/>
            <w:gridSpan w:val="3"/>
            <w:shd w:val="clear" w:color="auto" w:fill="C0C0C0"/>
          </w:tcPr>
          <w:p>
            <w:pPr>
              <w:spacing w:after="0"/>
              <w:rPr>
                <w:sz w:val="20"/>
                <w:szCs w:val="20"/>
                <w:color w:val="auto"/>
              </w:rPr>
            </w:pPr>
            <w:r>
              <w:rPr>
                <w:rFonts w:ascii="Arial" w:cs="Arial" w:eastAsia="Arial" w:hAnsi="Arial"/>
                <w:sz w:val="18"/>
                <w:szCs w:val="18"/>
                <w:color w:val="auto"/>
                <w:w w:val="95"/>
              </w:rPr>
              <w:t>Advanced customer billings</w:t>
            </w: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0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112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1100" w:type="dxa"/>
            <w:vAlign w:val="bottom"/>
            <w:tcBorders>
              <w:right w:val="single" w:sz="8" w:color="C0C0C0"/>
            </w:tcBorders>
            <w:gridSpan w:val="3"/>
            <w:shd w:val="clear" w:color="auto" w:fill="C0C0C0"/>
          </w:tcPr>
          <w:p>
            <w:pPr>
              <w:jc w:val="right"/>
              <w:spacing w:after="0"/>
              <w:rPr>
                <w:sz w:val="20"/>
                <w:szCs w:val="20"/>
                <w:color w:val="auto"/>
              </w:rPr>
            </w:pPr>
            <w:r>
              <w:rPr>
                <w:rFonts w:ascii="Arial" w:cs="Arial" w:eastAsia="Arial" w:hAnsi="Arial"/>
                <w:sz w:val="18"/>
                <w:szCs w:val="18"/>
                <w:color w:val="auto"/>
              </w:rPr>
              <w:t>284,484</w:t>
            </w:r>
          </w:p>
        </w:tc>
        <w:tc>
          <w:tcPr>
            <w:tcW w:w="8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4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1180" w:type="dxa"/>
            <w:vAlign w:val="bottom"/>
            <w:gridSpan w:val="4"/>
            <w:shd w:val="clear" w:color="auto" w:fill="C0C0C0"/>
          </w:tcPr>
          <w:p>
            <w:pPr>
              <w:jc w:val="right"/>
              <w:ind w:right="100"/>
              <w:spacing w:after="0"/>
              <w:rPr>
                <w:sz w:val="20"/>
                <w:szCs w:val="20"/>
                <w:color w:val="auto"/>
              </w:rPr>
            </w:pPr>
            <w:r>
              <w:rPr>
                <w:rFonts w:ascii="Arial" w:cs="Arial" w:eastAsia="Arial" w:hAnsi="Arial"/>
                <w:sz w:val="18"/>
                <w:szCs w:val="18"/>
                <w:color w:val="auto"/>
              </w:rPr>
              <w:t>100,398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gridSpan w:val="3"/>
          </w:tcPr>
          <w:p>
            <w:pPr>
              <w:spacing w:after="0"/>
              <w:rPr>
                <w:sz w:val="20"/>
                <w:szCs w:val="20"/>
                <w:color w:val="auto"/>
              </w:rPr>
            </w:pPr>
            <w:r>
              <w:rPr>
                <w:rFonts w:ascii="Arial" w:cs="Arial" w:eastAsia="Arial" w:hAnsi="Arial"/>
                <w:sz w:val="18"/>
                <w:szCs w:val="18"/>
                <w:color w:val="auto"/>
              </w:rPr>
              <w:t>Accrued other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426,664</w:t>
            </w:r>
          </w:p>
        </w:tc>
        <w:tc>
          <w:tcPr>
            <w:tcW w:w="8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color w:val="auto"/>
              </w:rPr>
              <w:t>270,444</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Borders>
              <w:bottom w:val="single" w:sz="8" w:color="C0C0C0"/>
            </w:tcBorders>
            <w:shd w:val="clear" w:color="auto" w:fill="C0C0C0"/>
          </w:tcPr>
          <w:p>
            <w:pPr>
              <w:spacing w:after="0"/>
              <w:rPr>
                <w:sz w:val="22"/>
                <w:szCs w:val="22"/>
                <w:color w:val="auto"/>
              </w:rPr>
            </w:pPr>
          </w:p>
        </w:tc>
        <w:tc>
          <w:tcPr>
            <w:tcW w:w="480" w:type="dxa"/>
            <w:vAlign w:val="bottom"/>
            <w:tcBorders>
              <w:bottom w:val="single" w:sz="8" w:color="C0C0C0"/>
            </w:tcBorders>
            <w:shd w:val="clear" w:color="auto" w:fill="C0C0C0"/>
          </w:tcPr>
          <w:p>
            <w:pPr>
              <w:spacing w:after="0"/>
              <w:rPr>
                <w:sz w:val="22"/>
                <w:szCs w:val="22"/>
                <w:color w:val="auto"/>
              </w:rPr>
            </w:pPr>
          </w:p>
        </w:tc>
        <w:tc>
          <w:tcPr>
            <w:tcW w:w="106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C0C0C0"/>
            </w:tcBorders>
            <w:shd w:val="clear" w:color="auto" w:fill="C0C0C0"/>
          </w:tcPr>
          <w:p>
            <w:pPr>
              <w:spacing w:after="0"/>
              <w:rPr>
                <w:sz w:val="22"/>
                <w:szCs w:val="22"/>
                <w:color w:val="auto"/>
              </w:rPr>
            </w:pPr>
          </w:p>
        </w:tc>
        <w:tc>
          <w:tcPr>
            <w:tcW w:w="8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180" w:type="dxa"/>
            <w:vAlign w:val="bottom"/>
            <w:tcBorders>
              <w:bottom w:val="single" w:sz="8" w:color="C0C0C0"/>
            </w:tcBorders>
            <w:shd w:val="clear" w:color="auto" w:fill="C0C0C0"/>
          </w:tcPr>
          <w:p>
            <w:pPr>
              <w:spacing w:after="0"/>
              <w:rPr>
                <w:sz w:val="22"/>
                <w:szCs w:val="22"/>
                <w:color w:val="auto"/>
              </w:rPr>
            </w:pPr>
          </w:p>
        </w:tc>
        <w:tc>
          <w:tcPr>
            <w:tcW w:w="1080" w:type="dxa"/>
            <w:vAlign w:val="bottom"/>
            <w:tcBorders>
              <w:bottom w:val="single" w:sz="8" w:color="C0C0C0"/>
            </w:tcBorders>
            <w:shd w:val="clear" w:color="auto" w:fill="C0C0C0"/>
          </w:tcPr>
          <w:p>
            <w:pPr>
              <w:spacing w:after="0"/>
              <w:rPr>
                <w:sz w:val="22"/>
                <w:szCs w:val="22"/>
                <w:color w:val="auto"/>
              </w:rPr>
            </w:pPr>
          </w:p>
        </w:tc>
        <w:tc>
          <w:tcPr>
            <w:tcW w:w="100" w:type="dxa"/>
            <w:vAlign w:val="bottom"/>
            <w:tcBorders>
              <w:bottom w:val="single" w:sz="8" w:color="C0C0C0"/>
            </w:tcBorders>
            <w:shd w:val="clear" w:color="auto" w:fill="C0C0C0"/>
          </w:tcPr>
          <w:p>
            <w:pPr>
              <w:spacing w:after="0"/>
              <w:rPr>
                <w:sz w:val="22"/>
                <w:szCs w:val="22"/>
                <w:color w:val="auto"/>
              </w:rPr>
            </w:pPr>
          </w:p>
        </w:tc>
        <w:tc>
          <w:tcPr>
            <w:tcW w:w="140" w:type="dxa"/>
            <w:vAlign w:val="bottom"/>
            <w:tcBorders>
              <w:bottom w:val="single" w:sz="8" w:color="C0C0C0"/>
            </w:tcBorders>
            <w:shd w:val="clear" w:color="auto" w:fill="C0C0C0"/>
          </w:tcPr>
          <w:p>
            <w:pPr>
              <w:spacing w:after="0"/>
              <w:rPr>
                <w:sz w:val="22"/>
                <w:szCs w:val="22"/>
                <w:color w:val="auto"/>
              </w:rPr>
            </w:pPr>
          </w:p>
        </w:tc>
        <w:tc>
          <w:tcPr>
            <w:tcW w:w="1400" w:type="dxa"/>
            <w:vAlign w:val="bottom"/>
            <w:tcBorders>
              <w:bottom w:val="single" w:sz="8" w:color="C0C0C0"/>
            </w:tcBorders>
            <w:gridSpan w:val="3"/>
            <w:shd w:val="clear" w:color="auto" w:fill="C0C0C0"/>
          </w:tcPr>
          <w:p>
            <w:pPr>
              <w:spacing w:after="0"/>
              <w:rPr>
                <w:sz w:val="22"/>
                <w:szCs w:val="22"/>
                <w:color w:val="auto"/>
              </w:rPr>
            </w:pPr>
          </w:p>
        </w:tc>
        <w:tc>
          <w:tcPr>
            <w:tcW w:w="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right w:val="single" w:sz="8" w:color="C0C0C0"/>
            </w:tcBorders>
            <w:gridSpan w:val="3"/>
            <w:shd w:val="clear" w:color="auto" w:fill="C0C0C0"/>
          </w:tcPr>
          <w:p>
            <w:pPr>
              <w:jc w:val="right"/>
              <w:spacing w:after="0"/>
              <w:rPr>
                <w:sz w:val="20"/>
                <w:szCs w:val="20"/>
                <w:color w:val="auto"/>
              </w:rPr>
            </w:pPr>
            <w:r>
              <w:rPr>
                <w:rFonts w:ascii="Arial" w:cs="Arial" w:eastAsia="Arial" w:hAnsi="Arial"/>
                <w:sz w:val="18"/>
                <w:szCs w:val="18"/>
                <w:color w:val="auto"/>
              </w:rPr>
              <w:t>2,309,267</w:t>
            </w:r>
          </w:p>
        </w:tc>
        <w:tc>
          <w:tcPr>
            <w:tcW w:w="80" w:type="dxa"/>
            <w:vAlign w:val="bottom"/>
            <w:tcBorders>
              <w:bottom w:val="single" w:sz="8" w:color="auto"/>
            </w:tcBorders>
            <w:shd w:val="clear" w:color="auto" w:fill="C0C0C0"/>
          </w:tcPr>
          <w:p>
            <w:pPr>
              <w:spacing w:after="0"/>
              <w:rPr>
                <w:sz w:val="22"/>
                <w:szCs w:val="22"/>
                <w:color w:val="auto"/>
              </w:rPr>
            </w:pPr>
          </w:p>
        </w:tc>
        <w:tc>
          <w:tcPr>
            <w:tcW w:w="40" w:type="dxa"/>
            <w:vAlign w:val="bottom"/>
            <w:tcBorders>
              <w:bottom w:val="single" w:sz="8" w:color="C0C0C0"/>
            </w:tcBorders>
            <w:shd w:val="clear" w:color="auto" w:fill="C0C0C0"/>
          </w:tcPr>
          <w:p>
            <w:pPr>
              <w:spacing w:after="0"/>
              <w:rPr>
                <w:sz w:val="22"/>
                <w:szCs w:val="22"/>
                <w:color w:val="auto"/>
              </w:rPr>
            </w:pPr>
          </w:p>
        </w:tc>
        <w:tc>
          <w:tcPr>
            <w:tcW w:w="40" w:type="dxa"/>
            <w:vAlign w:val="bottom"/>
            <w:tcBorders>
              <w:bottom w:val="single" w:sz="8" w:color="C0C0C0"/>
            </w:tcBorders>
            <w:shd w:val="clear" w:color="auto" w:fill="C0C0C0"/>
          </w:tcPr>
          <w:p>
            <w:pPr>
              <w:spacing w:after="0"/>
              <w:rPr>
                <w:sz w:val="22"/>
                <w:szCs w:val="22"/>
                <w:color w:val="auto"/>
              </w:rPr>
            </w:pPr>
          </w:p>
        </w:tc>
        <w:tc>
          <w:tcPr>
            <w:tcW w:w="120" w:type="dxa"/>
            <w:vAlign w:val="bottom"/>
            <w:tcBorders>
              <w:bottom w:val="single" w:sz="8" w:color="auto"/>
            </w:tcBorders>
            <w:shd w:val="clear" w:color="auto" w:fill="C0C0C0"/>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gridSpan w:val="4"/>
            <w:shd w:val="clear" w:color="auto" w:fill="C0C0C0"/>
          </w:tcPr>
          <w:p>
            <w:pPr>
              <w:jc w:val="right"/>
              <w:ind w:right="100"/>
              <w:spacing w:after="0"/>
              <w:rPr>
                <w:sz w:val="20"/>
                <w:szCs w:val="20"/>
                <w:color w:val="auto"/>
              </w:rPr>
            </w:pPr>
            <w:r>
              <w:rPr>
                <w:rFonts w:ascii="Arial" w:cs="Arial" w:eastAsia="Arial" w:hAnsi="Arial"/>
                <w:sz w:val="18"/>
                <w:szCs w:val="18"/>
                <w:color w:val="auto"/>
              </w:rPr>
              <w:t>1,254,799</w:t>
            </w: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10" w:name="page11"/>
    <w:bookmarkEnd w:id="1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gridSpan w:val="2"/>
          </w:tcPr>
          <w:p>
            <w:pPr>
              <w:spacing w:after="0"/>
              <w:rPr>
                <w:sz w:val="20"/>
                <w:szCs w:val="20"/>
                <w:color w:val="auto"/>
              </w:rPr>
            </w:pPr>
            <w:r>
              <w:rPr>
                <w:rFonts w:ascii="Arial" w:cs="Arial" w:eastAsia="Arial" w:hAnsi="Arial"/>
                <w:sz w:val="18"/>
                <w:szCs w:val="18"/>
                <w:color w:val="auto"/>
              </w:rPr>
              <w:t>4. Long-Term Debt</w:t>
            </w: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5220" w:type="dxa"/>
            <w:vAlign w:val="bottom"/>
            <w:gridSpan w:val="2"/>
          </w:tcPr>
          <w:p>
            <w:pPr>
              <w:spacing w:after="0"/>
              <w:rPr>
                <w:sz w:val="20"/>
                <w:szCs w:val="20"/>
                <w:color w:val="auto"/>
              </w:rPr>
            </w:pPr>
            <w:r>
              <w:rPr>
                <w:rFonts w:ascii="Arial" w:cs="Arial" w:eastAsia="Arial" w:hAnsi="Arial"/>
                <w:sz w:val="18"/>
                <w:szCs w:val="18"/>
                <w:color w:val="auto"/>
              </w:rPr>
              <w:t>Long-term debt consists of the following:</w:t>
            </w: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5"/>
        </w:trPr>
        <w:tc>
          <w:tcPr>
            <w:tcW w:w="230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right"/>
              <w:ind w:right="310"/>
              <w:spacing w:after="0"/>
              <w:rPr>
                <w:sz w:val="20"/>
                <w:szCs w:val="20"/>
                <w:color w:val="auto"/>
              </w:rPr>
            </w:pPr>
            <w:r>
              <w:rPr>
                <w:rFonts w:ascii="Arial" w:cs="Arial" w:eastAsia="Arial" w:hAnsi="Arial"/>
                <w:sz w:val="18"/>
                <w:szCs w:val="18"/>
                <w:color w:val="auto"/>
                <w:w w:val="95"/>
              </w:rPr>
              <w:t>June 30,</w:t>
            </w:r>
          </w:p>
        </w:tc>
      </w:tr>
      <w:tr>
        <w:trPr>
          <w:trHeight w:val="237"/>
        </w:trPr>
        <w:tc>
          <w:tcPr>
            <w:tcW w:w="230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r>
      <w:tr>
        <w:trPr>
          <w:trHeight w:val="216"/>
        </w:trPr>
        <w:tc>
          <w:tcPr>
            <w:tcW w:w="230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190"/>
              <w:spacing w:after="0"/>
              <w:rPr>
                <w:sz w:val="20"/>
                <w:szCs w:val="20"/>
                <w:color w:val="auto"/>
              </w:rPr>
            </w:pPr>
            <w:r>
              <w:rPr>
                <w:rFonts w:ascii="Arial" w:cs="Arial" w:eastAsia="Arial" w:hAnsi="Arial"/>
                <w:sz w:val="18"/>
                <w:szCs w:val="18"/>
                <w:color w:val="auto"/>
                <w:w w:val="90"/>
              </w:rPr>
              <w:t>(unaudited)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2920" w:type="dxa"/>
            <w:vAlign w:val="bottom"/>
            <w:shd w:val="clear" w:color="auto" w:fill="C0C0C0"/>
          </w:tcPr>
          <w:p>
            <w:pPr>
              <w:spacing w:after="0"/>
              <w:rPr>
                <w:sz w:val="20"/>
                <w:szCs w:val="20"/>
                <w:color w:val="auto"/>
              </w:rPr>
            </w:pPr>
            <w:r>
              <w:rPr>
                <w:rFonts w:ascii="Arial" w:cs="Arial" w:eastAsia="Arial" w:hAnsi="Arial"/>
                <w:sz w:val="18"/>
                <w:szCs w:val="18"/>
                <w:color w:val="auto"/>
              </w:rPr>
              <w:t>Capital lease obligations</w:t>
            </w:r>
          </w:p>
        </w:tc>
        <w:tc>
          <w:tcPr>
            <w:tcW w:w="13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402,375</w:t>
            </w:r>
          </w:p>
        </w:tc>
        <w:tc>
          <w:tcPr>
            <w:tcW w:w="2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84,043</w:t>
            </w:r>
          </w:p>
        </w:tc>
      </w:tr>
      <w:tr>
        <w:trPr>
          <w:trHeight w:val="223"/>
        </w:trPr>
        <w:tc>
          <w:tcPr>
            <w:tcW w:w="2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Loan agreement</w:t>
            </w:r>
          </w:p>
        </w:tc>
        <w:tc>
          <w:tcPr>
            <w:tcW w:w="1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165,660</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169,018</w:t>
            </w:r>
          </w:p>
        </w:tc>
      </w:tr>
      <w:tr>
        <w:trPr>
          <w:trHeight w:val="216"/>
        </w:trPr>
        <w:tc>
          <w:tcPr>
            <w:tcW w:w="2300" w:type="dxa"/>
            <w:vAlign w:val="bottom"/>
          </w:tcPr>
          <w:p>
            <w:pPr>
              <w:spacing w:after="0"/>
              <w:rPr>
                <w:sz w:val="18"/>
                <w:szCs w:val="18"/>
                <w:color w:val="auto"/>
              </w:rPr>
            </w:pPr>
          </w:p>
        </w:tc>
        <w:tc>
          <w:tcPr>
            <w:tcW w:w="2920" w:type="dxa"/>
            <w:vAlign w:val="bottom"/>
            <w:shd w:val="clear" w:color="auto" w:fill="C0C0C0"/>
          </w:tcPr>
          <w:p>
            <w:pPr>
              <w:spacing w:after="0"/>
              <w:rPr>
                <w:sz w:val="18"/>
                <w:szCs w:val="18"/>
                <w:color w:val="auto"/>
              </w:rPr>
            </w:pPr>
          </w:p>
        </w:tc>
        <w:tc>
          <w:tcPr>
            <w:tcW w:w="1180" w:type="dxa"/>
            <w:vAlign w:val="bottom"/>
            <w:shd w:val="clear" w:color="auto" w:fill="C0C0C0"/>
          </w:tcPr>
          <w:p>
            <w:pPr>
              <w:spacing w:after="0"/>
              <w:rPr>
                <w:sz w:val="18"/>
                <w:szCs w:val="18"/>
                <w:color w:val="auto"/>
              </w:rPr>
            </w:pPr>
          </w:p>
        </w:tc>
        <w:tc>
          <w:tcPr>
            <w:tcW w:w="160" w:type="dxa"/>
            <w:vAlign w:val="bottom"/>
            <w:shd w:val="clear" w:color="auto" w:fill="C0C0C0"/>
          </w:tcPr>
          <w:p>
            <w:pPr>
              <w:spacing w:after="0"/>
              <w:rPr>
                <w:sz w:val="18"/>
                <w:szCs w:val="18"/>
                <w:color w:val="auto"/>
              </w:rPr>
            </w:pPr>
          </w:p>
        </w:tc>
        <w:tc>
          <w:tcPr>
            <w:tcW w:w="12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568,035</w:t>
            </w:r>
          </w:p>
        </w:tc>
        <w:tc>
          <w:tcPr>
            <w:tcW w:w="100" w:type="dxa"/>
            <w:vAlign w:val="bottom"/>
            <w:shd w:val="clear" w:color="auto" w:fill="C0C0C0"/>
          </w:tcPr>
          <w:p>
            <w:pPr>
              <w:spacing w:after="0"/>
              <w:rPr>
                <w:sz w:val="18"/>
                <w:szCs w:val="18"/>
                <w:color w:val="auto"/>
              </w:rPr>
            </w:pPr>
          </w:p>
        </w:tc>
        <w:tc>
          <w:tcPr>
            <w:tcW w:w="180" w:type="dxa"/>
            <w:vAlign w:val="bottom"/>
            <w:shd w:val="clear" w:color="auto" w:fill="C0C0C0"/>
          </w:tcPr>
          <w:p>
            <w:pPr>
              <w:spacing w:after="0"/>
              <w:rPr>
                <w:sz w:val="18"/>
                <w:szCs w:val="18"/>
                <w:color w:val="auto"/>
              </w:rPr>
            </w:pPr>
          </w:p>
        </w:tc>
        <w:tc>
          <w:tcPr>
            <w:tcW w:w="108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253,061</w:t>
            </w:r>
          </w:p>
        </w:tc>
      </w:tr>
      <w:tr>
        <w:trPr>
          <w:trHeight w:val="223"/>
        </w:trPr>
        <w:tc>
          <w:tcPr>
            <w:tcW w:w="2300" w:type="dxa"/>
            <w:vAlign w:val="bottom"/>
          </w:tcPr>
          <w:p>
            <w:pPr>
              <w:spacing w:after="0"/>
              <w:rPr>
                <w:sz w:val="19"/>
                <w:szCs w:val="19"/>
                <w:color w:val="auto"/>
              </w:rPr>
            </w:pPr>
          </w:p>
        </w:tc>
        <w:tc>
          <w:tcPr>
            <w:tcW w:w="2920" w:type="dxa"/>
            <w:vAlign w:val="bottom"/>
          </w:tcPr>
          <w:p>
            <w:pPr>
              <w:spacing w:after="0"/>
              <w:rPr>
                <w:sz w:val="20"/>
                <w:szCs w:val="20"/>
                <w:color w:val="auto"/>
              </w:rPr>
            </w:pPr>
            <w:r>
              <w:rPr>
                <w:rFonts w:ascii="Arial" w:cs="Arial" w:eastAsia="Arial" w:hAnsi="Arial"/>
                <w:sz w:val="18"/>
                <w:szCs w:val="18"/>
                <w:color w:val="auto"/>
              </w:rPr>
              <w:t>Less current portion</w:t>
            </w:r>
          </w:p>
        </w:tc>
        <w:tc>
          <w:tcPr>
            <w:tcW w:w="1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267,869</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155,428</w:t>
            </w:r>
          </w:p>
        </w:tc>
      </w:tr>
      <w:tr>
        <w:trPr>
          <w:trHeight w:val="237"/>
        </w:trPr>
        <w:tc>
          <w:tcPr>
            <w:tcW w:w="2300" w:type="dxa"/>
            <w:vAlign w:val="bottom"/>
          </w:tcPr>
          <w:p>
            <w:pPr>
              <w:spacing w:after="0"/>
              <w:rPr>
                <w:sz w:val="20"/>
                <w:szCs w:val="20"/>
                <w:color w:val="auto"/>
              </w:rPr>
            </w:pPr>
          </w:p>
        </w:tc>
        <w:tc>
          <w:tcPr>
            <w:tcW w:w="2920" w:type="dxa"/>
            <w:vAlign w:val="bottom"/>
            <w:shd w:val="clear" w:color="auto" w:fill="C0C0C0"/>
          </w:tcPr>
          <w:p>
            <w:pPr>
              <w:spacing w:after="0"/>
              <w:rPr>
                <w:sz w:val="20"/>
                <w:szCs w:val="20"/>
                <w:color w:val="auto"/>
              </w:rPr>
            </w:pPr>
          </w:p>
        </w:tc>
        <w:tc>
          <w:tcPr>
            <w:tcW w:w="134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300,166</w:t>
            </w:r>
          </w:p>
        </w:tc>
        <w:tc>
          <w:tcPr>
            <w:tcW w:w="280" w:type="dxa"/>
            <w:vAlign w:val="bottom"/>
            <w:gridSpan w:val="2"/>
            <w:shd w:val="clear" w:color="auto" w:fill="C0C0C0"/>
          </w:tcPr>
          <w:p>
            <w:pPr>
              <w:jc w:val="right"/>
              <w:ind w:right="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97,633</w:t>
            </w:r>
          </w:p>
        </w:tc>
      </w:tr>
      <w:tr>
        <w:trPr>
          <w:trHeight w:val="20"/>
        </w:trPr>
        <w:tc>
          <w:tcPr>
            <w:tcW w:w="2300" w:type="dxa"/>
            <w:vAlign w:val="bottom"/>
          </w:tcPr>
          <w:p>
            <w:pPr>
              <w:spacing w:after="0" w:line="20" w:lineRule="exact"/>
              <w:rPr>
                <w:sz w:val="1"/>
                <w:szCs w:val="1"/>
                <w:color w:val="auto"/>
              </w:rPr>
            </w:pPr>
          </w:p>
        </w:tc>
        <w:tc>
          <w:tcPr>
            <w:tcW w:w="2920" w:type="dxa"/>
            <w:vAlign w:val="bottom"/>
            <w:tcBorders>
              <w:top w:val="single" w:sz="8" w:color="C0C0C0"/>
            </w:tcBorders>
            <w:shd w:val="clear" w:color="auto" w:fill="C0C0C0"/>
          </w:tcPr>
          <w:p>
            <w:pPr>
              <w:spacing w:after="0" w:line="20" w:lineRule="exact"/>
              <w:rPr>
                <w:sz w:val="1"/>
                <w:szCs w:val="1"/>
                <w:color w:val="auto"/>
              </w:rPr>
            </w:pPr>
          </w:p>
        </w:tc>
        <w:tc>
          <w:tcPr>
            <w:tcW w:w="1180" w:type="dxa"/>
            <w:vAlign w:val="bottom"/>
            <w:tcBorders>
              <w:top w:val="single" w:sz="8" w:color="C0C0C0"/>
            </w:tcBorders>
            <w:shd w:val="clear" w:color="auto" w:fill="C0C0C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0C0C0"/>
            </w:tcBorders>
            <w:shd w:val="clear" w:color="auto" w:fill="C0C0C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July 2011, the Company financed a portion of the premiums for various insurance policies totaling $90,372 due in nine equal monthly installment payments of $10,283 at an interest rate of 5.57%.</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August 2011, the Company entered into a capital lease for network equipment totaling approximately $496,000, due in thirty-six monthly payments of $14,145 through August 2014 at an interest rate of 6.8%.</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November 2011, the Company financed computer equipment for network equipment totaling approximately $46,000, due in twelve equal quarterly installment payments of $4,226 at an interest rate of 6.47%.</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5. Fair Value of Financial Instruments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accordance with the fair value hierarchy described in Note 1, the following table shows the fair value of the Company’s financial instruments that are required to be measured at fair value as of March 31, 2012 and June 30, 2011:</w:t>
      </w:r>
    </w:p>
    <w:p>
      <w:pPr>
        <w:spacing w:after="0" w:line="197" w:lineRule="exact"/>
        <w:rPr>
          <w:sz w:val="20"/>
          <w:szCs w:val="20"/>
          <w:color w:val="auto"/>
        </w:rPr>
      </w:pPr>
    </w:p>
    <w:tbl>
      <w:tblPr>
        <w:tblLayout w:type="fixed"/>
        <w:tblInd w:w="580" w:type="dxa"/>
        <w:tblCellMar>
          <w:top w:w="0" w:type="dxa"/>
          <w:left w:w="0" w:type="dxa"/>
          <w:bottom w:w="0" w:type="dxa"/>
          <w:right w:w="0" w:type="dxa"/>
        </w:tblCellMar>
      </w:tblPr>
      <w:tr>
        <w:trPr>
          <w:trHeight w:val="237"/>
        </w:trPr>
        <w:tc>
          <w:tcPr>
            <w:tcW w:w="4840" w:type="dxa"/>
            <w:vAlign w:val="bottom"/>
            <w:gridSpan w:val="2"/>
          </w:tcPr>
          <w:p>
            <w:pPr>
              <w:spacing w:after="0"/>
              <w:rPr>
                <w:sz w:val="20"/>
                <w:szCs w:val="20"/>
                <w:color w:val="auto"/>
              </w:rPr>
            </w:pPr>
            <w:r>
              <w:rPr>
                <w:rFonts w:ascii="Arial" w:cs="Arial" w:eastAsia="Arial" w:hAnsi="Arial"/>
                <w:sz w:val="18"/>
                <w:szCs w:val="18"/>
                <w:color w:val="auto"/>
              </w:rPr>
              <w:t>March 31, 2012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0C0C0"/>
          </w:tcPr>
          <w:p>
            <w:pPr>
              <w:spacing w:after="0"/>
              <w:rPr>
                <w:sz w:val="20"/>
                <w:szCs w:val="20"/>
                <w:color w:val="auto"/>
              </w:rPr>
            </w:pPr>
            <w:r>
              <w:rPr>
                <w:rFonts w:ascii="Arial" w:cs="Arial" w:eastAsia="Arial" w:hAnsi="Arial"/>
                <w:sz w:val="18"/>
                <w:szCs w:val="18"/>
                <w:color w:val="auto"/>
              </w:rPr>
              <w:t>Cash equivalents</w:t>
            </w:r>
          </w:p>
        </w:tc>
        <w:tc>
          <w:tcPr>
            <w:tcW w:w="2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132,146</w:t>
            </w:r>
          </w:p>
        </w:tc>
        <w:tc>
          <w:tcPr>
            <w:tcW w:w="1060" w:type="dxa"/>
            <w:vAlign w:val="bottom"/>
            <w:gridSpan w:val="2"/>
            <w:shd w:val="clear" w:color="auto" w:fill="C0C0C0"/>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132,146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w w:val="94"/>
              </w:rPr>
              <w:t>Common stock warrant liability, warrants exercisable at $2.6058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from September 18, 2011 through September 18, 2016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747,097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747,097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0C0C0"/>
          </w:tcPr>
          <w:p>
            <w:pPr>
              <w:spacing w:after="0" w:line="201" w:lineRule="exact"/>
              <w:rPr>
                <w:sz w:val="20"/>
                <w:szCs w:val="20"/>
                <w:color w:val="auto"/>
              </w:rPr>
            </w:pPr>
            <w:r>
              <w:rPr>
                <w:rFonts w:ascii="Arial" w:cs="Arial" w:eastAsia="Arial" w:hAnsi="Arial"/>
                <w:sz w:val="18"/>
                <w:szCs w:val="18"/>
                <w:color w:val="auto"/>
                <w:w w:val="98"/>
              </w:rPr>
              <w:t>Common stock warrant liability, warrants exercisable at $5.90</w:t>
            </w:r>
          </w:p>
        </w:tc>
        <w:tc>
          <w:tcPr>
            <w:tcW w:w="1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0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0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0C0C0"/>
          </w:tcPr>
          <w:p>
            <w:pPr>
              <w:spacing w:after="0"/>
              <w:rPr>
                <w:sz w:val="20"/>
                <w:szCs w:val="20"/>
                <w:color w:val="auto"/>
              </w:rPr>
            </w:pPr>
            <w:r>
              <w:rPr>
                <w:rFonts w:ascii="Arial" w:cs="Arial" w:eastAsia="Arial" w:hAnsi="Arial"/>
                <w:sz w:val="18"/>
                <w:szCs w:val="18"/>
                <w:color w:val="auto"/>
              </w:rPr>
              <w:t>through September 14, 2013</w:t>
            </w:r>
          </w:p>
        </w:tc>
        <w:tc>
          <w:tcPr>
            <w:tcW w:w="2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C0C0"/>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1,714</w:t>
            </w:r>
          </w:p>
        </w:tc>
        <w:tc>
          <w:tcPr>
            <w:tcW w:w="3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655"/>
        </w:trPr>
        <w:tc>
          <w:tcPr>
            <w:tcW w:w="20" w:type="dxa"/>
            <w:vAlign w:val="bottom"/>
          </w:tcPr>
          <w:p>
            <w:pPr>
              <w:spacing w:after="0"/>
              <w:rPr>
                <w:sz w:val="24"/>
                <w:szCs w:val="24"/>
                <w:color w:val="auto"/>
              </w:rPr>
            </w:pP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June 30, 2011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24"/>
                <w:szCs w:val="24"/>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Level 2</w:t>
            </w:r>
          </w:p>
        </w:tc>
        <w:tc>
          <w:tcPr>
            <w:tcW w:w="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Level 3</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0C0C0"/>
          </w:tcPr>
          <w:p>
            <w:pPr>
              <w:spacing w:after="0"/>
              <w:rPr>
                <w:sz w:val="20"/>
                <w:szCs w:val="20"/>
                <w:color w:val="auto"/>
              </w:rPr>
            </w:pPr>
            <w:r>
              <w:rPr>
                <w:rFonts w:ascii="Arial" w:cs="Arial" w:eastAsia="Arial" w:hAnsi="Arial"/>
                <w:sz w:val="18"/>
                <w:szCs w:val="18"/>
                <w:color w:val="auto"/>
              </w:rPr>
              <w:t>Cash equivalents</w:t>
            </w:r>
          </w:p>
        </w:tc>
        <w:tc>
          <w:tcPr>
            <w:tcW w:w="2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83,267</w:t>
            </w:r>
          </w:p>
        </w:tc>
        <w:tc>
          <w:tcPr>
            <w:tcW w:w="1060" w:type="dxa"/>
            <w:vAlign w:val="bottom"/>
            <w:gridSpan w:val="2"/>
            <w:shd w:val="clear" w:color="auto" w:fill="C0C0C0"/>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83,267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w w:val="94"/>
              </w:rPr>
              <w:t>Common stock warrant liability, warrants exercisable at $2.6058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from September 18, 2011 through September 18, 2016</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2,638,629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2,638,629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20" w:type="dxa"/>
            <w:vAlign w:val="bottom"/>
            <w:shd w:val="clear" w:color="auto" w:fill="C0C0C0"/>
          </w:tcPr>
          <w:p>
            <w:pPr>
              <w:spacing w:after="0" w:line="201" w:lineRule="exact"/>
              <w:rPr>
                <w:sz w:val="20"/>
                <w:szCs w:val="20"/>
                <w:color w:val="auto"/>
              </w:rPr>
            </w:pPr>
            <w:r>
              <w:rPr>
                <w:rFonts w:ascii="Arial" w:cs="Arial" w:eastAsia="Arial" w:hAnsi="Arial"/>
                <w:sz w:val="18"/>
                <w:szCs w:val="18"/>
                <w:color w:val="auto"/>
                <w:w w:val="98"/>
              </w:rPr>
              <w:t>Common stock warrant liability, warrants exercisable at $5.90</w:t>
            </w:r>
          </w:p>
        </w:tc>
        <w:tc>
          <w:tcPr>
            <w:tcW w:w="10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060" w:type="dxa"/>
            <w:vAlign w:val="bottom"/>
            <w:shd w:val="clear" w:color="auto" w:fill="C0C0C0"/>
          </w:tcPr>
          <w:p>
            <w:pPr>
              <w:spacing w:after="0"/>
              <w:rPr>
                <w:sz w:val="17"/>
                <w:szCs w:val="17"/>
                <w:color w:val="auto"/>
              </w:rPr>
            </w:pPr>
          </w:p>
        </w:tc>
        <w:tc>
          <w:tcPr>
            <w:tcW w:w="100" w:type="dxa"/>
            <w:vAlign w:val="bottom"/>
            <w:shd w:val="clear" w:color="auto" w:fill="C0C0C0"/>
          </w:tcPr>
          <w:p>
            <w:pPr>
              <w:spacing w:after="0"/>
              <w:rPr>
                <w:sz w:val="17"/>
                <w:szCs w:val="17"/>
                <w:color w:val="auto"/>
              </w:rPr>
            </w:pPr>
          </w:p>
        </w:tc>
        <w:tc>
          <w:tcPr>
            <w:tcW w:w="96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180" w:type="dxa"/>
            <w:vAlign w:val="bottom"/>
            <w:shd w:val="clear" w:color="auto" w:fill="C0C0C0"/>
          </w:tcPr>
          <w:p>
            <w:pPr>
              <w:spacing w:after="0"/>
              <w:rPr>
                <w:sz w:val="17"/>
                <w:szCs w:val="17"/>
                <w:color w:val="auto"/>
              </w:rPr>
            </w:pPr>
          </w:p>
        </w:tc>
        <w:tc>
          <w:tcPr>
            <w:tcW w:w="1060" w:type="dxa"/>
            <w:vAlign w:val="bottom"/>
            <w:shd w:val="clear" w:color="auto" w:fill="C0C0C0"/>
          </w:tcPr>
          <w:p>
            <w:pPr>
              <w:spacing w:after="0"/>
              <w:rPr>
                <w:sz w:val="17"/>
                <w:szCs w:val="17"/>
                <w:color w:val="auto"/>
              </w:rPr>
            </w:pPr>
          </w:p>
        </w:tc>
        <w:tc>
          <w:tcPr>
            <w:tcW w:w="120" w:type="dxa"/>
            <w:vAlign w:val="bottom"/>
            <w:shd w:val="clear" w:color="auto" w:fill="C0C0C0"/>
          </w:tcPr>
          <w:p>
            <w:pPr>
              <w:spacing w:after="0"/>
              <w:rPr>
                <w:sz w:val="17"/>
                <w:szCs w:val="17"/>
                <w:color w:val="auto"/>
              </w:rPr>
            </w:pPr>
          </w:p>
        </w:tc>
        <w:tc>
          <w:tcPr>
            <w:tcW w:w="240" w:type="dxa"/>
            <w:vAlign w:val="bottom"/>
            <w:shd w:val="clear" w:color="auto" w:fill="C0C0C0"/>
          </w:tcPr>
          <w:p>
            <w:pPr>
              <w:spacing w:after="0"/>
              <w:rPr>
                <w:sz w:val="17"/>
                <w:szCs w:val="17"/>
                <w:color w:val="auto"/>
              </w:rPr>
            </w:pPr>
          </w:p>
        </w:tc>
        <w:tc>
          <w:tcPr>
            <w:tcW w:w="1020" w:type="dxa"/>
            <w:vAlign w:val="bottom"/>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0C0C0"/>
          </w:tcPr>
          <w:p>
            <w:pPr>
              <w:spacing w:after="0"/>
              <w:rPr>
                <w:sz w:val="20"/>
                <w:szCs w:val="20"/>
                <w:color w:val="auto"/>
              </w:rPr>
            </w:pPr>
            <w:r>
              <w:rPr>
                <w:rFonts w:ascii="Arial" w:cs="Arial" w:eastAsia="Arial" w:hAnsi="Arial"/>
                <w:sz w:val="18"/>
                <w:szCs w:val="18"/>
                <w:color w:val="auto"/>
              </w:rPr>
              <w:t>through September 14, 2013</w:t>
            </w:r>
          </w:p>
        </w:tc>
        <w:tc>
          <w:tcPr>
            <w:tcW w:w="28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0C0C0"/>
          </w:tcPr>
          <w:p>
            <w:pPr>
              <w:jc w:val="right"/>
              <w:ind w:right="770"/>
              <w:spacing w:after="0"/>
              <w:rPr>
                <w:sz w:val="20"/>
                <w:szCs w:val="20"/>
                <w:color w:val="auto"/>
              </w:rPr>
            </w:pPr>
            <w:r>
              <w:rPr>
                <w:rFonts w:ascii="Arial" w:cs="Arial" w:eastAsia="Arial" w:hAnsi="Arial"/>
                <w:sz w:val="18"/>
                <w:szCs w:val="18"/>
                <w:color w:val="auto"/>
              </w:rPr>
              <w:t>$</w:t>
            </w:r>
          </w:p>
        </w:tc>
        <w:tc>
          <w:tcPr>
            <w:tcW w:w="30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0C0C0"/>
          </w:tcPr>
          <w:p>
            <w:pPr>
              <w:jc w:val="right"/>
              <w:ind w:righ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93,624</w:t>
            </w:r>
          </w:p>
        </w:tc>
        <w:tc>
          <w:tcPr>
            <w:tcW w:w="36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93,624</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As of March 31, 2012 and June 30, 2011, the fair values of the Company’s Level 1 financial instruments were $132,146 and $83,267, respectively. These financial instruments consist of money market accounts classified as cash equivalents on the Company’s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2012 and June 30, 2011, the Company held no Level 2 financial instruments.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5. Fair Value of Financial Instruments (Continued)</w:t>
      </w:r>
    </w:p>
    <w:p>
      <w:pPr>
        <w:spacing w:after="0" w:line="25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As of March 31, 2012 and June 30, 2011, the fair values of the Company’s Level 3 financial instruments totaled $748,811 and $2,732,253, respectively. The Level 3 financial instruments consist of common stock warrants issued by the Company in March 2011 and March 2007, which include features requiring liability treatment of the warrants. The fair value of warrants issued in March 2011 to purchase 3.9 million shares of the Company’s common stock is based on valuations performed by an independent third party valuation firm. The fair value was determined using proprietary valuation models using the quality of the underlying securities of the warrants, restrictions on the warrants and security underlying the warrants, time restrictions and precedent sale transactions completed in the secondary market or in other private transactions. The fair value of warrants issued in March 2007 to purchase 903,955 shares of the Company’s common stock was estimated by the Company using the Black-Scholes model and applying an estimated fair value adjustment primarily related to the illiquidity of the warrants. Prior to March 31, 2011, the fair value of these warrants was determined to be de minimus and was not included on the Company’s consolidated balance sheets.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of assets or liabilities between level 1, level 2, or level 3 during the nine months ended March 31, 2012 and 2011.</w:t>
      </w:r>
    </w:p>
    <w:p>
      <w:pPr>
        <w:spacing w:after="0" w:line="252"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20" w:type="dxa"/>
            <w:vAlign w:val="bottom"/>
            <w:gridSpan w:val="4"/>
          </w:tcPr>
          <w:p>
            <w:pPr>
              <w:jc w:val="right"/>
              <w:ind w:right="150"/>
              <w:spacing w:after="0"/>
              <w:rPr>
                <w:sz w:val="20"/>
                <w:szCs w:val="20"/>
                <w:color w:val="auto"/>
              </w:rPr>
            </w:pPr>
            <w:r>
              <w:rPr>
                <w:rFonts w:ascii="Arial" w:cs="Arial" w:eastAsia="Arial" w:hAnsi="Arial"/>
                <w:sz w:val="18"/>
                <w:szCs w:val="18"/>
                <w:color w:val="auto"/>
                <w:w w:val="93"/>
              </w:rPr>
              <w:t>Nine months ended March 31,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color w:val="auto"/>
                <w:w w:val="92"/>
              </w:rPr>
              <w:t>(unaudited)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w w:val="94"/>
              </w:rPr>
              <w:t>(unaudited)</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0C0C0"/>
          </w:tcPr>
          <w:p>
            <w:pPr>
              <w:spacing w:after="0"/>
              <w:rPr>
                <w:sz w:val="20"/>
                <w:szCs w:val="20"/>
                <w:color w:val="auto"/>
              </w:rPr>
            </w:pPr>
            <w:r>
              <w:rPr>
                <w:rFonts w:ascii="Arial" w:cs="Arial" w:eastAsia="Arial" w:hAnsi="Arial"/>
                <w:sz w:val="18"/>
                <w:szCs w:val="18"/>
                <w:color w:val="auto"/>
              </w:rPr>
              <w:t>Balance, beginning of period</w:t>
            </w:r>
          </w:p>
        </w:tc>
        <w:tc>
          <w:tcPr>
            <w:tcW w:w="12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(2,732,253)</w:t>
            </w:r>
          </w:p>
        </w:tc>
        <w:tc>
          <w:tcPr>
            <w:tcW w:w="220" w:type="dxa"/>
            <w:vAlign w:val="bottom"/>
            <w:gridSpan w:val="2"/>
            <w:shd w:val="clear" w:color="auto" w:fill="C0C0C0"/>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20" w:type="dxa"/>
            <w:vAlign w:val="bottom"/>
          </w:tcPr>
          <w:p>
            <w:pPr>
              <w:spacing w:after="0" w:line="201" w:lineRule="exact"/>
              <w:rPr>
                <w:sz w:val="20"/>
                <w:szCs w:val="20"/>
                <w:color w:val="auto"/>
              </w:rPr>
            </w:pPr>
            <w:r>
              <w:rPr>
                <w:rFonts w:ascii="Arial" w:cs="Arial" w:eastAsia="Arial" w:hAnsi="Arial"/>
                <w:sz w:val="18"/>
                <w:szCs w:val="18"/>
                <w:color w:val="auto"/>
                <w:w w:val="96"/>
              </w:rPr>
              <w:t>Unrealized gains (losses) included in other income related to the change in the fair value of warrant</w:t>
            </w: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12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1,983,442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(850,740)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Purchases, sales, issuances, settlements, or transfers</w:t>
            </w:r>
          </w:p>
        </w:tc>
        <w:tc>
          <w:tcPr>
            <w:tcW w:w="120" w:type="dxa"/>
            <w:vAlign w:val="bottom"/>
            <w:tcBorders>
              <w:bottom w:val="single" w:sz="8" w:color="auto"/>
            </w:tcBorders>
            <w:shd w:val="clear" w:color="auto" w:fill="C0C0C0"/>
          </w:tcPr>
          <w:p>
            <w:pPr>
              <w:spacing w:after="0"/>
              <w:rPr>
                <w:sz w:val="19"/>
                <w:szCs w:val="19"/>
                <w:color w:val="auto"/>
              </w:rPr>
            </w:pPr>
          </w:p>
        </w:tc>
        <w:tc>
          <w:tcPr>
            <w:tcW w:w="114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0C0C0"/>
            </w:tcBorders>
            <w:shd w:val="clear" w:color="auto" w:fill="C0C0C0"/>
          </w:tcPr>
          <w:p>
            <w:pPr>
              <w:spacing w:after="0"/>
              <w:rPr>
                <w:sz w:val="19"/>
                <w:szCs w:val="19"/>
                <w:color w:val="auto"/>
              </w:rPr>
            </w:pPr>
          </w:p>
        </w:tc>
        <w:tc>
          <w:tcPr>
            <w:tcW w:w="120" w:type="dxa"/>
            <w:vAlign w:val="bottom"/>
            <w:tcBorders>
              <w:bottom w:val="single" w:sz="8" w:color="auto"/>
            </w:tcBorders>
            <w:shd w:val="clear" w:color="auto" w:fill="C0C0C0"/>
          </w:tcPr>
          <w:p>
            <w:pPr>
              <w:spacing w:after="0"/>
              <w:rPr>
                <w:sz w:val="19"/>
                <w:szCs w:val="19"/>
                <w:color w:val="auto"/>
              </w:rPr>
            </w:pPr>
          </w:p>
        </w:tc>
        <w:tc>
          <w:tcPr>
            <w:tcW w:w="11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(1,917,122)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Balance, end of period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(748,811)</w:t>
            </w:r>
          </w:p>
        </w:tc>
        <w:tc>
          <w:tcPr>
            <w:tcW w:w="2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(2,767,862)</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6. Common Stock and Preferred Stock</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October 14, 2011 and pursuant to the Separation Agreement and Release (the “Separation Agreement”) entered into by Mr. George R. Jensen, Jr. and the Company, Mr. Jensen resigned as Chairman, Chief Executive Officer and as a Director of the Company, effective immediately. In accordance with the Separation Agreement the Company issued to Mr. Jensen 41,667 shares of the Company’s common stock which had been awarded to Mr. Jensen in connection with the signing of an amendment to his employment agreement in April 2011 and which would not have otherwise vested until April 2012, as well as 50,000 shares of the Company’s common stock which had been awarded to Mr. Jensen in connection with the signing of his amended and restated employment agreement in September 2011 and which would not have otherwise vested until September 2012. Also pursuant to the Separation Agreement, 41,667 shares of common stock that would have vested in April 2013 in connection with the signing of an amendment to Mr. Jensen’s employment agreement in April 2011 and 50,000 shares of common stock that would have vested in September 2013 in connection with the signing of his amended and restated employment agreement in September 2011 were forfeited. In the three months ended September 30, 2011 the Company issued 50,000 shares of common stock to Mr. Jensen in accordance with an amended and restated employment agreement entered into on September 27, 2011.</w:t>
      </w:r>
    </w:p>
    <w:p>
      <w:pPr>
        <w:spacing w:after="0" w:line="19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30, 2011, the Company appointed Mr. Stephen P. Herbert as the Chairman of the Board of Directors and Chief Executive Officer of the Company and entered into an Amended and Restated Employment and Non-Competition Agreement (the “Herbert Agreement”) that replaced his prior employment agreement with the Company. Notwithstanding the Herbert Agreement, the 100,000 shares of common stock awarded to Mr. Herbert under his prior employment agreement dated September 27, 2011 would vest as follows: 33,333 on September 27, 2011; 33,333 on the first anniversary of the date of signing (September 27, 2012); and 33,334 on the second anniversary of the date of signing (September 27, 2013).</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27, 2011, the Company and Mr. DeMedio entered into a fifth amendment to his employment agreement pursuant to which Mr. DeMedio was granted an aggregate of 25,000 shares of common stock as a bonus for his performance during the last six months of the 2011 fiscal year which vest as follows: 8,333 on the date of signing the amendment (September 27, 2011); 8,333 on the first anniversary of such signing date (September 27, 2012); and 8,334 on the second anniversary of such signing date (September 27, 2013). Mr. DeMedio also agreed that the premiums for his supplemental long-term disability policy being paid by the Company would now be included in his taxable wages.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6. Common Stock and Preferred Stock (Continued)</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September 15, 2011, at the recommendation of the Compensation Committee, the board of directors adopted the Fiscal Year 2012 Performance Share Plan (the “2012 Plan”) covering the Company’s executive officers. Under the 2012 Plan, each executive officer will be awarded common stock in the event the Company achieves target goals during the fiscal year ending June 30, 2012 relating to the total number of connections, total revenues, operating expenses, and operating earnings. Operating earnings is defined as earnings before interest and taxes (after bonus accruals and stock awards) and before non-operating gains or losses. The number of eligible shares to be awarded to the executives is based upon the following weightings: 30% by the total number of connections; 30% by total revenues; 10% by operating expenses; and 30% by operating earnings. No awards would be made under the 2012 Plan if either (i) none of the minimum, threshold performance target goals have been achieved, or (ii) if operating earnings for the 2012 fiscal year are not equal or better than those during the 2011 fiscal year. In addition, the Herbert Agreement provides for the payment to Mr. Herbert of a cash bonus of $30,000 if the Company would achieve all of the minimum threshold performance target goals under the 2012 Plan, of $50,000 if the Company would achieve all of the target performance goals under the 2012 Plan, and of $75,000 if the Company would achieve all of the maximum distinguished performance target goals under the 2012 Plan.</w:t>
      </w:r>
    </w:p>
    <w:p>
      <w:pPr>
        <w:spacing w:after="0" w:line="1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If all of the target performance goals are achieved, the executive officers would be awarded the following number of shares: Mr. Herbert – 120,000 shares; and Mr. DeMedio – 50,000 shares. If all of the minimum, threshold performance target goals are achieved, the executive officers would be awarded 20% of the number of shares which would have been awarded to them if all of the target performance goals had been achieved. If all of the maximum, distinguished performance target goals are achieved, the executive officers would be awarded 150% of the number of shares which would have been awarded to them if all of the target performance goals had been achieved. If the actual results for the fiscal year are less than the target goals (but greater than the minimum, threshold performance target goals), each executive would be awarded a lesser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portion of the number of eligible shares. In the event of the occurrence of a USA Transaction during the fiscal year, and provided that the executive is an employee of USA on the date of such USA Transaction, the Plan shall be terminated and each executive shall be awarded shares as of the date of such USA Transaction as if all of the target performance goals had been met. In the event that the executive’s employment with the Company is terminated by the Company for cause during the fiscal year, or if the executive resigns his employment for any reason other than for good reason during the fiscal year, then the executive shall not be entitled to earn any award under the 2012 Plan. In the event that the executive’s employment with the Company shall be terminated by the Company during the fiscal year for any reason whatsoever other than for cause, or if the executive’s employment is terminated by the executive for good reason during the fiscal year, then the executive shall be awarded shares as if all of the target performance goals had been meet. If the executive’s employment is terminated during the fiscal year as a result of death or disability, the executive shall nevertheless be eligible to earn shares under the 2012 Plan as if he had remained employed with the Company through the end of the fiscal year.</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Notwithstanding the above description of the 2012 Plan, the executives would receive shares from the Company pursuant to the 2012 Plan only if and to the extent that shares would be available to be issued to the executives under the existing 2011 stock incentive plan or another stock plan that has been approved by the shareholders of the Company in accordance with NASDAQ Listing Rule 5635(c). If there would not be a sufficient number of shares available to be issued to the executives, the Company would pay to the executives an amount of cash equal to the value of those shares not available to be issued to the executives. In such event, the executives would be required to utilize the cash payment, net of any withholding, payroll or other taxes attributable to the cash payment, to purchase shares of common stock of the Company on the open market.</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September 15, 2011 and through March 31, 2012, there were not sufficient shares available under the existing 2011 stock incentive plan or another stock plan that had been approved by the shareholders of the Company; consequently, the Company may be required to deliver to the executives an amount of cash equal to the value of shares earned but not available to be issued to the executives. Therefore, in accordance with ASC Topic 718, “Stock Compensation”, this award is accounted for as a liability of the Company. As of March 31, 2012 and for the three and nine months then ended the Company recorded a liability as if the award will be settled in cash of $114,117 and recorded expense of $47,549 and $114,117, respectively as its estimate of the award earned by Messrs. Herbert and DeMedio.</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the Separation Agreement entered into by the Company and Mr. Jensen, Mr. Jensen is not entitled to earn shares under the 2012 Plan, and therefore no award was estimated for Mr. Jensen for the nine months ended March 31, 2012.</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USA Technologies,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6. Common Stock and Preferred Stock (Continued)</w:t>
      </w:r>
    </w:p>
    <w:p>
      <w:pPr>
        <w:spacing w:after="0" w:line="25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October 2011, executive officers exercised their right to cancel shares of common stock awarded to them under prior employment agreements for the payment of payroll taxes. 10,034 shares of the Company’s Common Stock were cancelled to satisfy $12,041 of related payroll tax obligations.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December 31, 2011 quarter, the Company announced that Steven D. Barnhart had been elected Lead Independent Director by the Company’s independent directors. The Compensation Committee of the Board of Directors recommended, and the Board approved, that Mr. Barnhart receive compensation of $40,000 per year for acting as the lead independent director to be effective from and after the date of his appointment. Such compensation may be paid in shares of the Company rather than cash if such shares are available and subject to an appropriate agreement between Mr. Barnhart and the Company. The Company issued to Mr. Barnhart 7,813 and 12,278 shares of common stock attributable to his service as Lead Independent Director during the three and nine months ended March 31, 2012.</w:t>
      </w:r>
    </w:p>
    <w:p>
      <w:pPr>
        <w:spacing w:after="0" w:line="22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2012, a non-employee member of the Board of Directors forfeited and returned to the Company 10,000 shares of Common Stock which were granted in June 2011 under the 2010 Stock Incentive Plan.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March 2012, the Board of Directors accepted the recommendation of the Compensation Committee that each of the three non-employee Directors appointed to the Board effective in February 2012 receive a stock award of 10,000 shares of Common Stock under the 2010 Stock Incentive Plan valued at $0.94 per share. A total of 30,000 shares of Common Stock were awarded, and the shares vest as follows: 9,999 on April 1, 2012; 9,999 on April 1, 2013; and, 10,002 on April 1, 2014.</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7. Common Stock Warrants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As of March 31, 2012, there were 8,048,386 Common Stock warrants outstanding, all of which were currently exercisable at exercise prices ranging from $1.13 to $7.70 per share.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4,803,955 of the warrants are subject to liability accounting. Therefore, the fair value of the warrants is included on the Company’s consolidated balance sheets and changes in the fair value are included in the Company’s consolidated statements of operations (see Note 5).</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8. Commitments</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Various legal actions and claims occurring in the normal course of business are pending or may be instituted or asserted in the future against the Company. The Company does not believe that the resolution of these matters will have a material effect on the financial position or results of operations of the Company. Legal fees are expensed as incurred.</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October 2011, the Company amended the lease of its operations site in Malvern, Pennsylvania, to extend the lease term from December 31, 2011 to December 31, 2012 with the option to extend the lease thereafter for an additional 24-month period. The amendment includes monthly rental payments of approximately $15,100 to $16,200. Beginning in January 2012 the straight-lined rent expense for this office is approximately $15,600 per month for the duration of the amended lease period.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9. Subsequent Events</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Board of Directors of the Company appointed Albin F. Moschner to serve as director of the Company effective April 26, 2012. Mr. Moschner was appointed to fill an existing vacancy on the Board of Directors.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Bradley M. Tirpak (“Tirpak”), a shareholder and former Board member, has notified the Company that he has nominated seven individuals, including himself, for election to the Board at the 2012 annual meeting of shareholders currently scheduled for June 28, 2012. Tirpak’s nominees are not endorsed by the Board of Directors, and the Board intends to recommend that shareholders vote for the slate of nominees proposed by the Board.</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This Form 10-Q contains certain forward-looking statements regarding, among other things, the anticipated financial and operating results of the Company. For this purpose, forward-looking statements are any statements contained herein that are not statements of historical fact and include, but are not limited to, those preceded by or that include the words, “estimate,” “could,” “should,” “would,” “likely,” “may,” “will,” “plan,” “intend,” “believes,” “expects,” “anticipates,” “projected,” or similar expressions. Those statements are subject to known and unknown risks, uncertainties and other factors that could cause the actual results to differ materially from those contemplated by the statements. The forward looking information is based on various factors and was derived using numerous assumptions. Important factors that could cause the Company’s actual results to differ materially from those projected, include, for example:</w:t>
      </w:r>
    </w:p>
    <w:p>
      <w:pPr>
        <w:spacing w:after="0" w:line="192"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generate sufficient sales to generate operating profits, or conduct operations at a profit;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raise funds in the future through sales of securities;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compete with its competitors to obtain market share;</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Company’s customers purchase or rent ePort devices or our other products in the future at levels currently anticipated by our Company, including our Jump Start Program;</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Company’s customers continue to operate or commence operating ePorts received under the Jump Start Program or otherwise at levels currently anticipated by the Company;</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Company’s customers continue to utilize the Company’s transaction processing and related services, as our customer agreements are generally cancelable by the customer on thirty to sixty days’ notice;</w:t>
      </w:r>
    </w:p>
    <w:p>
      <w:pPr>
        <w:spacing w:after="0" w:line="197" w:lineRule="exact"/>
        <w:rPr>
          <w:rFonts w:ascii="Arial" w:cs="Arial" w:eastAsia="Arial" w:hAnsi="Arial"/>
          <w:sz w:val="18"/>
          <w:szCs w:val="18"/>
          <w:color w:val="auto"/>
        </w:rPr>
      </w:pPr>
    </w:p>
    <w:p>
      <w:pPr>
        <w:ind w:left="980" w:right="20" w:hanging="324"/>
        <w:spacing w:after="0" w:line="342" w:lineRule="auto"/>
        <w:tabs>
          <w:tab w:leader="none" w:pos="9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whether the significant increase in the interchange fees charged by Visa and MasterCard for small ticket debit card transactions effective on October 1, 2011 would adversely affect our business, including our revenues, gross profits, and anticipated future connections to our network;</w:t>
      </w:r>
    </w:p>
    <w:p>
      <w:pPr>
        <w:spacing w:after="0" w:line="150" w:lineRule="exact"/>
        <w:rPr>
          <w:rFonts w:ascii="Arial" w:cs="Arial" w:eastAsia="Arial" w:hAnsi="Arial"/>
          <w:sz w:val="16"/>
          <w:szCs w:val="16"/>
          <w:color w:val="auto"/>
        </w:rPr>
      </w:pPr>
    </w:p>
    <w:p>
      <w:pPr>
        <w:ind w:left="980" w:hanging="293"/>
        <w:spacing w:after="0" w:line="277" w:lineRule="auto"/>
        <w:tabs>
          <w:tab w:leader="none" w:pos="9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potential costs which may arise in connection with the nomination by a shareholder of seven candidates as director nominees at the 2012 annual meeting of shareholders;</w:t>
      </w:r>
    </w:p>
    <w:p>
      <w:pPr>
        <w:spacing w:after="0" w:line="197"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obtain sufficient funds through operations or otherwise to repay its debt obligations, or to fund development and marketing of its products;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satisfy its trade obligations included in accounts payable and accrued liabilities;</w:t>
      </w:r>
    </w:p>
    <w:p>
      <w:pPr>
        <w:spacing w:after="0" w:line="252"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predict or estimate its future quarterly or annual revenues and expenses given the developing and unpredictable market for its products;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Company to retain key customers from whom a significant portion of its revenues is derived;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a key customer to reduce or delay purchasing products from the Company;</w:t>
      </w:r>
    </w:p>
    <w:p>
      <w:pPr>
        <w:spacing w:after="0" w:line="252"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whether the actions of the former CEO of the Company which resulted in his separation from the Company in October 2011 or the Securities and Exchange Commission’s recently commenced investigation would have a material adverse effect on the future financial results or condition of the Company; and</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ind w:left="980" w:hanging="324"/>
        <w:spacing w:after="0" w:line="342" w:lineRule="auto"/>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a result of the slowdown in the economy and/or the tightening of the capital and credit markets, our customers may modify, delay or cancel plans to purchase our products or services, and suppliers may increase their prices, reduce their output or change their terms of sale.</w:t>
      </w:r>
    </w:p>
    <w:p>
      <w:pPr>
        <w:spacing w:after="0" w:line="15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Although we believe that the expectations reflected in the forward-looking statements are reasonable, we cannot guarantee future results, levels of activity, performance, or achievements. Actual results or business conditions may differ materially from those projected or suggested in forward-looking statements as a result of various factors including, but not limited to, those described above. We cannot assure you that we have identified all the factors that create uncertainties. Moreover, new risks emerge from time to time and it is not possible for our management to predict all risks, nor can we assess the impact of all risks on our business or the extent to which any risk, or combination of risks, may cause actual results to differ from those contained in any forward-looking statements. Readers should not place undue reliance on forward-looking statements.</w:t>
      </w:r>
    </w:p>
    <w:p>
      <w:pPr>
        <w:spacing w:after="0" w:line="20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Any forward-looking statement made by us in this Form 10-Q speaks only as of the date of this Form 10-Q. Unless required by law, we undertake no obligation to publicly revise any forward-looking statement to reflect circumstances or events after the date of this Form 10-Q or to reflect the occurrence of unanticipated events.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 months ended March 31, 2012 compared to the three months ended March 31, 2011</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Results for the three months ended March 31, 2012 continued to demonstrate significant growth and improvements in the Company’s operations. Highlights of year over year improvements include:</w:t>
      </w:r>
    </w:p>
    <w:p>
      <w:pPr>
        <w:spacing w:after="0" w:line="197" w:lineRule="exact"/>
        <w:rPr>
          <w:sz w:val="20"/>
          <w:szCs w:val="20"/>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revenue up 36% ;</w:t>
      </w:r>
    </w:p>
    <w:p>
      <w:pPr>
        <w:spacing w:after="0" w:line="23"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Recurring license and transaction fee revenue up 39% ;</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connections added up 300%; and,</w:t>
      </w:r>
    </w:p>
    <w:p>
      <w:pPr>
        <w:spacing w:after="0" w:line="9" w:lineRule="exact"/>
        <w:rPr>
          <w:rFonts w:ascii="Arial" w:cs="Arial" w:eastAsia="Arial" w:hAnsi="Arial"/>
          <w:sz w:val="18"/>
          <w:szCs w:val="18"/>
          <w:color w:val="auto"/>
        </w:rPr>
      </w:pPr>
    </w:p>
    <w:p>
      <w:pPr>
        <w:ind w:left="660" w:hanging="139"/>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profit dollars up 80% and gross profit margins up 32%</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growing ePort connect service base of connections drove the 39% increase in license and transaction fee revenue. Revenue from license and transaction fees, which is fueled primarily by monthly ePort Connect® service fees and transaction processing fees, grew to approximately $6 million for the third quarter of fiscal 2012 from $4.3 million for the same period a year ago. These recurring revenues represented 80% of total revenue for the third quarter of fiscal 2012.</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License and transaction fee highlights for the three months ended March 31, 2012 included:</w:t>
      </w:r>
    </w:p>
    <w:p>
      <w:pPr>
        <w:spacing w:after="0" w:line="252" w:lineRule="exact"/>
        <w:rPr>
          <w:sz w:val="20"/>
          <w:szCs w:val="20"/>
          <w:color w:val="auto"/>
        </w:rPr>
      </w:pPr>
    </w:p>
    <w:p>
      <w:pPr>
        <w:ind w:left="660" w:right="20" w:hanging="139"/>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12,000 additional net connections to USAT’s ePort Connect servicer, an increase of approximately 300% compared to connections added during the third quarter a year ago;</w:t>
      </w:r>
    </w:p>
    <w:p>
      <w:pPr>
        <w:spacing w:after="0" w:line="1" w:lineRule="exact"/>
        <w:rPr>
          <w:rFonts w:ascii="Arial" w:cs="Arial" w:eastAsia="Arial" w:hAnsi="Arial"/>
          <w:sz w:val="18"/>
          <w:szCs w:val="18"/>
          <w:color w:val="auto"/>
        </w:rPr>
      </w:pPr>
    </w:p>
    <w:p>
      <w:pPr>
        <w:ind w:left="660" w:hanging="139"/>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32% increase in the total connected service base to 148,000 as of March 31, 2012, compared to 112,000 as of March 31, 2011;</w:t>
      </w:r>
    </w:p>
    <w:p>
      <w:pPr>
        <w:spacing w:after="0" w:line="9" w:lineRule="exact"/>
        <w:rPr>
          <w:rFonts w:ascii="Arial" w:cs="Arial" w:eastAsia="Arial" w:hAnsi="Arial"/>
          <w:sz w:val="18"/>
          <w:szCs w:val="18"/>
          <w:color w:val="auto"/>
        </w:rPr>
      </w:pPr>
    </w:p>
    <w:p>
      <w:pPr>
        <w:ind w:left="660" w:right="20" w:hanging="139"/>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Increases in the number of small-ticket, credit/debit transactions and dollars handled in the third quarter of 33% and 35%, respectively, compared to the same period a year ago; and,</w:t>
      </w:r>
    </w:p>
    <w:p>
      <w:pPr>
        <w:ind w:left="660" w:right="20" w:hanging="139"/>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71% growth in ePort Connect customers from the prior year third quarter, fueled by 350 new customers in the fiscal 2012 third quarter, for 2,825 customers to date.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Revenues for the quarter ended March 31, 2012 were $7,527,051, consisting of $5,985,052 of license and transactions fees and $1,541,999 of equipment sales, compared to $5,522,977, consisting of $4,313,503 of license and transaction fees and $1,209,474 of equipment sales for the quarter ended March 31, 2011. The increase in total revenue of $2,004,074, or 36%, was primarily due to an increase in license and transaction fees of $1,671,549, or 39%, from the prior period, and an increase in equipment sales of $332,525 or 27%, from the prior period.</w:t>
      </w:r>
    </w:p>
    <w:p>
      <w:pPr>
        <w:spacing w:after="0" w:line="21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increase in license and transaction fees was due to growth in ePort Connect service and transaction volume from the increased number of ePort</w:t>
      </w:r>
      <w:r>
        <w:rPr>
          <w:rFonts w:ascii="Arial" w:cs="Arial" w:eastAsia="Arial" w:hAnsi="Arial"/>
          <w:sz w:val="16"/>
          <w:szCs w:val="16"/>
          <w:i w:val="1"/>
          <w:iCs w:val="1"/>
          <w:color w:val="auto"/>
        </w:rPr>
        <w:t>®</w:t>
      </w:r>
      <w:r>
        <w:rPr>
          <w:rFonts w:ascii="Arial" w:cs="Arial" w:eastAsia="Arial" w:hAnsi="Arial"/>
          <w:sz w:val="16"/>
          <w:szCs w:val="16"/>
          <w:color w:val="auto"/>
        </w:rPr>
        <w:t xml:space="preserve"> units connected to our ePort® Connect service. As of March 31, 2012, the Company had approximately 148,000 connections to the ePort Connect service (including approximately 15,000 non-USAT, third party devices) as compared to approximately 112,000 connections to the ePort Connect service (including approximately 12,000 non-USAT, third party devices) as of March 31, 2011. During the quarter ended March 31, 2012, the Company added approximately 12,000 connections to our network as compared to approximately 3,000 connections during the quarter ended March 31, 2011. The Jump Start Program units represented approximately 50% and 0% of connections added during the March 2012 and March 2011 fiscal quarters, respectively.</w:t>
      </w:r>
    </w:p>
    <w:p>
      <w:pPr>
        <w:spacing w:after="0" w:line="19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vending machine, or that the unit has begun processing transactions, or that the Company has begun receiving monthly service fees in connection with the unit. At the time of shipment of the ePort, the customer becomes obligated to pay the one-time activation fee, and is obligated to pay monthly service fees in accordance with the terms of the customer’s contract with the Company.</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its agreements with customers, the Company in addition to ePort Connect service fees earns transaction processing fees equal to a percentage of the dollar volume processed by the Company, which are included as licensing and transaction processing revenues in its Consolidated Statements of Operations. During the quarter ended March 31, 2012, the Company processed approximately 25.7 million transactions totaling approximately $42.4 million compared to approximately 19.3 million transactions totaling approximately $31.4 million during the quarter ended March 31, 2011, an increase of approximately 33% in the number of transactions and approximately 35% in dollars processed. The Company’s transaction processing volume is not indicative of the gross profit from license and transaction fees, which is based upon the monthly ePort Connect service fees and transaction processing fees paid to us by our customers. License and transaction fee revenues consist of monthly service fees and transaction processing fees. We anticipate that our license and transaction fee revenues would continue to increase if the number of connections to our network would continue to increase.</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customer base increased with approximately 350 new ePort customers added to its ePort® Connect service during the quarter ended March 31, 2012 bringing the total number of such customers to approximately 2,825 as of March 31, 2012. The Company added approximately 250 new ePort Connect customers in the quarter ended March 31, 2011. By comparison, the Company had approximately 1,650 ePort Connect customers as of March 31, 2011, representing a 71% increase during the past twelve months. We count a customer as a new ePort customer upon shipment of the first ePort unit to the customer. When a reseller sells our ePort, we count a customer as a new ePort customer upon the signing of the applicable services agreement with the customer.</w:t>
      </w:r>
    </w:p>
    <w:p>
      <w:pPr>
        <w:spacing w:after="0" w:line="22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$332,525 increase in equipment sales was a result of increases of approximately $391,000, or 59%, related to ePort® products and a decrease of approximately $53,000 in Energy Miser products. The increase of $391,000 related to ePort products is attributable to an increase of approximately $152,000 in activation fee revenue mostly due to JumpStart rental units shipped in the current quarter versus the prior year when no JumpStart units were shipped. In addition, ePort sales revenue increased due to increased parts sales of approximately $104,000 and approximately $135,000 of other net increases due to more ePorts sold in the quarter ended March 31, 2012 versus the quarter ended March 31, 2011. The decrease in Energy Miser equipment sale revenue is due directly to fewer units sold during the quarter ended March 31, 2012 than during the quarter ended March 31, 2011.</w:t>
      </w:r>
    </w:p>
    <w:p>
      <w:pPr>
        <w:sectPr>
          <w:pgSz w:w="11900" w:h="16838" w:orient="portrait"/>
          <w:cols w:equalWidth="0" w:num="1">
            <w:col w:w="11420"/>
          </w:cols>
          <w:pgMar w:left="240" w:top="125" w:right="239" w:bottom="312"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312" w:gutter="0" w:footer="0" w:header="0"/>
          <w:type w:val="continuous"/>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Cost of sales consisted of cost of services for network and transaction fee related costs of $3,749,862 and $3,187,601 and equipment costs of $981,969 and $782,244, for the quarters ended March 31, 2012 and 2011, respectively. The increase in total cost of sales of $761,986 was due to an increase in cost of services of $562,261 and an increase in equipment costs of $199,725. The increase in cost of services was predominantly related to increases in units connected to the network and increases in transaction processing volume. Also contributing to the increase in cost of services was approximately $58,000 of costs for electronic communication of software updates to connected ePorts®. The $199,725 increase in equipment costs was primarily associated with higher sales volume in the quarter versus the same quarter a year ago.</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Gross profit (“GP”) for the quarter ended March 31, 2012 was $2,795,220 compared to GP of $1,553,132 for the previous corresponding quarter, an increase of $1,242,088, of which $132,800 represents increased equipment sales GP and an increase of $1,109,288 attributable to license and transaction fees. Overall percentage based GP increased from 28% to 37% due to license and transaction fees GP having increased from 26% to 37% and by equipment sales GP having increased from 35% to 36%. License and transaction fee GP increased due to improved efficiencies stemming from recent partnership agreements, such as Verizon Wireless and Elavon, a larger ePort Connect service base, as well as having a larger number of JumpStart rental units with fees in the quarter versus a year ago when a larger number of JumpStart units had not yet had monthly fees commence. The increase in equipment sales GP was mainly due to increased activation fees, which have no direct costs associated with them.</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(“SG&amp;A”) of $3,040,562 for the quarter ended March 31, 2012, increased by $180,289 or 6%, from the prior corresponding quarter. The overall increase consists of approximately $215,000 primarily of additional employee compensation expenses, an approximate $101,000 increase in travel, tradeshow, sales and advertising expenses, and other net increases of approximately $65,000, offset by approximately $201,000 less expense, net, in the current quarter for professional services.</w:t>
      </w:r>
    </w:p>
    <w:p>
      <w:pPr>
        <w:spacing w:after="0" w:line="21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$201,000 net decrease in professional services consists of $191,000 attributable to expenses in the prior year’s quarter for issues arising under the Settlement Agreement dated February 4, 2010 between the Company and Shareholders Advocates for Value Enhancement (the “Settlement Agreement”). The remaining $10,000 decrease is made up of $62,000 of lower expenses as a result of the level of corporate matters needing legal and public relations support and other net decreases of approximately $9,000, offset by approximately $61,000 of expense incurred responding to the Securities and Exchange Commission (the “SEC”) investigation.</w:t>
      </w:r>
    </w:p>
    <w:p>
      <w:pPr>
        <w:spacing w:after="0" w:line="21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quarter ended March 31, 2012 resulted in a net loss of $538,618 compared to a net loss of $2,514,268 for the quarter ended March 31, 2011. For the quarter ended March 31, 2012, the loss per common share was $0.03 as compared to a loss per common share of $0.11 for the prior corresponding fiscal quarter.</w:t>
      </w:r>
    </w:p>
    <w:p>
      <w:pPr>
        <w:spacing w:after="0" w:line="20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quarter ended March 31, 2012, the Company had an Adjusted EBITDA of $336,029. Reconciliation of net loss to Adjusted EBITDA for the quarters ended March 31, 2012 and 2011 is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40" w:type="dxa"/>
            <w:vAlign w:val="bottom"/>
            <w:gridSpan w:val="4"/>
          </w:tcPr>
          <w:p>
            <w:pPr>
              <w:jc w:val="right"/>
              <w:ind w:right="570"/>
              <w:spacing w:after="0"/>
              <w:rPr>
                <w:sz w:val="20"/>
                <w:szCs w:val="20"/>
                <w:color w:val="auto"/>
              </w:rPr>
            </w:pPr>
            <w:r>
              <w:rPr>
                <w:rFonts w:ascii="Arial" w:cs="Arial" w:eastAsia="Arial" w:hAnsi="Arial"/>
                <w:sz w:val="18"/>
                <w:szCs w:val="18"/>
                <w:b w:val="1"/>
                <w:bCs w:val="1"/>
                <w:color w:val="auto"/>
              </w:rPr>
              <w:t>Three months ended</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3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March 31,</w:t>
            </w:r>
          </w:p>
        </w:tc>
        <w:tc>
          <w:tcPr>
            <w:tcW w:w="1000" w:type="dxa"/>
            <w:vAlign w:val="bottom"/>
            <w:tcBorders>
              <w:bottom w:val="single" w:sz="8" w:color="auto"/>
            </w:tcBorders>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3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w w:val="94"/>
              </w:rPr>
              <w:t>2011</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330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100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(538,618)</w:t>
            </w:r>
          </w:p>
        </w:tc>
        <w:tc>
          <w:tcPr>
            <w:tcW w:w="520" w:type="dxa"/>
            <w:vAlign w:val="bottom"/>
            <w:gridSpan w:val="2"/>
            <w:shd w:val="clear" w:color="auto" w:fill="C0C0C0"/>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w w:val="99"/>
              </w:rPr>
              <w:t>(2,514,268)</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300" w:type="dxa"/>
            <w:vAlign w:val="bottom"/>
            <w:shd w:val="clear" w:color="auto" w:fill="C0C0C0"/>
          </w:tcPr>
          <w:p>
            <w:pPr>
              <w:spacing w:after="0"/>
              <w:rPr>
                <w:sz w:val="20"/>
                <w:szCs w:val="20"/>
                <w:color w:val="auto"/>
              </w:rPr>
            </w:pPr>
            <w:r>
              <w:rPr>
                <w:rFonts w:ascii="Arial" w:cs="Arial" w:eastAsia="Arial" w:hAnsi="Arial"/>
                <w:sz w:val="18"/>
                <w:szCs w:val="18"/>
                <w:color w:val="auto"/>
              </w:rPr>
              <w:t>Less interest income</w:t>
            </w:r>
          </w:p>
        </w:tc>
        <w:tc>
          <w:tcPr>
            <w:tcW w:w="7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(14,029)</w:t>
            </w:r>
          </w:p>
        </w:tc>
        <w:tc>
          <w:tcPr>
            <w:tcW w:w="10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(13,936)</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300" w:type="dxa"/>
            <w:vAlign w:val="bottom"/>
            <w:shd w:val="clear" w:color="auto" w:fill="C0C0C0"/>
          </w:tcPr>
          <w:p>
            <w:pPr>
              <w:spacing w:after="0"/>
              <w:rPr>
                <w:sz w:val="20"/>
                <w:szCs w:val="20"/>
                <w:color w:val="auto"/>
              </w:rPr>
            </w:pPr>
            <w:r>
              <w:rPr>
                <w:rFonts w:ascii="Arial" w:cs="Arial" w:eastAsia="Arial" w:hAnsi="Arial"/>
                <w:sz w:val="18"/>
                <w:szCs w:val="18"/>
                <w:color w:val="auto"/>
              </w:rPr>
              <w:t>Plus interest expense</w:t>
            </w:r>
          </w:p>
        </w:tc>
        <w:tc>
          <w:tcPr>
            <w:tcW w:w="7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10,520</w:t>
            </w:r>
          </w:p>
        </w:tc>
        <w:tc>
          <w:tcPr>
            <w:tcW w:w="10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100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9,795</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300" w:type="dxa"/>
            <w:vAlign w:val="bottom"/>
            <w:shd w:val="clear" w:color="auto" w:fill="C0C0C0"/>
          </w:tcPr>
          <w:p>
            <w:pPr>
              <w:spacing w:after="0"/>
              <w:rPr>
                <w:sz w:val="20"/>
                <w:szCs w:val="20"/>
                <w:color w:val="auto"/>
              </w:rPr>
            </w:pPr>
            <w:r>
              <w:rPr>
                <w:rFonts w:ascii="Arial" w:cs="Arial" w:eastAsia="Arial" w:hAnsi="Arial"/>
                <w:sz w:val="18"/>
                <w:szCs w:val="18"/>
                <w:color w:val="auto"/>
              </w:rPr>
              <w:t>Plus income tax expense</w:t>
            </w:r>
          </w:p>
        </w:tc>
        <w:tc>
          <w:tcPr>
            <w:tcW w:w="7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100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300" w:type="dxa"/>
            <w:vAlign w:val="bottom"/>
            <w:shd w:val="clear" w:color="auto" w:fill="C0C0C0"/>
          </w:tcPr>
          <w:p>
            <w:pPr>
              <w:spacing w:after="0"/>
              <w:rPr>
                <w:sz w:val="20"/>
                <w:szCs w:val="20"/>
                <w:color w:val="auto"/>
              </w:rPr>
            </w:pPr>
            <w:r>
              <w:rPr>
                <w:rFonts w:ascii="Arial" w:cs="Arial" w:eastAsia="Arial" w:hAnsi="Arial"/>
                <w:sz w:val="18"/>
                <w:szCs w:val="18"/>
                <w:color w:val="auto"/>
              </w:rPr>
              <w:t>Plus depreciation expense</w:t>
            </w:r>
          </w:p>
        </w:tc>
        <w:tc>
          <w:tcPr>
            <w:tcW w:w="7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631,330</w:t>
            </w:r>
          </w:p>
        </w:tc>
        <w:tc>
          <w:tcPr>
            <w:tcW w:w="10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100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468,611</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300" w:type="dxa"/>
            <w:vAlign w:val="bottom"/>
            <w:shd w:val="clear" w:color="auto" w:fill="C0C0C0"/>
          </w:tcPr>
          <w:p>
            <w:pPr>
              <w:spacing w:after="0"/>
              <w:rPr>
                <w:sz w:val="20"/>
                <w:szCs w:val="20"/>
                <w:color w:val="auto"/>
              </w:rPr>
            </w:pPr>
            <w:r>
              <w:rPr>
                <w:rFonts w:ascii="Arial" w:cs="Arial" w:eastAsia="Arial" w:hAnsi="Arial"/>
                <w:sz w:val="18"/>
                <w:szCs w:val="18"/>
                <w:color w:val="auto"/>
              </w:rPr>
              <w:t>Plus amortization expense</w:t>
            </w:r>
          </w:p>
        </w:tc>
        <w:tc>
          <w:tcPr>
            <w:tcW w:w="7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258,600</w:t>
            </w:r>
          </w:p>
        </w:tc>
        <w:tc>
          <w:tcPr>
            <w:tcW w:w="10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100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258,600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3300" w:type="dxa"/>
            <w:vAlign w:val="bottom"/>
            <w:shd w:val="clear" w:color="auto" w:fill="C0C0C0"/>
          </w:tcPr>
          <w:p>
            <w:pPr>
              <w:spacing w:after="0"/>
              <w:rPr>
                <w:sz w:val="20"/>
                <w:szCs w:val="20"/>
                <w:color w:val="auto"/>
              </w:rPr>
            </w:pPr>
            <w:r>
              <w:rPr>
                <w:rFonts w:ascii="Arial" w:cs="Arial" w:eastAsia="Arial" w:hAnsi="Arial"/>
                <w:sz w:val="18"/>
                <w:szCs w:val="18"/>
                <w:color w:val="auto"/>
                <w:w w:val="91"/>
              </w:rPr>
              <w:t>Less change in fair value of warrant liabilities</w:t>
            </w:r>
          </w:p>
        </w:tc>
        <w:tc>
          <w:tcPr>
            <w:tcW w:w="76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(95,074)</w:t>
            </w:r>
          </w:p>
        </w:tc>
        <w:tc>
          <w:tcPr>
            <w:tcW w:w="100" w:type="dxa"/>
            <w:vAlign w:val="bottom"/>
            <w:shd w:val="clear" w:color="auto" w:fill="C0C0C0"/>
          </w:tcPr>
          <w:p>
            <w:pPr>
              <w:spacing w:after="0"/>
              <w:rPr>
                <w:sz w:val="18"/>
                <w:szCs w:val="18"/>
                <w:color w:val="auto"/>
              </w:rPr>
            </w:pPr>
          </w:p>
        </w:tc>
        <w:tc>
          <w:tcPr>
            <w:tcW w:w="420" w:type="dxa"/>
            <w:vAlign w:val="bottom"/>
            <w:shd w:val="clear" w:color="auto" w:fill="C0C0C0"/>
          </w:tcPr>
          <w:p>
            <w:pPr>
              <w:spacing w:after="0"/>
              <w:rPr>
                <w:sz w:val="18"/>
                <w:szCs w:val="18"/>
                <w:color w:val="auto"/>
              </w:rPr>
            </w:pPr>
          </w:p>
        </w:tc>
        <w:tc>
          <w:tcPr>
            <w:tcW w:w="100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850,740</w:t>
            </w: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300" w:type="dxa"/>
            <w:vAlign w:val="bottom"/>
            <w:vMerge w:val="continue"/>
          </w:tcPr>
          <w:p>
            <w:pPr>
              <w:spacing w:after="0"/>
              <w:rPr>
                <w:sz w:val="19"/>
                <w:szCs w:val="19"/>
                <w:color w:val="auto"/>
              </w:rPr>
            </w:pPr>
          </w:p>
        </w:tc>
        <w:tc>
          <w:tcPr>
            <w:tcW w:w="330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Plus stock-based compensation</w:t>
            </w:r>
          </w:p>
        </w:tc>
        <w:tc>
          <w:tcPr>
            <w:tcW w:w="760" w:type="dxa"/>
            <w:vAlign w:val="bottom"/>
            <w:tcBorders>
              <w:bottom w:val="single" w:sz="8" w:color="C0C0C0"/>
            </w:tcBorders>
            <w:shd w:val="clear" w:color="auto" w:fill="C0C0C0"/>
          </w:tcPr>
          <w:p>
            <w:pPr>
              <w:spacing w:after="0"/>
              <w:rPr>
                <w:sz w:val="19"/>
                <w:szCs w:val="19"/>
                <w:color w:val="auto"/>
              </w:rPr>
            </w:pPr>
          </w:p>
        </w:tc>
        <w:tc>
          <w:tcPr>
            <w:tcW w:w="240" w:type="dxa"/>
            <w:vAlign w:val="bottom"/>
            <w:tcBorders>
              <w:bottom w:val="single" w:sz="8" w:color="auto"/>
            </w:tcBorders>
            <w:shd w:val="clear" w:color="auto" w:fill="C0C0C0"/>
          </w:tcPr>
          <w:p>
            <w:pPr>
              <w:spacing w:after="0"/>
              <w:rPr>
                <w:sz w:val="19"/>
                <w:szCs w:val="19"/>
                <w:color w:val="auto"/>
              </w:rPr>
            </w:pPr>
          </w:p>
        </w:tc>
        <w:tc>
          <w:tcPr>
            <w:tcW w:w="10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83,300</w:t>
            </w:r>
          </w:p>
        </w:tc>
        <w:tc>
          <w:tcPr>
            <w:tcW w:w="100" w:type="dxa"/>
            <w:vAlign w:val="bottom"/>
            <w:tcBorders>
              <w:bottom w:val="single" w:sz="8" w:color="C0C0C0"/>
            </w:tcBorders>
            <w:shd w:val="clear" w:color="auto" w:fill="C0C0C0"/>
          </w:tcPr>
          <w:p>
            <w:pPr>
              <w:spacing w:after="0"/>
              <w:rPr>
                <w:sz w:val="19"/>
                <w:szCs w:val="19"/>
                <w:color w:val="auto"/>
              </w:rPr>
            </w:pPr>
          </w:p>
        </w:tc>
        <w:tc>
          <w:tcPr>
            <w:tcW w:w="420" w:type="dxa"/>
            <w:vAlign w:val="bottom"/>
            <w:tcBorders>
              <w:bottom w:val="single" w:sz="8" w:color="auto"/>
            </w:tcBorders>
            <w:shd w:val="clear" w:color="auto" w:fill="C0C0C0"/>
          </w:tcPr>
          <w:p>
            <w:pPr>
              <w:spacing w:after="0"/>
              <w:rPr>
                <w:sz w:val="19"/>
                <w:szCs w:val="19"/>
                <w:color w:val="auto"/>
              </w:rPr>
            </w:pPr>
          </w:p>
        </w:tc>
        <w:tc>
          <w:tcPr>
            <w:tcW w:w="100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288</w:t>
            </w: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300" w:type="dxa"/>
            <w:vAlign w:val="bottom"/>
            <w:vMerge w:val="restart"/>
          </w:tcPr>
          <w:p>
            <w:pPr>
              <w:spacing w:after="0"/>
              <w:rPr>
                <w:sz w:val="18"/>
                <w:szCs w:val="18"/>
                <w:color w:val="auto"/>
              </w:rPr>
            </w:pPr>
          </w:p>
        </w:tc>
        <w:tc>
          <w:tcPr>
            <w:tcW w:w="3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300" w:type="dxa"/>
            <w:vAlign w:val="bottom"/>
            <w:vMerge w:val="continue"/>
          </w:tcPr>
          <w:p>
            <w:pPr>
              <w:spacing w:after="0"/>
              <w:rPr>
                <w:sz w:val="22"/>
                <w:szCs w:val="22"/>
                <w:color w:val="auto"/>
              </w:rPr>
            </w:pPr>
          </w:p>
        </w:tc>
        <w:tc>
          <w:tcPr>
            <w:tcW w:w="3300" w:type="dxa"/>
            <w:vAlign w:val="bottom"/>
            <w:shd w:val="clear" w:color="auto" w:fill="C0C0C0"/>
          </w:tcPr>
          <w:p>
            <w:pPr>
              <w:spacing w:after="0"/>
              <w:rPr>
                <w:sz w:val="20"/>
                <w:szCs w:val="20"/>
                <w:color w:val="auto"/>
              </w:rPr>
            </w:pPr>
            <w:r>
              <w:rPr>
                <w:rFonts w:ascii="Arial" w:cs="Arial" w:eastAsia="Arial" w:hAnsi="Arial"/>
                <w:sz w:val="18"/>
                <w:szCs w:val="18"/>
                <w:color w:val="auto"/>
              </w:rPr>
              <w:t>Adjusted EBITDA</w:t>
            </w:r>
          </w:p>
        </w:tc>
        <w:tc>
          <w:tcPr>
            <w:tcW w:w="1000" w:type="dxa"/>
            <w:vAlign w:val="bottom"/>
            <w:gridSpan w:val="2"/>
            <w:shd w:val="clear" w:color="auto" w:fill="C0C0C0"/>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336,029</w:t>
            </w:r>
          </w:p>
        </w:tc>
        <w:tc>
          <w:tcPr>
            <w:tcW w:w="520" w:type="dxa"/>
            <w:vAlign w:val="bottom"/>
            <w:gridSpan w:val="2"/>
            <w:shd w:val="clear" w:color="auto" w:fill="C0C0C0"/>
          </w:tcPr>
          <w:p>
            <w:pPr>
              <w:jc w:val="right"/>
              <w:ind w:right="3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(940,170)</w:t>
            </w:r>
          </w:p>
        </w:tc>
        <w:tc>
          <w:tcPr>
            <w:tcW w:w="2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1"/>
        </w:trPr>
        <w:tc>
          <w:tcPr>
            <w:tcW w:w="2300" w:type="dxa"/>
            <w:vAlign w:val="bottom"/>
          </w:tcPr>
          <w:p>
            <w:pPr>
              <w:spacing w:after="0"/>
              <w:rPr>
                <w:sz w:val="24"/>
                <w:szCs w:val="24"/>
                <w:color w:val="auto"/>
              </w:rPr>
            </w:pPr>
          </w:p>
        </w:tc>
        <w:tc>
          <w:tcPr>
            <w:tcW w:w="3300" w:type="dxa"/>
            <w:vAlign w:val="bottom"/>
            <w:tcBorders>
              <w:top w:val="single" w:sz="8" w:color="C0C0C0"/>
            </w:tcBorders>
          </w:tcPr>
          <w:p>
            <w:pPr>
              <w:spacing w:after="0"/>
              <w:rPr>
                <w:sz w:val="24"/>
                <w:szCs w:val="24"/>
                <w:color w:val="auto"/>
              </w:rPr>
            </w:pPr>
          </w:p>
        </w:tc>
        <w:tc>
          <w:tcPr>
            <w:tcW w:w="760" w:type="dxa"/>
            <w:vAlign w:val="bottom"/>
            <w:tcBorders>
              <w:top w:val="single" w:sz="8" w:color="C0C0C0"/>
            </w:tcBorders>
          </w:tcPr>
          <w:p>
            <w:pPr>
              <w:jc w:val="right"/>
              <w:ind w:right="470"/>
              <w:spacing w:after="0"/>
              <w:rPr>
                <w:sz w:val="20"/>
                <w:szCs w:val="20"/>
                <w:color w:val="auto"/>
              </w:rPr>
            </w:pPr>
            <w:r>
              <w:rPr>
                <w:rFonts w:ascii="Arial" w:cs="Arial" w:eastAsia="Arial" w:hAnsi="Arial"/>
                <w:sz w:val="18"/>
                <w:szCs w:val="18"/>
                <w:color w:val="auto"/>
                <w:w w:val="89"/>
              </w:rPr>
              <w:t>18</w:t>
            </w:r>
          </w:p>
        </w:tc>
        <w:tc>
          <w:tcPr>
            <w:tcW w:w="2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300" w:type="dxa"/>
            <w:vAlign w:val="bottom"/>
            <w:tcBorders>
              <w:bottom w:val="single" w:sz="8" w:color="808080"/>
            </w:tcBorders>
          </w:tcPr>
          <w:p>
            <w:pPr>
              <w:spacing w:after="0"/>
              <w:rPr>
                <w:sz w:val="9"/>
                <w:szCs w:val="9"/>
                <w:color w:val="auto"/>
              </w:rPr>
            </w:pPr>
          </w:p>
        </w:tc>
        <w:tc>
          <w:tcPr>
            <w:tcW w:w="330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8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and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expenses,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 months ended March 31, 2012 compared to the nine months ended March 31, 2011</w:t>
      </w:r>
    </w:p>
    <w:p>
      <w:pPr>
        <w:spacing w:after="0" w:line="25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Revenues for the nine month period ended March 31, 2012 were $21,114,397, consisting of $16,988,179 of license and transactions fees and $4,126,218 of equipment sales, compared to $15,980,159, consisting of $11,413,665 of license and transaction fees and $4,566,494 of equipment sales for the nine month period ended March 31, 2011. The increase in total revenue of $5,134,238, or 32%, was primarily due to an increase in license and transaction fees of $5,574,514, or 49%, from the prior period, and a decrease in equipment sales of $440,276, or 10%, from the prior corresponding period.</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increase in license and transaction fees was primarily due to the increase in the number of ePort</w:t>
      </w:r>
      <w:r>
        <w:rPr>
          <w:rFonts w:ascii="Arial" w:cs="Arial" w:eastAsia="Arial" w:hAnsi="Arial"/>
          <w:sz w:val="16"/>
          <w:szCs w:val="16"/>
          <w:i w:val="1"/>
          <w:iCs w:val="1"/>
          <w:color w:val="auto"/>
        </w:rPr>
        <w:t>®</w:t>
      </w:r>
      <w:r>
        <w:rPr>
          <w:rFonts w:ascii="Arial" w:cs="Arial" w:eastAsia="Arial" w:hAnsi="Arial"/>
          <w:sz w:val="16"/>
          <w:szCs w:val="16"/>
          <w:color w:val="auto"/>
        </w:rPr>
        <w:t xml:space="preserve"> units connected to our ePort® Connect service, and the associated fees generated by these connected units. License and transaction fee revenues consist of monthly service fees and transaction processing fees. We anticipate that our license and transaction fee revenues would continue to increase if the number of connections to our network would continue to increase.</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2012, the Company had approximately 148,000 connections to its ePort Connect service (including approximately 15,000 non-USAT, third party devices) as compared to approximately 112,000 connections (including approximately 12,000 non-USAT, third party devices) as of March 31, 2011. During the nine month period ended March 31, 2012, the Company added approximately 29,000 connections to our network as compared to approximately 30,000 connections during the nine month period ended March 31, 2011. The Jump Start Program units represented approximately 60% and 65% of connections added during the March 2012 and March 2011 nine month periods, respectively.</w:t>
      </w:r>
    </w:p>
    <w:p>
      <w:pPr>
        <w:spacing w:after="0" w:line="21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counts its ePort connections upon shipment of an active terminal to a customer under contract, at which time activation on its network is performed by the Company, and the terminal is capable of conducting business via the Company’s network and related services. An ePort connection does not necessarily mean that the unit is actually installed by the customer on a vending machine, or that the unit has begun processing transactions, or that the Company has begun receiving monthly service fees in connection with the unit. At the time of shipment of the ePort, the customer becomes obligated to pay the one-time activation fee, and is obligated to pay monthly service fees in accordance with the terms of the customer’s contract with the Company.</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its agreements with customers, the Company in addition to ePort Connect service fees earns transaction processing fees equal to a percentage of the dollar volume processed by the Company, which are included as licensing and transaction processing revenues in its Consolidated Statements of Operations. During the nine month period ended March 31, 2012, the Company processed approximately 75.3 million transactions totaling approximately $124.3 million compared to approximately 49.2 million transactions totaling approximately $82.2 million during the nine month period ended March 31, 2011, an increase of approximately 53% in the number of transactions and approximately 51% in dollars processed. The Company’s transaction processing volume is not indicative of the gross profit from license and transaction fees which is based upon the monthly service fees and transaction processing fees paid to us by our customers.</w:t>
      </w: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our customer base increased with approximately 900 new ePort customers added to its ePort® Connect service during the nine month period ended March 31, 2012 bringing the total number of such customers to approximately 2,825 as of March 31, 2012. The Company added approximately 600 new ePort Connect customers in the nine month period ended March 31, 2011. By comparison, the Company had approximately 1,650 ePort customers as of March 31, 2011, representing a 71% increase during the past twelve months. We count a customer as a new ePort Connect customer upon shipment of the first ePort unit to the customer. When a reseller sells our ePort, we count a customer as a new ePort customer upon the signing of the applicable services agreement with the customer.</w:t>
      </w:r>
    </w:p>
    <w:p>
      <w:pPr>
        <w:spacing w:after="0" w:line="22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$440,276 decrease in equipment sales was due to a decreases of approximately $331,000 related to ePort® products, approximately $77,000 in Energy Miser products and approximately $33,000 in other products. The $331,000 decrease in ePort products is attributable to a decrease of approximately $479,000 in activation fee revenue, of which approximately $157,000 is related to fewer ePort® units shipped in the nine months ended March 31, 2012 versus the nine months ended March 31, 2011, and approximately $322,000 is related to activation fees earned on non-USAT, third party devices and other activation services performed during the nine months ended March 31, 2011. Also contributing to the decrease of $331,000 in ePort products were revenues recorded in the period ended March 31, 2011 of $225,000 of Visa support funding and approximately $73,000 of revenue recognized under our May 2008 agreement with a customer. These decreases were offset by increases of approximately $446,000, consisting of equipment sales of ePort devices and ePort parts of $231,000 and $215,000, respectively. The decrease in Energy Miser and other equipment sale revenue is due to fewer units sold during the nine months ended March 31, 2012 when compared to the nine months ended March 31, 2011.</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Cost of sales consisted of network and transaction services related costs of $11,494,690 and $8,308,612 and equipment costs of $2,836,995 and $2,274,825, for the nine month periods ended March 31, 2012 and 2011, respectively. The increase in total cost of sales of $3,748,248 over the prior corresponding nine month period was due to an increase in cost of services of $3,186,078 and an increase in equipment costs of $562,170. The increase in cost of services related to increases in units connected to the network and increases in transaction processing volume. In addition, approximately $316,000 of the $3,186,078 increase in cost of services was attributable to increased debit card processing costs incurred as a result of the significant increase of interchange fees charged by Visa and MasterCard which became effective on October 1, 2011. The impact on margins caused by these increases in the second fiscal quarter did not impact the third fiscal quarter as the Visa Agreement that went into effect on October 14, 2011 essentially restored Visa debit interchange rates to pre-October 1, 2011 levels during the one-year term of the agreement, and the Company ceased the acceptance of MasterCard debit cards in mid-November 2011. Also contributing to the increase in cost of services was approximately $199,000 of costs for electronic communication of software updates to connected ePorts®. The increase in equipment costs related to the increased freight-in costs of approximately $140,000 associated with our Verizon enabled ePort® as well as slightly higher costs to manufacture the Verizon enabled ePorts and the mix of ePort models sold during the nine months ended March 31, 2012 versus the nine months ended March 31, 2011.</w:t>
      </w:r>
    </w:p>
    <w:p>
      <w:pPr>
        <w:spacing w:after="0" w:line="20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GP for the nine month period ended March 31, 2012 was $6,782,712 compared to GP of $5,396,722 for the previous corresponding nine month period, an increase of $1,385,990, of which $2,388,436 is attributable to license and transaction fees GP, offset by a decrease of $1,002,446 of equipment sales GP. The increase in GP dollars from license and transaction fees was mainly generated by additional devices connected to our network. The decrease in GP from equipment sales is predominately due to the reduction in activation fees recognized during the current nine month period, additional costs incurred during the current nine month period for freight-in of the Verizon enabled ePort® as well as the prior fiscal nine month periods revenue items specified above. Overall percentage based GP decreased from 34% to 32% for the nine months ended March 31, 2011 and 2012, respectively. This decrease was directly due to equipment sales GP decreasing from 50% to 31% predominately due to the reduction in activation fees recognized during the current nine month period, additional costs incurred during the current nine month period for freight-in of the Verizon enabled ePort® as well as the prior fiscal nine month periods revenue items specified above. The equipment sale GP decrease was offset by an increase in license and transaction fees GP from 27% to 32% due mainly to improved efficiencies stemming from partnership agreements, a larger ePort Connect service base, as well as having a larger number of JumpStart rental units with fees in the nine month period versus a year ago when a larger number of JumpStart units had not yet had monthly fees commence, offset by the additional costs incurred during the second fiscal quarter for interchange fees described above, and electronic communication of device software updates.</w:t>
      </w:r>
    </w:p>
    <w:p>
      <w:pPr>
        <w:spacing w:after="0" w:line="19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SG&amp;A expenses of $10,039,712 for the nine months ended March 31, 2012, increased by $2,003,173 or 25%, from the prior comparative period. Of this increase, $975,000 related to the Audit Committee’s investigation of postings concerning the Company on an internet message board and the resignation of the Company’s former Chief Executive Officer. Of the $975,000, approximately $522,000 was severance related costs incurred under the Separation Agreement entered into with our former CEO, of which $111,000 was stock compensation expense. Legal, investigation and public relation expenses incurred in connection with the Audit Committee's investigation were approximately $202,000, $213,000, and $38,000, respectively, for the nine months ended March 31, 2012. The Audit Committee’s investigation concluded in January 2012, and the Company does not anticipate incurring further charges related to the Audit Committee’s investigation subsequent to March 31, 2012.</w:t>
      </w:r>
    </w:p>
    <w:p>
      <w:pPr>
        <w:spacing w:after="0" w:line="20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remaining increase in SG&amp;A expenses of approximately $1,028,000 is due to increases of approximately $709,000 primarily for employee compensation, $336,000 of which were non-cash charges for vesting of employee and director stock awards (excluding CEO severance portion described above); an approximate $238,000 increase in travel, tradeshow, sales and advertising expenses; $194,000 in additional sales tax expense estimated as a result of a state revenue audit recognized during the first fiscal quarter; and, other aggregate increases of approximately $78,000. These increases were offset by a $191,000 decrease in professional services attributable to expenses in the prior year’s nine month period for issues arising under the Settlement Agreement.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nine month period ended March 31, 2012 resulted in a net loss of $2,438,631 compared to a net loss of $4,534,012 for the nine month period ended March 31, 2011. For the nine month period ended March 31, 2012, the loss per common share was $0.10 as compared to a loss per common share of $0.20 for the prior fiscal nine-month period.</w:t>
      </w:r>
    </w:p>
    <w:p>
      <w:pPr>
        <w:jc w:val="both"/>
        <w:ind w:right="20"/>
        <w:spacing w:after="0" w:line="261" w:lineRule="auto"/>
        <w:rPr>
          <w:sz w:val="20"/>
          <w:szCs w:val="20"/>
          <w:color w:val="auto"/>
        </w:rPr>
      </w:pPr>
      <w:r>
        <w:rPr>
          <w:rFonts w:ascii="Arial" w:cs="Arial" w:eastAsia="Arial" w:hAnsi="Arial"/>
          <w:sz w:val="18"/>
          <w:szCs w:val="18"/>
          <w:color w:val="auto"/>
        </w:rPr>
        <w:t>For the nine months ended March 31, 2012, the Company had an Adjusted EBITDA loss of $1,362,458. Reconciliation of net loss to Adjusted EBITDA loss for the nine months ended March 31, 2012 and 2011 is as follows:</w:t>
      </w:r>
    </w:p>
    <w:p>
      <w:pPr>
        <w:spacing w:after="0" w:line="20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4"/>
          </w:tcPr>
          <w:p>
            <w:pPr>
              <w:jc w:val="right"/>
              <w:ind w:right="6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2012</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Net loss</w:t>
            </w:r>
          </w:p>
        </w:tc>
        <w:tc>
          <w:tcPr>
            <w:tcW w:w="280" w:type="dxa"/>
            <w:vAlign w:val="bottom"/>
            <w:shd w:val="clear" w:color="auto" w:fill="C0C0C0"/>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(2,438,631)</w:t>
            </w:r>
          </w:p>
        </w:tc>
        <w:tc>
          <w:tcPr>
            <w:tcW w:w="480" w:type="dxa"/>
            <w:vAlign w:val="bottom"/>
            <w:gridSpan w:val="2"/>
            <w:shd w:val="clear" w:color="auto" w:fill="C0C0C0"/>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(4,534,012)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Less interest income</w:t>
            </w:r>
          </w:p>
        </w:tc>
        <w:tc>
          <w:tcPr>
            <w:tcW w:w="280" w:type="dxa"/>
            <w:vAlign w:val="bottom"/>
            <w:shd w:val="clear" w:color="auto" w:fill="C0C0C0"/>
          </w:tcPr>
          <w:p>
            <w:pPr>
              <w:spacing w:after="0"/>
              <w:rPr>
                <w:sz w:val="18"/>
                <w:szCs w:val="18"/>
                <w:color w:val="auto"/>
              </w:rPr>
            </w:pPr>
          </w:p>
        </w:tc>
        <w:tc>
          <w:tcPr>
            <w:tcW w:w="11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(45,183)</w:t>
            </w:r>
          </w:p>
        </w:tc>
        <w:tc>
          <w:tcPr>
            <w:tcW w:w="10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1020" w:type="dxa"/>
            <w:vAlign w:val="bottom"/>
            <w:shd w:val="clear" w:color="auto" w:fill="C0C0C0"/>
          </w:tcPr>
          <w:p>
            <w:pPr>
              <w:jc w:val="right"/>
              <w:spacing w:after="0"/>
              <w:rPr>
                <w:sz w:val="20"/>
                <w:szCs w:val="20"/>
                <w:color w:val="auto"/>
              </w:rPr>
            </w:pPr>
            <w:r>
              <w:rPr>
                <w:rFonts w:ascii="Arial" w:cs="Arial" w:eastAsia="Arial" w:hAnsi="Arial"/>
                <w:sz w:val="18"/>
                <w:szCs w:val="18"/>
                <w:color w:val="auto"/>
              </w:rPr>
              <w:t>(56,715)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Plus interest expense</w:t>
            </w:r>
          </w:p>
        </w:tc>
        <w:tc>
          <w:tcPr>
            <w:tcW w:w="280" w:type="dxa"/>
            <w:vAlign w:val="bottom"/>
            <w:shd w:val="clear" w:color="auto" w:fill="C0C0C0"/>
          </w:tcPr>
          <w:p>
            <w:pPr>
              <w:spacing w:after="0"/>
              <w:rPr>
                <w:sz w:val="18"/>
                <w:szCs w:val="18"/>
                <w:color w:val="auto"/>
              </w:rPr>
            </w:pPr>
          </w:p>
        </w:tc>
        <w:tc>
          <w:tcPr>
            <w:tcW w:w="110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70,756</w:t>
            </w:r>
          </w:p>
        </w:tc>
        <w:tc>
          <w:tcPr>
            <w:tcW w:w="10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32,424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Plus income tax expense</w:t>
            </w:r>
          </w:p>
        </w:tc>
        <w:tc>
          <w:tcPr>
            <w:tcW w:w="280" w:type="dxa"/>
            <w:vAlign w:val="bottom"/>
            <w:shd w:val="clear" w:color="auto" w:fill="C0C0C0"/>
          </w:tcPr>
          <w:p>
            <w:pPr>
              <w:spacing w:after="0"/>
              <w:rPr>
                <w:sz w:val="18"/>
                <w:szCs w:val="18"/>
                <w:color w:val="auto"/>
              </w:rPr>
            </w:pPr>
          </w:p>
        </w:tc>
        <w:tc>
          <w:tcPr>
            <w:tcW w:w="110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Plus depreciation expense</w:t>
            </w:r>
          </w:p>
        </w:tc>
        <w:tc>
          <w:tcPr>
            <w:tcW w:w="280" w:type="dxa"/>
            <w:vAlign w:val="bottom"/>
            <w:shd w:val="clear" w:color="auto" w:fill="C0C0C0"/>
          </w:tcPr>
          <w:p>
            <w:pPr>
              <w:spacing w:after="0"/>
              <w:rPr>
                <w:sz w:val="18"/>
                <w:szCs w:val="18"/>
                <w:color w:val="auto"/>
              </w:rPr>
            </w:pPr>
          </w:p>
        </w:tc>
        <w:tc>
          <w:tcPr>
            <w:tcW w:w="110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1,747,445</w:t>
            </w:r>
          </w:p>
        </w:tc>
        <w:tc>
          <w:tcPr>
            <w:tcW w:w="10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1,073,275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Plus amortization expense</w:t>
            </w:r>
          </w:p>
        </w:tc>
        <w:tc>
          <w:tcPr>
            <w:tcW w:w="280" w:type="dxa"/>
            <w:vAlign w:val="bottom"/>
            <w:shd w:val="clear" w:color="auto" w:fill="C0C0C0"/>
          </w:tcPr>
          <w:p>
            <w:pPr>
              <w:spacing w:after="0"/>
              <w:rPr>
                <w:sz w:val="18"/>
                <w:szCs w:val="18"/>
                <w:color w:val="auto"/>
              </w:rPr>
            </w:pPr>
          </w:p>
        </w:tc>
        <w:tc>
          <w:tcPr>
            <w:tcW w:w="1100" w:type="dxa"/>
            <w:vAlign w:val="bottom"/>
            <w:shd w:val="clear" w:color="auto" w:fill="C0C0C0"/>
          </w:tcPr>
          <w:p>
            <w:pPr>
              <w:jc w:val="right"/>
              <w:ind w:right="10"/>
              <w:spacing w:after="0"/>
              <w:rPr>
                <w:sz w:val="20"/>
                <w:szCs w:val="20"/>
                <w:color w:val="auto"/>
              </w:rPr>
            </w:pPr>
            <w:r>
              <w:rPr>
                <w:rFonts w:ascii="Arial" w:cs="Arial" w:eastAsia="Arial" w:hAnsi="Arial"/>
                <w:sz w:val="18"/>
                <w:szCs w:val="18"/>
                <w:color w:val="auto"/>
              </w:rPr>
              <w:t>775,800</w:t>
            </w:r>
          </w:p>
        </w:tc>
        <w:tc>
          <w:tcPr>
            <w:tcW w:w="10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775,800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shd w:val="clear" w:color="auto" w:fill="C0C0C0"/>
          </w:tcPr>
          <w:p>
            <w:pPr>
              <w:spacing w:after="0"/>
              <w:rPr>
                <w:sz w:val="20"/>
                <w:szCs w:val="20"/>
                <w:color w:val="auto"/>
              </w:rPr>
            </w:pPr>
            <w:r>
              <w:rPr>
                <w:rFonts w:ascii="Arial" w:cs="Arial" w:eastAsia="Arial" w:hAnsi="Arial"/>
                <w:sz w:val="18"/>
                <w:szCs w:val="18"/>
                <w:color w:val="auto"/>
              </w:rPr>
              <w:t>Less change in fair value of warrant liabilities</w:t>
            </w:r>
          </w:p>
        </w:tc>
        <w:tc>
          <w:tcPr>
            <w:tcW w:w="280" w:type="dxa"/>
            <w:vAlign w:val="bottom"/>
            <w:shd w:val="clear" w:color="auto" w:fill="C0C0C0"/>
          </w:tcPr>
          <w:p>
            <w:pPr>
              <w:spacing w:after="0"/>
              <w:rPr>
                <w:sz w:val="18"/>
                <w:szCs w:val="18"/>
                <w:color w:val="auto"/>
              </w:rPr>
            </w:pPr>
          </w:p>
        </w:tc>
        <w:tc>
          <w:tcPr>
            <w:tcW w:w="1100" w:type="dxa"/>
            <w:vAlign w:val="bottom"/>
            <w:shd w:val="clear" w:color="auto" w:fill="C0C0C0"/>
          </w:tcPr>
          <w:p>
            <w:pPr>
              <w:jc w:val="right"/>
              <w:spacing w:after="0"/>
              <w:rPr>
                <w:sz w:val="20"/>
                <w:szCs w:val="20"/>
                <w:color w:val="auto"/>
              </w:rPr>
            </w:pPr>
            <w:r>
              <w:rPr>
                <w:rFonts w:ascii="Arial" w:cs="Arial" w:eastAsia="Arial" w:hAnsi="Arial"/>
                <w:sz w:val="18"/>
                <w:szCs w:val="18"/>
                <w:color w:val="auto"/>
              </w:rPr>
              <w:t>(1,983,442)</w:t>
            </w:r>
          </w:p>
        </w:tc>
        <w:tc>
          <w:tcPr>
            <w:tcW w:w="100" w:type="dxa"/>
            <w:vAlign w:val="bottom"/>
            <w:shd w:val="clear" w:color="auto" w:fill="C0C0C0"/>
          </w:tcPr>
          <w:p>
            <w:pPr>
              <w:spacing w:after="0"/>
              <w:rPr>
                <w:sz w:val="18"/>
                <w:szCs w:val="18"/>
                <w:color w:val="auto"/>
              </w:rPr>
            </w:pPr>
          </w:p>
        </w:tc>
        <w:tc>
          <w:tcPr>
            <w:tcW w:w="380" w:type="dxa"/>
            <w:vAlign w:val="bottom"/>
            <w:shd w:val="clear" w:color="auto" w:fill="C0C0C0"/>
          </w:tcPr>
          <w:p>
            <w:pPr>
              <w:spacing w:after="0"/>
              <w:rPr>
                <w:sz w:val="18"/>
                <w:szCs w:val="18"/>
                <w:color w:val="auto"/>
              </w:rPr>
            </w:pPr>
          </w:p>
        </w:tc>
        <w:tc>
          <w:tcPr>
            <w:tcW w:w="1020" w:type="dxa"/>
            <w:vAlign w:val="bottom"/>
            <w:shd w:val="clear" w:color="auto" w:fill="C0C0C0"/>
          </w:tcPr>
          <w:p>
            <w:pPr>
              <w:jc w:val="right"/>
              <w:ind w:right="30"/>
              <w:spacing w:after="0"/>
              <w:rPr>
                <w:sz w:val="20"/>
                <w:szCs w:val="20"/>
                <w:color w:val="auto"/>
              </w:rPr>
            </w:pPr>
            <w:r>
              <w:rPr>
                <w:rFonts w:ascii="Arial" w:cs="Arial" w:eastAsia="Arial" w:hAnsi="Arial"/>
                <w:sz w:val="18"/>
                <w:szCs w:val="18"/>
                <w:color w:val="auto"/>
              </w:rPr>
              <w:t>850,740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39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Plus stock-based compensation</w:t>
            </w:r>
          </w:p>
        </w:tc>
        <w:tc>
          <w:tcPr>
            <w:tcW w:w="280" w:type="dxa"/>
            <w:vAlign w:val="bottom"/>
            <w:tcBorders>
              <w:bottom w:val="single" w:sz="8" w:color="auto"/>
            </w:tcBorders>
            <w:shd w:val="clear" w:color="auto" w:fill="C0C0C0"/>
          </w:tcPr>
          <w:p>
            <w:pPr>
              <w:spacing w:after="0"/>
              <w:rPr>
                <w:sz w:val="19"/>
                <w:szCs w:val="19"/>
                <w:color w:val="auto"/>
              </w:rPr>
            </w:pPr>
          </w:p>
        </w:tc>
        <w:tc>
          <w:tcPr>
            <w:tcW w:w="1100" w:type="dxa"/>
            <w:vAlign w:val="bottom"/>
            <w:tcBorders>
              <w:bottom w:val="single" w:sz="8" w:color="auto"/>
            </w:tcBorders>
            <w:shd w:val="clear" w:color="auto" w:fill="C0C0C0"/>
          </w:tcPr>
          <w:p>
            <w:pPr>
              <w:jc w:val="right"/>
              <w:ind w:right="10"/>
              <w:spacing w:after="0"/>
              <w:rPr>
                <w:sz w:val="20"/>
                <w:szCs w:val="20"/>
                <w:color w:val="auto"/>
              </w:rPr>
            </w:pPr>
            <w:r>
              <w:rPr>
                <w:rFonts w:ascii="Arial" w:cs="Arial" w:eastAsia="Arial" w:hAnsi="Arial"/>
                <w:sz w:val="18"/>
                <w:szCs w:val="18"/>
                <w:color w:val="auto"/>
              </w:rPr>
              <w:t>510,797</w:t>
            </w:r>
          </w:p>
        </w:tc>
        <w:tc>
          <w:tcPr>
            <w:tcW w:w="100" w:type="dxa"/>
            <w:vAlign w:val="bottom"/>
            <w:tcBorders>
              <w:bottom w:val="single" w:sz="8" w:color="C0C0C0"/>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spacing w:after="0"/>
              <w:rPr>
                <w:sz w:val="19"/>
                <w:szCs w:val="19"/>
                <w:color w:val="auto"/>
              </w:rPr>
            </w:pPr>
          </w:p>
        </w:tc>
        <w:tc>
          <w:tcPr>
            <w:tcW w:w="1020" w:type="dxa"/>
            <w:vAlign w:val="bottom"/>
            <w:tcBorders>
              <w:bottom w:val="single" w:sz="8" w:color="auto"/>
            </w:tcBorders>
            <w:shd w:val="clear" w:color="auto" w:fill="C0C0C0"/>
          </w:tcPr>
          <w:p>
            <w:pPr>
              <w:jc w:val="right"/>
              <w:ind w:right="30"/>
              <w:spacing w:after="0"/>
              <w:rPr>
                <w:sz w:val="20"/>
                <w:szCs w:val="20"/>
                <w:color w:val="auto"/>
              </w:rPr>
            </w:pPr>
            <w:r>
              <w:rPr>
                <w:rFonts w:ascii="Arial" w:cs="Arial" w:eastAsia="Arial" w:hAnsi="Arial"/>
                <w:sz w:val="18"/>
                <w:szCs w:val="18"/>
                <w:color w:val="auto"/>
              </w:rPr>
              <w:t>63,485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394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0C0C0"/>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(1,362,458)</w:t>
            </w:r>
          </w:p>
        </w:tc>
        <w:tc>
          <w:tcPr>
            <w:tcW w:w="100" w:type="dxa"/>
            <w:vAlign w:val="bottom"/>
            <w:tcBorders>
              <w:bottom w:val="single" w:sz="8" w:color="C0C0C0"/>
            </w:tcBorders>
            <w:shd w:val="clear" w:color="auto" w:fill="C0C0C0"/>
          </w:tcPr>
          <w:p>
            <w:pPr>
              <w:spacing w:after="0"/>
              <w:rPr>
                <w:sz w:val="22"/>
                <w:szCs w:val="22"/>
                <w:color w:val="auto"/>
              </w:rPr>
            </w:pPr>
          </w:p>
        </w:tc>
        <w:tc>
          <w:tcPr>
            <w:tcW w:w="380" w:type="dxa"/>
            <w:vAlign w:val="bottom"/>
            <w:tcBorders>
              <w:bottom w:val="single" w:sz="8" w:color="auto"/>
            </w:tcBorders>
            <w:shd w:val="clear" w:color="auto" w:fill="C0C0C0"/>
          </w:tcPr>
          <w:p>
            <w:pPr>
              <w:jc w:val="right"/>
              <w:ind w:right="1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8"/>
                <w:szCs w:val="18"/>
                <w:color w:val="auto"/>
              </w:rPr>
              <w:t>(1,795,003)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used herein, Adjusted EBITDA represents net income (loss) before interest income, interest expense, income taxes, depreciation, amortization, and change in fair value of warrant liabilities and stock-based compensation expense. We have excluded the non-operating item, change in fair value of warrant liabilities, because it represents a non-cash charge that is not related to the Company’s operations. We have excluded the non-cash expenses, stock-based compensation, as it does not reflect the cash-based operations of the Company. Adjusted EBITDA is a non-GAAP financial measure which is not required by or defined under GAAP (Generally Accepted Accounting Principles). The presentation of this financial measure is not intended to be considered in isolation or as a substitute for the financial measures prepared and presented in accordance with GAAP, including the net income or net loss of the Company or net cash used in operating activities. Management recognizes that non-GAAP financial measures have limitations in that they do not reflect all of the items associated with the Company’s net income or net loss as determined in accordance with GAAP, and are not a substitute for or a measure of the Company’s profitability or net earnings. Adjusted EBITDA is presented because we believe it is useful to investors as a measure of comparative operating performance and liquidity, and because it is less susceptible to variances in actual performance resulting from depreciation and amortization and non-cash charges for changes in fair value of warrant liabilities and stock-based compensation expense.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nine months ended March 31, 2012, net cash of $6,074,227 was used by operating activities, primarily due to cash used for operating assets and liabilities of $4,642,681 and the net loss of $2,438,631, offset by the depreciation and amortization of assets, and by the reduction in the fair value of common stock warrants of $1,983,442.</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$4,642,681 of cash used related to changes in the Company’s operating assets and liabilities was primarily the result of $3,282,512 of inventory acquired for use in the Jump Start Program, increases in trade and finance receivables of approximately $530,000 and prepaid assets of approximately $291,000 as well as a decrease in accounts payable, offset by an increase in accrued expenses.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nine months ended March 31, 2012, the Company used $404,103 in investing activities related to purchases of property and equipment, and used net cash of $319,146 in financing activities mainly due to repayment of long-term debt.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incurred losses since inception. Our accumulated deficit through March 31, 2012 is composed of cumulative losses amounting to $196,386,445, preferred dividends converted to common stock of approximately $2,688,000 and charges incurred for the open-market purchases of preferred stock of approximately $149,000. The Company has historically raised capital through equity offerings in order to fund operations.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of $6,194,035 at March 31, 2012, decreased by $1,136,346 during the three months ended March 31, 2012, compared to $7,330,381 as of December 31, 2011. During this same period, the Company used $1,226,518 of cash in the JumpStart program bringing the total cash used for the nine months ended March 31, 2012 to $3,282,512, up from $2,055,994 as of December 31, 2011. This change is included in the change in inventory and net cash used in operating activities in the Consolidated Statements of Cash Flows.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Excluding the cash used in the JumpStart program, there was a $90,172 net increase in cash during the quarter ended March 31, 2012.</w:t>
      </w:r>
    </w:p>
    <w:p>
      <w:pPr>
        <w:spacing w:after="0" w:line="25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remainder of the 2012 fiscal year, the Company anticipates incurring capital expenditures of approximately $1,800,000 in connection with ePort units expected to be used in the JumpStart Program and additional capital expenditures of approximately $730,000 for property and equipment. The Company may increase or reduce the ePort units purchased for use by the JumpStart Program during the remainder of the fiscal year based on business conditions.</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a result of the connections added during the most recent fiscal quarters, recurring revenue from license and transaction fees increased from $4,313,503 for the three months ended March 31, 2011 to $5,985,052 for the three months ended March 31, 2012, an increase of 39%. In addition, total GP dollars have increased from $1,553,132 for the three months ended March 31, 2011 to $2,795,220 for the three months ended March 31, 2012, an increase of 80%. Our average monthly cash GP during the three months ended March 31, 2012, excluding non-cash depreciation expense included in cost of sales during the quarter of approximately $498,000, approximates $1,100,000 and is expected to increase in the next fiscal quarter due to recognizing recurring revenue on JumpStart units shipped during the quarter ended March 31, 2012.</w:t>
      </w:r>
    </w:p>
    <w:p>
      <w:pPr>
        <w:spacing w:after="0" w:line="2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average monthly SG&amp;A expenses during the three months ended March 31, 2012 were approximately $1,014,000. This includes charges of approximately $61,000 related to the SEC’s investigation, and other non-cash net charges of approximately $80,000. Excluding these charges, our average monthly cash-based SG&amp;A expenses during the three months ended March 31, 2012 was approximately $967,000.</w:t>
      </w:r>
    </w:p>
    <w:p>
      <w:pPr>
        <w:spacing w:after="0" w:line="20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positive adjusted EBITDA achieved during the recent quarter, and as shown by the reconciliation of net loss to adjusted EBITDA set forth above, the Company did not utilize cash to fund losses during the quarter. Assuming our average monthly cash-based SG&amp;A expenses incurred during the March 31, 2012 quarter, calculated above, would continue, and since the Company has the ability to reduce the cash it uses for ePort units purchased for the JumpStart Program, the Company believes its existing cash and cash equivalents as of March 31, 2012, would provide sufficient funds to meet its cash requirements, including the potential costs which may arise in connection with the 2012 annual meeting of shareholders, capital expenditures and repayment of long-term debt through at least July 1, 2013.</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exposure to market risks for interest rate changes is not significant. Interest rates on its long-term debt are generally fixed and its investment in cash equivalents is not significant. Market risks related to fluctuations of foreign currencies are not significant and the Company has no derivative instruments.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Evaluation of disclosure controls and procedures.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principal executive officer and principal financial officer have evaluated the Company’s disclosure controls and procedures as of March 31, 2012. Based on this evaluation, they conclude that the disclosure controls and procedures were effective to ensure that the information required to be disclosed by the Company in the reports that it files or submits under the Securities Exchange Act of 1934 is recorded, processed, summarized and reported, within the time periods specified in the Commission’s rules and forms and to ensure that information required to be disclosed by the Company in the reports that it files or submits under the Securities Exchange Act of 1934 is accumulated and communicated to the Company’s management, including its principal executive and principal financial officers, or persons performing similar functions, as appropriate to allow timely decisions regarding required disclosure.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(b) Changes in internal controls.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There have been no changes during the quarter ended March 31, 2012 in the Company’s internal controls over financial reporting that have materially affected, or are reasonably likely to materially affect, internal control over financial reporting.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There were no defaults on any senior securities. However, on February 1, 2012 an additional $332,226 of dividends were accrued on our cumulative Series A Convertible Preferred Stock. The total accrued and unpaid dividends on our Series A Convertible Preferred Stock as of March 31, 2012 are $10,931,872. The dividend accrual dates for our Preferred Stock are February 1 and August 1. The annual cumulative dividend on our Preferred Stock is $1.50 per share.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Chief Executive Officer pursuant to Rule 13a-14(a) under the Securities Exchange Act of 1934.</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Chief Financial Officer pursuant to Rule 13a-14(a) under the Securities Exchange Act of 1934.</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pursuant to 18 USC Section 1350, as adopted pursuant to Section 906 of the Sarbanes-Oxley Act of</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2002.</w:t>
      </w:r>
    </w:p>
    <w:p>
      <w:pPr>
        <w:spacing w:after="0" w:line="211"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the Chief Financial Officer pursuant to 18 USC Section 1350, as adopted pursuant to Section 906 of the Sarbanes-Oxley Act of</w:t>
      </w:r>
    </w:p>
    <w:p>
      <w:pPr>
        <w:spacing w:after="0" w:line="23" w:lineRule="exact"/>
        <w:rPr>
          <w:sz w:val="20"/>
          <w:szCs w:val="20"/>
          <w:color w:val="auto"/>
        </w:rPr>
      </w:pPr>
    </w:p>
    <w:p>
      <w:pPr>
        <w:ind w:left="760"/>
        <w:spacing w:after="0"/>
        <w:rPr>
          <w:sz w:val="20"/>
          <w:szCs w:val="20"/>
          <w:color w:val="auto"/>
        </w:rPr>
      </w:pPr>
      <w:r>
        <w:rPr>
          <w:rFonts w:ascii="Arial" w:cs="Arial" w:eastAsia="Arial" w:hAnsi="Arial"/>
          <w:sz w:val="18"/>
          <w:szCs w:val="18"/>
          <w:color w:val="auto"/>
        </w:rPr>
        <w:t>2002.</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Table of Contents</w:t>
        </w:r>
      </w:hyperlink>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6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w w:val="95"/>
              </w:rPr>
              <w:t>USA TECHNOLOGIES, INC.</w:t>
            </w:r>
          </w:p>
        </w:tc>
      </w:tr>
      <w:tr>
        <w:trPr>
          <w:trHeight w:val="439"/>
        </w:trPr>
        <w:tc>
          <w:tcPr>
            <w:tcW w:w="6460" w:type="dxa"/>
            <w:vAlign w:val="bottom"/>
          </w:tcPr>
          <w:p>
            <w:pPr>
              <w:spacing w:after="0"/>
              <w:rPr>
                <w:sz w:val="20"/>
                <w:szCs w:val="20"/>
                <w:color w:val="auto"/>
              </w:rPr>
            </w:pPr>
            <w:r>
              <w:rPr>
                <w:rFonts w:ascii="Arial" w:cs="Arial" w:eastAsia="Arial" w:hAnsi="Arial"/>
                <w:sz w:val="18"/>
                <w:szCs w:val="18"/>
                <w:color w:val="auto"/>
              </w:rPr>
              <w:t>Date: May 11, 2012</w:t>
            </w: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P. Herbert</w:t>
            </w:r>
          </w:p>
        </w:tc>
      </w:tr>
      <w:tr>
        <w:trPr>
          <w:trHeight w:val="202"/>
        </w:trPr>
        <w:tc>
          <w:tcPr>
            <w:tcW w:w="646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Stephen P. Herbert</w:t>
            </w:r>
          </w:p>
        </w:tc>
      </w:tr>
      <w:tr>
        <w:trPr>
          <w:trHeight w:val="216"/>
        </w:trPr>
        <w:tc>
          <w:tcPr>
            <w:tcW w:w="646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646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and President</w:t>
            </w:r>
          </w:p>
        </w:tc>
      </w:tr>
      <w:tr>
        <w:trPr>
          <w:trHeight w:val="439"/>
        </w:trPr>
        <w:tc>
          <w:tcPr>
            <w:tcW w:w="6460" w:type="dxa"/>
            <w:vAlign w:val="bottom"/>
          </w:tcPr>
          <w:p>
            <w:pPr>
              <w:spacing w:after="0"/>
              <w:rPr>
                <w:sz w:val="20"/>
                <w:szCs w:val="20"/>
                <w:color w:val="auto"/>
              </w:rPr>
            </w:pPr>
            <w:r>
              <w:rPr>
                <w:rFonts w:ascii="Arial" w:cs="Arial" w:eastAsia="Arial" w:hAnsi="Arial"/>
                <w:sz w:val="18"/>
                <w:szCs w:val="18"/>
                <w:color w:val="auto"/>
              </w:rPr>
              <w:t>Date: May 11, 2012</w:t>
            </w:r>
          </w:p>
        </w:tc>
        <w:tc>
          <w:tcPr>
            <w:tcW w:w="2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M. DeMedio</w:t>
            </w:r>
          </w:p>
        </w:tc>
      </w:tr>
      <w:tr>
        <w:trPr>
          <w:trHeight w:val="202"/>
        </w:trPr>
        <w:tc>
          <w:tcPr>
            <w:tcW w:w="646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David M. DeMedio</w:t>
            </w:r>
          </w:p>
        </w:tc>
      </w:tr>
      <w:tr>
        <w:trPr>
          <w:trHeight w:val="230"/>
        </w:trPr>
        <w:tc>
          <w:tcPr>
            <w:tcW w:w="646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Stephen P. Herbert, certify that:</w:t>
      </w:r>
    </w:p>
    <w:p>
      <w:pPr>
        <w:spacing w:after="0" w:line="252"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May 11, 2012</w:t>
      </w:r>
      <w:r>
        <w:rPr>
          <w:sz w:val="20"/>
          <w:szCs w:val="20"/>
          <w:color w:val="auto"/>
        </w:rPr>
        <w:tab/>
      </w:r>
      <w:r>
        <w:rPr>
          <w:rFonts w:ascii="Arial" w:cs="Arial" w:eastAsia="Arial" w:hAnsi="Arial"/>
          <w:sz w:val="15"/>
          <w:szCs w:val="15"/>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14605</wp:posOffset>
            </wp:positionV>
            <wp:extent cx="232410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324100" cy="1714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243"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David M. DeMedio, certify that:</w:t>
      </w:r>
    </w:p>
    <w:p>
      <w:pPr>
        <w:spacing w:after="0" w:line="252" w:lineRule="exact"/>
        <w:rPr>
          <w:sz w:val="20"/>
          <w:szCs w:val="20"/>
          <w:color w:val="auto"/>
        </w:rPr>
      </w:pPr>
    </w:p>
    <w:p>
      <w:pPr>
        <w:ind w:left="180" w:hanging="172"/>
        <w:spacing w:after="0"/>
        <w:tabs>
          <w:tab w:leader="none" w:pos="1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USA Technologies, Inc.;</w:t>
      </w:r>
    </w:p>
    <w:p>
      <w:pPr>
        <w:spacing w:after="0" w:line="252" w:lineRule="exact"/>
        <w:rPr>
          <w:rFonts w:ascii="Arial" w:cs="Arial" w:eastAsia="Arial" w:hAnsi="Arial"/>
          <w:sz w:val="18"/>
          <w:szCs w:val="18"/>
          <w:color w:val="auto"/>
        </w:rPr>
      </w:pPr>
    </w:p>
    <w:p>
      <w:pPr>
        <w:ind w:firstLine="8"/>
        <w:spacing w:after="0" w:line="342" w:lineRule="auto"/>
        <w:tabs>
          <w:tab w:leader="none" w:pos="20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firstLine="8"/>
        <w:spacing w:after="0" w:line="277" w:lineRule="auto"/>
        <w:tabs>
          <w:tab w:leader="none" w:pos="182"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issuer as of, and for, the periods presented in this report;</w:t>
      </w:r>
    </w:p>
    <w:p>
      <w:pPr>
        <w:spacing w:after="0" w:line="197" w:lineRule="exact"/>
        <w:rPr>
          <w:rFonts w:ascii="Arial" w:cs="Arial" w:eastAsia="Arial" w:hAnsi="Arial"/>
          <w:sz w:val="18"/>
          <w:szCs w:val="18"/>
          <w:color w:val="auto"/>
        </w:rPr>
      </w:pPr>
    </w:p>
    <w:p>
      <w:pPr>
        <w:jc w:val="both"/>
        <w:ind w:firstLine="8"/>
        <w:spacing w:after="0" w:line="264" w:lineRule="auto"/>
        <w:tabs>
          <w:tab w:leader="none" w:pos="189"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 Evaluated the effectiveness of the registrant’s disclosure controls and procedures and presented in this report our conclusions about the effectiveness of the disclosure controls and procedures, as of the end of the period covered by this report based upon such evaluation; 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 Disclosed in this report any change in the registrant’s internal control over financial reporting that occurred during the issuer’s most recent fiscal quarter (the issuer’s fourth fiscal quarter in the case of an annual report) that has materially affected or is reasonably likely to materially affect, the issuer’s internal control over financial reporting; and</w:t>
      </w:r>
    </w:p>
    <w:p>
      <w:pPr>
        <w:spacing w:after="0" w:line="208" w:lineRule="exact"/>
        <w:rPr>
          <w:sz w:val="20"/>
          <w:szCs w:val="20"/>
          <w:color w:val="auto"/>
        </w:rPr>
      </w:pPr>
    </w:p>
    <w:p>
      <w:pPr>
        <w:ind w:firstLine="8"/>
        <w:spacing w:after="0" w:line="277" w:lineRule="auto"/>
        <w:tabs>
          <w:tab w:leader="none" w:pos="191"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issuer’s other certifying officer and I have disclosed, based on our most recent evaluation, of internal control over financial reporting to the auditors and the audit committee of the issuer’s board of directors (or persons performing the equivalent functions):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all significant deficiencies and material weaknesses in the design or operation of internal controls over financial reporting which are reasonably likely to adversely affect the issuer’s ability to record, process, summarize and report financial information; and</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 any fraud, whether or not material, that involves management or other employees who have a significant role in the issuer’s internal control over financial reporting.</w:t>
      </w:r>
    </w:p>
    <w:p>
      <w:pPr>
        <w:spacing w:after="0" w:line="143" w:lineRule="exact"/>
        <w:rPr>
          <w:sz w:val="20"/>
          <w:szCs w:val="20"/>
          <w:color w:val="auto"/>
        </w:rPr>
      </w:pPr>
    </w:p>
    <w:p>
      <w:pPr>
        <w:spacing w:after="0"/>
        <w:tabs>
          <w:tab w:leader="none" w:pos="6560" w:val="left"/>
        </w:tabs>
        <w:rPr>
          <w:sz w:val="20"/>
          <w:szCs w:val="20"/>
          <w:color w:val="auto"/>
        </w:rPr>
      </w:pPr>
      <w:r>
        <w:rPr>
          <w:rFonts w:ascii="Arial" w:cs="Arial" w:eastAsia="Arial" w:hAnsi="Arial"/>
          <w:sz w:val="18"/>
          <w:szCs w:val="18"/>
          <w:color w:val="auto"/>
        </w:rPr>
        <w:t>Date: May 11, 2012</w:t>
      </w:r>
      <w:r>
        <w:rPr>
          <w:sz w:val="20"/>
          <w:szCs w:val="20"/>
          <w:color w:val="auto"/>
        </w:rPr>
        <w:tab/>
      </w:r>
      <w:r>
        <w:rPr>
          <w:rFonts w:ascii="Arial" w:cs="Arial" w:eastAsia="Arial" w:hAnsi="Arial"/>
          <w:sz w:val="17"/>
          <w:szCs w:val="17"/>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14605</wp:posOffset>
            </wp:positionV>
            <wp:extent cx="16725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72590" cy="17145"/>
                    </a:xfrm>
                    <a:prstGeom prst="rect">
                      <a:avLst/>
                    </a:prstGeom>
                    <a:noFill/>
                  </pic:spPr>
                </pic:pic>
              </a:graphicData>
            </a:graphic>
          </wp:anchor>
        </w:drawing>
      </w:r>
    </w:p>
    <w:p>
      <w:pPr>
        <w:spacing w:after="0" w:line="3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David M. DeMedio</w:t>
      </w:r>
    </w:p>
    <w:p>
      <w:pPr>
        <w:spacing w:after="0" w:line="9"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243"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March 31, 2012 (the “Report”), I, Stephen P. Herbert., Chief Executive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Stephen P. Herbert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7583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75831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Stephen P. Herbert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President</w:t>
      </w:r>
    </w:p>
    <w:p>
      <w:pPr>
        <w:sectPr>
          <w:pgSz w:w="11900" w:h="16838" w:orient="portrait"/>
          <w:cols w:equalWidth="0" w:num="1">
            <w:col w:w="11420"/>
          </w:cols>
          <w:pgMar w:left="240" w:top="243"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connection with the accompanying Quarterly Report of USA Technologies, Inc., (the “Company”) on Form 10-Q for the period ended March 31, 2012 (the “Report”), I, David M. DeMedio, Chief Financial Officer of the Company, hereby certify that to my knowledge:</w:t>
      </w:r>
    </w:p>
    <w:p>
      <w:pPr>
        <w:spacing w:after="0" w:line="197"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 David M. DeMedio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4907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David M. DeMedio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24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x"/>
      <w:numFmt w:val="bullet"/>
      <w:start w:val="1"/>
    </w:lvl>
  </w:abstractNum>
  <w:abstractNum w:abstractNumId="1">
    <w:nsid w:val="7545E146"/>
    <w:multiLevelType w:val="hybridMultilevel"/>
    <w:lvl w:ilvl="0">
      <w:lvlJc w:val="left"/>
      <w:lvlText w:val="o"/>
      <w:numFmt w:val="bullet"/>
      <w:start w:val="1"/>
    </w:lvl>
  </w:abstractNum>
  <w:abstractNum w:abstractNumId="2">
    <w:nsid w:val="515F007C"/>
    <w:multiLevelType w:val="hybridMultilevel"/>
    <w:lvl w:ilvl="0">
      <w:lvlJc w:val="left"/>
      <w:lvlText w:val="%1."/>
      <w:numFmt w:val="decimal"/>
      <w:start w:val="5"/>
    </w:lvl>
  </w:abstractNum>
  <w:abstractNum w:abstractNumId="3">
    <w:nsid w:val="5BD062C2"/>
    <w:multiLevelType w:val="hybridMultilevel"/>
    <w:lvl w:ilvl="0">
      <w:lvlJc w:val="left"/>
      <w:lvlText w:val="%1."/>
      <w:numFmt w:val="decimal"/>
      <w:start w:val="2"/>
    </w:lvl>
  </w:abstractNum>
  <w:abstractNum w:abstractNumId="4">
    <w:nsid w:val="12200854"/>
    <w:multiLevelType w:val="hybridMultilevel"/>
    <w:lvl w:ilvl="0">
      <w:lvlJc w:val="left"/>
      <w:lvlText w:val="●"/>
      <w:numFmt w:val="bullet"/>
      <w:start w:val="1"/>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5"/>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5"/>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2019-12-11T01:32:17Z</dcterms:created>
  <dcterms:modified xsi:type="dcterms:W3CDTF">2019-12-11T01:32:17Z</dcterms:modified>
</cp:coreProperties>
</file>