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 (d)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For the quarterly period ended September 30, 2023</w:t>
      </w:r>
      <w:r>
        <w:rPr>
          <w:color w:val="000000"/>
        </w:rPr>
        <w:t xml:space="preserve">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162" w:type="dxa"/>
        <w:jc w:val="left"/>
        <w:tblInd w:w="0" w:type="dxa"/>
        <w:tblLayout w:type="fixed"/>
        <w:tblCellMar>
          <w:top w:w="28" w:type="dxa"/>
          <w:left w:w="28" w:type="dxa"/>
          <w:bottom w:w="28" w:type="dxa"/>
          <w:right w:w="28" w:type="dxa"/>
        </w:tblCellMar>
      </w:tblPr>
      <w:tblGrid>
        <w:gridCol w:w="124"/>
        <w:gridCol w:w="109"/>
        <w:gridCol w:w="109"/>
        <w:gridCol w:w="2583"/>
        <w:gridCol w:w="2583"/>
        <w:gridCol w:w="3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 (d) OF THE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001-33365 </w:t>
      </w:r>
    </w:p>
    <w:p>
      <w:pPr>
        <w:pStyle w:val="TextBody"/>
        <w:bidi w:val="0"/>
        <w:spacing w:before="40" w:after="283"/>
        <w:jc w:val="center"/>
        <w:rPr/>
      </w:pPr>
      <w:r>
        <w:rPr/>
        <w:drawing>
          <wp:inline distT="0" distB="0" distL="0" distR="0">
            <wp:extent cx="1905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42925"/>
                    </a:xfrm>
                    <a:prstGeom prst="rect">
                      <a:avLst/>
                    </a:prstGeom>
                  </pic:spPr>
                </pic:pic>
              </a:graphicData>
            </a:graphic>
          </wp:inline>
        </w:drawing>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Cantaloupe,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9"/>
        <w:gridCol w:w="1579"/>
        <w:gridCol w:w="1587"/>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23-2679963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6205" w:type="dxa"/>
        <w:jc w:val="left"/>
        <w:tblInd w:w="0" w:type="dxa"/>
        <w:tblLayout w:type="fixed"/>
        <w:tblCellMar>
          <w:top w:w="28" w:type="dxa"/>
          <w:left w:w="28" w:type="dxa"/>
          <w:bottom w:w="28" w:type="dxa"/>
          <w:right w:w="28" w:type="dxa"/>
        </w:tblCellMar>
      </w:tblPr>
      <w:tblGrid>
        <w:gridCol w:w="646"/>
        <w:gridCol w:w="568"/>
        <w:gridCol w:w="570"/>
        <w:gridCol w:w="309"/>
        <w:gridCol w:w="309"/>
        <w:gridCol w:w="311"/>
        <w:gridCol w:w="294"/>
        <w:gridCol w:w="294"/>
        <w:gridCol w:w="296"/>
        <w:gridCol w:w="415"/>
        <w:gridCol w:w="415"/>
        <w:gridCol w:w="416"/>
        <w:gridCol w:w="109"/>
        <w:gridCol w:w="109"/>
        <w:gridCol w:w="109"/>
        <w:gridCol w:w="303"/>
        <w:gridCol w:w="303"/>
        <w:gridCol w:w="429"/>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100 Deerfield Lane,</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Suite 300,</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Malvern,</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19355</w:t>
            </w:r>
          </w:p>
        </w:tc>
      </w:tr>
      <w:tr>
        <w:trPr/>
        <w:tc>
          <w:tcPr>
            <w:tcW w:w="4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(610) 989-0340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958" w:type="dxa"/>
        <w:jc w:val="left"/>
        <w:tblInd w:w="0" w:type="dxa"/>
        <w:tblLayout w:type="fixed"/>
        <w:tblCellMar>
          <w:top w:w="28" w:type="dxa"/>
          <w:left w:w="28" w:type="dxa"/>
          <w:bottom w:w="28" w:type="dxa"/>
          <w:right w:w="28" w:type="dxa"/>
        </w:tblCellMar>
      </w:tblPr>
      <w:tblGrid>
        <w:gridCol w:w="793"/>
        <w:gridCol w:w="694"/>
        <w:gridCol w:w="703"/>
        <w:gridCol w:w="419"/>
        <w:gridCol w:w="419"/>
        <w:gridCol w:w="421"/>
        <w:gridCol w:w="1028"/>
        <w:gridCol w:w="1028"/>
        <w:gridCol w:w="1453"/>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no par value</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CTLP</w:t>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r>
        <w:rPr>
          <w:rFonts w:ascii="Arial Unicode MS;sans-serif" w:hAnsi="Arial Unicode MS;sans-serif"/>
          <w:b w:val="false"/>
          <w:color w:val="000000"/>
          <w:sz w:val="18"/>
        </w:rPr>
        <w:br/>
        <w:br/>
      </w:r>
      <w:r>
        <w:rPr>
          <w:rFonts w:ascii="Times New Roman;sans-serif" w:hAnsi="Times New Roman;sans-serif"/>
          <w:b w:val="false"/>
          <w:color w:val="000000"/>
          <w:sz w:val="20"/>
        </w:rPr>
        <w:t>As of November 3, 2023 there were 72,727,360 outstanding shares of Common Stock, no par value.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260"/>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ind w:left="0" w:right="0" w:firstLine="12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4"/>
        <w:gridCol w:w="320"/>
        <w:gridCol w:w="320"/>
        <w:gridCol w:w="2963"/>
        <w:gridCol w:w="2925"/>
        <w:gridCol w:w="2939"/>
        <w:gridCol w:w="109"/>
        <w:gridCol w:w="109"/>
        <w:gridCol w:w="1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0">
              <w:r>
                <w:rPr>
                  <w:rStyle w:val="InternetLink"/>
                  <w:rFonts w:ascii="Times New Roman;sans-serif" w:hAnsi="Times New Roman;sans-serif"/>
                  <w:b w:val="false"/>
                  <w:color w:val="0000EE"/>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3">
              <w:r>
                <w:rPr>
                  <w:rStyle w:val="InternetLink"/>
                  <w:rFonts w:ascii="Times New Roman;sans-serif" w:hAnsi="Times New Roman;sans-serif"/>
                  <w:b w:val="false"/>
                  <w:color w:val="0000EE"/>
                  <w:sz w:val="20"/>
                  <w:u w:val="single"/>
                </w:rPr>
                <w:t>Item 1.</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3">
              <w:r>
                <w:rPr>
                  <w:rStyle w:val="InternetLink"/>
                  <w:rFonts w:ascii="Times New Roman;sans-serif" w:hAnsi="Times New Roman;sans-serif"/>
                  <w:b w:val="false"/>
                  <w:color w:val="0000FF"/>
                  <w:sz w:val="20"/>
                  <w:u w:val="single"/>
                </w:rPr>
                <w:t>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6">
              <w:r>
                <w:rPr>
                  <w:rStyle w:val="InternetLink"/>
                  <w:rFonts w:ascii="Times New Roman;sans-serif" w:hAnsi="Times New Roman;sans-serif"/>
                  <w:b w:val="false"/>
                  <w:color w:val="0000FF"/>
                  <w:sz w:val="20"/>
                  <w:u w:val="single"/>
                </w:rPr>
                <w:t>Condensed Consolidated Balance Sheets - September 30, 2023 (unaudited) and June 30, 2023</w:t>
              </w:r>
            </w:hyperlink>
            <w:r>
              <w:rPr>
                <w:color w:val="000000"/>
              </w:rPr>
              <w:t xml:space="preserve">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6">
              <w:r>
                <w:rPr>
                  <w:rStyle w:val="InternetLink"/>
                  <w:rFonts w:ascii="Times New Roman;sans-serif" w:hAnsi="Times New Roman;sans-serif"/>
                  <w:b w:val="false"/>
                  <w:strike w:val="false"/>
                  <w:dstrike w:val="false"/>
                  <w:color w:val="000000"/>
                  <w:sz w:val="20"/>
                  <w:u w:val="none"/>
                  <w:effect w:val="none"/>
                </w:rPr>
                <w:t>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9">
              <w:r>
                <w:rPr>
                  <w:rStyle w:val="InternetLink"/>
                  <w:rFonts w:ascii="Times New Roman;sans-serif" w:hAnsi="Times New Roman;sans-serif"/>
                  <w:b w:val="false"/>
                  <w:color w:val="0000FF"/>
                  <w:sz w:val="20"/>
                  <w:u w:val="single"/>
                </w:rPr>
                <w:t>Condensed Consolidated Statements of Operations - Three Months ended September 30, 2023 and 2022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9">
              <w:r>
                <w:rPr>
                  <w:rStyle w:val="InternetLink"/>
                  <w:rFonts w:ascii="Times New Roman;sans-serif" w:hAnsi="Times New Roman;sans-serif"/>
                  <w:b w:val="false"/>
                  <w:strike w:val="false"/>
                  <w:dstrike w:val="false"/>
                  <w:color w:val="000000"/>
                  <w:sz w:val="20"/>
                  <w:u w:val="none"/>
                  <w:effect w:val="none"/>
                </w:rPr>
                <w:t>4</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22">
              <w:r>
                <w:rPr>
                  <w:rStyle w:val="InternetLink"/>
                  <w:rFonts w:ascii="Times New Roman;sans-serif" w:hAnsi="Times New Roman;sans-serif"/>
                  <w:b w:val="false"/>
                  <w:color w:val="0000FF"/>
                  <w:sz w:val="20"/>
                  <w:u w:val="single"/>
                </w:rPr>
                <w:t>Condensed Consolidated Statements of Convertible Preferred Stock and Shareholders’ Equity - Three Months ended September 30, 2023 and 2022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22">
              <w:r>
                <w:rPr>
                  <w:rStyle w:val="InternetLink"/>
                  <w:rFonts w:ascii="Times New Roman;sans-serif" w:hAnsi="Times New Roman;sans-serif"/>
                  <w:b w:val="false"/>
                  <w:strike w:val="false"/>
                  <w:dstrike w:val="false"/>
                  <w:color w:val="000000"/>
                  <w:sz w:val="20"/>
                  <w:u w:val="none"/>
                  <w:effect w:val="none"/>
                </w:rPr>
                <w:t>5</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25">
              <w:r>
                <w:rPr>
                  <w:rStyle w:val="InternetLink"/>
                  <w:rFonts w:ascii="Times New Roman;sans-serif" w:hAnsi="Times New Roman;sans-serif"/>
                  <w:b w:val="false"/>
                  <w:color w:val="0000FF"/>
                  <w:sz w:val="20"/>
                  <w:u w:val="single"/>
                </w:rPr>
                <w:t>Condensed Consolidated Statements of Cash Flows - Three Months ended September 30, 2023 and 2022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25">
              <w:r>
                <w:rPr>
                  <w:rStyle w:val="InternetLink"/>
                  <w:rFonts w:ascii="Times New Roman;sans-serif" w:hAnsi="Times New Roman;sans-serif"/>
                  <w:b w:val="false"/>
                  <w:strike w:val="false"/>
                  <w:dstrike w:val="false"/>
                  <w:color w:val="000000"/>
                  <w:sz w:val="20"/>
                  <w:u w:val="none"/>
                  <w:effect w:val="none"/>
                </w:rPr>
                <w:t>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28">
              <w:r>
                <w:rPr>
                  <w:rStyle w:val="InternetLink"/>
                  <w:rFonts w:ascii="Times New Roman;sans-serif" w:hAnsi="Times New Roman;sans-serif"/>
                  <w:b w:val="false"/>
                  <w:color w:val="0000FF"/>
                  <w:sz w:val="20"/>
                  <w:u w:val="single"/>
                </w:rPr>
                <w:t>Notes to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28">
              <w:r>
                <w:rPr>
                  <w:rStyle w:val="InternetLink"/>
                  <w:rFonts w:ascii="Times New Roman;sans-serif" w:hAnsi="Times New Roman;sans-serif"/>
                  <w:b w:val="false"/>
                  <w:strike w:val="false"/>
                  <w:dstrike w:val="false"/>
                  <w:color w:val="000000"/>
                  <w:sz w:val="20"/>
                  <w:u w:val="none"/>
                  <w:effect w:val="none"/>
                </w:rPr>
                <w:t>7</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85">
              <w:r>
                <w:rPr>
                  <w:rStyle w:val="InternetLink"/>
                  <w:rFonts w:ascii="Times New Roman;sans-serif" w:hAnsi="Times New Roman;sans-serif"/>
                  <w:b w:val="false"/>
                  <w:color w:val="0000EE"/>
                  <w:sz w:val="20"/>
                  <w:u w:val="single"/>
                </w:rPr>
                <w:t>Item 2.</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85">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85">
              <w:r>
                <w:rPr>
                  <w:rStyle w:val="InternetLink"/>
                  <w:rFonts w:ascii="Times New Roman;sans-serif" w:hAnsi="Times New Roman;sans-serif"/>
                  <w:b w:val="false"/>
                  <w:strike w:val="false"/>
                  <w:dstrike w:val="false"/>
                  <w:color w:val="000000"/>
                  <w:sz w:val="20"/>
                  <w:u w:val="none"/>
                  <w:effect w:val="none"/>
                </w:rPr>
                <w:t>21</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03">
              <w:r>
                <w:rPr>
                  <w:rStyle w:val="InternetLink"/>
                  <w:rFonts w:ascii="Times New Roman;sans-serif" w:hAnsi="Times New Roman;sans-serif"/>
                  <w:b w:val="false"/>
                  <w:color w:val="0000EE"/>
                  <w:sz w:val="20"/>
                  <w:u w:val="single"/>
                </w:rPr>
                <w:t>Item 3.</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03">
              <w:r>
                <w:rPr>
                  <w:rStyle w:val="InternetLink"/>
                  <w:rFonts w:ascii="Times New Roman;sans-serif" w:hAnsi="Times New Roman;sans-serif"/>
                  <w:b w:val="false"/>
                  <w:color w:val="0000EE"/>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03">
              <w:r>
                <w:rPr>
                  <w:rStyle w:val="InternetLink"/>
                  <w:rFonts w:ascii="Times New Roman;sans-serif" w:hAnsi="Times New Roman;sans-serif"/>
                  <w:b w:val="false"/>
                  <w:strike w:val="false"/>
                  <w:dstrike w:val="false"/>
                  <w:color w:val="000000"/>
                  <w:sz w:val="20"/>
                  <w:u w:val="none"/>
                  <w:effect w:val="none"/>
                </w:rPr>
                <w:t>32</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06">
              <w:r>
                <w:rPr>
                  <w:rStyle w:val="InternetLink"/>
                  <w:rFonts w:ascii="Times New Roman;sans-serif" w:hAnsi="Times New Roman;sans-serif"/>
                  <w:b w:val="false"/>
                  <w:color w:val="0000EE"/>
                  <w:sz w:val="20"/>
                  <w:u w:val="single"/>
                </w:rPr>
                <w:t>Item 4.</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06">
              <w:r>
                <w:rPr>
                  <w:rStyle w:val="InternetLink"/>
                  <w:rFonts w:ascii="Times New Roman;sans-serif" w:hAnsi="Times New Roman;sans-serif"/>
                  <w:b w:val="false"/>
                  <w:color w:val="0000EE"/>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06">
              <w:r>
                <w:rPr>
                  <w:rStyle w:val="InternetLink"/>
                  <w:rFonts w:ascii="Times New Roman;sans-serif" w:hAnsi="Times New Roman;sans-serif"/>
                  <w:b w:val="false"/>
                  <w:strike w:val="false"/>
                  <w:dstrike w:val="false"/>
                  <w:color w:val="000000"/>
                  <w:sz w:val="20"/>
                  <w:u w:val="none"/>
                  <w:effect w:val="none"/>
                </w:rPr>
                <w:t>32</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ia5a084b50fc44aa29499d6381d384857_109">
              <w:r>
                <w:rPr>
                  <w:rStyle w:val="InternetLink"/>
                  <w:rFonts w:ascii="Times New Roman;sans-serif" w:hAnsi="Times New Roman;sans-serif"/>
                  <w:b w:val="false"/>
                  <w:color w:val="0000EE"/>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12">
              <w:r>
                <w:rPr>
                  <w:rStyle w:val="InternetLink"/>
                  <w:rFonts w:ascii="Times New Roman;sans-serif" w:hAnsi="Times New Roman;sans-serif"/>
                  <w:b w:val="false"/>
                  <w:color w:val="0000EE"/>
                  <w:sz w:val="20"/>
                  <w:u w:val="single"/>
                </w:rPr>
                <w:t>Item 1.</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12">
              <w:r>
                <w:rPr>
                  <w:rStyle w:val="InternetLink"/>
                  <w:rFonts w:ascii="Times New Roman;sans-serif" w:hAnsi="Times New Roman;sans-serif"/>
                  <w:b w:val="false"/>
                  <w:color w:val="0000EE"/>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12">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15">
              <w:r>
                <w:rPr>
                  <w:rStyle w:val="InternetLink"/>
                  <w:rFonts w:ascii="Times New Roman;sans-serif" w:hAnsi="Times New Roman;sans-serif"/>
                  <w:b w:val="false"/>
                  <w:color w:val="0000EE"/>
                  <w:sz w:val="20"/>
                  <w:u w:val="single"/>
                </w:rPr>
                <w:t>Item 1A.</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15">
              <w:r>
                <w:rPr>
                  <w:rStyle w:val="InternetLink"/>
                  <w:rFonts w:ascii="Times New Roman;sans-serif" w:hAnsi="Times New Roman;sans-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15">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18">
              <w:r>
                <w:rPr>
                  <w:rStyle w:val="InternetLink"/>
                  <w:rFonts w:ascii="Times New Roman;sans-serif" w:hAnsi="Times New Roman;sans-serif"/>
                  <w:b w:val="false"/>
                  <w:color w:val="0000FF"/>
                  <w:sz w:val="20"/>
                  <w:u w:val="single"/>
                </w:rPr>
                <w:t>Item 2.</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18">
              <w:r>
                <w:rPr>
                  <w:rStyle w:val="InternetLink"/>
                  <w:rFonts w:ascii="Times New Roman;sans-serif" w:hAnsi="Times New Roman;sans-serif"/>
                  <w:b w:val="false"/>
                  <w:color w:val="0000FF"/>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18">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21">
              <w:r>
                <w:rPr>
                  <w:rStyle w:val="InternetLink"/>
                  <w:rFonts w:ascii="Times New Roman;sans-serif" w:hAnsi="Times New Roman;sans-serif"/>
                  <w:b w:val="false"/>
                  <w:color w:val="0000FF"/>
                  <w:sz w:val="20"/>
                  <w:u w:val="single"/>
                </w:rPr>
                <w:t>Item 3.</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21">
              <w:r>
                <w:rPr>
                  <w:rStyle w:val="InternetLink"/>
                  <w:rFonts w:ascii="Times New Roman;sans-serif" w:hAnsi="Times New Roman;sans-serif"/>
                  <w:b w:val="false"/>
                  <w:color w:val="0000FF"/>
                  <w:sz w:val="20"/>
                  <w:u w:val="singl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21">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24">
              <w:r>
                <w:rPr>
                  <w:rStyle w:val="InternetLink"/>
                  <w:rFonts w:ascii="Times New Roman;sans-serif" w:hAnsi="Times New Roman;sans-serif"/>
                  <w:b w:val="false"/>
                  <w:color w:val="0000FF"/>
                  <w:sz w:val="20"/>
                  <w:u w:val="single"/>
                </w:rPr>
                <w:t>Item 4.</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24">
              <w:r>
                <w:rPr>
                  <w:rStyle w:val="InternetLink"/>
                  <w:rFonts w:ascii="Times New Roman;sans-serif" w:hAnsi="Times New Roman;sans-serif"/>
                  <w:b w:val="false"/>
                  <w:color w:val="0000FF"/>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24">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27">
              <w:r>
                <w:rPr>
                  <w:rStyle w:val="InternetLink"/>
                  <w:rFonts w:ascii="Times New Roman;sans-serif" w:hAnsi="Times New Roman;sans-serif"/>
                  <w:b w:val="false"/>
                  <w:color w:val="0000FF"/>
                  <w:sz w:val="20"/>
                  <w:u w:val="single"/>
                </w:rPr>
                <w:t>Item 5.</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27">
              <w:r>
                <w:rPr>
                  <w:rStyle w:val="InternetLink"/>
                  <w:rFonts w:ascii="Times New Roman;sans-serif" w:hAnsi="Times New Roman;sans-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Item 6.</w:t>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Exhibits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084b50fc44aa29499d6381d384857_136">
              <w:r>
                <w:rPr>
                  <w:rStyle w:val="InternetLink"/>
                  <w:rFonts w:ascii="Times New Roman;sans-serif" w:hAnsi="Times New Roman;sans-serif"/>
                  <w:b w:val="false"/>
                  <w:color w:val="0000EE"/>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084b50fc44aa29499d6381d384857_136">
              <w:r>
                <w:rPr>
                  <w:rStyle w:val="InternetLink"/>
                  <w:rFonts w:ascii="Times New Roman;sans-serif" w:hAnsi="Times New Roman;sans-serif"/>
                  <w:b w:val="false"/>
                  <w:strike w:val="false"/>
                  <w:dstrike w:val="false"/>
                  <w:color w:val="000000"/>
                  <w:sz w:val="20"/>
                  <w:u w:val="none"/>
                  <w:effect w:val="non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19"/>
        <w:gridCol w:w="2061"/>
        <w:gridCol w:w="2068"/>
        <w:gridCol w:w="109"/>
        <w:gridCol w:w="109"/>
        <w:gridCol w:w="109"/>
        <w:gridCol w:w="296"/>
        <w:gridCol w:w="1159"/>
        <w:gridCol w:w="153"/>
        <w:gridCol w:w="109"/>
        <w:gridCol w:w="109"/>
        <w:gridCol w:w="109"/>
        <w:gridCol w:w="211"/>
        <w:gridCol w:w="826"/>
        <w:gridCol w:w="158"/>
      </w:tblGrid>
      <w:tr>
        <w:trPr/>
        <w:tc>
          <w:tcPr>
            <w:tcW w:w="261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6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133,991 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due after one year,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obligations under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Series A convertible preferred stock, 900,000 shares authorized, 385,782 issued and outstanding, with liquidation preferences of $</w:t>
            </w:r>
            <w:r>
              <w:rPr>
                <w:rFonts w:ascii="Times New Roman;sans-serif" w:hAnsi="Times New Roman;sans-serif"/>
                <w:b w:val="false"/>
                <w:color w:val="000000"/>
                <w:sz w:val="20"/>
                <w:shd w:fill="FFFFFF" w:val="clear"/>
              </w:rPr>
              <w:t>22,433</w:t>
            </w:r>
            <w:r>
              <w:rPr>
                <w:color w:val="000000"/>
              </w:rPr>
              <w:t xml:space="preserve"> </w:t>
            </w:r>
            <w:r>
              <w:rPr>
                <w:rFonts w:ascii="Times New Roman;sans-serif" w:hAnsi="Times New Roman;sans-serif"/>
                <w:b w:val="false"/>
                <w:color w:val="000000"/>
                <w:sz w:val="20"/>
              </w:rPr>
              <w:t>and $22,144 at September 30, 2023 and June 30,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640,000,000 shares authorized, 72,695,265 and 72,664,464 shares issued and outstanding at September 30, 2023 and June 30,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(310,445)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convertible preferred stock,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300,695 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83"/>
        <w:gridCol w:w="2269"/>
        <w:gridCol w:w="2273"/>
        <w:gridCol w:w="109"/>
        <w:gridCol w:w="109"/>
        <w:gridCol w:w="109"/>
        <w:gridCol w:w="244"/>
        <w:gridCol w:w="837"/>
        <w:gridCol w:w="109"/>
        <w:gridCol w:w="109"/>
        <w:gridCol w:w="109"/>
        <w:gridCol w:w="109"/>
        <w:gridCol w:w="244"/>
        <w:gridCol w:w="837"/>
        <w:gridCol w:w="155"/>
      </w:tblGrid>
      <w:tr>
        <w:trPr/>
        <w:tc>
          <w:tcPr>
            <w:tcW w:w="258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7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proxy solicitation and restatement expenses, net of insurance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applicable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used to compute net earnings (loss) per share applicable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Convertible Preferred Stock and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 Period Ended September 30, 2023</w:t>
      </w:r>
    </w:p>
    <w:p>
      <w:pPr>
        <w:pStyle w:val="TextBody"/>
        <w:bidi w:val="0"/>
        <w:spacing w:before="100" w:after="283"/>
        <w:jc w:val="left"/>
        <w:rPr/>
      </w:pPr>
      <w:r>
        <w:rPr/>
      </w:r>
    </w:p>
    <w:tbl>
      <w:tblPr>
        <w:tblW w:w="10216" w:type="dxa"/>
        <w:jc w:val="left"/>
        <w:tblInd w:w="0" w:type="dxa"/>
        <w:tblLayout w:type="fixed"/>
        <w:tblCellMar>
          <w:top w:w="28" w:type="dxa"/>
          <w:left w:w="28" w:type="dxa"/>
          <w:bottom w:w="28" w:type="dxa"/>
          <w:right w:w="28" w:type="dxa"/>
        </w:tblCellMar>
      </w:tblPr>
      <w:tblGrid>
        <w:gridCol w:w="619"/>
        <w:gridCol w:w="320"/>
        <w:gridCol w:w="322"/>
        <w:gridCol w:w="109"/>
        <w:gridCol w:w="109"/>
        <w:gridCol w:w="109"/>
        <w:gridCol w:w="413"/>
        <w:gridCol w:w="413"/>
        <w:gridCol w:w="226"/>
        <w:gridCol w:w="109"/>
        <w:gridCol w:w="109"/>
        <w:gridCol w:w="109"/>
        <w:gridCol w:w="211"/>
        <w:gridCol w:w="616"/>
        <w:gridCol w:w="109"/>
        <w:gridCol w:w="109"/>
        <w:gridCol w:w="109"/>
        <w:gridCol w:w="109"/>
        <w:gridCol w:w="540"/>
        <w:gridCol w:w="541"/>
        <w:gridCol w:w="226"/>
        <w:gridCol w:w="109"/>
        <w:gridCol w:w="109"/>
        <w:gridCol w:w="109"/>
        <w:gridCol w:w="211"/>
        <w:gridCol w:w="826"/>
        <w:gridCol w:w="109"/>
        <w:gridCol w:w="109"/>
        <w:gridCol w:w="109"/>
        <w:gridCol w:w="109"/>
        <w:gridCol w:w="211"/>
        <w:gridCol w:w="896"/>
        <w:gridCol w:w="109"/>
        <w:gridCol w:w="109"/>
        <w:gridCol w:w="109"/>
        <w:gridCol w:w="109"/>
        <w:gridCol w:w="236"/>
        <w:gridCol w:w="926"/>
        <w:gridCol w:w="174"/>
      </w:tblGrid>
      <w:tr>
        <w:trPr/>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left w:val="single" w:sz="2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left w:val="single" w:sz="2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72,664,464 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72,695,265 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 Period Ended September 30, 2022</w:t>
      </w:r>
    </w:p>
    <w:p>
      <w:pPr>
        <w:pStyle w:val="TextBody"/>
        <w:bidi w:val="0"/>
        <w:spacing w:before="0" w:after="0"/>
        <w:jc w:val="left"/>
        <w:rPr/>
      </w:pPr>
      <w:r>
        <w:rPr/>
      </w:r>
    </w:p>
    <w:tbl>
      <w:tblPr>
        <w:tblW w:w="10216" w:type="dxa"/>
        <w:jc w:val="left"/>
        <w:tblInd w:w="0" w:type="dxa"/>
        <w:tblLayout w:type="fixed"/>
        <w:tblCellMar>
          <w:top w:w="28" w:type="dxa"/>
          <w:left w:w="28" w:type="dxa"/>
          <w:bottom w:w="28" w:type="dxa"/>
          <w:right w:w="28" w:type="dxa"/>
        </w:tblCellMar>
      </w:tblPr>
      <w:tblGrid>
        <w:gridCol w:w="619"/>
        <w:gridCol w:w="320"/>
        <w:gridCol w:w="322"/>
        <w:gridCol w:w="109"/>
        <w:gridCol w:w="109"/>
        <w:gridCol w:w="109"/>
        <w:gridCol w:w="413"/>
        <w:gridCol w:w="413"/>
        <w:gridCol w:w="226"/>
        <w:gridCol w:w="109"/>
        <w:gridCol w:w="109"/>
        <w:gridCol w:w="109"/>
        <w:gridCol w:w="211"/>
        <w:gridCol w:w="616"/>
        <w:gridCol w:w="109"/>
        <w:gridCol w:w="109"/>
        <w:gridCol w:w="109"/>
        <w:gridCol w:w="109"/>
        <w:gridCol w:w="540"/>
        <w:gridCol w:w="541"/>
        <w:gridCol w:w="226"/>
        <w:gridCol w:w="109"/>
        <w:gridCol w:w="109"/>
        <w:gridCol w:w="109"/>
        <w:gridCol w:w="211"/>
        <w:gridCol w:w="826"/>
        <w:gridCol w:w="109"/>
        <w:gridCol w:w="109"/>
        <w:gridCol w:w="109"/>
        <w:gridCol w:w="109"/>
        <w:gridCol w:w="211"/>
        <w:gridCol w:w="896"/>
        <w:gridCol w:w="109"/>
        <w:gridCol w:w="109"/>
        <w:gridCol w:w="109"/>
        <w:gridCol w:w="109"/>
        <w:gridCol w:w="236"/>
        <w:gridCol w:w="926"/>
        <w:gridCol w:w="174"/>
      </w:tblGrid>
      <w:tr>
        <w:trPr/>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left w:val="single" w:sz="2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left w:val="single" w:sz="2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445,063 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71,188,053 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71,218,130 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accompanying notes to condensed consolidated financial statements.</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02"/>
        <w:gridCol w:w="2355"/>
        <w:gridCol w:w="2366"/>
        <w:gridCol w:w="109"/>
        <w:gridCol w:w="109"/>
        <w:gridCol w:w="109"/>
        <w:gridCol w:w="211"/>
        <w:gridCol w:w="721"/>
        <w:gridCol w:w="109"/>
        <w:gridCol w:w="109"/>
        <w:gridCol w:w="109"/>
        <w:gridCol w:w="109"/>
        <w:gridCol w:w="211"/>
        <w:gridCol w:w="721"/>
        <w:gridCol w:w="155"/>
      </w:tblGrid>
      <w:tr>
        <w:trPr/>
        <w:tc>
          <w:tcPr>
            <w:tcW w:w="2702"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7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included in cost of subscription and transaction fees for 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paid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0"/>
              </w:rPr>
              <w:t>Supplemental disclosures of cash flow information</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and its consolidated subsidiaries are referred to herein collectively as "Cantaloupe," the "Company," "we," "our" or "us," unless the context requires otherwise.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 SUMMARY OF SIGNIFICANT ACCOUNTING POLICIES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Preparation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2023 Annual Report on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transactions and balances have been eliminated in consolidation. In the opinion of management, all adjustments considered necessary for a fair presentation, consisting of normal recurring adjustments, have been included. Operating results for the interim periods presented are not necessarily indicative of the results that may be expected for the entire fiscal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because its chief operating decision maker, who is the Chief Executive Officer, reviews its financial information on a consolidated basis for purposes of making decisions regarding allocating resources and assessing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Company's acquisition of Three Square Market, Inc., a Wisconsin corporation, and Three Square Market Limited, a UK private limited company (collectively "32M"), we assessed the foreign exchange impact associated with 32M's UK operations which utilizes the British Pound as its functional currency, and concluded the foreign currency fluctuations were immaterial to our financial statements including Condensed Consolidated Balance Sheets, Condensed Consolidated Statements of Operations, Condensed Consolidated Statements of Convertible Preferred Stock and Shareholders’ Equity, and Condensed Consolidated Statement of Cash Flows. The Company will continue to monitor and assess its exposures to foreign exchange fluctuations in future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Reclassification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Beginning with the fourth quarter of fiscal year 2023, the Company presented Convertible Preferred Stock on its</w:t>
      </w:r>
      <w:r>
        <w:rPr>
          <w:color w:val="000000"/>
        </w:rPr>
        <w:t xml:space="preserve"> </w:t>
      </w:r>
      <w:r>
        <w:rPr>
          <w:rFonts w:ascii="Times New Roman;sans-serif" w:hAnsi="Times New Roman;sans-serif"/>
          <w:b w:val="false"/>
          <w:color w:val="000000"/>
          <w:sz w:val="20"/>
        </w:rPr>
        <w:t>Consolidated Statements of Shareholders’ Equity and changed the name of the statement to Consolidated Statements of Convertible Preferred Stock and Shareholders’ Equity accordingly.</w:t>
      </w:r>
      <w:r>
        <w:rPr>
          <w:color w:val="000000"/>
          <w:shd w:fill="FFFFFF" w:val="clear"/>
        </w:rPr>
        <w:t xml:space="preserve"> </w:t>
      </w:r>
      <w:r>
        <w:rPr>
          <w:rFonts w:ascii="Times New Roman;sans-serif" w:hAnsi="Times New Roman;sans-serif"/>
          <w:b w:val="false"/>
          <w:color w:val="000000"/>
          <w:sz w:val="20"/>
        </w:rPr>
        <w:t>Prior period amounts have been reclassified to conform to the current period presentation.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Adopted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 other new accounting pronouncements, issued or effective during the period ended September 30, 2023, have had or are expected to have a significant impact on the Company’s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for uncollectible accounts were $37.0 million as of September 30, 2023 and $30.2 million as of June 30, 2023.</w:t>
      </w:r>
    </w:p>
    <w:p>
      <w:pPr>
        <w:pStyle w:val="TextBody"/>
        <w:bidi w:val="0"/>
        <w:spacing w:before="0" w:after="0"/>
        <w:jc w:val="both"/>
        <w:rPr/>
      </w:pPr>
      <w:r>
        <w:rPr/>
      </w:r>
    </w:p>
    <w:p>
      <w:pPr>
        <w:pStyle w:val="TextBody"/>
        <w:bidi w:val="0"/>
        <w:spacing w:lineRule="auto" w:line="27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Concentrations</w:t>
      </w:r>
    </w:p>
    <w:p>
      <w:pPr>
        <w:pStyle w:val="TextBody"/>
        <w:bidi w:val="0"/>
        <w:spacing w:before="0" w:after="0"/>
        <w:jc w:val="both"/>
        <w:rPr/>
      </w:pPr>
      <w:r>
        <w:rPr/>
      </w:r>
    </w:p>
    <w:p>
      <w:pPr>
        <w:pStyle w:val="TextBody"/>
        <w:bidi w:val="0"/>
        <w:spacing w:lineRule="auto" w:line="27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June 30, 2023, no customer represented more than 10% of the Company's accounts receivable, net of allowance. </w:t>
      </w:r>
    </w:p>
    <w:p>
      <w:pPr>
        <w:pStyle w:val="TextBody"/>
        <w:bidi w:val="0"/>
        <w:spacing w:before="0" w:after="0"/>
        <w:jc w:val="both"/>
        <w:rPr/>
      </w:pPr>
      <w:r>
        <w:rPr/>
      </w:r>
    </w:p>
    <w:p>
      <w:pPr>
        <w:pStyle w:val="TextBody"/>
        <w:bidi w:val="0"/>
        <w:spacing w:lineRule="auto" w:line="27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jc w:val="both"/>
        <w:rPr/>
      </w:pPr>
      <w:r>
        <w:rPr/>
      </w:r>
    </w:p>
    <w:p>
      <w:pPr>
        <w:pStyle w:val="TextBody"/>
        <w:bidi w:val="0"/>
        <w:spacing w:lineRule="auto" w:line="27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allowance for credit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(days past due status) of the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receivable balances against the allowance for credit losses when management determines the balance is uncollectible and the Company ceases collection efforts.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rollforward of the allowance for credit losses for the three months ended September 30, 2023 and 2022:</w:t>
      </w:r>
    </w:p>
    <w:p>
      <w:pPr>
        <w:pStyle w:val="TextBody"/>
        <w:bidi w:val="0"/>
        <w:spacing w:before="0" w:after="0"/>
        <w:jc w:val="left"/>
        <w:rPr/>
      </w:pPr>
      <w:r>
        <w:rPr/>
      </w:r>
    </w:p>
    <w:tbl>
      <w:tblPr>
        <w:tblW w:w="5519" w:type="dxa"/>
        <w:jc w:val="left"/>
        <w:tblInd w:w="0" w:type="dxa"/>
        <w:tblLayout w:type="fixed"/>
        <w:tblCellMar>
          <w:top w:w="28" w:type="dxa"/>
          <w:left w:w="28" w:type="dxa"/>
          <w:bottom w:w="28" w:type="dxa"/>
          <w:right w:w="28" w:type="dxa"/>
        </w:tblCellMar>
      </w:tblPr>
      <w:tblGrid>
        <w:gridCol w:w="901"/>
        <w:gridCol w:w="792"/>
        <w:gridCol w:w="796"/>
        <w:gridCol w:w="109"/>
        <w:gridCol w:w="109"/>
        <w:gridCol w:w="109"/>
        <w:gridCol w:w="232"/>
        <w:gridCol w:w="795"/>
        <w:gridCol w:w="120"/>
        <w:gridCol w:w="120"/>
        <w:gridCol w:w="120"/>
        <w:gridCol w:w="120"/>
        <w:gridCol w:w="232"/>
        <w:gridCol w:w="795"/>
        <w:gridCol w:w="169"/>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24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FINANCE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finance receivables consist of financed devices under its financing program and devices contractually associated with the Seed platform. Predominately all of the Company’s finance receivables agreements are classified as non-cancellable sixty-month sales-type leases. As of September 30, 2023 and June 30, 2023, finance receivables consist of the following:</w:t>
      </w:r>
    </w:p>
    <w:tbl>
      <w:tblPr>
        <w:tblW w:w="9329" w:type="dxa"/>
        <w:jc w:val="left"/>
        <w:tblInd w:w="0" w:type="dxa"/>
        <w:tblLayout w:type="fixed"/>
        <w:tblCellMar>
          <w:top w:w="28" w:type="dxa"/>
          <w:left w:w="28" w:type="dxa"/>
          <w:bottom w:w="28" w:type="dxa"/>
          <w:right w:w="28" w:type="dxa"/>
        </w:tblCellMar>
      </w:tblPr>
      <w:tblGrid>
        <w:gridCol w:w="2332"/>
        <w:gridCol w:w="2054"/>
        <w:gridCol w:w="2063"/>
        <w:gridCol w:w="109"/>
        <w:gridCol w:w="109"/>
        <w:gridCol w:w="109"/>
        <w:gridCol w:w="231"/>
        <w:gridCol w:w="790"/>
        <w:gridCol w:w="11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due after one year,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 net of allowance of $2,149 and $2,098,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lease payments from customers primarily as part of the flow of funds from our transaction processing service. Balances are considered past due if customers do not have sufficient transaction revenue to cover the monthly lease payment by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end of the monthly billing period.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Credit risk for finance receivables is continuously monitored by management and reflected within the allowance for finance receivables. </w:t>
      </w:r>
      <w:r>
        <w:rPr>
          <w:rFonts w:ascii="Times New Roman;sans-serif" w:hAnsi="Times New Roman;sans-serif"/>
          <w:b w:val="false"/>
          <w:color w:val="000000"/>
          <w:sz w:val="20"/>
          <w:shd w:fill="FFFFFF" w:val="clear"/>
        </w:rPr>
        <w:t>As</w:t>
      </w:r>
      <w:r>
        <w:rPr>
          <w:color w:val="000000"/>
        </w:rPr>
        <w:t xml:space="preserve"> </w:t>
      </w:r>
      <w:r>
        <w:rPr>
          <w:rFonts w:ascii="Times New Roman;sans-serif" w:hAnsi="Times New Roman;sans-serif"/>
          <w:b w:val="false"/>
          <w:color w:val="000000"/>
          <w:sz w:val="20"/>
        </w:rPr>
        <w:t>our finance receivables generally have similar risk characteristics, our key credit quality indicator is the aging (days past due status) of our aggregated finance receivables balances. Specifically, we estimate our allowance by using an aging analysis of the aggregated finance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finance receivable balances against the allowance for credit losses when management determines the balance is uncollectible and the Company ceases collection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gross lease receivable by current payment performance on a contractual basis and year of origination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3"/>
        <w:gridCol w:w="289"/>
        <w:gridCol w:w="290"/>
        <w:gridCol w:w="109"/>
        <w:gridCol w:w="109"/>
        <w:gridCol w:w="109"/>
        <w:gridCol w:w="216"/>
        <w:gridCol w:w="631"/>
        <w:gridCol w:w="111"/>
        <w:gridCol w:w="109"/>
        <w:gridCol w:w="109"/>
        <w:gridCol w:w="109"/>
        <w:gridCol w:w="221"/>
        <w:gridCol w:w="758"/>
        <w:gridCol w:w="114"/>
        <w:gridCol w:w="109"/>
        <w:gridCol w:w="109"/>
        <w:gridCol w:w="109"/>
        <w:gridCol w:w="224"/>
        <w:gridCol w:w="655"/>
        <w:gridCol w:w="115"/>
        <w:gridCol w:w="109"/>
        <w:gridCol w:w="109"/>
        <w:gridCol w:w="109"/>
        <w:gridCol w:w="224"/>
        <w:gridCol w:w="655"/>
        <w:gridCol w:w="115"/>
        <w:gridCol w:w="109"/>
        <w:gridCol w:w="109"/>
        <w:gridCol w:w="109"/>
        <w:gridCol w:w="229"/>
        <w:gridCol w:w="505"/>
        <w:gridCol w:w="118"/>
        <w:gridCol w:w="109"/>
        <w:gridCol w:w="109"/>
        <w:gridCol w:w="109"/>
        <w:gridCol w:w="225"/>
        <w:gridCol w:w="497"/>
        <w:gridCol w:w="116"/>
        <w:gridCol w:w="109"/>
        <w:gridCol w:w="109"/>
        <w:gridCol w:w="109"/>
        <w:gridCol w:w="211"/>
        <w:gridCol w:w="721"/>
        <w:gridCol w:w="163"/>
      </w:tblGrid>
      <w:tr>
        <w:trPr/>
        <w:tc>
          <w:tcPr>
            <w:tcW w:w="5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Leases by Origination</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gross lease receivable by current payment performance on a contractual basis and year of origination consisted of the following:</w:t>
      </w:r>
    </w:p>
    <w:tbl>
      <w:tblPr>
        <w:tblW w:w="10205" w:type="dxa"/>
        <w:jc w:val="left"/>
        <w:tblInd w:w="0" w:type="dxa"/>
        <w:tblLayout w:type="fixed"/>
        <w:tblCellMar>
          <w:top w:w="28" w:type="dxa"/>
          <w:left w:w="28" w:type="dxa"/>
          <w:bottom w:w="28" w:type="dxa"/>
          <w:right w:w="28" w:type="dxa"/>
        </w:tblCellMar>
      </w:tblPr>
      <w:tblGrid>
        <w:gridCol w:w="506"/>
        <w:gridCol w:w="278"/>
        <w:gridCol w:w="279"/>
        <w:gridCol w:w="109"/>
        <w:gridCol w:w="109"/>
        <w:gridCol w:w="109"/>
        <w:gridCol w:w="213"/>
        <w:gridCol w:w="623"/>
        <w:gridCol w:w="110"/>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5"/>
        <w:gridCol w:w="630"/>
        <w:gridCol w:w="111"/>
        <w:gridCol w:w="109"/>
        <w:gridCol w:w="109"/>
        <w:gridCol w:w="109"/>
        <w:gridCol w:w="211"/>
        <w:gridCol w:w="721"/>
        <w:gridCol w:w="163"/>
      </w:tblGrid>
      <w:tr>
        <w:trPr/>
        <w:tc>
          <w:tcPr>
            <w:tcW w:w="5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Leases by Origination</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represents a rollforward of the allowance for finance receivables for the three months ending September 30, 2023 and 2022:</w:t>
      </w:r>
    </w:p>
    <w:p>
      <w:pPr>
        <w:pStyle w:val="TextBody"/>
        <w:bidi w:val="0"/>
        <w:spacing w:before="0" w:after="0"/>
        <w:jc w:val="both"/>
        <w:rPr/>
      </w:pPr>
      <w:r>
        <w:rPr/>
      </w:r>
    </w:p>
    <w:tbl>
      <w:tblPr>
        <w:tblW w:w="5499" w:type="dxa"/>
        <w:jc w:val="left"/>
        <w:tblInd w:w="0" w:type="dxa"/>
        <w:tblLayout w:type="fixed"/>
        <w:tblCellMar>
          <w:top w:w="28" w:type="dxa"/>
          <w:left w:w="28" w:type="dxa"/>
          <w:bottom w:w="28" w:type="dxa"/>
          <w:right w:w="28" w:type="dxa"/>
        </w:tblCellMar>
      </w:tblPr>
      <w:tblGrid>
        <w:gridCol w:w="900"/>
        <w:gridCol w:w="793"/>
        <w:gridCol w:w="797"/>
        <w:gridCol w:w="109"/>
        <w:gridCol w:w="109"/>
        <w:gridCol w:w="109"/>
        <w:gridCol w:w="252"/>
        <w:gridCol w:w="737"/>
        <w:gridCol w:w="130"/>
        <w:gridCol w:w="130"/>
        <w:gridCol w:w="130"/>
        <w:gridCol w:w="130"/>
        <w:gridCol w:w="252"/>
        <w:gridCol w:w="737"/>
        <w:gridCol w:w="18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to be collected on our performing finance receivables due for each of the fiscal years are as follows:</w:t>
      </w:r>
    </w:p>
    <w:tbl>
      <w:tblPr>
        <w:tblW w:w="3725" w:type="dxa"/>
        <w:jc w:val="left"/>
        <w:tblInd w:w="0" w:type="dxa"/>
        <w:tblLayout w:type="fixed"/>
        <w:tblCellMar>
          <w:top w:w="28" w:type="dxa"/>
          <w:left w:w="28" w:type="dxa"/>
          <w:bottom w:w="28" w:type="dxa"/>
          <w:right w:w="28" w:type="dxa"/>
        </w:tblCellMar>
      </w:tblPr>
      <w:tblGrid>
        <w:gridCol w:w="955"/>
        <w:gridCol w:w="840"/>
        <w:gridCol w:w="844"/>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3 months)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to be collected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which are primarily real estate leases used for corporate functions, product development, sales, and other purposes. The following table provides supplemental balance sheet information related to the Company's operating leases:</w:t>
      </w:r>
    </w:p>
    <w:tbl>
      <w:tblPr>
        <w:tblW w:w="9590" w:type="dxa"/>
        <w:jc w:val="center"/>
        <w:tblInd w:w="0" w:type="dxa"/>
        <w:tblLayout w:type="fixed"/>
        <w:tblCellMar>
          <w:top w:w="28" w:type="dxa"/>
          <w:left w:w="28" w:type="dxa"/>
          <w:bottom w:w="28" w:type="dxa"/>
          <w:right w:w="28" w:type="dxa"/>
        </w:tblCellMar>
      </w:tblPr>
      <w:tblGrid>
        <w:gridCol w:w="662"/>
        <w:gridCol w:w="583"/>
        <w:gridCol w:w="585"/>
        <w:gridCol w:w="109"/>
        <w:gridCol w:w="109"/>
        <w:gridCol w:w="109"/>
        <w:gridCol w:w="1074"/>
        <w:gridCol w:w="1074"/>
        <w:gridCol w:w="1077"/>
        <w:gridCol w:w="109"/>
        <w:gridCol w:w="109"/>
        <w:gridCol w:w="109"/>
        <w:gridCol w:w="443"/>
        <w:gridCol w:w="1293"/>
        <w:gridCol w:w="228"/>
        <w:gridCol w:w="109"/>
        <w:gridCol w:w="109"/>
        <w:gridCol w:w="109"/>
        <w:gridCol w:w="342"/>
        <w:gridCol w:w="999"/>
        <w:gridCol w:w="249"/>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our leases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5"/>
        <w:gridCol w:w="1598"/>
        <w:gridCol w:w="1611"/>
        <w:gridCol w:w="543"/>
        <w:gridCol w:w="1588"/>
        <w:gridCol w:w="280"/>
        <w:gridCol w:w="109"/>
        <w:gridCol w:w="109"/>
        <w:gridCol w:w="109"/>
        <w:gridCol w:w="617"/>
        <w:gridCol w:w="1366"/>
        <w:gridCol w:w="460"/>
      </w:tblGrid>
      <w:tr>
        <w:trPr/>
        <w:tc>
          <w:tcPr>
            <w:tcW w:w="1815"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activity:</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new operating lease liabilities</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our leases as of September 30,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3666" w:type="dxa"/>
        <w:jc w:val="left"/>
        <w:tblInd w:w="0" w:type="dxa"/>
        <w:tblLayout w:type="fixed"/>
        <w:tblCellMar>
          <w:top w:w="28" w:type="dxa"/>
          <w:left w:w="28" w:type="dxa"/>
          <w:bottom w:w="28" w:type="dxa"/>
          <w:right w:w="28" w:type="dxa"/>
        </w:tblCellMar>
      </w:tblPr>
      <w:tblGrid>
        <w:gridCol w:w="970"/>
        <w:gridCol w:w="856"/>
        <w:gridCol w:w="859"/>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February 2023, the Company extended the lease for its existing Atlanta, Georgia office for an additional 73-months period including rent-free periods. The lease commenced on July 1, 2023 and we recognized right-of-use operating lease assets of $1.8 million in exchange for operating lease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for the operating lease rental program consisted of the following:</w:t>
      </w:r>
    </w:p>
    <w:tbl>
      <w:tblPr>
        <w:tblW w:w="5040"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31"/>
        <w:gridCol w:w="790"/>
        <w:gridCol w:w="119"/>
        <w:gridCol w:w="109"/>
        <w:gridCol w:w="109"/>
        <w:gridCol w:w="109"/>
        <w:gridCol w:w="211"/>
        <w:gridCol w:w="61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28,398 </w:t>
            </w:r>
          </w:p>
        </w:tc>
        <w:tc>
          <w:tcPr>
            <w:tcW w:w="154" w:type="dxa"/>
            <w:tcBorders>
              <w:top w:val="single" w:sz="8" w:space="0" w:color="000000"/>
              <w:right w:val="single" w:sz="8" w:space="0" w:color="D9D9D9"/>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D9D9D9"/>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(23,221)</w:t>
            </w:r>
          </w:p>
        </w:tc>
        <w:tc>
          <w:tcPr>
            <w:tcW w:w="154" w:type="dxa"/>
            <w:tcBorders>
              <w:top w:val="single" w:sz="8" w:space="0" w:color="D9D9D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and 2022, the Company recognized $2.0 million and $1.6 million of revenue from its device rental program, respectively, included in the Subscription and Transaction fees on its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investment in sales-type leases (carrying value of lease receivables) and the future minimum amounts to be collected on these lease receivables as of September 30, 2023 are disclosed within Note 4 - Finance Receivables.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DEBT AND OTHER FINANCING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and other financing arrangements as of September 30, 2023 and June 30, 2023 consisted of the following:</w:t>
      </w:r>
    </w:p>
    <w:tbl>
      <w:tblPr>
        <w:tblW w:w="7763" w:type="dxa"/>
        <w:jc w:val="center"/>
        <w:tblInd w:w="0" w:type="dxa"/>
        <w:tblLayout w:type="fixed"/>
        <w:tblCellMar>
          <w:top w:w="28" w:type="dxa"/>
          <w:left w:w="28" w:type="dxa"/>
          <w:bottom w:w="28" w:type="dxa"/>
          <w:right w:w="28" w:type="dxa"/>
        </w:tblCellMar>
      </w:tblPr>
      <w:tblGrid>
        <w:gridCol w:w="1578"/>
        <w:gridCol w:w="1390"/>
        <w:gridCol w:w="1396"/>
        <w:gridCol w:w="109"/>
        <w:gridCol w:w="109"/>
        <w:gridCol w:w="109"/>
        <w:gridCol w:w="316"/>
        <w:gridCol w:w="1081"/>
        <w:gridCol w:w="163"/>
        <w:gridCol w:w="109"/>
        <w:gridCol w:w="109"/>
        <w:gridCol w:w="109"/>
        <w:gridCol w:w="230"/>
        <w:gridCol w:w="787"/>
        <w:gridCol w:w="168"/>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and other financing arrangements,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and other financing arrangements,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See discussion below on amendment to the JPMorgan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interest expense presented on the Condensed Consolidated Statements of Operations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4700" w:type="dxa"/>
        <w:jc w:val="center"/>
        <w:tblInd w:w="0" w:type="dxa"/>
        <w:tblLayout w:type="fixed"/>
        <w:tblCellMar>
          <w:top w:w="28" w:type="dxa"/>
          <w:left w:w="28" w:type="dxa"/>
          <w:bottom w:w="28" w:type="dxa"/>
          <w:right w:w="28" w:type="dxa"/>
        </w:tblCellMar>
      </w:tblPr>
      <w:tblGrid>
        <w:gridCol w:w="824"/>
        <w:gridCol w:w="726"/>
        <w:gridCol w:w="729"/>
        <w:gridCol w:w="109"/>
        <w:gridCol w:w="109"/>
        <w:gridCol w:w="109"/>
        <w:gridCol w:w="211"/>
        <w:gridCol w:w="616"/>
        <w:gridCol w:w="109"/>
        <w:gridCol w:w="109"/>
        <w:gridCol w:w="109"/>
        <w:gridCol w:w="109"/>
        <w:gridCol w:w="211"/>
        <w:gridCol w:w="46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JPMorgan Chase Bank Credit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including $15 million from the revolving credit facility and $10 million from the term facility, to partially fund the cash consideration of the 32M acquisition as referenced in </w:t>
      </w:r>
      <w:r>
        <w:rPr>
          <w:rFonts w:ascii="Times New Roman;sans-serif" w:hAnsi="Times New Roman;sans-serif"/>
          <w:b w:val="false"/>
          <w:i/>
          <w:color w:val="000000"/>
          <w:sz w:val="20"/>
        </w:rPr>
        <w:t>Note 9 - Acquisition</w:t>
      </w:r>
      <w:r>
        <w:rPr>
          <w:rFonts w:ascii="Times New Roman;sans-serif" w:hAnsi="Times New Roman;sans-serif"/>
          <w:b w:val="false"/>
          <w:color w:val="000000"/>
          <w:sz w:val="20"/>
        </w:rPr>
        <w:t xml:space="preserve">. No issuance costs were capitalized in connection with this amendment.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JPMorgan Credit Facility has a four-year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September 30, 2023, the applicable interest rate for the Amended JPMorgan Credit Facility is approximately 9.1%.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obligations under its long-term debt agreements are carried at amortized cost, which approximates their fair value as of September 30, 2023, as the debt facility was recently amended in December 2022 and the interest rates applicable are variable in nature.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its financial covenants for the Amended JPMorgan Credit Facility as of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maturities associated with the Company’s outstanding debt and other financing arrangements as of September 30, 2023,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3441" w:type="dxa"/>
        <w:jc w:val="center"/>
        <w:tblInd w:w="0" w:type="dxa"/>
        <w:tblLayout w:type="fixed"/>
        <w:tblCellMar>
          <w:top w:w="28" w:type="dxa"/>
          <w:left w:w="28" w:type="dxa"/>
          <w:bottom w:w="28" w:type="dxa"/>
          <w:right w:w="28" w:type="dxa"/>
        </w:tblCellMar>
      </w:tblPr>
      <w:tblGrid>
        <w:gridCol w:w="853"/>
        <w:gridCol w:w="748"/>
        <w:gridCol w:w="754"/>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amounts payable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as of September 30, 2023 and June 30, 2023:</w:t>
      </w:r>
    </w:p>
    <w:tbl>
      <w:tblPr>
        <w:tblW w:w="8319" w:type="dxa"/>
        <w:jc w:val="left"/>
        <w:tblInd w:w="0" w:type="dxa"/>
        <w:tblLayout w:type="fixed"/>
        <w:tblCellMar>
          <w:top w:w="28" w:type="dxa"/>
          <w:left w:w="28" w:type="dxa"/>
          <w:bottom w:w="28" w:type="dxa"/>
          <w:right w:w="28" w:type="dxa"/>
        </w:tblCellMar>
      </w:tblPr>
      <w:tblGrid>
        <w:gridCol w:w="1780"/>
        <w:gridCol w:w="1566"/>
        <w:gridCol w:w="1574"/>
        <w:gridCol w:w="109"/>
        <w:gridCol w:w="109"/>
        <w:gridCol w:w="109"/>
        <w:gridCol w:w="316"/>
        <w:gridCol w:w="1081"/>
        <w:gridCol w:w="163"/>
        <w:gridCol w:w="109"/>
        <w:gridCol w:w="109"/>
        <w:gridCol w:w="109"/>
        <w:gridCol w:w="230"/>
        <w:gridCol w:w="787"/>
        <w:gridCol w:w="168"/>
      </w:tblGrid>
      <w:tr>
        <w:trPr/>
        <w:tc>
          <w:tcPr>
            <w:tcW w:w="178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 and filing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withheld in escrow for the 32M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100" w:after="283"/>
        <w:jc w:val="both"/>
        <w:rPr/>
      </w:pP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See</w:t>
      </w:r>
      <w:r>
        <w:rPr>
          <w:color w:val="000000"/>
        </w:rPr>
        <w:t xml:space="preserve"> </w:t>
      </w:r>
      <w:r>
        <w:rPr>
          <w:rFonts w:ascii="Times New Roman;sans-serif" w:hAnsi="Times New Roman;sans-serif"/>
          <w:b w:val="false"/>
          <w:i/>
          <w:color w:val="000000"/>
          <w:sz w:val="18"/>
        </w:rPr>
        <w:t>Note 9 - Acquisition</w:t>
      </w:r>
      <w:r>
        <w:rPr>
          <w:color w:val="000000"/>
        </w:rPr>
        <w:t xml:space="preserve"> </w:t>
      </w:r>
      <w:r>
        <w:rPr>
          <w:rFonts w:ascii="Times New Roman;sans-serif" w:hAnsi="Times New Roman;sans-serif"/>
          <w:b w:val="false"/>
          <w:color w:val="000000"/>
          <w:sz w:val="18"/>
        </w:rPr>
        <w:t>for description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GOODWILL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 balances and goodwill consisted of the following:</w:t>
      </w:r>
    </w:p>
    <w:tbl>
      <w:tblPr>
        <w:tblW w:w="7627"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329"/>
        <w:gridCol w:w="329"/>
        <w:gridCol w:w="46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br/>
              <w:t>Period</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1 - 7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5 - 6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5 - 18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bl>
    <w:tbl>
      <w:tblPr>
        <w:tblW w:w="7627"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329"/>
        <w:gridCol w:w="329"/>
        <w:gridCol w:w="46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br/>
              <w:t>Period</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1 - 7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5 - 6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5 - 18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and September 30, 2022, the Company recognized $1.6 million and $0.8 million, respectively, in amortization expense related to intangible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an annual goodwill impairment test on April 1 and more frequently if events and circumstances indicate that the asset might be impaired. The Company has determined that there is one single reporting unit for purposes of testing goodwill for impairment. During the three months ended September 30, 2023 and September 30, 2022, the Company did not recognize any impairment charges related to goodwill.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9. ACQUISITIONS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Square Market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to the micro market industry and the acquisition expanded the Company's presence in that industry. In addition to new technology and services, due to 32M’s existing customer base, the acquisition expanded the Company’s footprint into new global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32M was accounted for as a business combination using the acquisition method of accounting. The purchase price of the acquired company was allocated between tangible and intangible assets acquired and liabilities assumed from the acquired business based on their estimated fair values using primarily Level 3 inputs under ASC Topic 820, Fair Value Measurement, with the residual of the purchase price recorded as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an aggregate purchase price consideration of $41.1 million, which consisted of $36.6 million in cash and 1,240,920 shares of the Company's common stock (the "Stock Consideration") with an aggregate fair value of $4.5 million for the acquisition of 32M. The aggregate cash consideration includes $0.5 million of cash paid into an escrow account for net working capital and other post-closing adjustments. Additionally, the Stock Consideration of 1,240,920 shares ("Escrowed Shares") referred to above were placed into an escrow account to resolve indemnification claims for breach of certain representations and warranties and will be released 50% on the first anniversary of the acquisition date and 50% on the second anniversary of the acquisition date, less any shares that may be returned to the Company on account of any indemnity claims. The Escrowed Shares are considered to be issued and outstanding shares of the Company as of the acquisition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funded the cash consideration of the acquisition by borrowing $25 million of debt from the JPMorgan Credit Facility and the remaining consideration utilizing existing cash on hand.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purchase price consideration consisted of the following: </w:t>
      </w:r>
    </w:p>
    <w:p>
      <w:pPr>
        <w:pStyle w:val="TextBody"/>
        <w:bidi w:val="0"/>
        <w:spacing w:before="0" w:after="0"/>
        <w:jc w:val="both"/>
        <w:rPr/>
      </w:pPr>
      <w:r>
        <w:rPr/>
      </w:r>
    </w:p>
    <w:tbl>
      <w:tblPr>
        <w:tblW w:w="4700" w:type="dxa"/>
        <w:jc w:val="left"/>
        <w:tblInd w:w="0" w:type="dxa"/>
        <w:tblLayout w:type="fixed"/>
        <w:tblCellMar>
          <w:top w:w="28" w:type="dxa"/>
          <w:left w:w="28" w:type="dxa"/>
          <w:bottom w:w="28" w:type="dxa"/>
          <w:right w:w="28" w:type="dxa"/>
        </w:tblCellMar>
      </w:tblPr>
      <w:tblGrid>
        <w:gridCol w:w="1308"/>
        <w:gridCol w:w="1149"/>
        <w:gridCol w:w="1157"/>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cash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adjusted fair value assigned to the assets acquired and liabilities assumed as of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4701" w:type="dxa"/>
        <w:jc w:val="left"/>
        <w:tblInd w:w="0" w:type="dxa"/>
        <w:tblLayout w:type="fixed"/>
        <w:tblCellMar>
          <w:top w:w="28" w:type="dxa"/>
          <w:left w:w="28" w:type="dxa"/>
          <w:bottom w:w="28" w:type="dxa"/>
          <w:right w:w="28" w:type="dxa"/>
        </w:tblCellMar>
      </w:tblPr>
      <w:tblGrid>
        <w:gridCol w:w="1309"/>
        <w:gridCol w:w="1151"/>
        <w:gridCol w:w="1155"/>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identifiable intangible assets acquired with the assistance of third-party valuation consultants. Amounts allocated to identifiable intangible assets included $9.0 million related to developed technology, $5.4 million related to customer relationships, and $0.5 million related to trade names.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significant unobservable inputs used in the valuation of the customer relationship asset and acquired developed technology asset are the revenue growth rates used in the development of the projected financial information used as an input to calculate those values and the discount rate applied. The recognized intangible assets will be amortized on a straight-line basis over the estimated useful lives of the respective assets. The estimated useful lives for developed technology, customer relationship, trade names were 5, 5 and 3 years, respectively.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$25.7 million arising from the acquisition includes the expected synergies between 32M and the Company and intangible assets that do not qualify for separate recognition at the time of acquisition. The goodwill, which is deductible for income tax purposes, was assigned to the Company’s only reporting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Subsequent to the acquisition closing date and within the one-year measurement period, the Company adjusted the purchase price allocation from what was initially recognized to reflect facts and circumstances in existence as of the acquisition close date. These adjustments included a net increase of $0.3 million to the overall purchase price consideration, a net decrease of $1.5 million in working capital related accounts and a net increase of $1.7 million in intangible assets. Recognized goodwill increased by $0.1 million as a result of these adjustments.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The Company is substantially complete with the purchase price allocation as of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Additional purchase price adjustments could be recorded during the remaining measurement period if additional facts and circumstances in existence as of the acquisition close date are identified that require adjustment to the value the assets acquired and liabilities assumed.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Yoke Payments </w:t>
      </w:r>
    </w:p>
    <w:p>
      <w:pPr>
        <w:pStyle w:val="TextBody"/>
        <w:bidi w:val="0"/>
        <w:spacing w:lineRule="auto" w:line="276" w:before="240" w:after="283"/>
        <w:jc w:val="both"/>
        <w:rPr/>
      </w:pPr>
      <w:r>
        <w:rPr>
          <w:rFonts w:ascii="Times New Roman;sans-serif" w:hAnsi="Times New Roman;sans-serif"/>
          <w:b w:val="false"/>
          <w:color w:val="000000"/>
          <w:sz w:val="20"/>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with the residual of the purchase price recorded as goodwill.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acquisition, Yoke’s point of sale platform extended its offering to provide self-checkout while seamlessly integrating with Cantaloupe’s inventory management and payment processing platforms.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consideration transferred for the acquisition included payments of $3 million in cash at the close of the transaction and $1 million in deferred cash payment due on or before July 30, 2022 based on the achievement of certain sales growth targets. On July 27, 2022, the Company made the cash payment of $1 million in accordance with the agreement consideration.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connection with the acquisition, the Company will issue common stock to the former owners of Yoke based on the achievement of certain sales growth targets for software licenses through July 31, 2024 and continued employment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that requisite service period when it becomes probable that the performance condition would be satisfied. At each reporting date, we assess the probability of achieving the sales targets and fulfilling the performance condition. As of September 30, 2023, we determined that it is not probable that the performance condition would be satisfied and, accordingly, have not recognized compensation expense related to these awards.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consideration paid for Yoke, total net assets acquired, identifiable assets and goodwill recognized at the acquisition date:</w:t>
      </w:r>
    </w:p>
    <w:p>
      <w:pPr>
        <w:pStyle w:val="TextBody"/>
        <w:bidi w:val="0"/>
        <w:spacing w:before="0" w:after="0"/>
        <w:jc w:val="both"/>
        <w:rPr/>
      </w:pPr>
      <w:r>
        <w:rPr/>
      </w:r>
    </w:p>
    <w:tbl>
      <w:tblPr>
        <w:tblW w:w="4596" w:type="dxa"/>
        <w:jc w:val="center"/>
        <w:tblInd w:w="0" w:type="dxa"/>
        <w:tblLayout w:type="fixed"/>
        <w:tblCellMar>
          <w:top w:w="28" w:type="dxa"/>
          <w:left w:w="28" w:type="dxa"/>
          <w:bottom w:w="28" w:type="dxa"/>
          <w:right w:w="28" w:type="dxa"/>
        </w:tblCellMar>
      </w:tblPr>
      <w:tblGrid>
        <w:gridCol w:w="1309"/>
        <w:gridCol w:w="1152"/>
        <w:gridCol w:w="1154"/>
        <w:gridCol w:w="211"/>
        <w:gridCol w:w="61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arrangement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amounts of identifiable assets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assets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REVENUES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similar operational characteristics, the Company's revenues are disaggregated as follows: </w:t>
      </w:r>
    </w:p>
    <w:p>
      <w:pPr>
        <w:pStyle w:val="TextBody"/>
        <w:bidi w:val="0"/>
        <w:spacing w:before="0" w:after="0"/>
        <w:jc w:val="both"/>
        <w:rPr/>
      </w:pPr>
      <w:r>
        <w:rPr/>
      </w:r>
    </w:p>
    <w:tbl>
      <w:tblPr>
        <w:tblW w:w="7073" w:type="dxa"/>
        <w:jc w:val="left"/>
        <w:tblInd w:w="0" w:type="dxa"/>
        <w:tblLayout w:type="fixed"/>
        <w:tblCellMar>
          <w:top w:w="28" w:type="dxa"/>
          <w:left w:w="28" w:type="dxa"/>
          <w:bottom w:w="28" w:type="dxa"/>
          <w:right w:w="28" w:type="dxa"/>
        </w:tblCellMar>
      </w:tblPr>
      <w:tblGrid>
        <w:gridCol w:w="1014"/>
        <w:gridCol w:w="892"/>
        <w:gridCol w:w="898"/>
        <w:gridCol w:w="109"/>
        <w:gridCol w:w="109"/>
        <w:gridCol w:w="228"/>
        <w:gridCol w:w="228"/>
        <w:gridCol w:w="442"/>
        <w:gridCol w:w="1512"/>
        <w:gridCol w:w="228"/>
        <w:gridCol w:w="109"/>
        <w:gridCol w:w="109"/>
        <w:gridCol w:w="109"/>
        <w:gridCol w:w="211"/>
        <w:gridCol w:w="72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liability (i.e., deferred revenue) balances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043"/>
        <w:gridCol w:w="1800"/>
        <w:gridCol w:w="1808"/>
        <w:gridCol w:w="109"/>
        <w:gridCol w:w="109"/>
        <w:gridCol w:w="109"/>
        <w:gridCol w:w="434"/>
        <w:gridCol w:w="1268"/>
        <w:gridCol w:w="224"/>
        <w:gridCol w:w="109"/>
        <w:gridCol w:w="109"/>
        <w:gridCol w:w="109"/>
        <w:gridCol w:w="423"/>
        <w:gridCol w:w="1238"/>
        <w:gridCol w:w="313"/>
      </w:tblGrid>
      <w:tr>
        <w:trPr/>
        <w:tc>
          <w:tcPr>
            <w:tcW w:w="204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56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from amounts included in deferred revenue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contract liability balances period-over-period is primarily the result of timing difference between the Company’s satisfaction of a performance obligation and payment from the customer.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Future Performance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September 30, 2023:</w:t>
      </w:r>
    </w:p>
    <w:tbl>
      <w:tblPr>
        <w:tblW w:w="3689" w:type="dxa"/>
        <w:jc w:val="left"/>
        <w:tblInd w:w="0" w:type="dxa"/>
        <w:tblLayout w:type="fixed"/>
        <w:tblCellMar>
          <w:top w:w="28" w:type="dxa"/>
          <w:left w:w="28" w:type="dxa"/>
          <w:bottom w:w="28" w:type="dxa"/>
          <w:right w:w="28" w:type="dxa"/>
        </w:tblCellMar>
      </w:tblPr>
      <w:tblGrid>
        <w:gridCol w:w="607"/>
        <w:gridCol w:w="535"/>
        <w:gridCol w:w="537"/>
        <w:gridCol w:w="390"/>
        <w:gridCol w:w="1335"/>
        <w:gridCol w:w="28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Company had net capitalized costs to obtain contracts of $0.6 million included in Prepaid expenses and other current assets and $2.8 million included in Other noncurrent assets on the Condensed Consolidated Balance Sheet. At June 30, 2023, the Company had net capitalized costs to obtain contracts of $0.6 million included in Prepaid expenses and other current assets and $2.8 million included in Other noncurrent assets on the Condensed Consolidated Balance Sheet. None of these capitalized contract costs were impaired.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amortization of capitalized contract costs was $0.2 million. During the three months ended September 30, 2022, amortization of capitalized contract costs was $0.2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STOCK 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during the three months ended September 30, 2023 and 2022 were determined using the following assumptions and includes only options with an established grant date under ASC 718: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6585" w:type="dxa"/>
        <w:jc w:val="left"/>
        <w:tblInd w:w="0" w:type="dxa"/>
        <w:tblLayout w:type="fixed"/>
        <w:tblCellMar>
          <w:top w:w="28" w:type="dxa"/>
          <w:left w:w="28" w:type="dxa"/>
          <w:bottom w:w="28" w:type="dxa"/>
          <w:right w:w="28" w:type="dxa"/>
        </w:tblCellMar>
      </w:tblPr>
      <w:tblGrid>
        <w:gridCol w:w="1184"/>
        <w:gridCol w:w="1041"/>
        <w:gridCol w:w="1045"/>
        <w:gridCol w:w="110"/>
        <w:gridCol w:w="110"/>
        <w:gridCol w:w="110"/>
        <w:gridCol w:w="277"/>
        <w:gridCol w:w="672"/>
        <w:gridCol w:w="356"/>
        <w:gridCol w:w="110"/>
        <w:gridCol w:w="110"/>
        <w:gridCol w:w="110"/>
        <w:gridCol w:w="274"/>
        <w:gridCol w:w="665"/>
        <w:gridCol w:w="411"/>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September 30, </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(percent)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61.3% - 69.7%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74.6% - 75.1%</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expected life (years)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4.2 - 4.5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(percent)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(percent)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 - 4.3%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 - 3.2%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options granted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related to stock options with an established grant date for the three months ended September 30, 2023 and 2022 was $1.1 million and $1.0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based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awarded stock options to certain executives which vest each year over a three to four year period. These stock options are subject to the achievement of performance goals to be established by the Company's Board for each fiscal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 has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these performance based awards that provide discretion to the Compensation Committee, a mutual understanding of the key terms and conditions between the Company and the employees have not yet been met and a "Grant Date" as defined in</w:t>
      </w:r>
      <w:r>
        <w:rPr>
          <w:color w:val="000000"/>
        </w:rPr>
        <w:t xml:space="preserve"> </w:t>
      </w:r>
      <w:r>
        <w:rPr>
          <w:rFonts w:ascii="Times New Roman;sans-serif" w:hAnsi="Times New Roman;sans-serif"/>
          <w:b w:val="false"/>
          <w:i/>
          <w:color w:val="000000"/>
          <w:sz w:val="20"/>
        </w:rPr>
        <w:t>ASC Topic 718 Compensation — Stock Compensation</w:t>
      </w:r>
      <w:r>
        <w:rPr>
          <w:rFonts w:ascii="Times New Roman;sans-serif" w:hAnsi="Times New Roman;sans-serif"/>
          <w:b w:val="false"/>
          <w:color w:val="000000"/>
          <w:sz w:val="20"/>
        </w:rPr>
        <w:t>, has not been established. When the service period begins prior to the grant date, the Company begins recognizing compensation cost before there is a grant date. The Company estimates the award's fair value at each reporting period for these equity-classified awards, until the grant date, utilizing a Monte Carlo simulation valuation model</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The total expense recognized for the three months ended September 30, 2023 for these awards was $0.3 million. The total benefits recognized for the three months ended September 30, 2022 for these awards was $(0.2) million, as a result of reversing unvested grants for terminated executives during the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expense recognized for common stock awards for the three months ended September 30, 2023 and 2022 was $0.5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the Company recorded an income tax provision of $0.1 million. As of September 30, 2023, the Company reviewed the existing deferred tax assets and continues to record a full valuation against its deferred tax assets. However, given the Company’s current earnings and anticipated future earnings, the Company believes that there is a reasonable possibility that within the next 12 months, sufficient positive evidence may become available to allow the Company to reach a conclusion that a significant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the Company is able to actually achieve. The income tax provision primarily relates to state income and franchise taxes and deferred taxes related to indefinite lived intangibles. As of September 30, 2023,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had a total unrecognized income tax benefit of $0.7 million. The provision is based upon actual income before income taxes for the three months ended September 30, 2023, as this provides a more reliable estimate of the income tax provision than an estimated annual effective income tax rate.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2022, the Company recorded an income tax provision of $26 thousand. As of September 30, 2022, the Company reviewed the existing deferred tax assets and continues to record a full valuation against its deferred tax assets. The income tax provisions primarily relate to the Company's uncertain tax positions, as well as state income and franchise taxes. As of September 30, 2022, the Company had a total unrecognized income tax benefit of $0.6 million. The provision is based upon actual loss before income taxes for the three months ended September 30, 2022, as the use of an estimated annual effective income tax rate does not provide a reliable estimate of the income tax provision.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EARNINGS (LOSS) PER SHARE CALCULATION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computed by dividing net earnings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(loss) per share is presented below:</w:t>
      </w:r>
    </w:p>
    <w:tbl>
      <w:tblPr>
        <w:tblW w:w="10205" w:type="dxa"/>
        <w:jc w:val="left"/>
        <w:tblInd w:w="0" w:type="dxa"/>
        <w:tblLayout w:type="fixed"/>
        <w:tblCellMar>
          <w:top w:w="28" w:type="dxa"/>
          <w:left w:w="28" w:type="dxa"/>
          <w:bottom w:w="28" w:type="dxa"/>
          <w:right w:w="28" w:type="dxa"/>
        </w:tblCellMar>
      </w:tblPr>
      <w:tblGrid>
        <w:gridCol w:w="2554"/>
        <w:gridCol w:w="2241"/>
        <w:gridCol w:w="2253"/>
        <w:gridCol w:w="109"/>
        <w:gridCol w:w="109"/>
        <w:gridCol w:w="109"/>
        <w:gridCol w:w="275"/>
        <w:gridCol w:w="806"/>
        <w:gridCol w:w="123"/>
        <w:gridCol w:w="123"/>
        <w:gridCol w:w="123"/>
        <w:gridCol w:w="123"/>
        <w:gridCol w:w="270"/>
        <w:gridCol w:w="811"/>
        <w:gridCol w:w="176"/>
      </w:tblGrid>
      <w:tr>
        <w:trPr/>
        <w:tc>
          <w:tcPr>
            <w:tcW w:w="255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7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Denominator for basic earnings (loss) per share</w:t>
            </w:r>
            <w:r>
              <w:rPr>
                <w:color w:val="000000"/>
              </w:rPr>
              <w:t xml:space="preserve"> </w:t>
            </w:r>
            <w:r>
              <w:rPr>
                <w:rFonts w:ascii="Times New Roman;sans-serif" w:hAnsi="Times New Roman;sans-serif"/>
                <w:b w:val="false"/>
                <w:color w:val="000000"/>
                <w:sz w:val="20"/>
              </w:rPr>
              <w:t>-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72,717,965 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71,207,750 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1,587,547 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Denominator for diluted earnings (loss) per share </w:t>
            </w:r>
            <w:r>
              <w:rPr>
                <w:rFonts w:ascii="Times New Roman;sans-serif" w:hAnsi="Times New Roman;sans-serif"/>
                <w:b w:val="false"/>
                <w:color w:val="000000"/>
                <w:sz w:val="20"/>
              </w:rPr>
              <w:t>-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74,305,512 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71,207,750 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anti-dilutive shares excluded from the calculation of diluted earnings (loss) per share were approximately 1 million and 4 million for the three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14</w:t>
      </w:r>
      <w:r>
        <w:rPr>
          <w:rFonts w:ascii="Times New Roman;sans-serif" w:hAnsi="Times New Roman;sans-serif"/>
          <w:b w:val="false"/>
          <w:color w:val="000000"/>
          <w:sz w:val="20"/>
        </w:rPr>
        <w:t xml:space="preserve">. </w:t>
      </w:r>
      <w:r>
        <w:rPr>
          <w:rFonts w:ascii="Times New Roman;sans-serif" w:hAnsi="Times New Roman;sans-serif"/>
          <w:b/>
          <w:color w:val="000000"/>
          <w:sz w:val="20"/>
        </w:rPr>
        <w:t>SHAREHOLDERS' EQUITY AND PREFERRED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the Company retired 59,281 shares of its Series A convertible preferred stock that it purchased for an aggregate amount of approximately $2.45 million. The repurchase transaction was primarily accounted 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Condensed Consolidated Statements of Cash Flows. The remaining $0.3 million was deemed to be an amount in excess of the fair value of the preferred stock and was recorded within Operating expenses in the Condensed Consolidated Statements of Operations and Cash flows from operating activities in the Condensed Consolidated Statements of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party to litigation and other proceedings that arise in the ordinary course of our business. These types of matters could result in fines, penalties, compensatory or treble damages or non-monetary sanctions or relief. In accordance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Leases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has entered into various operating lease obligations. See </w:t>
      </w:r>
      <w:r>
        <w:rPr>
          <w:rFonts w:ascii="Times New Roman;sans-serif" w:hAnsi="Times New Roman;sans-serif"/>
          <w:b w:val="false"/>
          <w:i/>
          <w:color w:val="000000"/>
          <w:sz w:val="20"/>
        </w:rPr>
        <w:t>Note 5 - Leases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Debt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has debt and other financing arrangements. See </w:t>
      </w:r>
      <w:r>
        <w:rPr>
          <w:rFonts w:ascii="Times New Roman;sans-serif" w:hAnsi="Times New Roman;sans-serif"/>
          <w:b w:val="false"/>
          <w:i/>
          <w:color w:val="000000"/>
          <w:sz w:val="20"/>
        </w:rPr>
        <w:t>Note 6 - Debt and other financing arrangements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Commitments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September 30, 2023, the Company had no material firm purchase commitments over the next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w:t>
      </w:r>
      <w:r>
        <w:rPr>
          <w:rFonts w:ascii="Times New Roman;sans-serif" w:hAnsi="Times New Roman;sans-serif"/>
          <w:b w:val="false"/>
          <w:color w:val="000000"/>
          <w:sz w:val="20"/>
          <w:shd w:fill="FFFFFF" w:val="clear"/>
        </w:rPr>
        <w:t>The total expense recognized within Cost of subscription and transaction fees for the three months ended September 30, 2023 and 2022 for these arrangements was</w:t>
      </w:r>
      <w:r>
        <w:rPr>
          <w:color w:val="000000"/>
        </w:rPr>
        <w:t xml:space="preserve">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should be read in conjunction with the condensed consolidated financial statements and related notes included in this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w:t>
        <w:noBreakHyphen/>
        <w:t>Q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market or business conditions unrelated to our operating performance, including inflation, rising interest rates, financial institution disruptions, public health emergencies and declines in consumer confidence and discretionary spending;</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compete with our competitors and increase market share;</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failure to comply with the financial covenants in the Amended JPMorgan Credit Facility;</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raise funds in the future through sales of securities or debt financing in order to sustain operations in the normal course of business or if an unexpected or unusual event were to occur;</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disruptions in or inefficiencies to our supply chain and/or operations;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risks related to the availability of, and cost inflation in, supply chain inputs, including labor, raw materials, packaging and transportation;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weather, climate conditions, natural disasters or other unexpected events;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current or future customers purchase, lease, rent or utilize our devices, software solutions or our other products in the future at levels currently anticipated;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customers continue to utilize the Company’s transaction processing and related services, as our customer agreements are generally cancellable by the customer on thirty to sixty days’ notice;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acquire and develop relevant technology offerings for current, new and potential customers and partners;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risks and uncertainties associated with our expansion into and our operations in Europe, Latin America and other foreign markets, including general economic conditions, policy changes affecting international trade, political instability, inflation rates, recessions, sanctions, foreign currency exchange rates and controls, foreign investment and repatriation restrictions, legal and regulatory constraints, civil unrest, armed conflict, war and other economic and political factors;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satisfy our trade obligations included in accounts payable and accrued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develop and retain key personnel, or our loss of the services of our key executives;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incurrence by us of any unanticipated or unusual non-operating expenses, which may require us to divert our cash resources from achieving our business plan;</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predict or estimate our future quarterly or annual revenue and expenses given the developing and unpredictable market for our products;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integrate acquired companies into our current products and services structure;</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add new customers and retain key existing customers from whom a significant portion of our revenue is derived;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of a key customer to reduce or delay purchasing products from us;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obtain widespread commercial acceptance of our products and service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any patents issued to us will provide any competitive advantages or adequate protection for our products, or would be challenged, invalidated or circumvented by others;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operate without infringing the intellectual property rights of others;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of our products and services to avoid disruptions to our systems or unauthorized hacking or credit card fraud;</w:t>
      </w:r>
    </w:p>
    <w:p>
      <w:pPr>
        <w:pStyle w:val="TextBody"/>
        <w:bidi w:val="0"/>
        <w:spacing w:lineRule="auto" w:line="288" w:before="120" w:after="283"/>
        <w:ind w:left="0" w:right="0" w:hanging="360"/>
        <w:jc w:val="both"/>
        <w:rPr/>
      </w:pPr>
      <w:r>
        <w:rPr>
          <w:color w:val="000000"/>
        </w:rPr>
        <w:t>•    </w:t>
      </w:r>
      <w:r>
        <w:rPr>
          <w:rFonts w:ascii="Times New Roman;sans-serif" w:hAnsi="Times New Roman;sans-serif"/>
          <w:b w:val="false"/>
          <w:color w:val="000000"/>
          <w:sz w:val="20"/>
        </w:rPr>
        <w:t>geopolitical conflicts, such as the ongoing conflict between Russia and Ukra</w:t>
      </w:r>
      <w:r>
        <w:rPr>
          <w:rFonts w:ascii="Times New Roman;sans-serif" w:hAnsi="Times New Roman;sans-serif"/>
          <w:b w:val="false"/>
          <w:color w:val="000000"/>
          <w:sz w:val="20"/>
          <w:shd w:fill="FFFFFF" w:val="clear"/>
        </w:rPr>
        <w:t>ine, and the conflict between Israel and Hamas;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to remain in compliance with the continued listing standards of the Nasdaq Global Select Market (“Nasdaq”) and continue to remain as a member of the US Small-Cap Russell 2000®;</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suppliers would increase their prices, reduce their output or change their terms of sale; and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risks associated with cyber attacks and data breaches.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2023 (“2023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 OF THE COMPANY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is a global technology leader powering self-service commerce. With over a million active locations across the globe processing more than a billion transactions every year, Cantaloupe is enabling businesses of all sizes to provide self-service experiences for consumers. The company's vertically integrated solutions fuel growth by offering micro-payments processing, enterprise cloud software, IoT technology, as well as kiosk and POS innovations. Cantaloupe’s end-to-end platform increases consumer engagement and sales revenue through digital payments, consumer promotions and loyalty programs, while providing business owners increased profitability by leveraging software to drive efficiencies across an entire operation. Cantaloupe’s solutions are used by a wide variety of consumer services in North America, Europe, Latin America, and Australia including vending machines, micro markets and smart retail, laundromats, metered parking terminals, amusement and entertainment venues, IoT services and more.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fiscal year ends June 30. The Company generates revenues in multiple ways. During the three months ended September 30, 2023 and September 30, 2022, we derived approximately 88% and 81%, respectively, from subscription and transaction fees, and 12% and 19%, respectively, from equipment sales.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Purchasing hardware directly from the Company or one of its authorized resellers;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Financing hardware under the Company’s </w:t>
      </w:r>
      <w:r>
        <w:rPr>
          <w:rFonts w:ascii="Times New Roman;sans-serif" w:hAnsi="Times New Roman;sans-serif"/>
          <w:b w:val="false"/>
          <w:color w:val="000000"/>
          <w:sz w:val="20"/>
          <w:shd w:fill="FFFFFF" w:val="clear"/>
        </w:rPr>
        <w:t xml:space="preserve">QuickStart </w:t>
      </w:r>
      <w:r>
        <w:rPr>
          <w:rFonts w:ascii="Times New Roman;sans-serif" w:hAnsi="Times New Roman;sans-serif"/>
          <w:b w:val="false"/>
          <w:color w:val="000000"/>
          <w:sz w:val="20"/>
        </w:rPr>
        <w:t>Program, which are non-cancellable 60-month sales-type leases, through an unrelated equipment financing company, if available, or directly from the Company;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Renting devices under the Company’s Cantaloupe One program, which are typically 36-months duration agreements.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Developments during the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Highlights of the Company for the fiscal quarter ended September 30, 2023 are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Approximately 29,670 Active Customers (as defined below) and 1.19 million Active Devices on our service;</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Revenues of $62.7 million, an increase of 8.5% year over year. The increase was led by higher transaction fees and subscription fees revenue;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shd w:fill="FFFFFF" w:val="clear"/>
        </w:rPr>
        <w:t xml:space="preserve">We showcased our full suite of solutions for the European market at Cantaloupe LIVE in the U.K.. With over 100 people in attendance, customers, partners and industry professionals were able to see the latest technology for self-service retail; </w:t>
      </w:r>
    </w:p>
    <w:p>
      <w:pPr>
        <w:pStyle w:val="TextBody"/>
        <w:bidi w:val="0"/>
        <w:spacing w:lineRule="auto" w:line="288" w:before="180" w:after="283"/>
        <w:jc w:val="both"/>
        <w:rPr/>
      </w:pPr>
      <w:r>
        <w:rPr>
          <w:rFonts w:ascii="Times New Roman;sans-serif" w:hAnsi="Times New Roman;sans-serif"/>
          <w:b w:val="false"/>
          <w:color w:val="000000"/>
          <w:sz w:val="20"/>
        </w:rPr>
        <w:t>As of September 30, 2023, we have approxi</w:t>
      </w:r>
      <w:r>
        <w:rPr>
          <w:rFonts w:ascii="Times New Roman;sans-serif" w:hAnsi="Times New Roman;sans-serif"/>
          <w:b w:val="false"/>
          <w:color w:val="000000"/>
          <w:sz w:val="20"/>
          <w:shd w:fill="FFFFFF" w:val="clear"/>
        </w:rPr>
        <w:t>mately 275 empl</w:t>
      </w:r>
      <w:r>
        <w:rPr>
          <w:rFonts w:ascii="Times New Roman;sans-serif" w:hAnsi="Times New Roman;sans-serif"/>
          <w:b w:val="false"/>
          <w:color w:val="000000"/>
          <w:sz w:val="20"/>
        </w:rPr>
        <w:t xml:space="preserve">oyees in the United States and United Kingdom and offices in Malvern, Pennsylvania; Atlanta, Georgia; River Falls, Wisconsin; and Birmingham, United Kingdom.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the condensed consolidated financial statements and related notes included in this Form 10-Q.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Active Devices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Active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Active Customers as all customers with at least one active device.</w:t>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Total Number of Transactions and Total Dollar Volume of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are defined as electronic payment transactions that are processed by our technology-enabled solutions. Management uses Total Number and Dollar Volume of transactions to evaluate the effectiveness of our new customer strategy and our ability to leverage existing customers and partners.</w:t>
      </w:r>
    </w:p>
    <w:tbl>
      <w:tblPr>
        <w:tblW w:w="10205" w:type="dxa"/>
        <w:jc w:val="left"/>
        <w:tblInd w:w="0" w:type="dxa"/>
        <w:tblLayout w:type="fixed"/>
        <w:tblCellMar>
          <w:top w:w="28" w:type="dxa"/>
          <w:left w:w="28" w:type="dxa"/>
          <w:bottom w:w="28" w:type="dxa"/>
          <w:right w:w="28" w:type="dxa"/>
        </w:tblCellMar>
      </w:tblPr>
      <w:tblGrid>
        <w:gridCol w:w="1131"/>
        <w:gridCol w:w="954"/>
        <w:gridCol w:w="963"/>
        <w:gridCol w:w="487"/>
        <w:gridCol w:w="442"/>
        <w:gridCol w:w="444"/>
        <w:gridCol w:w="109"/>
        <w:gridCol w:w="109"/>
        <w:gridCol w:w="109"/>
        <w:gridCol w:w="239"/>
        <w:gridCol w:w="701"/>
        <w:gridCol w:w="124"/>
        <w:gridCol w:w="109"/>
        <w:gridCol w:w="109"/>
        <w:gridCol w:w="109"/>
        <w:gridCol w:w="211"/>
        <w:gridCol w:w="616"/>
        <w:gridCol w:w="109"/>
        <w:gridCol w:w="109"/>
        <w:gridCol w:w="109"/>
        <w:gridCol w:w="109"/>
        <w:gridCol w:w="242"/>
        <w:gridCol w:w="707"/>
        <w:gridCol w:w="124"/>
        <w:gridCol w:w="109"/>
        <w:gridCol w:w="109"/>
        <w:gridCol w:w="109"/>
        <w:gridCol w:w="300"/>
        <w:gridCol w:w="877"/>
        <w:gridCol w:w="226"/>
      </w:tblGrid>
      <w:tr>
        <w:trPr/>
        <w:tc>
          <w:tcPr>
            <w:tcW w:w="113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Devices:</w:t>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Devices (thousands)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Customers:</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Transactions (millions)</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Dollar Volume of Transactions (millions)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Highlights for the quarter ended September 30, 2023 include: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1.19 million Active Devices compared to the same quarter last year of 1.15 million, an increase of approximately 41 thousand Active Devices, or 3.6%;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29,670 Active Customers on our service compared to the same quarter last year of 25,019, an increase of 4,651 Active Customers, or 18.6%;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$724.8 million in Total Dollar Volume of Transactions for the quarter ended September 30, 2023 compared to $639.5 million for the quarter ended September 30, 2022, an increase of $85.3 million, or 13.3%. See "Revenues and Gross Profit" in Management’s Discussion and Analysis of Financial Condition and Results of Operations below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results of operations and significant changes in our financial performance for the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drawing>
          <wp:inline distT="0" distB="0" distL="0" distR="0">
            <wp:extent cx="3143250" cy="333375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3143250" cy="3333750"/>
                    </a:xfrm>
                    <a:prstGeom prst="rect">
                      <a:avLst/>
                    </a:prstGeom>
                  </pic:spPr>
                </pic:pic>
              </a:graphicData>
            </a:graphic>
          </wp:inline>
        </w:drawing>
      </w:r>
      <w:r>
        <w:rPr/>
        <w:drawing>
          <wp:inline distT="0" distB="0" distL="0" distR="0">
            <wp:extent cx="3143250" cy="3333750"/>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4"/>
                    <a:stretch>
                      <a:fillRect/>
                    </a:stretch>
                  </pic:blipFill>
                  <pic:spPr bwMode="auto">
                    <a:xfrm>
                      <a:off x="0" y="0"/>
                      <a:ext cx="3143250" cy="33337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drawing>
          <wp:inline distT="0" distB="0" distL="0" distR="0">
            <wp:extent cx="3143250" cy="3333750"/>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3143250" cy="3333750"/>
                    </a:xfrm>
                    <a:prstGeom prst="rect">
                      <a:avLst/>
                    </a:prstGeom>
                  </pic:spPr>
                </pic:pic>
              </a:graphicData>
            </a:graphic>
          </wp:inline>
        </w:drawing>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September 30, 2023 Compared to Three Months Ended September 30,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Revenues and Gross Profit</w:t>
      </w:r>
    </w:p>
    <w:tbl>
      <w:tblPr>
        <w:tblW w:w="9344" w:type="dxa"/>
        <w:jc w:val="left"/>
        <w:tblInd w:w="0" w:type="dxa"/>
        <w:tblLayout w:type="fixed"/>
        <w:tblCellMar>
          <w:top w:w="28" w:type="dxa"/>
          <w:left w:w="28" w:type="dxa"/>
          <w:bottom w:w="28" w:type="dxa"/>
          <w:right w:w="28" w:type="dxa"/>
        </w:tblCellMar>
      </w:tblPr>
      <w:tblGrid>
        <w:gridCol w:w="1231"/>
        <w:gridCol w:w="1084"/>
        <w:gridCol w:w="1089"/>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306"/>
        <w:gridCol w:w="310"/>
        <w:gridCol w:w="569"/>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 xml:space="preserve">Total revenues increased by $4.9 million for the three months ended September 30, 2023 compared to the same period in 2022. The increase in revenues is attributed to a $8.1 million increase in subscription and transaction fees, partially offset by a $3.2 million decrease in equipment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subscription and transaction fees was primarily driven by increased processing volumes with an approximately 13.3% increase in total dollar volumes of transactions for the current fiscal year quarter relative to the prior year quarter. We continue to benefit as businesses, schools and other organizations across the country continue to maintain normal levels of operations and due to an increase in the average price per transaction and total number of transactions relative to the same period in the prior year. Our subscription fees have increased 14.7% for the three months ended September 30, 2023 compared to the same period in 2022 which is attributed to a continued focus of management to grow our recurring subscription services to our customer base and an 18.6% increase in our Active Customers compared to last year. The acquisition of 32M attributed to $3.4 million of our subscription and transactions fees for the three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equipment sales in the current fiscal year quarter was primarily driven by decreased equipment shipments compared to the prior year fiscal quarter. In the prior year, our customers were in the process of upgrading their devices to ensure compatibility with the emerging 4G network, resulting in a surge in equipment shipments. As of December 31, 2022, the 3G to 4G network upgrade has been fully completed. Our equipment margin improved during the current year quarter as we have completed our strategic discounts offered to our existing customers in the prior year fiscal quarter to ensure their proper transitions into the new 4G platform.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 xml:space="preserve">Cost of sales decreased $5.3 million for the three months ended September 30, 2023 compared to the prior year period. The decrease in cost of sales was primarily due to a $6.6 million decrease in equipment costs, partially offset by a $1.4 million increase in subscription and transaction costs. The decrease in equipment costs was primarily driven by lower equipment sales volume in the current year period.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 xml:space="preserve">Total gross margin increased to 38.8% for the three months ended September 30, 2023 from 24.5% for the three months ended September 30, 2022. The increase in gross margin was primarily a result of higher margins in both subscription and transaction fee and equipment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640"/>
        <w:gridCol w:w="1413"/>
        <w:gridCol w:w="1420"/>
        <w:gridCol w:w="109"/>
        <w:gridCol w:w="109"/>
        <w:gridCol w:w="109"/>
        <w:gridCol w:w="221"/>
        <w:gridCol w:w="758"/>
        <w:gridCol w:w="114"/>
        <w:gridCol w:w="114"/>
        <w:gridCol w:w="114"/>
        <w:gridCol w:w="114"/>
        <w:gridCol w:w="221"/>
        <w:gridCol w:w="758"/>
        <w:gridCol w:w="114"/>
        <w:gridCol w:w="109"/>
        <w:gridCol w:w="109"/>
        <w:gridCol w:w="109"/>
        <w:gridCol w:w="211"/>
        <w:gridCol w:w="663"/>
        <w:gridCol w:w="109"/>
        <w:gridCol w:w="109"/>
        <w:gridCol w:w="109"/>
        <w:gridCol w:w="109"/>
        <w:gridCol w:w="329"/>
        <w:gridCol w:w="333"/>
        <w:gridCol w:w="578"/>
      </w:tblGrid>
      <w:tr>
        <w:trPr/>
        <w:tc>
          <w:tcPr>
            <w:tcW w:w="164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proxy solicitation and restatement expenses, net of insurance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0"/>
          <w:shd w:fill="FFFFFF" w:val="clear"/>
        </w:rPr>
        <w:t>Total operating expenses.</w:t>
      </w:r>
      <w:r>
        <w:rPr>
          <w:color w:val="000000"/>
        </w:rPr>
        <w:t> </w:t>
      </w:r>
      <w:r>
        <w:rPr>
          <w:rFonts w:ascii="Times New Roman;sans-serif" w:hAnsi="Times New Roman;sans-serif"/>
          <w:b w:val="false"/>
          <w:color w:val="000000"/>
          <w:sz w:val="20"/>
        </w:rPr>
        <w:t>Operating expenses decreased 4.9% for the three months ended September 30, 2023 compared to the same period in 2022. See further details on individual categories below.</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 xml:space="preserve">Sales and marketing expenses increased approximately $1.6 million for the three months ended September 30, 2023 compared to the same period in 2022 due to increased compensation costs as a result of higher sales and marketing employee headcount in the current quarter to support our expanding business and service offerings in the United States and internationally.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Technology and product development. </w:t>
      </w:r>
      <w:r>
        <w:rPr>
          <w:rFonts w:ascii="Times New Roman;sans-serif" w:hAnsi="Times New Roman;sans-serif"/>
          <w:b w:val="false"/>
          <w:color w:val="000000"/>
          <w:sz w:val="20"/>
        </w:rPr>
        <w:t xml:space="preserve">Technology and product development expenses decreased by $2.7 million for the three months ended September 30, 2023 compared to the prior year period primarily due to lower consulting and compensation expense. In prior year we migrated to the AWS platform, incurring an additional $1.0 million in consulting expense. Additionally, we rightsized our Technology group and reduced our internal-use software projects to focus on projects associated with our strategic growth initiatives.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General and administrative expenses. </w:t>
      </w:r>
      <w:r>
        <w:rPr>
          <w:rFonts w:ascii="Times New Roman;sans-serif" w:hAnsi="Times New Roman;sans-serif"/>
          <w:b w:val="false"/>
          <w:color w:val="000000"/>
          <w:sz w:val="20"/>
        </w:rPr>
        <w:t xml:space="preserve">General and administrative expenses decreased by $1.1 million for the three months ended September 30, 2023 compared to the same period in 2022 primarily due to a $1.4 million decrease in professional services and $0.7 million decrease in bad debt expense as a result of collection effort. This was partially offset by an increase of $1.7 million in compensation related expenses compared to the same period in the prior year. Additionally in the prior year quarter, we incurred a $0.3 million impairment of rental equipment expense as part of a contract extension with a larger customer of the Company.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Investigation, proxy solicitation, and restatement expenses, net of insurance recoveries</w:t>
      </w:r>
      <w:r>
        <w:rPr>
          <w:rFonts w:ascii="Times New Roman;sans-serif" w:hAnsi="Times New Roman;sans-serif"/>
          <w:b w:val="false"/>
          <w:color w:val="000000"/>
          <w:sz w:val="20"/>
        </w:rPr>
        <w:t xml:space="preserve">. The Company did not incur any material investigation, proxy solicitation and restatement expenses for the three months ended September 30, 2023. For the three months ended September 30, 2022, the Company and former officers incurred additional legal charges primarily relating to responding to inquiries from the Securities and Exchange Commission (“SEC”) in regards to the 2019 Investigation. See </w:t>
      </w:r>
      <w:r>
        <w:rPr>
          <w:rFonts w:ascii="Times New Roman;sans-serif" w:hAnsi="Times New Roman;sans-serif"/>
          <w:b w:val="false"/>
          <w:i/>
          <w:color w:val="000000"/>
          <w:sz w:val="20"/>
        </w:rPr>
        <w:t>Note 18 - Commitments and Contingencies</w:t>
      </w:r>
      <w:r>
        <w:rPr>
          <w:color w:val="000000"/>
        </w:rPr>
        <w:t xml:space="preserve"> </w:t>
      </w:r>
      <w:r>
        <w:rPr>
          <w:rFonts w:ascii="Times New Roman;sans-serif" w:hAnsi="Times New Roman;sans-serif"/>
          <w:b w:val="false"/>
          <w:color w:val="000000"/>
          <w:sz w:val="20"/>
        </w:rPr>
        <w:t>to the consolidated financial statements in Part II, Item 8 in our Annual Report on Form 10-K for the fiscal year ended June 30, 2023.</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Integration and acquisition expenses. </w:t>
      </w:r>
      <w:r>
        <w:rPr>
          <w:rFonts w:ascii="Times New Roman;sans-serif" w:hAnsi="Times New Roman;sans-serif"/>
          <w:b w:val="false"/>
          <w:color w:val="000000"/>
          <w:sz w:val="20"/>
        </w:rPr>
        <w:t>On December 1, 2022, the Company acquired all of the equity interests of Three Square Market, Inc., a Wisconsin corporation, and Three Square Market Limited, a UK private limited company (collectively "32M") pursuant to an Equity Purchase Agreement. For the three months ended September 30, 2023, the Company incurred professional services fees of $0.1 million from accounting, legal and consulting services for the post-acquisition integration process. The Company did not incur any material integration and acquisition expenses for the three months ended September 30,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expenses increased $1.4 million for the three </w:t>
      </w:r>
      <w:r>
        <w:rPr>
          <w:rFonts w:ascii="Times New Roman;sans-serif" w:hAnsi="Times New Roman;sans-serif"/>
          <w:b w:val="false"/>
          <w:color w:val="000000"/>
          <w:sz w:val="20"/>
          <w:shd w:fill="FFFFFF" w:val="clear"/>
        </w:rPr>
        <w:t xml:space="preserve">months ended September 30, 2023 compared to the same period in 2022. </w:t>
      </w:r>
      <w:r>
        <w:rPr>
          <w:rFonts w:ascii="Times New Roman;sans-serif" w:hAnsi="Times New Roman;sans-serif"/>
          <w:b w:val="false"/>
          <w:color w:val="000000"/>
          <w:sz w:val="20"/>
        </w:rPr>
        <w:t xml:space="preserve">The increase was primarily driven by the amortization of intangible assets associated with the acquisition of 32M in December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bl>
      <w:tblPr>
        <w:tblW w:w="8196"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282"/>
        <w:gridCol w:w="723"/>
        <w:gridCol w:w="145"/>
        <w:gridCol w:w="145"/>
        <w:gridCol w:w="145"/>
        <w:gridCol w:w="145"/>
        <w:gridCol w:w="282"/>
        <w:gridCol w:w="623"/>
        <w:gridCol w:w="145"/>
        <w:gridCol w:w="109"/>
        <w:gridCol w:w="109"/>
        <w:gridCol w:w="109"/>
        <w:gridCol w:w="211"/>
        <w:gridCol w:w="541"/>
        <w:gridCol w:w="109"/>
        <w:gridCol w:w="109"/>
        <w:gridCol w:w="109"/>
        <w:gridCol w:w="109"/>
        <w:gridCol w:w="417"/>
        <w:gridCol w:w="423"/>
        <w:gridCol w:w="56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(2,123.3)</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Other expenses increased $0.6 million for the three months ended September 30, 2023 as compared to the same period in 2022. </w:t>
      </w:r>
      <w:r>
        <w:rPr>
          <w:rFonts w:ascii="Times New Roman;sans-serif" w:hAnsi="Times New Roman;sans-serif"/>
          <w:b w:val="false"/>
          <w:color w:val="000000"/>
          <w:sz w:val="20"/>
          <w:shd w:fill="FFFFFF" w:val="clear"/>
        </w:rPr>
        <w:t xml:space="preserve">Our interest expense increased $0.6 million primarily due to our additional borrowing of $25 million to fund a portion of the 32M acquisition in the prior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 - 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U.S. GAAP net loss before (i) interest income, (ii) interest expense on debt and reserves,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certain other significant infrequent or unusual losses and gains that are not indicative of our core operations such as integration and acquisition expenses, and (ix) severance expenses that are non-recurring and are not indicative of our core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reconciliation of U.S. GAAP net loss to Adjusted EBITDA: </w:t>
      </w:r>
    </w:p>
    <w:tbl>
      <w:tblPr>
        <w:tblW w:w="10205" w:type="dxa"/>
        <w:jc w:val="center"/>
        <w:tblInd w:w="0" w:type="dxa"/>
        <w:tblLayout w:type="fixed"/>
        <w:tblCellMar>
          <w:top w:w="28" w:type="dxa"/>
          <w:left w:w="28" w:type="dxa"/>
          <w:bottom w:w="28" w:type="dxa"/>
          <w:right w:w="28" w:type="dxa"/>
        </w:tblCellMar>
      </w:tblPr>
      <w:tblGrid>
        <w:gridCol w:w="2615"/>
        <w:gridCol w:w="2301"/>
        <w:gridCol w:w="2311"/>
        <w:gridCol w:w="109"/>
        <w:gridCol w:w="109"/>
        <w:gridCol w:w="109"/>
        <w:gridCol w:w="241"/>
        <w:gridCol w:w="705"/>
        <w:gridCol w:w="124"/>
        <w:gridCol w:w="124"/>
        <w:gridCol w:w="124"/>
        <w:gridCol w:w="124"/>
        <w:gridCol w:w="241"/>
        <w:gridCol w:w="786"/>
        <w:gridCol w:w="182"/>
      </w:tblGrid>
      <w:tr>
        <w:trPr/>
        <w:tc>
          <w:tcPr>
            <w:tcW w:w="2615"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7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 from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Plus: income tax provision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depreciation included in cost of subscription and transaction fees for 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depreciation and amortization in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stock-based compensation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integration and acquisition expenses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remediation expenses </w:t>
            </w:r>
            <w:r>
              <w:rPr>
                <w:rFonts w:ascii="Times New Roman;sans-serif" w:hAnsi="Times New Roman;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investigation, proxy solicitation and restatement expenses, net of insurance recoveries </w:t>
            </w:r>
            <w:r>
              <w:rPr>
                <w:rFonts w:ascii="Times New Roman;sans-serif" w:hAnsi="Times New Roman;sans-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As an adjustment to EBITDA, we have excluded stock-based compensation, as it does not reflect our cash-based operations.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    As an adjustment to EBITDA, we have excluded expenses incurred in connection with business acquisitions as it does not represent recurring costs or charges related to our core operations.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    As an adjustment to EBITDA, we have excluded expense incurred in connection with a one-time project related to remediating previously identified material weakness in our internal control over financial reporting from the prior year.</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    As an adjustment to EBITDA, we have excluded the costs and corresponding reimbursements related to the 2019 Investigation, because we believe that they represent charges that are not related to our core operations. The 2019 Investigation has been fully resolved as of fiscal year 2023.</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primarily through cash from operating activities, debt financings, and equity issuances. The Company's primary sources of capital available are cash and cash equivalents on hand of $54.6 million as of September 30, 2023 and the cash that we expect to be provided by operating activities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estimated and recorded for potential sales tax and related interest and penalty liabilities of $14.3 million in the aggregate as of September 30, 2023. The Company continues to evaluate these liabilities and the amount and timing of any such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are charts that reflect our cash liquidity and outstanding debt as of September 30, 2023 and June 30, 2023: </w:t>
      </w:r>
    </w:p>
    <w:p>
      <w:pPr>
        <w:pStyle w:val="TextBody"/>
        <w:bidi w:val="0"/>
        <w:spacing w:before="0" w:after="0"/>
        <w:jc w:val="both"/>
        <w:rPr/>
      </w:pPr>
      <w:r>
        <w:rPr/>
      </w:r>
    </w:p>
    <w:p>
      <w:pPr>
        <w:pStyle w:val="TextBody"/>
        <w:bidi w:val="0"/>
        <w:spacing w:before="0" w:after="0"/>
        <w:jc w:val="center"/>
        <w:rPr/>
      </w:pPr>
      <w:r>
        <w:rPr/>
        <w:drawing>
          <wp:inline distT="0" distB="0" distL="0" distR="0">
            <wp:extent cx="3095625" cy="309562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6"/>
                    <a:stretch>
                      <a:fillRect/>
                    </a:stretch>
                  </pic:blipFill>
                  <pic:spPr bwMode="auto">
                    <a:xfrm>
                      <a:off x="0" y="0"/>
                      <a:ext cx="3095625" cy="3095625"/>
                    </a:xfrm>
                    <a:prstGeom prst="rect">
                      <a:avLst/>
                    </a:prstGeom>
                  </pic:spPr>
                </pic:pic>
              </a:graphicData>
            </a:graphic>
          </wp:inline>
        </w:drawing>
      </w:r>
      <w:r>
        <w:rPr/>
        <w:drawing>
          <wp:inline distT="0" distB="0" distL="0" distR="0">
            <wp:extent cx="3095625" cy="3095625"/>
            <wp:effectExtent l="0" t="0" r="0" b="0"/>
            <wp:docPr id="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 descr=""/>
                    <pic:cNvPicPr>
                      <a:picLocks noChangeAspect="1" noChangeArrowheads="1"/>
                    </pic:cNvPicPr>
                  </pic:nvPicPr>
                  <pic:blipFill>
                    <a:blip r:embed="rId7"/>
                    <a:stretch>
                      <a:fillRect/>
                    </a:stretch>
                  </pic:blipFill>
                  <pic:spPr bwMode="auto">
                    <a:xfrm>
                      <a:off x="0" y="0"/>
                      <a:ext cx="3095625" cy="3095625"/>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Condensed Consolidated Statement of Cash Flows in Part I, Item 1 of this Quarterly Report for details on the changes in cash and cash equivalents classified by operating, investing and financing activities during our respective reporting periods.</w:t>
      </w:r>
    </w:p>
    <w:p>
      <w:pPr>
        <w:pStyle w:val="TextBody"/>
        <w:bidi w:val="0"/>
        <w:spacing w:before="0" w:after="0"/>
        <w:jc w:val="center"/>
        <w:rPr/>
      </w:pPr>
      <w:r>
        <w:rPr/>
        <w:drawing>
          <wp:inline distT="0" distB="0" distL="0" distR="0">
            <wp:extent cx="3095625" cy="2352675"/>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8"/>
                    <a:stretch>
                      <a:fillRect/>
                    </a:stretch>
                  </pic:blipFill>
                  <pic:spPr bwMode="auto">
                    <a:xfrm>
                      <a:off x="0" y="0"/>
                      <a:ext cx="3095625" cy="23526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provided by (used in) operating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three months ended September 30, 2023, net cash provided by operating activities was $6.7 million which reflects our net income of $2.0 million </w:t>
      </w:r>
      <w:r>
        <w:rPr>
          <w:rFonts w:ascii="Times New Roman;sans-serif" w:hAnsi="Times New Roman;sans-serif"/>
          <w:b w:val="false"/>
          <w:color w:val="000000"/>
          <w:sz w:val="20"/>
          <w:shd w:fill="FFFFFF" w:val="clear"/>
        </w:rPr>
        <w:t xml:space="preserve">and non-cash operating charges of $6.5 million, partially offset by $1.8 million of cash utilized by working capital accounts. The change in working capital accounts was primarily driven by a $7.8 million increase of accounts receivable, and an increase in accounts payable and accrued expenses of $5.2 million in the period. Increase in cash utilized by accounts receivable was a result of increased sales during the </w:t>
      </w:r>
      <w:r>
        <w:rPr>
          <w:rFonts w:ascii="Times New Roman;sans-serif" w:hAnsi="Times New Roman;sans-serif"/>
          <w:b w:val="false"/>
          <w:color w:val="000000"/>
          <w:sz w:val="20"/>
        </w:rPr>
        <w:t>three months ended September 30, 2023</w:t>
      </w:r>
      <w:r>
        <w:rPr>
          <w:color w:val="000000"/>
          <w:shd w:fill="FFFFFF" w:val="clear"/>
        </w:rPr>
        <w:t xml:space="preserve"> </w:t>
      </w:r>
      <w:r>
        <w:rPr>
          <w:rFonts w:ascii="Times New Roman;sans-serif" w:hAnsi="Times New Roman;sans-serif"/>
          <w:b w:val="false"/>
          <w:color w:val="000000"/>
          <w:sz w:val="20"/>
          <w:shd w:fill="FFFFFF" w:val="clear"/>
        </w:rPr>
        <w:t>compared to the prior year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three months ended September 30, 2022, net cash used in operating activities was $9.0 million, which reflected our net loss of $8.6 million adjusted by </w:t>
      </w:r>
      <w:r>
        <w:rPr>
          <w:rFonts w:ascii="Times New Roman;sans-serif" w:hAnsi="Times New Roman;sans-serif"/>
          <w:b w:val="false"/>
          <w:color w:val="000000"/>
          <w:sz w:val="20"/>
          <w:shd w:fill="FFFFFF" w:val="clear"/>
        </w:rPr>
        <w:t>5.2 million</w:t>
      </w:r>
      <w:r>
        <w:rPr>
          <w:color w:val="000000"/>
        </w:rPr>
        <w:t xml:space="preserve"> </w:t>
      </w:r>
      <w:r>
        <w:rPr>
          <w:rFonts w:ascii="Times New Roman;sans-serif" w:hAnsi="Times New Roman;sans-serif"/>
          <w:b w:val="false"/>
          <w:color w:val="000000"/>
          <w:sz w:val="20"/>
        </w:rPr>
        <w:t>in non-cash operating charges and</w:t>
      </w:r>
      <w:r>
        <w:rPr>
          <w:color w:val="000000"/>
          <w:shd w:fill="FFFFFF" w:val="clear"/>
        </w:rPr>
        <w:t xml:space="preserve"> </w:t>
      </w:r>
      <w:r>
        <w:rPr>
          <w:rFonts w:ascii="Times New Roman;sans-serif" w:hAnsi="Times New Roman;sans-serif"/>
          <w:b w:val="false"/>
          <w:color w:val="000000"/>
          <w:sz w:val="20"/>
          <w:shd w:fill="FFFFFF" w:val="clear"/>
        </w:rPr>
        <w:t>$5.7 million of cash utilized by working capital accounts.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operating charges primarily consisted of stock-based compensation, depreciation of property and equipment, amortization of our intangible assets, and provisions for expected losses for the three months ended September 30, 2023 and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$2.9 million for the three months ended September 30, 2023. We invested $2.9 million in property and equipment as the Company continued to focus on investing in innovative technologies and products, and increasing rental devices enrolled in the Company's Cantaloupe One program. Net cash used in investing activities was $5.0 million for the three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$0.1 million for the three months ended September 30, 2023. Net cash used in financing activities was $3.3 million for the three months ended September 30, 2022 as we repurchased Series A Convertible Preferred Stock and paid out contingent consideration relating to its acquisition of Yoke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there were no significant changes to our contractual obligations from those disclosed in the section “Management’s Discussion and Analysis of Financial Condition and Results of Operations” in our Annual Report on Form 10-K for the fiscal year ended June 30,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have been no material changes to our critical accounting estimates from those disclosed in our Annual Report on Form 10-K for the fiscal year ended June 30, 2023.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for a description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pPr>
      <w:r>
        <w:rPr>
          <w:rFonts w:ascii="Times New Roman;sans-serif" w:hAnsi="Times New Roman;sans-serif"/>
          <w:b w:val="false"/>
          <w:color w:val="000000"/>
          <w:sz w:val="20"/>
        </w:rPr>
        <w:t>As of September 30, 2023, we are exposed to market risk related to changes in interest rates on our outstanding borrowings. Our Amended JPMorgan Credit Facility has a four-year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As of September 30, 2023, we have $38.4 million total outstanding borrowings, an increase of 100 basis points in SOFR Rate would result in a change in interest expense of $0.4 million per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w:t>
      </w:r>
      <w:r>
        <w:rPr>
          <w:rFonts w:ascii="Times New Roman;sans-serif" w:hAnsi="Times New Roman;sans-serif"/>
          <w:b w:val="false"/>
          <w:color w:val="000000"/>
          <w:sz w:val="20"/>
          <w:shd w:fill="FFFFFF" w:val="clear"/>
        </w:rPr>
        <w:t xml:space="preserve">s were not effective as of </w:t>
      </w:r>
      <w:r>
        <w:rPr>
          <w:rFonts w:ascii="Times New Roman;sans-serif" w:hAnsi="Times New Roman;sans-serif"/>
          <w:b w:val="false"/>
          <w:color w:val="000000"/>
          <w:sz w:val="20"/>
        </w:rPr>
        <w:t>September 30, 2023, as a result of the material weaknesses in our internal control over financial reporting, which are described in Item 9A. of our 2023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plan disclosed in Item 9A. of our 2023 Form 10-K, there have been no changes in the Company’s internal control over financial reporting that occurred during the fiscal quarter ended September 30, 2023 that have materially affected, or are reasonably likely to materially affect, our internal controls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completing remediation activities to alleviate the material weaknesses identified in the remediation plan disclosed in Item 9A. of our 2023 Form 10-K. The Company hired an independent accounting firm to assist with the remediation efforts. The material weaknesses cannot be considered remediated until the related controls have operated for a sufficient period of time and until management has concluded, through testing, that the controls are operating effectively. The remediation efforts are ongoing, as additional time is needed to complete the remediation and allow for the internal controls to be tested by management.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information required by this Item is incorporated herein by reference to the Notes to condensed consolidated financial statements, </w:t>
      </w:r>
      <w:r>
        <w:rPr>
          <w:rFonts w:ascii="Times New Roman;sans-serif" w:hAnsi="Times New Roman;sans-serif"/>
          <w:b w:val="false"/>
          <w:i/>
          <w:color w:val="000000"/>
          <w:sz w:val="20"/>
        </w:rPr>
        <w:t>Note 15 – Commitments and Contingencies</w:t>
      </w:r>
      <w:r>
        <w:rPr>
          <w:color w:val="000000"/>
        </w:rPr>
        <w:t xml:space="preserve"> </w:t>
      </w:r>
      <w:r>
        <w:rPr>
          <w:rFonts w:ascii="Times New Roman;sans-serif" w:hAnsi="Times New Roman;sans-serif"/>
          <w:b w:val="false"/>
          <w:color w:val="000000"/>
          <w:sz w:val="20"/>
        </w:rPr>
        <w:t>in Part I, Item 1,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Company’s risk factors, see the information under the heading “Risk Factors” in the Company’s Annual Report on Form 10-K for the fiscal year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defaults on any senior securities. The total liquidation preference including accrued and unpaid dividends on our Series A Convertible Preferred Stock as of September 30, 2023 was $22.4 million. The dividend accrual dates for our Preferred Stock are February 1 and August 1. The annual cumulative dividend on our Preferred Stock is $1.50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During the fiscal quarter ended September 30, 2023,</w:t>
      </w:r>
      <w:r>
        <w:rPr>
          <w:color w:val="000000"/>
          <w:shd w:fill="FFFFFF" w:val="clear"/>
        </w:rPr>
        <w:t xml:space="preserve"> </w:t>
      </w:r>
      <w:r>
        <w:rPr>
          <w:rFonts w:ascii="Times New Roman;sans-serif" w:hAnsi="Times New Roman;sans-serif"/>
          <w:b w:val="false"/>
          <w:color w:val="000000"/>
          <w:sz w:val="20"/>
          <w:shd w:fill="FFFFFF" w:val="clear"/>
        </w:rPr>
        <w:t xml:space="preserve">none of the </w:t>
      </w:r>
      <w:r>
        <w:rPr>
          <w:rFonts w:ascii="Times New Roman;sans-serif" w:hAnsi="Times New Roman;sans-serif"/>
          <w:b w:val="false"/>
          <w:color w:val="000000"/>
          <w:sz w:val="20"/>
        </w:rPr>
        <w:t>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5"/>
        <w:gridCol w:w="236"/>
        <w:gridCol w:w="109"/>
        <w:gridCol w:w="109"/>
        <w:gridCol w:w="109"/>
        <w:gridCol w:w="2770"/>
        <w:gridCol w:w="2624"/>
        <w:gridCol w:w="3747"/>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Amended and Restated Articles of Incorporation (incorporated by reference to Exhibit 3.1 to Form 10-Q filed on February 4, 2022).</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20"/>
                  <w:u w:val="single"/>
                </w:rPr>
                <w:t>Second Amended and Restated Bylaws (incorporated by reference to Exhibit 3.1 to Form 8-K filed on August 10, 2021)</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exx311.htm">
              <w:r>
                <w:rPr>
                  <w:rStyle w:val="InternetLink"/>
                  <w:rFonts w:ascii="Times New Roman;sans-serif" w:hAnsi="Times New Roman;sans-serif"/>
                  <w:b w:val="false"/>
                  <w:color w:val="0000FF"/>
                  <w:sz w:val="20"/>
                  <w:u w:val="single"/>
                </w:rPr>
                <w:t>Certifications of Chief Executive Officer pursuant to Rule 13a-14(a) under the Securities Exchange Act of 1934</w:t>
              </w:r>
            </w:hyperlink>
            <w:r>
              <w:rPr>
                <w:rFonts w:ascii="Times New Roman;sans-serif" w:hAnsi="Times New Roman;sans-serif"/>
                <w:b w:val="false"/>
                <w:color w:val="000000"/>
                <w:sz w:val="20"/>
              </w:rPr>
              <w:t>.</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exx312.htm">
              <w:r>
                <w:rPr>
                  <w:rStyle w:val="InternetLink"/>
                  <w:rFonts w:ascii="Times New Roman;sans-serif" w:hAnsi="Times New Roman;sans-serif"/>
                  <w:b w:val="false"/>
                  <w:color w:val="0000FF"/>
                  <w:sz w:val="20"/>
                  <w:u w:val="single"/>
                </w:rPr>
                <w:t>Certifications of Chief Financial Officer pursuant to Rule 13a-14(a) under the Securities Exchange Act of 1934.</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ex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exx322.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our Quarterly Report on Form 10-Q for the quarter ended September 30, 2023, filed with the SEC on November 9, 2023, is formatted in Inline Extensible Business Reporting Language (“iXBRL”): (1) the Condensed Consolidated Balance Sheets as of September 30, 2023 and June 30, 2023, (2) the Condensed Consolidated Statements of Operations for the three-month periods ended September 30, 2023 and 2022, (3) the Condensed Consolidated Statements of Convertible Preferred Stock and Shareholders’ Equity for the three-month periods ended September 30, 2023 and 2022, (4) the Condensed Consolidated Statements of Cash Flows for the three-month periods ended September 30, 2023 and 2022, and (5) the Notes to Condensed Consolidated Financial Statements.</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our Quarterly Report on Form 10-Q for the quarter ended September 30, 2023, filed with the SEC on November 9, 2023, is formatted as Inline iXBRL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5a084b50fc44aa29499d6381d38485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169" w:type="dxa"/>
        <w:jc w:val="left"/>
        <w:tblInd w:w="0" w:type="dxa"/>
        <w:tblLayout w:type="fixed"/>
        <w:tblCellMar>
          <w:top w:w="28" w:type="dxa"/>
          <w:left w:w="28" w:type="dxa"/>
          <w:bottom w:w="28" w:type="dxa"/>
          <w:right w:w="28" w:type="dxa"/>
        </w:tblCellMar>
      </w:tblPr>
      <w:tblGrid>
        <w:gridCol w:w="759"/>
        <w:gridCol w:w="668"/>
        <w:gridCol w:w="672"/>
        <w:gridCol w:w="605"/>
        <w:gridCol w:w="605"/>
        <w:gridCol w:w="86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Cantaloupe,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Ravi Venkatesan, certify that:</w:t>
      </w:r>
    </w:p>
    <w:p>
      <w:pPr>
        <w:pStyle w:val="TextBody"/>
        <w:bidi w:val="0"/>
        <w:spacing w:lineRule="auto" w:line="288" w:before="200" w:after="283"/>
        <w:ind w:left="0" w:right="0" w:hanging="720"/>
        <w:jc w:val="both"/>
        <w:rPr/>
      </w:pPr>
      <w:r>
        <w:rPr>
          <w:rFonts w:ascii="Times New Roman;sans-serif" w:hAnsi="Times New Roman;sans-serif"/>
          <w:b w:val="false"/>
          <w:color w:val="008080"/>
          <w:sz w:val="24"/>
        </w:rPr>
        <w:t>1.</w:t>
      </w:r>
      <w:r>
        <w:rPr>
          <w:rFonts w:ascii="Times New Roman;sans-serif" w:hAnsi="Times New Roman;sans-serif"/>
          <w:b w:val="false"/>
          <w:color w:val="000000"/>
          <w:sz w:val="20"/>
        </w:rPr>
        <w:t>I have reviewed this quarterly report on Form 10</w:t>
        <w:noBreakHyphen/>
        <w:t>Q of Cantaloupe,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issuer’s internal control over financial reporting.</w:t>
      </w:r>
    </w:p>
    <w:tbl>
      <w:tblPr>
        <w:tblW w:w="4169" w:type="dxa"/>
        <w:jc w:val="left"/>
        <w:tblInd w:w="0" w:type="dxa"/>
        <w:tblLayout w:type="fixed"/>
        <w:tblCellMar>
          <w:top w:w="28" w:type="dxa"/>
          <w:left w:w="28" w:type="dxa"/>
          <w:bottom w:w="28" w:type="dxa"/>
          <w:right w:w="28" w:type="dxa"/>
        </w:tblCellMar>
      </w:tblPr>
      <w:tblGrid>
        <w:gridCol w:w="759"/>
        <w:gridCol w:w="668"/>
        <w:gridCol w:w="672"/>
        <w:gridCol w:w="606"/>
        <w:gridCol w:w="606"/>
        <w:gridCol w:w="85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Stewart, certify that:</w:t>
      </w:r>
    </w:p>
    <w:p>
      <w:pPr>
        <w:pStyle w:val="TextBody"/>
        <w:bidi w:val="0"/>
        <w:spacing w:lineRule="auto" w:line="288" w:before="200" w:after="283"/>
        <w:ind w:left="0" w:right="0" w:hanging="720"/>
        <w:jc w:val="left"/>
        <w:rPr/>
      </w:pPr>
      <w:r>
        <w:rPr>
          <w:rFonts w:ascii="Times New Roman;sans-serif" w:hAnsi="Times New Roman;sans-serif"/>
          <w:b w:val="false"/>
          <w:color w:val="008080"/>
          <w:sz w:val="24"/>
        </w:rPr>
        <w:t>1.</w:t>
      </w:r>
      <w:r>
        <w:rPr>
          <w:rFonts w:ascii="Times New Roman;sans-serif" w:hAnsi="Times New Roman;sans-serif"/>
          <w:b w:val="false"/>
          <w:color w:val="000000"/>
          <w:sz w:val="20"/>
        </w:rPr>
        <w:t>I have reviewed this quarterly report on Form 10</w:t>
        <w:noBreakHyphen/>
        <w:t>Q of Cantaloupe,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issuer’s internal control over financial reporting.</w:t>
      </w:r>
    </w:p>
    <w:tbl>
      <w:tblPr>
        <w:tblW w:w="4109" w:type="dxa"/>
        <w:jc w:val="left"/>
        <w:tblInd w:w="0" w:type="dxa"/>
        <w:tblLayout w:type="fixed"/>
        <w:tblCellMar>
          <w:top w:w="28" w:type="dxa"/>
          <w:left w:w="28" w:type="dxa"/>
          <w:bottom w:w="28" w:type="dxa"/>
          <w:right w:w="28" w:type="dxa"/>
        </w:tblCellMar>
      </w:tblPr>
      <w:tblGrid>
        <w:gridCol w:w="759"/>
        <w:gridCol w:w="668"/>
        <w:gridCol w:w="672"/>
        <w:gridCol w:w="589"/>
        <w:gridCol w:w="589"/>
        <w:gridCol w:w="83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Cantaloupe, Inc., (the “Company”) on Form 10</w:t>
        <w:noBreakHyphen/>
        <w:t>Q for the period ended September 30, 2023 (the “Report”), I, Ravi Venkatesan, Chief Executive Officer of the Company, hereby certify that to my knowledge:</w:t>
      </w:r>
    </w:p>
    <w:p>
      <w:pPr>
        <w:pStyle w:val="TextBody"/>
        <w:bidi w:val="0"/>
        <w:spacing w:lineRule="auto" w:line="333"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169" w:type="dxa"/>
        <w:jc w:val="left"/>
        <w:tblInd w:w="0" w:type="dxa"/>
        <w:tblLayout w:type="fixed"/>
        <w:tblCellMar>
          <w:top w:w="28" w:type="dxa"/>
          <w:left w:w="28" w:type="dxa"/>
          <w:bottom w:w="28" w:type="dxa"/>
          <w:right w:w="28" w:type="dxa"/>
        </w:tblCellMar>
      </w:tblPr>
      <w:tblGrid>
        <w:gridCol w:w="759"/>
        <w:gridCol w:w="668"/>
        <w:gridCol w:w="672"/>
        <w:gridCol w:w="606"/>
        <w:gridCol w:w="606"/>
        <w:gridCol w:w="85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Cantaloupe, Inc., (the “Company”) on Form 10</w:t>
        <w:noBreakHyphen/>
        <w:t>Q for the period ended September 30, 2023 (the “Report”), I, Scott Stewart, Chief Financial Officer of the Company, hereby certify that to my knowledge:</w:t>
      </w:r>
    </w:p>
    <w:p>
      <w:pPr>
        <w:pStyle w:val="TextBody"/>
        <w:bidi w:val="0"/>
        <w:spacing w:lineRule="auto" w:line="333"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109" w:type="dxa"/>
        <w:jc w:val="left"/>
        <w:tblInd w:w="0" w:type="dxa"/>
        <w:tblLayout w:type="fixed"/>
        <w:tblCellMar>
          <w:top w:w="28" w:type="dxa"/>
          <w:left w:w="28" w:type="dxa"/>
          <w:bottom w:w="28" w:type="dxa"/>
          <w:right w:w="28" w:type="dxa"/>
        </w:tblCellMar>
      </w:tblPr>
      <w:tblGrid>
        <w:gridCol w:w="759"/>
        <w:gridCol w:w="668"/>
        <w:gridCol w:w="672"/>
        <w:gridCol w:w="589"/>
        <w:gridCol w:w="589"/>
        <w:gridCol w:w="83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896429/000162828022001838/a31-amendedandrestatedarti.htm" TargetMode="External"/><Relationship Id="rId10" Type="http://schemas.openxmlformats.org/officeDocument/2006/relationships/hyperlink" Target="https://www.sec.gov/ix?doc=/Archives/edgar/data/0000896429/000091412121005445/p56531664-8ki.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14758</Words>
  <Characters>82503</Characters>
  <CharactersWithSpaces>96154</CharactersWithSpaces>
  <Paragraphs>1869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