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440055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43180"/>
                    </a:xfrm>
                    <a:prstGeom prst="rect">
                      <a:avLst/>
                    </a:prstGeom>
                    <a:noFill/>
                  </pic:spPr>
                </pic:pic>
              </a:graphicData>
            </a:graphic>
          </wp:anchor>
        </w:drawing>
        <w:t>UNITED STATES</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10-K/A</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182"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ANNUAL REPORT PURSUANT TO SECTION 13 OR 15(d) OF THE SECURITIES EXCHANGE ACT OF 1934</w:t>
      </w:r>
    </w:p>
    <w:p>
      <w:pPr>
        <w:spacing w:after="0" w:line="1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the fiscal year ended June 30, 2022</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OR</w:t>
      </w:r>
    </w:p>
    <w:p>
      <w:pPr>
        <w:spacing w:after="0" w:line="201" w:lineRule="exact"/>
        <w:rPr>
          <w:sz w:val="24"/>
          <w:szCs w:val="24"/>
          <w:color w:val="auto"/>
        </w:rPr>
      </w:pPr>
    </w:p>
    <w:p>
      <w:pPr>
        <w:ind w:left="360" w:hanging="334"/>
        <w:spacing w:after="0"/>
        <w:tabs>
          <w:tab w:leader="none" w:pos="36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TRANSITION REPORT PURSUANT TO SECTION 13 OR 15 (d) OF THE EXCHANGE ACT OF 1934</w:t>
      </w:r>
    </w:p>
    <w:p>
      <w:pPr>
        <w:spacing w:after="0" w:line="127" w:lineRule="exact"/>
        <w:rPr>
          <w:sz w:val="24"/>
          <w:szCs w:val="24"/>
          <w:color w:val="auto"/>
        </w:rPr>
      </w:pPr>
    </w:p>
    <w:p>
      <w:pPr>
        <w:ind w:left="2880"/>
        <w:spacing w:after="0"/>
        <w:rPr>
          <w:sz w:val="20"/>
          <w:szCs w:val="20"/>
          <w:color w:val="auto"/>
        </w:rPr>
      </w:pPr>
      <w:r>
        <w:rPr>
          <w:rFonts w:ascii="Times New Roman" w:cs="Times New Roman" w:eastAsia="Times New Roman" w:hAnsi="Times New Roman"/>
          <w:sz w:val="16"/>
          <w:szCs w:val="16"/>
          <w:color w:val="auto"/>
        </w:rPr>
        <w:t>For the transition period from ____________________ to _____________________</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Commission file number 001-33365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37465</wp:posOffset>
            </wp:positionV>
            <wp:extent cx="1714500" cy="4883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14500" cy="4883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Cantaloupe, Inc.</w:t>
      </w:r>
    </w:p>
    <w:p>
      <w:pPr>
        <w:spacing w:after="0" w:line="20"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____________________________________________________________________________________________</w:t>
      </w:r>
    </w:p>
    <w:p>
      <w:pPr>
        <w:spacing w:after="0" w:line="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32"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2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Pennsylvania</w:t>
            </w: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80" w:type="dxa"/>
            <w:vAlign w:val="bottom"/>
            <w:gridSpan w:val="4"/>
          </w:tcPr>
          <w:p>
            <w:pPr>
              <w:jc w:val="center"/>
              <w:ind w:right="2500"/>
              <w:spacing w:after="0"/>
              <w:rPr>
                <w:sz w:val="20"/>
                <w:szCs w:val="20"/>
                <w:color w:val="auto"/>
              </w:rPr>
            </w:pPr>
            <w:r>
              <w:rPr>
                <w:rFonts w:ascii="Times New Roman" w:cs="Times New Roman" w:eastAsia="Times New Roman" w:hAnsi="Times New Roman"/>
                <w:sz w:val="16"/>
                <w:szCs w:val="16"/>
                <w:b w:val="1"/>
                <w:bCs w:val="1"/>
                <w:color w:val="auto"/>
              </w:rPr>
              <w:t>23-2679963</w:t>
            </w:r>
          </w:p>
        </w:tc>
      </w:tr>
      <w:tr>
        <w:trPr>
          <w:trHeight w:val="20"/>
        </w:trPr>
        <w:tc>
          <w:tcPr>
            <w:tcW w:w="28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231"/>
        </w:trPr>
        <w:tc>
          <w:tcPr>
            <w:tcW w:w="280" w:type="dxa"/>
            <w:vAlign w:val="bottom"/>
          </w:tcPr>
          <w:p>
            <w:pPr>
              <w:spacing w:after="0"/>
              <w:rPr>
                <w:sz w:val="20"/>
                <w:szCs w:val="20"/>
                <w:color w:val="auto"/>
              </w:rPr>
            </w:pPr>
          </w:p>
        </w:tc>
        <w:tc>
          <w:tcPr>
            <w:tcW w:w="6660" w:type="dxa"/>
            <w:vAlign w:val="bottom"/>
            <w:gridSpan w:val="11"/>
          </w:tcPr>
          <w:p>
            <w:pPr>
              <w:jc w:val="center"/>
              <w:ind w:right="1839"/>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tc>
        <w:tc>
          <w:tcPr>
            <w:tcW w:w="4300" w:type="dxa"/>
            <w:vAlign w:val="bottom"/>
            <w:gridSpan w:val="5"/>
          </w:tcPr>
          <w:p>
            <w:pPr>
              <w:jc w:val="center"/>
              <w:ind w:right="1460"/>
              <w:spacing w:after="0"/>
              <w:rPr>
                <w:sz w:val="20"/>
                <w:szCs w:val="20"/>
                <w:color w:val="auto"/>
              </w:rPr>
            </w:pPr>
            <w:r>
              <w:rPr>
                <w:rFonts w:ascii="Times New Roman" w:cs="Times New Roman" w:eastAsia="Times New Roman" w:hAnsi="Times New Roman"/>
                <w:sz w:val="16"/>
                <w:szCs w:val="16"/>
                <w:color w:val="auto"/>
              </w:rPr>
              <w:t>(I.R.S. Employer Identification No.)</w:t>
            </w:r>
          </w:p>
        </w:tc>
      </w:tr>
      <w:tr>
        <w:trPr>
          <w:trHeight w:val="303"/>
        </w:trPr>
        <w:tc>
          <w:tcPr>
            <w:tcW w:w="28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100 Deerfield Lane,</w:t>
            </w:r>
          </w:p>
        </w:tc>
        <w:tc>
          <w:tcPr>
            <w:tcW w:w="460" w:type="dxa"/>
            <w:vAlign w:val="bottom"/>
          </w:tcPr>
          <w:p>
            <w:pPr>
              <w:spacing w:after="0"/>
              <w:rPr>
                <w:sz w:val="24"/>
                <w:szCs w:val="24"/>
                <w:color w:val="auto"/>
              </w:rPr>
            </w:pPr>
          </w:p>
        </w:tc>
        <w:tc>
          <w:tcPr>
            <w:tcW w:w="10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Suite 300,</w:t>
            </w:r>
          </w:p>
        </w:tc>
        <w:tc>
          <w:tcPr>
            <w:tcW w:w="20" w:type="dxa"/>
            <w:vAlign w:val="bottom"/>
          </w:tcPr>
          <w:p>
            <w:pPr>
              <w:spacing w:after="0"/>
              <w:rPr>
                <w:sz w:val="24"/>
                <w:szCs w:val="24"/>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Malvern,</w:t>
            </w:r>
          </w:p>
        </w:tc>
        <w:tc>
          <w:tcPr>
            <w:tcW w:w="340" w:type="dxa"/>
            <w:vAlign w:val="bottom"/>
          </w:tcPr>
          <w:p>
            <w:pPr>
              <w:spacing w:after="0"/>
              <w:rPr>
                <w:sz w:val="24"/>
                <w:szCs w:val="24"/>
                <w:color w:val="auto"/>
              </w:rPr>
            </w:pPr>
          </w:p>
        </w:tc>
        <w:tc>
          <w:tcPr>
            <w:tcW w:w="27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Pennsylvania</w:t>
            </w:r>
          </w:p>
        </w:tc>
        <w:tc>
          <w:tcPr>
            <w:tcW w:w="1800" w:type="dxa"/>
            <w:vAlign w:val="bottom"/>
            <w:gridSpan w:val="4"/>
          </w:tcPr>
          <w:p>
            <w:pPr>
              <w:jc w:val="center"/>
              <w:ind w:left="961"/>
              <w:spacing w:after="0"/>
              <w:rPr>
                <w:sz w:val="20"/>
                <w:szCs w:val="20"/>
                <w:color w:val="auto"/>
              </w:rPr>
            </w:pPr>
            <w:r>
              <w:rPr>
                <w:rFonts w:ascii="Times New Roman" w:cs="Times New Roman" w:eastAsia="Times New Roman" w:hAnsi="Times New Roman"/>
                <w:sz w:val="16"/>
                <w:szCs w:val="16"/>
                <w:b w:val="1"/>
                <w:bCs w:val="1"/>
                <w:color w:val="auto"/>
                <w:w w:val="99"/>
              </w:rPr>
              <w:t>19355</w:t>
            </w:r>
          </w:p>
        </w:tc>
        <w:tc>
          <w:tcPr>
            <w:tcW w:w="2500" w:type="dxa"/>
            <w:vAlign w:val="bottom"/>
          </w:tcPr>
          <w:p>
            <w:pPr>
              <w:spacing w:after="0"/>
              <w:rPr>
                <w:sz w:val="24"/>
                <w:szCs w:val="24"/>
                <w:color w:val="auto"/>
              </w:rPr>
            </w:pPr>
          </w:p>
        </w:tc>
      </w:tr>
      <w:tr>
        <w:trPr>
          <w:trHeight w:val="20"/>
        </w:trPr>
        <w:tc>
          <w:tcPr>
            <w:tcW w:w="2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r>
      <w:tr>
        <w:trPr>
          <w:trHeight w:val="231"/>
        </w:trPr>
        <w:tc>
          <w:tcPr>
            <w:tcW w:w="280" w:type="dxa"/>
            <w:vAlign w:val="bottom"/>
          </w:tcPr>
          <w:p>
            <w:pPr>
              <w:spacing w:after="0"/>
              <w:rPr>
                <w:sz w:val="20"/>
                <w:szCs w:val="20"/>
                <w:color w:val="auto"/>
              </w:rPr>
            </w:pPr>
          </w:p>
        </w:tc>
        <w:tc>
          <w:tcPr>
            <w:tcW w:w="6660" w:type="dxa"/>
            <w:vAlign w:val="bottom"/>
            <w:gridSpan w:val="11"/>
          </w:tcPr>
          <w:p>
            <w:pPr>
              <w:jc w:val="center"/>
              <w:ind w:right="1819"/>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1020" w:type="dxa"/>
            <w:vAlign w:val="bottom"/>
          </w:tcPr>
          <w:p>
            <w:pPr>
              <w:spacing w:after="0"/>
              <w:rPr>
                <w:sz w:val="20"/>
                <w:szCs w:val="20"/>
                <w:color w:val="auto"/>
              </w:rPr>
            </w:pPr>
          </w:p>
        </w:tc>
        <w:tc>
          <w:tcPr>
            <w:tcW w:w="3280" w:type="dxa"/>
            <w:vAlign w:val="bottom"/>
            <w:gridSpan w:val="4"/>
          </w:tcPr>
          <w:p>
            <w:pPr>
              <w:jc w:val="center"/>
              <w:ind w:right="2480"/>
              <w:spacing w:after="0"/>
              <w:rPr>
                <w:sz w:val="20"/>
                <w:szCs w:val="20"/>
                <w:color w:val="auto"/>
              </w:rPr>
            </w:pPr>
            <w:r>
              <w:rPr>
                <w:rFonts w:ascii="Times New Roman" w:cs="Times New Roman" w:eastAsia="Times New Roman" w:hAnsi="Times New Roman"/>
                <w:sz w:val="16"/>
                <w:szCs w:val="16"/>
                <w:color w:val="auto"/>
              </w:rPr>
              <w:t>(Zip Code)</w:t>
            </w:r>
          </w:p>
        </w:tc>
      </w:tr>
      <w:tr>
        <w:trPr>
          <w:trHeight w:val="341"/>
        </w:trPr>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40" w:type="dxa"/>
            <w:vAlign w:val="bottom"/>
          </w:tcPr>
          <w:p>
            <w:pPr>
              <w:jc w:val="center"/>
              <w:ind w:right="699"/>
              <w:spacing w:after="0" w:line="184"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610) 989</w:t>
            </w:r>
            <w:r>
              <w:rPr>
                <w:rFonts w:ascii="MS PGothic" w:cs="MS PGothic" w:eastAsia="MS PGothic" w:hAnsi="MS PGothic"/>
                <w:sz w:val="16"/>
                <w:szCs w:val="16"/>
                <w:color w:val="auto"/>
                <w:strike w:val="1"/>
              </w:rPr>
              <w:t>‑</w:t>
            </w:r>
            <w:r>
              <w:rPr>
                <w:rFonts w:ascii="Times New Roman" w:cs="Times New Roman" w:eastAsia="Times New Roman" w:hAnsi="Times New Roman"/>
                <w:sz w:val="16"/>
                <w:szCs w:val="16"/>
                <w:b w:val="1"/>
                <w:bCs w:val="1"/>
                <w:color w:val="auto"/>
              </w:rPr>
              <w:t>0340</w:t>
            </w: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142"/>
        </w:trPr>
        <w:tc>
          <w:tcPr>
            <w:tcW w:w="2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40" w:type="dxa"/>
            <w:vAlign w:val="bottom"/>
            <w:gridSpan w:val="8"/>
          </w:tcPr>
          <w:p>
            <w:pPr>
              <w:jc w:val="right"/>
              <w:spacing w:after="0"/>
              <w:rPr>
                <w:sz w:val="20"/>
                <w:szCs w:val="20"/>
                <w:color w:val="auto"/>
              </w:rPr>
            </w:pPr>
            <w:r>
              <w:rPr>
                <w:rFonts w:ascii="Times New Roman" w:cs="Times New Roman" w:eastAsia="Times New Roman" w:hAnsi="Times New Roman"/>
                <w:sz w:val="11"/>
                <w:szCs w:val="11"/>
                <w:b w:val="1"/>
                <w:bCs w:val="1"/>
                <w:color w:val="auto"/>
                <w:w w:val="98"/>
              </w:rPr>
              <w:t>____________________________________________________________________________________________</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500" w:type="dxa"/>
            <w:vAlign w:val="bottom"/>
          </w:tcPr>
          <w:p>
            <w:pPr>
              <w:spacing w:after="0"/>
              <w:rPr>
                <w:sz w:val="12"/>
                <w:szCs w:val="12"/>
                <w:color w:val="auto"/>
              </w:rPr>
            </w:pPr>
          </w:p>
        </w:tc>
      </w:tr>
      <w:tr>
        <w:trPr>
          <w:trHeight w:val="265"/>
        </w:trPr>
        <w:tc>
          <w:tcPr>
            <w:tcW w:w="2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0" w:type="dxa"/>
            <w:vAlign w:val="bottom"/>
            <w:gridSpan w:val="8"/>
          </w:tcPr>
          <w:p>
            <w:pPr>
              <w:jc w:val="center"/>
              <w:ind w:right="3840"/>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r>
      <w:tr>
        <w:trPr>
          <w:trHeight w:val="210"/>
        </w:trPr>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100" w:type="dxa"/>
            <w:vAlign w:val="bottom"/>
            <w:gridSpan w:val="10"/>
          </w:tcPr>
          <w:p>
            <w:pPr>
              <w:jc w:val="center"/>
              <w:ind w:right="312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r>
      <w:tr>
        <w:trPr>
          <w:trHeight w:val="327"/>
        </w:trPr>
        <w:tc>
          <w:tcPr>
            <w:tcW w:w="2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4"/>
          </w:tcPr>
          <w:p>
            <w:pPr>
              <w:jc w:val="center"/>
              <w:ind w:right="180"/>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jc w:val="center"/>
              <w:ind w:right="639"/>
              <w:spacing w:after="0"/>
              <w:rPr>
                <w:sz w:val="20"/>
                <w:szCs w:val="20"/>
                <w:color w:val="auto"/>
              </w:rPr>
            </w:pPr>
            <w:r>
              <w:rPr>
                <w:rFonts w:ascii="Times New Roman" w:cs="Times New Roman" w:eastAsia="Times New Roman" w:hAnsi="Times New Roman"/>
                <w:sz w:val="16"/>
                <w:szCs w:val="16"/>
                <w:color w:val="auto"/>
                <w:w w:val="99"/>
              </w:rPr>
              <w:t>Trading Symbol</w:t>
            </w:r>
          </w:p>
        </w:tc>
        <w:tc>
          <w:tcPr>
            <w:tcW w:w="4300" w:type="dxa"/>
            <w:vAlign w:val="bottom"/>
            <w:tcBorders>
              <w:bottom w:val="single" w:sz="8" w:color="auto"/>
            </w:tcBorders>
            <w:gridSpan w:val="5"/>
          </w:tcPr>
          <w:p>
            <w:pPr>
              <w:jc w:val="center"/>
              <w:ind w:right="200"/>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07"/>
        </w:trPr>
        <w:tc>
          <w:tcPr>
            <w:tcW w:w="280" w:type="dxa"/>
            <w:vAlign w:val="bottom"/>
          </w:tcPr>
          <w:p>
            <w:pPr>
              <w:spacing w:after="0"/>
              <w:rPr>
                <w:sz w:val="17"/>
                <w:szCs w:val="17"/>
                <w:color w:val="auto"/>
              </w:rPr>
            </w:pPr>
          </w:p>
        </w:tc>
        <w:tc>
          <w:tcPr>
            <w:tcW w:w="3560" w:type="dxa"/>
            <w:vAlign w:val="bottom"/>
            <w:gridSpan w:val="8"/>
          </w:tcPr>
          <w:p>
            <w:pPr>
              <w:jc w:val="center"/>
              <w:ind w:left="379"/>
              <w:spacing w:after="0"/>
              <w:rPr>
                <w:sz w:val="20"/>
                <w:szCs w:val="20"/>
                <w:color w:val="auto"/>
              </w:rPr>
            </w:pPr>
            <w:r>
              <w:rPr>
                <w:rFonts w:ascii="Times New Roman" w:cs="Times New Roman" w:eastAsia="Times New Roman" w:hAnsi="Times New Roman"/>
                <w:sz w:val="16"/>
                <w:szCs w:val="16"/>
                <w:color w:val="auto"/>
              </w:rPr>
              <w:t>Common Stock, no par value</w:t>
            </w: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40" w:type="dxa"/>
            <w:vAlign w:val="bottom"/>
          </w:tcPr>
          <w:p>
            <w:pPr>
              <w:jc w:val="center"/>
              <w:ind w:right="639"/>
              <w:spacing w:after="0"/>
              <w:rPr>
                <w:sz w:val="20"/>
                <w:szCs w:val="20"/>
                <w:color w:val="auto"/>
              </w:rPr>
            </w:pPr>
            <w:r>
              <w:rPr>
                <w:rFonts w:ascii="Times New Roman" w:cs="Times New Roman" w:eastAsia="Times New Roman" w:hAnsi="Times New Roman"/>
                <w:sz w:val="16"/>
                <w:szCs w:val="16"/>
                <w:color w:val="auto"/>
              </w:rPr>
              <w:t>CTLP</w:t>
            </w:r>
          </w:p>
        </w:tc>
        <w:tc>
          <w:tcPr>
            <w:tcW w:w="4300" w:type="dxa"/>
            <w:vAlign w:val="bottom"/>
            <w:gridSpan w:val="5"/>
          </w:tcPr>
          <w:p>
            <w:pPr>
              <w:jc w:val="center"/>
              <w:ind w:right="200"/>
              <w:spacing w:after="0"/>
              <w:rPr>
                <w:sz w:val="20"/>
                <w:szCs w:val="20"/>
                <w:color w:val="auto"/>
              </w:rPr>
            </w:pPr>
            <w:r>
              <w:rPr>
                <w:rFonts w:ascii="Times New Roman" w:cs="Times New Roman" w:eastAsia="Times New Roman" w:hAnsi="Times New Roman"/>
                <w:sz w:val="16"/>
                <w:szCs w:val="16"/>
                <w:color w:val="auto"/>
              </w:rPr>
              <w:t>The NASDAQ Stock Market LLC</w:t>
            </w:r>
          </w:p>
        </w:tc>
      </w:tr>
      <w:tr>
        <w:trPr>
          <w:trHeight w:val="364"/>
        </w:trPr>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100" w:type="dxa"/>
            <w:vAlign w:val="bottom"/>
            <w:gridSpan w:val="10"/>
          </w:tcPr>
          <w:p>
            <w:pPr>
              <w:ind w:left="400"/>
              <w:spacing w:after="0"/>
              <w:rPr>
                <w:sz w:val="20"/>
                <w:szCs w:val="20"/>
                <w:color w:val="auto"/>
              </w:rPr>
            </w:pPr>
            <w:r>
              <w:rPr>
                <w:rFonts w:ascii="Times New Roman" w:cs="Times New Roman" w:eastAsia="Times New Roman" w:hAnsi="Times New Roman"/>
                <w:sz w:val="16"/>
                <w:szCs w:val="16"/>
                <w:color w:val="auto"/>
              </w:rPr>
              <w:t>Securities registered pursuant to Section 12(g) of the Act: None</w:t>
            </w:r>
          </w:p>
        </w:tc>
      </w:tr>
      <w:tr>
        <w:trPr>
          <w:trHeight w:val="240"/>
        </w:trPr>
        <w:tc>
          <w:tcPr>
            <w:tcW w:w="11240" w:type="dxa"/>
            <w:vAlign w:val="bottom"/>
            <w:gridSpan w:val="17"/>
          </w:tcPr>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tc>
      </w:tr>
      <w:tr>
        <w:trPr>
          <w:trHeight w:val="243"/>
        </w:trPr>
        <w:tc>
          <w:tcPr>
            <w:tcW w:w="6940" w:type="dxa"/>
            <w:vAlign w:val="bottom"/>
            <w:gridSpan w:val="12"/>
          </w:tcPr>
          <w:p>
            <w:pPr>
              <w:spacing w:after="0"/>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Section 15(d) of the Act.</w:t>
            </w:r>
          </w:p>
        </w:tc>
        <w:tc>
          <w:tcPr>
            <w:tcW w:w="4300" w:type="dxa"/>
            <w:vAlign w:val="bottom"/>
            <w:gridSpan w:val="5"/>
          </w:tcPr>
          <w:p>
            <w:pPr>
              <w:ind w:left="60"/>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tc>
      </w:tr>
    </w:tbl>
    <w:p>
      <w:pPr>
        <w:spacing w:after="0" w:line="27" w:lineRule="exact"/>
        <w:rPr>
          <w:sz w:val="24"/>
          <w:szCs w:val="24"/>
          <w:color w:val="auto"/>
        </w:rPr>
      </w:pPr>
    </w:p>
    <w:p>
      <w:pPr>
        <w:jc w:val="both"/>
        <w:ind w:right="20"/>
        <w:spacing w:after="0" w:line="189"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8" w:lineRule="exact"/>
        <w:rPr>
          <w:sz w:val="24"/>
          <w:szCs w:val="24"/>
          <w:color w:val="auto"/>
        </w:rPr>
      </w:pPr>
    </w:p>
    <w:p>
      <w:pPr>
        <w:jc w:val="both"/>
        <w:ind w:right="20"/>
        <w:spacing w:after="0" w:line="19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8" w:lineRule="exact"/>
        <w:rPr>
          <w:sz w:val="24"/>
          <w:szCs w:val="24"/>
          <w:color w:val="auto"/>
        </w:rPr>
      </w:pPr>
    </w:p>
    <w:p>
      <w:pPr>
        <w:jc w:val="both"/>
        <w:spacing w:after="0" w:line="189" w:lineRule="exact"/>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2 of the Exchange Act.</w:t>
      </w:r>
    </w:p>
    <w:p>
      <w:pPr>
        <w:sectPr>
          <w:pgSz w:w="11900" w:h="16838" w:orient="portrait"/>
          <w:cols w:equalWidth="0" w:num="1">
            <w:col w:w="11240"/>
          </w:cols>
          <w:pgMar w:left="320" w:top="851" w:right="339" w:bottom="1440" w:gutter="0" w:footer="0" w:header="0"/>
        </w:sectPr>
      </w:pPr>
    </w:p>
    <w:p>
      <w:pPr>
        <w:spacing w:after="0" w:line="96"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Large accelerated filer</w:t>
      </w:r>
    </w:p>
    <w:p>
      <w:pPr>
        <w:spacing w:after="0" w:line="96"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Non-accelerated filer (Do not check if a smaller reporting company)</w:t>
      </w:r>
    </w:p>
    <w:p>
      <w:pPr>
        <w:spacing w:after="0" w:line="42"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7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340" w:type="dxa"/>
            <w:vAlign w:val="bottom"/>
          </w:tcPr>
          <w:p>
            <w:pPr>
              <w:spacing w:after="0" w:line="141" w:lineRule="exact"/>
              <w:rPr>
                <w:sz w:val="20"/>
                <w:szCs w:val="20"/>
                <w:color w:val="auto"/>
              </w:rPr>
            </w:pPr>
            <w:r>
              <w:rPr>
                <w:rFonts w:ascii="MS PGothic" w:cs="MS PGothic" w:eastAsia="MS PGothic" w:hAnsi="MS PGothic"/>
                <w:sz w:val="14"/>
                <w:szCs w:val="14"/>
                <w:color w:val="auto"/>
              </w:rPr>
              <w:t>☐</w:t>
            </w:r>
          </w:p>
        </w:tc>
        <w:tc>
          <w:tcPr>
            <w:tcW w:w="35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Accelerated filer</w:t>
            </w:r>
          </w:p>
        </w:tc>
        <w:tc>
          <w:tcPr>
            <w:tcW w:w="1880" w:type="dxa"/>
            <w:vAlign w:val="bottom"/>
          </w:tcPr>
          <w:p>
            <w:pPr>
              <w:ind w:left="17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03"/>
        </w:trPr>
        <w:tc>
          <w:tcPr>
            <w:tcW w:w="340" w:type="dxa"/>
            <w:vAlign w:val="bottom"/>
          </w:tcPr>
          <w:p>
            <w:pPr>
              <w:spacing w:after="0" w:line="141" w:lineRule="exact"/>
              <w:rPr>
                <w:sz w:val="20"/>
                <w:szCs w:val="20"/>
                <w:color w:val="auto"/>
              </w:rPr>
            </w:pPr>
            <w:r>
              <w:rPr>
                <w:rFonts w:ascii="MS PGothic" w:cs="MS PGothic" w:eastAsia="MS PGothic" w:hAnsi="MS PGothic"/>
                <w:sz w:val="14"/>
                <w:szCs w:val="14"/>
                <w:color w:val="auto"/>
              </w:rPr>
              <w:t>☐</w:t>
            </w:r>
          </w:p>
        </w:tc>
        <w:tc>
          <w:tcPr>
            <w:tcW w:w="35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880" w:type="dxa"/>
            <w:vAlign w:val="bottom"/>
          </w:tcPr>
          <w:p>
            <w:pPr>
              <w:ind w:left="17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340" w:type="dxa"/>
            <w:vAlign w:val="bottom"/>
          </w:tcPr>
          <w:p>
            <w:pPr>
              <w:spacing w:after="0" w:line="141" w:lineRule="exact"/>
              <w:rPr>
                <w:sz w:val="20"/>
                <w:szCs w:val="20"/>
                <w:color w:val="auto"/>
              </w:rPr>
            </w:pPr>
            <w:r>
              <w:rPr>
                <w:rFonts w:ascii="MS PGothic" w:cs="MS PGothic" w:eastAsia="MS PGothic" w:hAnsi="MS PGothic"/>
                <w:sz w:val="14"/>
                <w:szCs w:val="14"/>
                <w:color w:val="auto"/>
              </w:rPr>
              <w:t>☐</w:t>
            </w:r>
          </w:p>
        </w:tc>
        <w:tc>
          <w:tcPr>
            <w:tcW w:w="3540" w:type="dxa"/>
            <w:vAlign w:val="bottom"/>
          </w:tcPr>
          <w:p>
            <w:pPr>
              <w:spacing w:after="0"/>
              <w:rPr>
                <w:sz w:val="19"/>
                <w:szCs w:val="19"/>
                <w:color w:val="auto"/>
              </w:rPr>
            </w:pPr>
          </w:p>
        </w:tc>
        <w:tc>
          <w:tcPr>
            <w:tcW w:w="1880" w:type="dxa"/>
            <w:vAlign w:val="bottom"/>
          </w:tcPr>
          <w:p>
            <w:pPr>
              <w:spacing w:after="0"/>
              <w:rPr>
                <w:sz w:val="19"/>
                <w:szCs w:val="19"/>
                <w:color w:val="auto"/>
              </w:rPr>
            </w:pPr>
          </w:p>
        </w:tc>
      </w:tr>
    </w:tbl>
    <w:p>
      <w:pPr>
        <w:spacing w:after="0" w:line="122" w:lineRule="exact"/>
        <w:rPr>
          <w:sz w:val="24"/>
          <w:szCs w:val="24"/>
          <w:color w:val="auto"/>
        </w:rPr>
      </w:pPr>
    </w:p>
    <w:p>
      <w:pPr>
        <w:sectPr>
          <w:pgSz w:w="11900" w:h="16838" w:orient="portrait"/>
          <w:cols w:equalWidth="0" w:num="2">
            <w:col w:w="4520" w:space="720"/>
            <w:col w:w="6000"/>
          </w:cols>
          <w:pgMar w:left="320" w:top="851" w:right="339" w:bottom="1440" w:gutter="0" w:footer="0" w:header="0"/>
          <w:type w:val="continuous"/>
        </w:sectPr>
      </w:pPr>
    </w:p>
    <w:p>
      <w:pPr>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8" w:lineRule="exact"/>
        <w:rPr>
          <w:sz w:val="24"/>
          <w:szCs w:val="24"/>
          <w:color w:val="auto"/>
        </w:rPr>
      </w:pPr>
    </w:p>
    <w:p>
      <w:pPr>
        <w:ind w:right="20"/>
        <w:spacing w:after="0" w:line="19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8"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2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54"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The aggregate market value of the voting and non-voting common equity held by non-affiliates of the registrant computed by reference to the price at which the common equity was last sold as of the last business day of the registrant’s most recently completed second fiscal quarter, December 31, 2021, was $513.2 million.</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October 14, 2022, there were 71,218,130 outstanding shares of Common Stock, no par value.</w:t>
      </w:r>
    </w:p>
    <w:p>
      <w:pPr>
        <w:spacing w:after="0" w:line="312" w:lineRule="exact"/>
        <w:rPr>
          <w:sz w:val="24"/>
          <w:szCs w:val="24"/>
          <w:color w:val="auto"/>
        </w:rPr>
      </w:pPr>
    </w:p>
    <w:p>
      <w:pPr>
        <w:ind w:right="260"/>
        <w:spacing w:after="0" w:line="282" w:lineRule="auto"/>
        <w:rPr>
          <w:sz w:val="20"/>
          <w:szCs w:val="20"/>
          <w:color w:val="auto"/>
        </w:rPr>
      </w:pPr>
      <w:r>
        <w:rPr>
          <w:rFonts w:ascii="Times New Roman" w:cs="Times New Roman" w:eastAsia="Times New Roman" w:hAnsi="Times New Roman"/>
          <w:sz w:val="14"/>
          <w:szCs w:val="14"/>
          <w:color w:val="auto"/>
        </w:rPr>
        <w:t>Selected portions of the registrant’s definitive proxy statement on Schedule 14A for the registrant’s 2023 annual meeting of stockholders, which will be filed with the Securities and Exchange Commission within 120 days of June 30, 2022,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455930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168275</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51"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registrant’s Form 10-K filed with the SEC on October 19, 2022 did not include inline XBRL tagging, as a result of an administrative error. The sole purpose of this Amendment No. 1 to the registrant’s Form 10-K for the fiscal period ended June 30, 2022 is to add inline XBRL tagging to the Form 10-K in accordance with Rule 405 of Regulation S-T.</w:t>
      </w:r>
    </w:p>
    <w:p>
      <w:pPr>
        <w:spacing w:after="0" w:line="19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 changes have been made to the registrant’s Form 10-K. This Amendment No. 1 does not reflect any subsequent events occurring after the original filing date of the Form 10-K or modify or update in any way disclosures made in the original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675640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520" w:type="dxa"/>
            <w:vAlign w:val="bottom"/>
            <w:gridSpan w:val="9"/>
          </w:tcPr>
          <w:p>
            <w:pPr>
              <w:jc w:val="center"/>
              <w:ind w:right="3060"/>
              <w:spacing w:after="0"/>
              <w:rPr>
                <w:sz w:val="20"/>
                <w:szCs w:val="20"/>
                <w:color w:val="auto"/>
              </w:rPr>
            </w:pPr>
            <w:r>
              <w:rPr>
                <w:rFonts w:ascii="Times New Roman" w:cs="Times New Roman" w:eastAsia="Times New Roman" w:hAnsi="Times New Roman"/>
                <w:sz w:val="18"/>
                <w:szCs w:val="18"/>
                <w:b w:val="1"/>
                <w:bCs w:val="1"/>
                <w:color w:val="auto"/>
                <w:w w:val="98"/>
              </w:rPr>
              <w:t>CANTALOUPE, INC.</w:t>
            </w: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520" w:type="dxa"/>
            <w:vAlign w:val="bottom"/>
            <w:gridSpan w:val="9"/>
          </w:tcPr>
          <w:p>
            <w:pPr>
              <w:jc w:val="center"/>
              <w:ind w:right="306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6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PART I</w:t>
            </w:r>
          </w:p>
        </w:tc>
        <w:tc>
          <w:tcPr>
            <w:tcW w:w="460" w:type="dxa"/>
            <w:vAlign w:val="bottom"/>
            <w:gridSpan w:val="4"/>
            <w:vMerge w:val="restart"/>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74"/>
        </w:trPr>
        <w:tc>
          <w:tcPr>
            <w:tcW w:w="640" w:type="dxa"/>
            <w:vAlign w:val="bottom"/>
            <w:tcBorders>
              <w:bottom w:val="single" w:sz="8" w:color="0000FF"/>
            </w:tcBorders>
            <w:gridSpan w:val="2"/>
            <w:vMerge w:val="continue"/>
          </w:tcPr>
          <w:p>
            <w:pPr>
              <w:spacing w:after="0"/>
              <w:rPr>
                <w:sz w:val="14"/>
                <w:szCs w:val="14"/>
                <w:color w:val="auto"/>
              </w:rPr>
            </w:pPr>
          </w:p>
        </w:tc>
        <w:tc>
          <w:tcPr>
            <w:tcW w:w="460" w:type="dxa"/>
            <w:vAlign w:val="bottom"/>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0000FF"/>
                <w:w w:val="96"/>
              </w:rPr>
              <w:t>Item</w:t>
            </w:r>
          </w:p>
        </w:tc>
        <w:tc>
          <w:tcPr>
            <w:tcW w:w="760" w:type="dxa"/>
            <w:vAlign w:val="bottom"/>
            <w:gridSpan w:val="5"/>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0000FF"/>
                <w:w w:val="73"/>
              </w:rPr>
              <w:t>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0" w:type="dxa"/>
            <w:vAlign w:val="bottom"/>
            <w:gridSpan w:val="21"/>
          </w:tcPr>
          <w:p>
            <w:pPr>
              <w:ind w:left="100"/>
              <w:spacing w:after="0"/>
              <w:rPr>
                <w:sz w:val="20"/>
                <w:szCs w:val="20"/>
                <w:color w:val="auto"/>
              </w:rPr>
            </w:pPr>
            <w:r>
              <w:rPr>
                <w:rFonts w:ascii="Times New Roman" w:cs="Times New Roman" w:eastAsia="Times New Roman" w:hAnsi="Times New Roman"/>
                <w:sz w:val="18"/>
                <w:szCs w:val="18"/>
                <w:color w:val="0000FF"/>
              </w:rPr>
              <w:t>Business.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1A.</w:t>
            </w:r>
          </w:p>
        </w:tc>
        <w:tc>
          <w:tcPr>
            <w:tcW w:w="9000" w:type="dxa"/>
            <w:vAlign w:val="bottom"/>
            <w:gridSpan w:val="21"/>
          </w:tcPr>
          <w:p>
            <w:pPr>
              <w:ind w:left="100"/>
              <w:spacing w:after="0"/>
              <w:rPr>
                <w:sz w:val="20"/>
                <w:szCs w:val="20"/>
                <w:color w:val="auto"/>
              </w:rPr>
            </w:pPr>
            <w:r>
              <w:rPr>
                <w:rFonts w:ascii="Times New Roman" w:cs="Times New Roman" w:eastAsia="Times New Roman" w:hAnsi="Times New Roman"/>
                <w:sz w:val="18"/>
                <w:szCs w:val="18"/>
                <w:color w:val="0000FF"/>
              </w:rPr>
              <w:t>Risk Factors.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70"/>
              </w:rPr>
              <w:t>1B.</w:t>
            </w:r>
          </w:p>
        </w:tc>
        <w:tc>
          <w:tcPr>
            <w:tcW w:w="140" w:type="dxa"/>
            <w:vAlign w:val="bottom"/>
          </w:tcPr>
          <w:p>
            <w:pPr>
              <w:spacing w:after="0"/>
              <w:rPr>
                <w:sz w:val="18"/>
                <w:szCs w:val="18"/>
                <w:color w:val="auto"/>
              </w:rPr>
            </w:pPr>
          </w:p>
        </w:tc>
        <w:tc>
          <w:tcPr>
            <w:tcW w:w="9000" w:type="dxa"/>
            <w:vAlign w:val="bottom"/>
            <w:gridSpan w:val="21"/>
          </w:tcPr>
          <w:p>
            <w:pPr>
              <w:ind w:left="100"/>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0000FF"/>
                <w:w w:val="73"/>
              </w:rPr>
              <w:t>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0" w:type="dxa"/>
            <w:vAlign w:val="bottom"/>
            <w:gridSpan w:val="21"/>
          </w:tcPr>
          <w:p>
            <w:pPr>
              <w:ind w:left="100"/>
              <w:spacing w:after="0"/>
              <w:rPr>
                <w:sz w:val="20"/>
                <w:szCs w:val="20"/>
                <w:color w:val="auto"/>
              </w:rPr>
            </w:pPr>
            <w:r>
              <w:rPr>
                <w:rFonts w:ascii="Times New Roman" w:cs="Times New Roman" w:eastAsia="Times New Roman" w:hAnsi="Times New Roman"/>
                <w:sz w:val="18"/>
                <w:szCs w:val="18"/>
                <w:color w:val="0000FF"/>
              </w:rPr>
              <w:t>Properties.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0000FF"/>
                <w:w w:val="73"/>
              </w:rPr>
              <w:t>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0" w:type="dxa"/>
            <w:vAlign w:val="bottom"/>
            <w:gridSpan w:val="21"/>
          </w:tcPr>
          <w:p>
            <w:pPr>
              <w:ind w:left="100"/>
              <w:spacing w:after="0"/>
              <w:rPr>
                <w:sz w:val="20"/>
                <w:szCs w:val="20"/>
                <w:color w:val="auto"/>
              </w:rPr>
            </w:pPr>
            <w:r>
              <w:rPr>
                <w:rFonts w:ascii="Times New Roman" w:cs="Times New Roman" w:eastAsia="Times New Roman" w:hAnsi="Times New Roman"/>
                <w:sz w:val="18"/>
                <w:szCs w:val="18"/>
                <w:color w:val="0000FF"/>
              </w:rPr>
              <w:t>Legal Proceedings.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400" w:type="dxa"/>
            <w:vAlign w:val="bottom"/>
            <w:gridSpan w:val="3"/>
            <w:vMerge w:val="restart"/>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0000FF"/>
                <w:w w:val="73"/>
              </w:rPr>
              <w:t>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0" w:type="dxa"/>
            <w:vAlign w:val="bottom"/>
            <w:gridSpan w:val="21"/>
          </w:tcPr>
          <w:p>
            <w:pPr>
              <w:ind w:left="100"/>
              <w:spacing w:after="0"/>
              <w:rPr>
                <w:sz w:val="20"/>
                <w:szCs w:val="20"/>
                <w:color w:val="auto"/>
              </w:rPr>
            </w:pPr>
            <w:r>
              <w:rPr>
                <w:rFonts w:ascii="Times New Roman" w:cs="Times New Roman" w:eastAsia="Times New Roman" w:hAnsi="Times New Roman"/>
                <w:sz w:val="18"/>
                <w:szCs w:val="18"/>
                <w:color w:val="0000FF"/>
              </w:rPr>
              <w:t>Mine Safety Disclosures.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4"/>
        </w:trPr>
        <w:tc>
          <w:tcPr>
            <w:tcW w:w="700" w:type="dxa"/>
            <w:vAlign w:val="bottom"/>
            <w:tcBorders>
              <w:bottom w:val="single" w:sz="8" w:color="0000FF"/>
            </w:tcBorders>
            <w:gridSpan w:val="3"/>
            <w:vMerge w:val="continue"/>
          </w:tcPr>
          <w:p>
            <w:pPr>
              <w:spacing w:after="0"/>
              <w:rPr>
                <w:sz w:val="18"/>
                <w:szCs w:val="18"/>
                <w:color w:val="auto"/>
              </w:rPr>
            </w:pPr>
          </w:p>
        </w:tc>
        <w:tc>
          <w:tcPr>
            <w:tcW w:w="400" w:type="dxa"/>
            <w:vAlign w:val="bottom"/>
            <w:gridSpan w:val="3"/>
            <w:vMerge w:val="continue"/>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0000FF"/>
                <w:w w:val="96"/>
              </w:rPr>
              <w:t>Item</w:t>
            </w:r>
          </w:p>
        </w:tc>
        <w:tc>
          <w:tcPr>
            <w:tcW w:w="760" w:type="dxa"/>
            <w:vAlign w:val="bottom"/>
            <w:gridSpan w:val="5"/>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0000FF"/>
                <w:w w:val="73"/>
              </w:rPr>
              <w:t>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0" w:type="dxa"/>
            <w:vAlign w:val="bottom"/>
            <w:gridSpan w:val="21"/>
          </w:tcPr>
          <w:p>
            <w:pPr>
              <w:ind w:left="100"/>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0000FF"/>
                <w:w w:val="73"/>
              </w:rPr>
              <w:t>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0" w:type="dxa"/>
            <w:vAlign w:val="bottom"/>
            <w:gridSpan w:val="21"/>
          </w:tcPr>
          <w:p>
            <w:pPr>
              <w:ind w:left="100"/>
              <w:spacing w:after="0"/>
              <w:rPr>
                <w:sz w:val="20"/>
                <w:szCs w:val="20"/>
                <w:color w:val="auto"/>
              </w:rPr>
            </w:pPr>
            <w:r>
              <w:rPr>
                <w:rFonts w:ascii="Times New Roman" w:cs="Times New Roman" w:eastAsia="Times New Roman" w:hAnsi="Times New Roman"/>
                <w:sz w:val="18"/>
                <w:szCs w:val="18"/>
                <w:color w:val="0000FF"/>
              </w:rPr>
              <w:t>[Reserved]</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0000FF"/>
                <w:w w:val="73"/>
              </w:rPr>
              <w:t>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0" w:type="dxa"/>
            <w:vAlign w:val="bottom"/>
            <w:gridSpan w:val="21"/>
          </w:tcPr>
          <w:p>
            <w:pPr>
              <w:ind w:left="100"/>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gridSpan w:val="4"/>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7A.</w:t>
            </w:r>
          </w:p>
        </w:tc>
        <w:tc>
          <w:tcPr>
            <w:tcW w:w="9000" w:type="dxa"/>
            <w:vAlign w:val="bottom"/>
            <w:gridSpan w:val="21"/>
          </w:tcPr>
          <w:p>
            <w:pPr>
              <w:ind w:left="100"/>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gridSpan w:val="4"/>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0000FF"/>
                <w:w w:val="73"/>
              </w:rPr>
              <w:t>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0" w:type="dxa"/>
            <w:vAlign w:val="bottom"/>
            <w:gridSpan w:val="21"/>
          </w:tcPr>
          <w:p>
            <w:pPr>
              <w:ind w:left="100"/>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gridSpan w:val="4"/>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0000FF"/>
                <w:w w:val="73"/>
              </w:rPr>
              <w:t>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0" w:type="dxa"/>
            <w:vAlign w:val="bottom"/>
            <w:gridSpan w:val="21"/>
          </w:tcPr>
          <w:p>
            <w:pPr>
              <w:ind w:left="100"/>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gridSpan w:val="4"/>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9A.</w:t>
            </w:r>
          </w:p>
        </w:tc>
        <w:tc>
          <w:tcPr>
            <w:tcW w:w="9000" w:type="dxa"/>
            <w:vAlign w:val="bottom"/>
            <w:gridSpan w:val="21"/>
          </w:tcPr>
          <w:p>
            <w:pPr>
              <w:ind w:left="100"/>
              <w:spacing w:after="0"/>
              <w:rPr>
                <w:sz w:val="20"/>
                <w:szCs w:val="20"/>
                <w:color w:val="auto"/>
              </w:rPr>
            </w:pPr>
            <w:r>
              <w:rPr>
                <w:rFonts w:ascii="Times New Roman" w:cs="Times New Roman" w:eastAsia="Times New Roman" w:hAnsi="Times New Roman"/>
                <w:sz w:val="18"/>
                <w:szCs w:val="18"/>
                <w:color w:val="0000FF"/>
              </w:rPr>
              <w:t>Controls and Procedures.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gridSpan w:val="4"/>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70"/>
              </w:rPr>
              <w:t>9B</w:t>
            </w:r>
            <w:r>
              <w:rPr>
                <w:rFonts w:ascii="Times New Roman" w:cs="Times New Roman" w:eastAsia="Times New Roman" w:hAnsi="Times New Roman"/>
                <w:sz w:val="18"/>
                <w:szCs w:val="18"/>
                <w:color w:val="000000"/>
                <w:w w:val="70"/>
              </w:rPr>
              <w:t>.</w:t>
            </w:r>
          </w:p>
        </w:tc>
        <w:tc>
          <w:tcPr>
            <w:tcW w:w="140" w:type="dxa"/>
            <w:vAlign w:val="bottom"/>
          </w:tcPr>
          <w:p>
            <w:pPr>
              <w:spacing w:after="0"/>
              <w:rPr>
                <w:sz w:val="18"/>
                <w:szCs w:val="18"/>
                <w:color w:val="auto"/>
              </w:rPr>
            </w:pPr>
          </w:p>
        </w:tc>
        <w:tc>
          <w:tcPr>
            <w:tcW w:w="9000" w:type="dxa"/>
            <w:vAlign w:val="bottom"/>
            <w:gridSpan w:val="21"/>
          </w:tcPr>
          <w:p>
            <w:pPr>
              <w:ind w:left="100"/>
              <w:spacing w:after="0"/>
              <w:rPr>
                <w:sz w:val="20"/>
                <w:szCs w:val="20"/>
                <w:color w:val="auto"/>
              </w:rPr>
            </w:pPr>
            <w:r>
              <w:rPr>
                <w:rFonts w:ascii="Times New Roman" w:cs="Times New Roman" w:eastAsia="Times New Roman" w:hAnsi="Times New Roman"/>
                <w:sz w:val="18"/>
                <w:szCs w:val="18"/>
                <w:color w:val="0000FF"/>
              </w:rPr>
              <w:t>Other Information.</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gridSpan w:val="4"/>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8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PART III</w:t>
            </w:r>
          </w:p>
        </w:tc>
        <w:tc>
          <w:tcPr>
            <w:tcW w:w="320" w:type="dxa"/>
            <w:vAlign w:val="bottom"/>
            <w:vMerge w:val="restart"/>
          </w:tcPr>
          <w:p>
            <w:pPr>
              <w:spacing w:after="0"/>
              <w:rPr>
                <w:sz w:val="18"/>
                <w:szCs w:val="18"/>
                <w:color w:val="auto"/>
              </w:rPr>
            </w:pPr>
          </w:p>
        </w:tc>
        <w:tc>
          <w:tcPr>
            <w:tcW w:w="3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9C.</w:t>
            </w:r>
          </w:p>
        </w:tc>
        <w:tc>
          <w:tcPr>
            <w:tcW w:w="9000" w:type="dxa"/>
            <w:vAlign w:val="bottom"/>
            <w:gridSpan w:val="21"/>
          </w:tcPr>
          <w:p>
            <w:pPr>
              <w:ind w:left="100"/>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15"/>
        </w:trPr>
        <w:tc>
          <w:tcPr>
            <w:tcW w:w="780" w:type="dxa"/>
            <w:vAlign w:val="bottom"/>
            <w:tcBorders>
              <w:bottom w:val="single" w:sz="8" w:color="0000FF"/>
            </w:tcBorders>
            <w:gridSpan w:val="5"/>
            <w:vMerge w:val="continue"/>
          </w:tcPr>
          <w:p>
            <w:pPr>
              <w:spacing w:after="0"/>
              <w:rPr>
                <w:sz w:val="18"/>
                <w:szCs w:val="18"/>
                <w:color w:val="auto"/>
              </w:rPr>
            </w:pPr>
          </w:p>
        </w:tc>
        <w:tc>
          <w:tcPr>
            <w:tcW w:w="320" w:type="dxa"/>
            <w:vAlign w:val="bottom"/>
            <w:vMerge w:val="continue"/>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40" w:type="dxa"/>
            <w:vAlign w:val="bottom"/>
            <w:tcBorders>
              <w:top w:val="single" w:sz="8" w:color="0000FF"/>
            </w:tcBorders>
          </w:tcPr>
          <w:p>
            <w:pPr>
              <w:spacing w:after="0"/>
              <w:rPr>
                <w:sz w:val="18"/>
                <w:szCs w:val="18"/>
                <w:color w:val="auto"/>
              </w:rPr>
            </w:pPr>
          </w:p>
        </w:tc>
        <w:tc>
          <w:tcPr>
            <w:tcW w:w="76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540" w:type="dxa"/>
            <w:vAlign w:val="bottom"/>
            <w:tcBorders>
              <w:top w:val="single" w:sz="8" w:color="0000FF"/>
            </w:tcBorders>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0000FF"/>
                <w:w w:val="96"/>
              </w:rPr>
              <w:t>Item</w:t>
            </w:r>
          </w:p>
        </w:tc>
        <w:tc>
          <w:tcPr>
            <w:tcW w:w="760" w:type="dxa"/>
            <w:vAlign w:val="bottom"/>
            <w:gridSpan w:val="5"/>
          </w:tcPr>
          <w:p>
            <w:pPr>
              <w:spacing w:after="0"/>
              <w:rPr>
                <w:sz w:val="18"/>
                <w:szCs w:val="18"/>
                <w:color w:val="auto"/>
              </w:rPr>
            </w:pP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79"/>
              </w:rPr>
              <w:t>10.</w:t>
            </w:r>
          </w:p>
        </w:tc>
        <w:tc>
          <w:tcPr>
            <w:tcW w:w="140" w:type="dxa"/>
            <w:vAlign w:val="bottom"/>
          </w:tcPr>
          <w:p>
            <w:pPr>
              <w:spacing w:after="0"/>
              <w:rPr>
                <w:sz w:val="18"/>
                <w:szCs w:val="18"/>
                <w:color w:val="auto"/>
              </w:rPr>
            </w:pPr>
          </w:p>
        </w:tc>
        <w:tc>
          <w:tcPr>
            <w:tcW w:w="9000" w:type="dxa"/>
            <w:vAlign w:val="bottom"/>
            <w:gridSpan w:val="21"/>
          </w:tcPr>
          <w:p>
            <w:pPr>
              <w:ind w:left="100"/>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79"/>
              </w:rPr>
              <w:t>11.</w:t>
            </w:r>
          </w:p>
        </w:tc>
        <w:tc>
          <w:tcPr>
            <w:tcW w:w="140" w:type="dxa"/>
            <w:vAlign w:val="bottom"/>
          </w:tcPr>
          <w:p>
            <w:pPr>
              <w:spacing w:after="0"/>
              <w:rPr>
                <w:sz w:val="18"/>
                <w:szCs w:val="18"/>
                <w:color w:val="auto"/>
              </w:rPr>
            </w:pPr>
          </w:p>
        </w:tc>
        <w:tc>
          <w:tcPr>
            <w:tcW w:w="9000" w:type="dxa"/>
            <w:vAlign w:val="bottom"/>
            <w:gridSpan w:val="21"/>
          </w:tcPr>
          <w:p>
            <w:pPr>
              <w:ind w:left="100"/>
              <w:spacing w:after="0"/>
              <w:rPr>
                <w:sz w:val="20"/>
                <w:szCs w:val="20"/>
                <w:color w:val="auto"/>
              </w:rPr>
            </w:pPr>
            <w:r>
              <w:rPr>
                <w:rFonts w:ascii="Times New Roman" w:cs="Times New Roman" w:eastAsia="Times New Roman" w:hAnsi="Times New Roman"/>
                <w:sz w:val="18"/>
                <w:szCs w:val="18"/>
                <w:color w:val="0000FF"/>
              </w:rPr>
              <w:t>Executive Compensation.</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6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79"/>
              </w:rPr>
              <w:t>12.</w:t>
            </w:r>
          </w:p>
        </w:tc>
        <w:tc>
          <w:tcPr>
            <w:tcW w:w="140" w:type="dxa"/>
            <w:vAlign w:val="bottom"/>
          </w:tcPr>
          <w:p>
            <w:pPr>
              <w:spacing w:after="0"/>
              <w:rPr>
                <w:sz w:val="18"/>
                <w:szCs w:val="18"/>
                <w:color w:val="auto"/>
              </w:rPr>
            </w:pPr>
          </w:p>
        </w:tc>
        <w:tc>
          <w:tcPr>
            <w:tcW w:w="9000" w:type="dxa"/>
            <w:vAlign w:val="bottom"/>
            <w:gridSpan w:val="21"/>
          </w:tcPr>
          <w:p>
            <w:pPr>
              <w:ind w:left="100"/>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138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560" w:type="dxa"/>
            <w:vAlign w:val="bottom"/>
            <w:gridSpan w:val="5"/>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79"/>
              </w:rPr>
              <w:t>13.</w:t>
            </w:r>
          </w:p>
        </w:tc>
        <w:tc>
          <w:tcPr>
            <w:tcW w:w="140" w:type="dxa"/>
            <w:vAlign w:val="bottom"/>
          </w:tcPr>
          <w:p>
            <w:pPr>
              <w:spacing w:after="0"/>
              <w:rPr>
                <w:sz w:val="18"/>
                <w:szCs w:val="18"/>
                <w:color w:val="auto"/>
              </w:rPr>
            </w:pPr>
          </w:p>
        </w:tc>
        <w:tc>
          <w:tcPr>
            <w:tcW w:w="9000" w:type="dxa"/>
            <w:vAlign w:val="bottom"/>
            <w:gridSpan w:val="21"/>
          </w:tcPr>
          <w:p>
            <w:pPr>
              <w:ind w:left="100"/>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138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560" w:type="dxa"/>
            <w:vAlign w:val="bottom"/>
            <w:gridSpan w:val="5"/>
            <w:shd w:val="clear" w:color="auto" w:fill="0000FF"/>
          </w:tcPr>
          <w:p>
            <w:pPr>
              <w:spacing w:after="0" w:line="20" w:lineRule="exact"/>
              <w:rPr>
                <w:sz w:val="1"/>
                <w:szCs w:val="1"/>
                <w:color w:val="auto"/>
              </w:rPr>
            </w:pPr>
          </w:p>
        </w:tc>
        <w:tc>
          <w:tcPr>
            <w:tcW w:w="3400" w:type="dxa"/>
            <w:vAlign w:val="bottom"/>
            <w:gridSpan w:val="5"/>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0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PART IV</w:t>
            </w: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79"/>
              </w:rPr>
              <w:t>14.</w:t>
            </w:r>
          </w:p>
        </w:tc>
        <w:tc>
          <w:tcPr>
            <w:tcW w:w="140" w:type="dxa"/>
            <w:vAlign w:val="bottom"/>
          </w:tcPr>
          <w:p>
            <w:pPr>
              <w:spacing w:after="0"/>
              <w:rPr>
                <w:sz w:val="18"/>
                <w:szCs w:val="18"/>
                <w:color w:val="auto"/>
              </w:rPr>
            </w:pPr>
          </w:p>
        </w:tc>
        <w:tc>
          <w:tcPr>
            <w:tcW w:w="9000" w:type="dxa"/>
            <w:vAlign w:val="bottom"/>
            <w:gridSpan w:val="21"/>
          </w:tcPr>
          <w:p>
            <w:pPr>
              <w:ind w:left="100"/>
              <w:spacing w:after="0"/>
              <w:rPr>
                <w:sz w:val="20"/>
                <w:szCs w:val="20"/>
                <w:color w:val="auto"/>
              </w:rPr>
            </w:pPr>
            <w:r>
              <w:rPr>
                <w:rFonts w:ascii="Times New Roman" w:cs="Times New Roman" w:eastAsia="Times New Roman" w:hAnsi="Times New Roman"/>
                <w:sz w:val="18"/>
                <w:szCs w:val="18"/>
                <w:color w:val="0000FF"/>
              </w:rPr>
              <w:t>Principal Accounting Fees and Services.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0"/>
        </w:trPr>
        <w:tc>
          <w:tcPr>
            <w:tcW w:w="1100" w:type="dxa"/>
            <w:vAlign w:val="bottom"/>
            <w:gridSpan w:val="6"/>
            <w:vMerge w:val="continue"/>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00" w:type="dxa"/>
            <w:vAlign w:val="bottom"/>
            <w:gridSpan w:val="6"/>
            <w:vMerge w:val="continue"/>
          </w:tcPr>
          <w:p>
            <w:pPr>
              <w:spacing w:after="0"/>
              <w:rPr>
                <w:sz w:val="18"/>
                <w:szCs w:val="18"/>
                <w:color w:val="auto"/>
              </w:rPr>
            </w:pPr>
          </w:p>
        </w:tc>
        <w:tc>
          <w:tcPr>
            <w:tcW w:w="2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FF"/>
                <w:w w:val="79"/>
              </w:rPr>
              <w:t>15.</w:t>
            </w:r>
          </w:p>
        </w:tc>
        <w:tc>
          <w:tcPr>
            <w:tcW w:w="140" w:type="dxa"/>
            <w:vAlign w:val="bottom"/>
          </w:tcPr>
          <w:p>
            <w:pPr>
              <w:spacing w:after="0"/>
              <w:rPr>
                <w:sz w:val="18"/>
                <w:szCs w:val="18"/>
                <w:color w:val="auto"/>
              </w:rPr>
            </w:pPr>
          </w:p>
        </w:tc>
        <w:tc>
          <w:tcPr>
            <w:tcW w:w="9000" w:type="dxa"/>
            <w:vAlign w:val="bottom"/>
            <w:gridSpan w:val="21"/>
            <w:vMerge w:val="restart"/>
          </w:tcPr>
          <w:p>
            <w:pPr>
              <w:ind w:left="100"/>
              <w:spacing w:after="0"/>
              <w:rPr>
                <w:sz w:val="20"/>
                <w:szCs w:val="20"/>
                <w:color w:val="auto"/>
              </w:rPr>
            </w:pPr>
            <w:r>
              <w:rPr>
                <w:rFonts w:ascii="Times New Roman" w:cs="Times New Roman" w:eastAsia="Times New Roman" w:hAnsi="Times New Roman"/>
                <w:sz w:val="18"/>
                <w:szCs w:val="18"/>
                <w:color w:val="0000FF"/>
              </w:rPr>
              <w:t>Exhibits, Financial Statement Schedules.</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10"/>
        </w:trPr>
        <w:tc>
          <w:tcPr>
            <w:tcW w:w="34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000" w:type="dxa"/>
            <w:vAlign w:val="bottom"/>
            <w:gridSpan w:val="21"/>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1400" w:type="dxa"/>
            <w:vAlign w:val="bottom"/>
            <w:gridSpan w:val="5"/>
            <w:shd w:val="clear" w:color="auto" w:fill="0000FF"/>
          </w:tcPr>
          <w:p>
            <w:pPr>
              <w:spacing w:after="0" w:line="20" w:lineRule="exact"/>
              <w:rPr>
                <w:sz w:val="1"/>
                <w:szCs w:val="1"/>
                <w:color w:val="auto"/>
              </w:rPr>
            </w:pPr>
          </w:p>
        </w:tc>
        <w:tc>
          <w:tcPr>
            <w:tcW w:w="5960" w:type="dxa"/>
            <w:vAlign w:val="bottom"/>
            <w:gridSpan w:val="1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79"/>
              </w:rPr>
              <w:t>16</w:t>
            </w:r>
            <w:r>
              <w:rPr>
                <w:rFonts w:ascii="Times New Roman" w:cs="Times New Roman" w:eastAsia="Times New Roman" w:hAnsi="Times New Roman"/>
                <w:sz w:val="18"/>
                <w:szCs w:val="18"/>
                <w:u w:val="single" w:color="auto"/>
                <w:color w:val="000000"/>
                <w:w w:val="79"/>
              </w:rPr>
              <w:t>.</w:t>
            </w:r>
          </w:p>
        </w:tc>
        <w:tc>
          <w:tcPr>
            <w:tcW w:w="140" w:type="dxa"/>
            <w:vAlign w:val="bottom"/>
          </w:tcPr>
          <w:p>
            <w:pPr>
              <w:spacing w:after="0"/>
              <w:rPr>
                <w:sz w:val="18"/>
                <w:szCs w:val="18"/>
                <w:color w:val="auto"/>
              </w:rPr>
            </w:pPr>
          </w:p>
        </w:tc>
        <w:tc>
          <w:tcPr>
            <w:tcW w:w="9000" w:type="dxa"/>
            <w:vAlign w:val="bottom"/>
            <w:gridSpan w:val="21"/>
          </w:tcPr>
          <w:p>
            <w:pPr>
              <w:ind w:left="100"/>
              <w:spacing w:after="0"/>
              <w:rPr>
                <w:sz w:val="20"/>
                <w:szCs w:val="20"/>
                <w:color w:val="auto"/>
              </w:rPr>
            </w:pPr>
            <w:r>
              <w:rPr>
                <w:rFonts w:ascii="Times New Roman" w:cs="Times New Roman" w:eastAsia="Times New Roman" w:hAnsi="Times New Roman"/>
                <w:sz w:val="18"/>
                <w:szCs w:val="18"/>
                <w:color w:val="0000FF"/>
              </w:rPr>
              <w:t>Form 10-K Summary</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103"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this Annual Report on Form 10-K, or Annual Report, and unless otherwise indicated, the terms "Cantaloupe", the "Company", "CTLP", "we", "us", "our", "our company" and "our business" refer to Cantaloupe, Inc., formerly known as USA Technologies, Inc.</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our consolidated financial statements and related notes included elsewhere in this Annual Report. Due to rounding, figures in tables may not sum exactly.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00" w:lineRule="exact"/>
        <w:rPr>
          <w:sz w:val="20"/>
          <w:szCs w:val="20"/>
          <w:color w:val="auto"/>
        </w:rPr>
      </w:pPr>
    </w:p>
    <w:p>
      <w:pPr>
        <w:jc w:val="both"/>
        <w:spacing w:after="0" w:line="223" w:lineRule="exact"/>
        <w:rPr>
          <w:sz w:val="20"/>
          <w:szCs w:val="20"/>
          <w:color w:val="auto"/>
        </w:rPr>
      </w:pPr>
      <w:r>
        <w:rPr>
          <w:rFonts w:ascii="Times New Roman" w:cs="Times New Roman" w:eastAsia="Times New Roman" w:hAnsi="Times New Roman"/>
          <w:sz w:val="18"/>
          <w:szCs w:val="18"/>
          <w:color w:val="auto"/>
        </w:rPr>
        <w:t>This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contains certain forward-looking statements within the meaning of Section 21E of the Securities Exchange Act of 1934, as amended, regarding, among other things, the anticipated financial and operating results of Cantaloupe, Inc. For this purpose, forward-looking statements are any statements contained herein that are not statements of historical fact and include, but are not limited to, those preceded by or that include the words, “estimate,” “could,” “should,” “would,” “likely,” “may,” “will,” “plan,” “intend,” “believes,” “expects,” “anticipates,” “projected,” or similar expressions. Those statements are subject to known and unknown risks, uncertainties and other factors that could cause the actual results to differ materially from those contemplated by the statements. The forward-looking information is based on various factors and was derived using numerous assumptions. Important factors that could cause the Company’s actual results to differ materially from those projected include, for example:</w:t>
      </w:r>
    </w:p>
    <w:p>
      <w:pPr>
        <w:spacing w:after="0" w:line="91" w:lineRule="exact"/>
        <w:rPr>
          <w:sz w:val="20"/>
          <w:szCs w:val="20"/>
          <w:color w:val="auto"/>
        </w:rPr>
      </w:pPr>
    </w:p>
    <w:p>
      <w:pPr>
        <w:ind w:left="660" w:right="2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market or business conditions unrelated to our operating performance, including the impact of the ongoing COVID-19 pandemic, global supply chain disruptions, and inflationary pressures;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mutations of COVID-19 and the efficacy of vaccines and treatment developments and their deployment;</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the financial covenants in the Amended JPMorgan Credit Facility (as defined below);</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funds in the future through sales of securities or debt financing in order to sustain operations in the normal course of business or if an unexpected or unusual event were to occur;</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with our competitors and increase market share;</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current or future customers purchase, lease, rent or utilize ePort devices, Seed’s software solutions or our other products in the future at levels currently anticipated;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customers continue to utilize the Company’s transaction processing and related services, as our customer agreements are generally cancellable by the customer on thirty to sixty days’ notice;</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satisfy our trade obligations included in accounts payable and accrued expenses;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by us of any unanticipated or unusual non-operating expenses, which may require us to divert our cash resources from achieving our business plan;</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predict or estimate our future quarterly or annual revenue and expenses given the developing and unpredictable market for our products;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integrate acquired companies into our current products and services structure;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key customers from whom a significant portion of our revenue is derived;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a key customer to reduce or delay purchasing products from us;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widespread commercial acceptance of our products and service offerings;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any patents issued to us will provide any competitive advantages or adequate protection for our products, or would be challenged, invalidated or circumvented by others;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operate without infringing the intellectual property rights of others;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products and services to avoid disruptions to our systems or unauthorized hacking or credit card fraud;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conflicts, such as the ongoing conflict between Russia and Ukraine;</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will experience material weaknesses in our internal controls over financial reporting in the future, and are not able to accurately or timely report our financial condition or results of operations;</w:t>
      </w:r>
    </w:p>
    <w:p>
      <w:pPr>
        <w:sectPr>
          <w:pgSz w:w="11900" w:h="16838" w:orient="portrait"/>
          <w:cols w:equalWidth="0" w:num="1">
            <w:col w:w="11240"/>
          </w:cols>
          <w:pgMar w:left="320" w:top="1103"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type w:val="continuous"/>
        </w:sectPr>
      </w:pPr>
    </w:p>
    <w:bookmarkStart w:id="4" w:name="page5"/>
    <w:bookmarkEnd w:id="4"/>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remain in compliance with the continued listing standards of the Nasdaq Global Select Market (“Nasdaq”) and continue to remain as a member of the US Small-Cap Russell 2000®;</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suppliers would increase their prices, reduce their output or change their terms of sale; and</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associated with the currently pending investigation, potential litigation or possible regulatory action arising from the 2019 Investigation (as defined below) and its findings, from the failure to timely file our periodic reports with the Securities and Exchange Commission, from the restatement of the affected financial statements, from allegations related to the registration statement for the follow-on public offering, or from potential litigation or other claims arising from these events.</w:t>
      </w:r>
    </w:p>
    <w:p>
      <w:pPr>
        <w:spacing w:after="0" w:line="180"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Although we believe that the expectations reflected in the forward-looking statements are reasonable, we cannot guarantee future results, levels of activity, performance, or achievements. Actual results or business conditions may differ materially from those projected or suggested in forward-looking statements as a result of various factors including, but not limited to, those described above and in Part I, Item 1A, “Risk Factors” of this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We cannot assure you that we have identified all the factors that create uncertainties. Moreover, new risks emerge from time to time and it is not possible for our management to predict all risks, nor can we assess the impact of all risks on our business or the extent to which any risk, or combination of risks, may cause actual results to differ from those contained in any forward-looking statements. Readers should not place undue reliance on forward-looking statements.</w:t>
      </w:r>
    </w:p>
    <w:p>
      <w:pPr>
        <w:spacing w:after="0" w:line="174"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Any forward-looking statement made by us in this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speaks only as of the date of this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Unless required by law, we undertake no obligation to publicly revise any forward-looking statement to reflect circumstances or events after the date of this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or to reflect the occurrence of unanticipated events.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5" w:name="page6"/>
    <w:bookmarkEnd w:id="5"/>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Cantaloupe, Inc., previously known as USA Technologies, Inc., is organized under the laws of the Commonwealth of Pennsylvania. We are a digital payments and software services company that provides end-to-end technology solutions for the unattended retail market. We are transforming the unattended retail world by offering a single platform for self-service commerce which includes integrated payments processing and software solutions that handle inventory management, pre-kitting, route logistics, warehouse and back-office management. Our enterprise-wide platform is designed to increase consumer engagement and sales revenue through digital payments, digital advertising and customer loyalty programs, while providing retailers with control and visibility over their operations and inventory. As a result, customers ranging from vending machine companies to operators of micro-markets, car wash, electric vehicle charging stations, commercial laundry, kiosks, amusements and more, can run their businesses more proactively, predictably, and competitively.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150495</wp:posOffset>
            </wp:positionV>
            <wp:extent cx="5863590" cy="25203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863590" cy="2520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We derive the majority of our revenues from subscription and transaction fees resulting from transactions on, as well as connectivity and telemetry services provided by, our ePort® cashless devices, Seed™ software, and our Quick Connect API services. These services include digital payment processing,</w:t>
      </w:r>
    </w:p>
    <w:p>
      <w:pPr>
        <w:spacing w:after="0" w:line="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loyalty programs, inventory management, route logistics optimization, warehouse and accounting management, and intelligent merchandising. Devices operating on the Company’s platform and using our services include those resulting from the sale, finance or a monthly bundled subscription (Cantaloupe ONE program) of our point of sale ("POS") electronic payment devices, telemetry devices or certified payment software or the servicing of similar third-party installed POS terminals or telemetry devices. The majority of ePort customers pay a monthly service fee plus a blended percentage rate on transaction volumes. Transaction fees on volumes processed through the Company’s payment devices, are the most significant driver of the Company’s revenues.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customers range from global food service organizations to small businesses that operate primarily in self-serve retail markets including food and beverage vending, micro-markets, amusement and arcade machines, commercial laundry, air/vacuum, car wash, electric vehicle, and various other self-serve kiosk applications as well as equipment developers or manufacturers who incorporate our hardware, software, and services into their product offerings.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INDUSTRY</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offer a variety of solutions in unattended retail, which enable the acceptance of digital payments and allow our customers to simplify inventory, analytics, warehouse, logistics, and back-office management. We believe the following industry trends are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driving growth in demand for digital payment systems and advanced logistics management in general and more specifically within the markets we serve:</w:t>
      </w:r>
    </w:p>
    <w:p>
      <w:pPr>
        <w:spacing w:after="0" w:line="293" w:lineRule="exact"/>
        <w:rPr>
          <w:sz w:val="20"/>
          <w:szCs w:val="20"/>
          <w:color w:val="auto"/>
        </w:rPr>
      </w:pPr>
    </w:p>
    <w:p>
      <w:pPr>
        <w:ind w:left="660" w:right="560" w:hanging="328"/>
        <w:spacing w:after="0" w:line="234" w:lineRule="auto"/>
        <w:tabs>
          <w:tab w:leader="none" w:pos="655"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Increased adoption of cashier-less models via vending machines or self-service kiosks to meet demand for and more use of fast, simple and seamless digital purchase and payment experiences;</w:t>
      </w:r>
    </w:p>
    <w:p>
      <w:pPr>
        <w:spacing w:after="0" w:line="267" w:lineRule="exact"/>
        <w:rPr>
          <w:rFonts w:ascii="Arial" w:cs="Arial" w:eastAsia="Arial" w:hAnsi="Arial"/>
          <w:sz w:val="22"/>
          <w:szCs w:val="22"/>
          <w:color w:val="auto"/>
        </w:rPr>
      </w:pPr>
    </w:p>
    <w:p>
      <w:pPr>
        <w:ind w:left="660" w:right="680" w:hanging="328"/>
        <w:spacing w:after="0" w:line="234" w:lineRule="auto"/>
        <w:tabs>
          <w:tab w:leader="none" w:pos="655"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Rising consumer demand for transaction convenience, safety, and security which we have seen in the growth in digital payment adoption, especially contactless payments, in the wake of the COVID-19 pandemic; and</w:t>
      </w:r>
    </w:p>
    <w:p>
      <w:pPr>
        <w:spacing w:after="0" w:line="267" w:lineRule="exact"/>
        <w:rPr>
          <w:rFonts w:ascii="Arial" w:cs="Arial" w:eastAsia="Arial" w:hAnsi="Arial"/>
          <w:sz w:val="22"/>
          <w:szCs w:val="22"/>
          <w:color w:val="auto"/>
        </w:rPr>
      </w:pPr>
    </w:p>
    <w:p>
      <w:pPr>
        <w:ind w:left="660" w:right="200" w:hanging="328"/>
        <w:spacing w:after="0" w:line="246" w:lineRule="auto"/>
        <w:tabs>
          <w:tab w:leader="none" w:pos="655"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Ongoing labor challenges drive increased utility of actionable operational business intelligence from new technologies like artificial intelligence and machine learning to drive operational efficiencies and operational transparency through modern, cloud-based logistics and inventory management solutions.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Shift Toward Digital Payments Is Here to Stay.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One lasting impact of COVID-19 was the creation of a ‘new normal’ for businesses and shoppers alike, accelerating the secular shift to self-service commerce. According to “The Visa Back to Business Global Study: 2022 Small Business Outlook” (the "Visa Study"); 73% of small businesses surveyed said that new forms of digital payments are fundamental to their growth. In addition, according to the Visa Study, 41% of consumers surveyed said they either plan to shift to using only digital payments within the next two years, or are already cashless. Lastly, 82% of small businesses surveyed said they will accept digital options in 2022 and nearly half (46%) of consumers surveyed expect to use digital payments more often in 2022, with just 4% saying they will use them less. The acceleration towards digital payments amongst surveyed consumers was primarily driven by benefits such as easier online shopping, personal safety and convenience.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Increasing Consumer Interest in Self-Service Models</w:t>
      </w:r>
    </w:p>
    <w:p>
      <w:pPr>
        <w:spacing w:after="0" w:line="9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Cashier-less stores that minimize or remove human intervention have shifted consumer expectations on retail shopping experiences. A consumer survey of 2,000 people across the United States performed by the Company and CITE Research in 2021 found that 83% of consumers who increased unattended retail usage during the pandemic expect to continue using it at elevated levels when the pandemic was over. And consumers are not just looking for traditional food and beverage offerings through unattended, as 82% of respondents cited an interest in purchasing nontraditional items through vending machines, with the interest significantly increasing since the last survey in 2019. Clothing and health and beauty products had the greatest two-year</w:t>
      </w:r>
    </w:p>
    <w:p>
      <w:pPr>
        <w:spacing w:after="0" w:line="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increase with 70% - 71% of respondents interested in purchasing these items from vending machines in 2021 compared to 55% for clothing and 64% for health and beauty in 2019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SOLUTION</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continue to transform the unattended retail market by offering one integrated solution for payments processing, logistics, and back-office management. Our platform is designed to increase consumer engagement and sales revenue through digital payments, digital advertising, and customer loyalty programs, while providing retailers with control and visibility over their operations and inventory. As a result, customers can run their businesses more proactively, predictably, and competitively. We offer customers several different ways to connect and manage their distributed assets. These range from our ePort cashless hardware, Seed platform, and our Quick Connect web services. Our platform is designed to transmit from our customers’ terminal or location payment information for processing, sales, and performance data for asset optimization and reporting to our customers within the Seed platform, as well as third-party software solutions, providing greater control and visibility of their business. Through our platform, we enable customers to easily manage assets, make changes, and push updates all remotely, ensuring they run as efficiently as possible.</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 AND SERVICES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hardware includes ePort, the Company’s integrated payment device, as well as Yoke POS, the Company’s point-of-sale terminal, which are both currently deployed in self-service, unattended market applications such as vending, micro-markets, amusement, arcade, commercial laundry, air/vacuum, car wash, and others. Our ePort products which come in a variety of styles, facilitates digital payments by capturing payment information and transmitting it to our platform for authorization with</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 w:name="page8"/>
    <w:bookmarkEnd w:id="7"/>
    <w:p>
      <w:pPr>
        <w:jc w:val="both"/>
        <w:spacing w:after="0" w:line="282" w:lineRule="auto"/>
        <w:rPr>
          <w:sz w:val="20"/>
          <w:szCs w:val="20"/>
          <w:color w:val="auto"/>
        </w:rPr>
      </w:pPr>
      <w:r>
        <w:rPr>
          <w:rFonts w:ascii="Times New Roman" w:cs="Times New Roman" w:eastAsia="Times New Roman" w:hAnsi="Times New Roman"/>
          <w:sz w:val="18"/>
          <w:szCs w:val="18"/>
          <w:color w:val="auto"/>
        </w:rPr>
        <w:t>the payment system (e.g., credit card processors). Additionally, our ePort devices send sales data into the Seed platform for advanced reporting, including remote asset management. ePort has earned a reputation for quality, reliability, and innovation.</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Yoke POS product provides a tablet-like experience for consumers to purchase goods through a self-checkout model. Additionally, Yoke POS processes transactions and sends sales data into the Yoke Portal for reporting and kiosk management. We offer a variety of hardware through purchase, finance, or subscription with our new Cantaloupe ONE Platform.</w:t>
      </w:r>
    </w:p>
    <w:p>
      <w:pPr>
        <w:spacing w:after="0" w:line="203" w:lineRule="exact"/>
        <w:rPr>
          <w:sz w:val="20"/>
          <w:szCs w:val="20"/>
          <w:color w:val="auto"/>
        </w:rPr>
      </w:pPr>
    </w:p>
    <w:p>
      <w:pPr>
        <w:jc w:val="both"/>
        <w:ind w:left="66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ePort G11 Cashless Kit, is a 4G LTE digital payment device that enables faster processing and enhanced functionality for payment and consumer engagement applications. It supports functionality that requires higher speeds and large data loads, operates on the AT&amp;T and Verizon networks, and has built-in NFC (contactless) support for mobile payments, traditional credit and debit cards, in addition to EMV-contactless.</w:t>
      </w:r>
    </w:p>
    <w:p>
      <w:pPr>
        <w:spacing w:after="0" w:line="18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ePort G10-Chip, is a digital reader that accepts contact EMV (chip cards) and contactless EMV (tap) payment methods, along with other standard forms of digital payments that include credit/debit card, and mobile wallet. The reader functions with the existing G11 telemeter and reports into the Seed platform similar to a G11 Cashless Kit (see below for a description of the Seed platform).</w:t>
      </w:r>
    </w:p>
    <w:p>
      <w:pPr>
        <w:spacing w:after="0" w:line="217"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ePort Engage Series, which includes the ePort Engage and ePort Engage Combo, are the next generation of digital touchscreen devices and provide retailers the ability to captivate consumers in new ways and enables truly frictionless purchasing. The ePort Engage Series offers best-in-class networking, security and interactivity, including acceptance of contact EMV (chip cards) and contactless EMV (tap) payment methods. The devices can be fitted in a range of hardware configurations, including vending, kiosks, amusement, and electric vehicle charging stations</w:t>
      </w:r>
    </w:p>
    <w:p>
      <w:pPr>
        <w:spacing w:after="0" w:line="206" w:lineRule="exact"/>
        <w:rPr>
          <w:rFonts w:ascii="Times New Roman" w:cs="Times New Roman" w:eastAsia="Times New Roman" w:hAnsi="Times New Roman"/>
          <w:sz w:val="18"/>
          <w:szCs w:val="18"/>
          <w:color w:val="auto"/>
        </w:rPr>
      </w:pPr>
    </w:p>
    <w:p>
      <w:pPr>
        <w:jc w:val="both"/>
        <w:ind w:left="660" w:hanging="328"/>
        <w:spacing w:after="0" w:line="260" w:lineRule="auto"/>
        <w:tabs>
          <w:tab w:leader="none" w:pos="655" w:val="left"/>
        </w:tabs>
        <w:numPr>
          <w:ilvl w:val="0"/>
          <w:numId w:val="6"/>
        </w:numPr>
        <w:rPr>
          <w:rFonts w:ascii="Arial" w:cs="Arial" w:eastAsia="Arial" w:hAnsi="Arial"/>
          <w:sz w:val="18"/>
          <w:szCs w:val="18"/>
          <w:color w:val="auto"/>
        </w:rPr>
      </w:pPr>
      <w:r>
        <w:rPr>
          <w:rFonts w:ascii="Times New Roman" w:cs="Times New Roman" w:eastAsia="Times New Roman" w:hAnsi="Times New Roman"/>
          <w:sz w:val="18"/>
          <w:szCs w:val="18"/>
          <w:color w:val="auto"/>
        </w:rPr>
        <w:t>Yoke POS, is a scalable, cost-friendly point-of-sale solution for any micro market or self-service business. The simplified checkout experience provides consumers with a fast and convenient solution to purchase goods via digital payments or the Yoke loyalty card. The Yoke POS displays unique customer promotions or offers, and loyalty points for Yoke loyalty card members, all at the point-of-sale or directly in the Yoke Pay mobile app.</w:t>
      </w:r>
    </w:p>
    <w:p>
      <w:pPr>
        <w:spacing w:after="0" w:line="20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offer integrated software services that leverage payment or asset tracking devices in the field to connect into our feature-rich platform for advanced data management, analytics, route scheduling, and other offerings:</w:t>
      </w:r>
    </w:p>
    <w:p>
      <w:pPr>
        <w:spacing w:after="0" w:line="189" w:lineRule="exact"/>
        <w:rPr>
          <w:sz w:val="20"/>
          <w:szCs w:val="20"/>
          <w:color w:val="auto"/>
        </w:rPr>
      </w:pPr>
    </w:p>
    <w:p>
      <w:pPr>
        <w:jc w:val="both"/>
        <w:ind w:left="660" w:hanging="328"/>
        <w:spacing w:after="0" w:line="25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Seed platform is a cloud-based asset management and optimization solution that provides advanced analytics, dynamic route scheduling, automated pre-kitting, proactive equipment management, intelligent merchandising, inventory management, warehouse purchasing, and accounting management. The Seed platform has a reputation for providing innovative software features and functionality that solve every day customer challenges. It includes Seed Live for sales reporting and asset management, Seed Cashless+ for small business owner advanced management tools, Seed Pro for logistics optimization; Seed Office for back-office management; Seed Markets for integrated micro market management; and Seed Delivery for integrated online ordering and office coffee service ("OCS") optimization.</w:t>
      </w:r>
    </w:p>
    <w:p>
      <w:pPr>
        <w:spacing w:after="0" w:line="214"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Add-on software services within the Seed platform include Remote Price Change ("RPC"), HIVERY Enhance, and integration with e-commerce partners Tech2Success and Supply Wizards. RPC saves customers time and money by enabling them to manage prices for products in their machines remotely through Seed. With the HIVERY Enhance integration, customers on Seed Pro and Seed Office can receive powerful new product recommendations and targeted space-to-sales optimization with HIVERY’s artificial intelligence and machine learning technology. Our e-commerce integration partners, Tech2Success and Supply Wizards, enable customers to integrate their online stores to Seed for inventory and warehouse management. RPC and HIVERY Enhance are the latest innovations for unattended retail through our Seed suite of services.</w:t>
      </w:r>
    </w:p>
    <w:p>
      <w:pPr>
        <w:spacing w:after="0" w:line="214"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Yoke Portal is our web-based kiosk management solution for Yoke POS that gives customers complete access and control over their micro market locations and kiosks. Additionally, within the Yoke Portal customers can customize promotions and loyalty programs per location, creating new ways to engage consumers at the point-of-sale or via the Yoke Pay app.</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Quick Connect is a web service that allows a client application to securely interface with the Company’s payment processing and asset managing services.</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services include loyalty programs, campus card integrations, digital ad-management, and data warehouse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We support our offerings through a number of professional services and back-office functions:</w:t>
      </w:r>
    </w:p>
    <w:p>
      <w:pPr>
        <w:spacing w:after="0" w:line="252" w:lineRule="exact"/>
        <w:rPr>
          <w:sz w:val="20"/>
          <w:szCs w:val="20"/>
          <w:color w:val="auto"/>
        </w:rPr>
      </w:pPr>
    </w:p>
    <w:p>
      <w:pPr>
        <w:jc w:val="both"/>
        <w:ind w:left="660" w:hanging="328"/>
        <w:spacing w:after="0" w:line="26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 Services. For our larger customers we offer a variety of professional services to get them onto and use the platform easily and seamlessly. Services include planning, project management, deployment, installation support, Seed implementation, and marketing and performance evaluation.</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Network Infrastructure. Our services and platforms operate on a combination of proprietary and third-party technologies and are supported by geographically diverse teams.</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Card Processing Services. Through our existing relationships with card processors and card associations, we provide merchant account and terminal ID set up, pre-negotiated discounted fees on small ticket purchases, and direct electronic funds transfers to our customers’ bank accounts for all settled card transactions as well as ensure compliance with processing protocols.</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20" w:lineRule="exact"/>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Customer/Consumer Services. We support our services by providing help desk support, repairs, and replacement services. All inbound consumer billing inquiries are handled through a 24</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hour help desk, thereby reducing our customers’ exposure to consumer billing inquiries and potential chargebacks. We provide remote maintenance updates and enhancements to software, settings, and features to ePort card readers via wireless connections.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unattended retail industry is highly competitive with service providers ranging from well-established enterprises to early stage companies within the financial technology and software services industries. The markets for Cantaloupe’s products and services are characterized by evolving industry standards, aggressive pricing, continuous innovation, and changing consumer trends. Many of the company’s competitors are challenging Cantaloupe’s industry leading position, particularly when it comes to pricing, emulating products, services, and marketing, as well as addressing consumer trends. However, we believe we have competitive strengths that position us favorably.</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Consumers are expecting more from their shopping experience, with access to buy what they want, when they want, with the ability to pay with any shape or form of digital currency. This has led to a multitude of new devices on the market to enable a more engaging experience at the POS. In addition, micro markets are becoming one of the largest growth sectors in the convenience services industry, with large competitors owning a majority of the current market share. While we believe we have a strong competitive offering that positions us favorably in software services for unattended retail, competitors are entering the market with modernized back-end systems that are focused on the user interface along with real-life product planogram possibilities.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MARKETS WE SERVE</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While the below key verticals represent only a fraction of our total market potential, as described below, these are the areas where we have gained the most traction to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1624965</wp:posOffset>
            </wp:positionH>
            <wp:positionV relativeFrom="paragraph">
              <wp:posOffset>114300</wp:posOffset>
            </wp:positionV>
            <wp:extent cx="3891915" cy="37630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891915" cy="3763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Vending</w:t>
      </w:r>
      <w:r>
        <w:rPr>
          <w:rFonts w:ascii="Times New Roman" w:cs="Times New Roman" w:eastAsia="Times New Roman" w:hAnsi="Times New Roman"/>
          <w:sz w:val="18"/>
          <w:szCs w:val="18"/>
          <w:color w:val="auto"/>
        </w:rPr>
        <w:t>. According to the 2020 Census of the Convenience Services Industry (conducted biannually), a study conducted by the NAMA Foundation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research firm Technomic, the US Convenience Services Industry, which consists of vending machines, micro markets, OCS and pantry services, represented total annual revenues of approximately $16 billion in 2020 compared to total annual revenues of approximately $27 billion in 2019, reflecting a reduction of approximately $11 billion and 40%. This was due to the impact of the coronavirus pandemic. The Convenience Services Industry is expected to be 64% larger in 2022 compared to 2020, and operators expect a full recovery to 2019 industry levels (pre-pandemic levels) by 2022-2023. In 2020, 80% of the Convenience Services Industry's total annual revenues came from the Vending vertical while Micro Markets, OCS and Pantry Services verticals represented approximately 12%, 7% and 1% of total annual revenues respectively.</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Micro Markets and Kiosks. </w:t>
      </w:r>
      <w:r>
        <w:rPr>
          <w:rFonts w:ascii="Times New Roman" w:cs="Times New Roman" w:eastAsia="Times New Roman" w:hAnsi="Times New Roman"/>
          <w:sz w:val="18"/>
          <w:szCs w:val="18"/>
          <w:color w:val="auto"/>
        </w:rPr>
        <w:t>According to the Automatic Merchandiser’s State of the Industry Annual Report published in July 2022, the vending and micro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business operators surveyed indicated that the number of micro market locations served increased 70% in 2021. This demonstrates that while COVID-19 impacted growth and new location placements in 2020, micro markets continued to experience a significant level of growth coming out of the pandemic. We believe the desire to diversify product offerings to employees, while giving them their own convenience store with a micro market, will continue to increase. Our primary opportunity in the micro markets vertical is providing a fully integrated solution to our customers which includes a point-of-sale platform and leveraging the Seed Markets offering to optimize our customers payments and logistics services including integrated route scheduling, warehouse pre-picking, and reporting. While micro markets continue to grow in the traditional vending and food service industry, self-service kiosks are also on the rise. According to the 2022 Kiosk Marketplace Census Report, the 2021 Zebra Technologies’ Global Shopper Study found that nearly half (47%) of shoppers used retail self-checkouts, a 7% year-on-year increase, and 91% of these said they will continue using the technology.</w:t>
      </w:r>
    </w:p>
    <w:p>
      <w:pPr>
        <w:spacing w:after="0" w:line="20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Vehicle Services</w:t>
      </w:r>
      <w:r>
        <w:rPr>
          <w:rFonts w:ascii="Times New Roman" w:cs="Times New Roman" w:eastAsia="Times New Roman" w:hAnsi="Times New Roman"/>
          <w:sz w:val="18"/>
          <w:szCs w:val="18"/>
          <w:color w:val="auto"/>
        </w:rPr>
        <w:t>. Our primary opportunities in the vehicle services markets relate to businesses that provide air, vacuum, car wash, electric car charging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parking services. In these sectors we can provide customers with cashless payment terminals, payment processing, telemetry services for data and connectivity services, as well as software solutions to improve business</w:t>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optimization. Currently, we partner with a leader in the air vending services by equipping their machines with our cashless acceptance devices.</w:t>
      </w:r>
    </w:p>
    <w:p>
      <w:pPr>
        <w:spacing w:after="0" w:line="25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Amusement and Entertainment. </w:t>
      </w:r>
      <w:r>
        <w:rPr>
          <w:rFonts w:ascii="Times New Roman" w:cs="Times New Roman" w:eastAsia="Times New Roman" w:hAnsi="Times New Roman"/>
          <w:sz w:val="18"/>
          <w:szCs w:val="18"/>
          <w:color w:val="auto"/>
        </w:rPr>
        <w:t>Our current customers and primary opportunities in the amusement and entertainment markets are typically classified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“street/route business,” which are standalone businesses that are open to the general public and that offer card/coin-operated games such as claw machines, amusement park machines (i.e. body dryers), bowling alleys and bar entertainment (e.g. digital music machines and dart machines). Currently, we partner with one of the largest independent claw machine providers to enable them with cashless acceptance devices and payment processing.</w:t>
      </w:r>
    </w:p>
    <w:p>
      <w:pPr>
        <w:spacing w:after="0" w:line="20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Laundry</w:t>
      </w:r>
      <w:r>
        <w:rPr>
          <w:rFonts w:ascii="Times New Roman" w:cs="Times New Roman" w:eastAsia="Times New Roman" w:hAnsi="Times New Roman"/>
          <w:sz w:val="18"/>
          <w:szCs w:val="18"/>
          <w:color w:val="auto"/>
        </w:rPr>
        <w:t>. Our primary opportunities in laundry consist of the coin-operated commercial laundry and multi-housing laundry markets. Currently, our joint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solution with an industry leader competes with hardware manufacturers, who provide joint solutions to their customers in partnership with payment processors, and with at least one competitor who provides an integrated hardware and payment processing solution.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GROWTH OPPORTUNITY</w:t>
      </w:r>
    </w:p>
    <w:p>
      <w:pPr>
        <w:spacing w:after="0" w:line="2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primary objective is to continue to enhance our position as a leading provider of technology that enables electronic payment transactions, advanced logistics management, and value-added services primarily at small-ticket, self-service retail locations such as vending, kiosks, electric vehicle charging. commercial laundry, and other similar markets. We plan to execute our growth strategy organically and through strategic acquisitions. Key elements of our strategy are to:</w:t>
      </w:r>
    </w:p>
    <w:p>
      <w:pPr>
        <w:spacing w:after="0" w:line="20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i w:val="1"/>
          <w:iCs w:val="1"/>
          <w:color w:val="auto"/>
        </w:rPr>
        <w:t xml:space="preserve">Maximize Growth in Existing Customers/Partners. </w:t>
      </w:r>
      <w:r>
        <w:rPr>
          <w:rFonts w:ascii="Times New Roman" w:cs="Times New Roman" w:eastAsia="Times New Roman" w:hAnsi="Times New Roman"/>
          <w:sz w:val="18"/>
          <w:szCs w:val="18"/>
          <w:color w:val="auto"/>
        </w:rPr>
        <w:t>Our current customers have seen the benefits of our products and services and we believe they continue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represent the largest opportunity to scale recurring revenue and connections, through the addition of new products and services, as well as expanding our</w:t>
      </w: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footprint of current product offerings. We are continuously enhancing our solutions and services with additional features and functionality that create add-on service offerings to existing customers such as RPC, HIVERY Enhance integration and Yoke POS. We believe our continued innovation will lead to further adoption of Cantaloupe’s solutions and services in the unattended POS payments market.</w:t>
      </w:r>
    </w:p>
    <w:p>
      <w:pPr>
        <w:spacing w:after="0" w:line="20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Capitalize on the Emerging Contactless, EMV, NFC, and Growing Mobile Payments Trends. </w:t>
      </w:r>
      <w:r>
        <w:rPr>
          <w:rFonts w:ascii="Times New Roman" w:cs="Times New Roman" w:eastAsia="Times New Roman" w:hAnsi="Times New Roman"/>
          <w:sz w:val="18"/>
          <w:szCs w:val="18"/>
          <w:color w:val="auto"/>
        </w:rPr>
        <w:t>With more than 90% of our digital connected base enabled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accept NFC payments (including mobile wallets), we believe that continued consumer preference towards contactless payments, including mobile wallets like Apple Pay, Google Pay and Samsung Pay, represent a significant opportunity for the Company to further drive adoption in the current markets as well as new unattended kiosk applications in which we can provide services and solutions. Through innovation we’ll seek to offer consumers more ways to pay leveraging digital wallets such as pay with crypto, or other digital-like applications.</w:t>
      </w:r>
    </w:p>
    <w:p>
      <w:pPr>
        <w:spacing w:after="0" w:line="21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i w:val="1"/>
          <w:iCs w:val="1"/>
          <w:color w:val="auto"/>
        </w:rPr>
        <w:t xml:space="preserve">Expand into Micro Markets. </w:t>
      </w:r>
      <w:r>
        <w:rPr>
          <w:rFonts w:ascii="Times New Roman" w:cs="Times New Roman" w:eastAsia="Times New Roman" w:hAnsi="Times New Roman"/>
          <w:sz w:val="18"/>
          <w:szCs w:val="18"/>
          <w:color w:val="auto"/>
        </w:rPr>
        <w:t>With the Company’s Yoke’s POS platform, we will continue to penetrate into the growing vertical of micro markets both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near-vending channels as well as small business retail. Self-service or self-checkout is on the rise and with our seamlessly integrated offering or standalone</w:t>
      </w:r>
    </w:p>
    <w:p>
      <w:pPr>
        <w:jc w:val="both"/>
        <w:spacing w:after="0" w:line="274" w:lineRule="auto"/>
        <w:rPr>
          <w:sz w:val="20"/>
          <w:szCs w:val="20"/>
          <w:color w:val="auto"/>
        </w:rPr>
      </w:pPr>
      <w:r>
        <w:rPr>
          <w:rFonts w:ascii="Times New Roman" w:cs="Times New Roman" w:eastAsia="Times New Roman" w:hAnsi="Times New Roman"/>
          <w:sz w:val="18"/>
          <w:szCs w:val="18"/>
          <w:color w:val="auto"/>
        </w:rPr>
        <w:t>solution of Yoke POS, we believe we are positioned well to deliver a scalable micro market solution for businesses of all kinds. We plan to differentiate ourselves by providing a single platform to manage consumer and operational aspects of micro markets, while also integrating multiple service providers for flexibility and ultimate ease to our customers.</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Further Penetrate Attractive Adjacent Markets. </w:t>
      </w:r>
      <w:r>
        <w:rPr>
          <w:rFonts w:ascii="Times New Roman" w:cs="Times New Roman" w:eastAsia="Times New Roman" w:hAnsi="Times New Roman"/>
          <w:sz w:val="18"/>
          <w:szCs w:val="18"/>
          <w:color w:val="auto"/>
        </w:rPr>
        <w:t>We plan to continue to introduce our turn-key solutions and services to various adjacent markets such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small business retail market to enable self-checkout solutions, along with other key growth verticals like electric car charging where we’ll leverage our expertise in digital payment solutions and telemetry services for data and asset management services. We plan to leverage the Seed platform to extend route optimization tools into other verticals where static schedules are not optimal for service visits. In addition, Seed Pro’s patented dynamic route scheduling capabilities can support optimal servicing and decreased operational costs.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Capitalize on Opportunities in International Markets. </w:t>
      </w:r>
      <w:r>
        <w:rPr>
          <w:rFonts w:ascii="Times New Roman" w:cs="Times New Roman" w:eastAsia="Times New Roman" w:hAnsi="Times New Roman"/>
          <w:sz w:val="18"/>
          <w:szCs w:val="18"/>
          <w:color w:val="auto"/>
        </w:rPr>
        <w:t>We are currently focused on the U.S. and Canadian markets for our ePort devices, Yoke POS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terminals, and the Seed platform, but will seek to establish a presence in unattended retail markets to provide electronic payments and logistics optimization outside of the U.S. and Canada. In order to do so, we have dedicated sales resources to spearhead international opportunities, starting with Latin America, and Europe.</w:t>
      </w:r>
    </w:p>
    <w:p>
      <w:pPr>
        <w:spacing w:after="0" w:line="20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Comprehensive Service and Support. </w:t>
      </w:r>
      <w:r>
        <w:rPr>
          <w:rFonts w:ascii="Times New Roman" w:cs="Times New Roman" w:eastAsia="Times New Roman" w:hAnsi="Times New Roman"/>
          <w:sz w:val="18"/>
          <w:szCs w:val="18"/>
          <w:color w:val="auto"/>
        </w:rPr>
        <w:t>In addition to its industry-leading ePort digital payments system, Yoke POS terminal, Seed logistics software,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seeks to provide its customers with a comprehensive platform designed to encourage optimal return on investment through business planning and performance optimization; acceptance of crypto payments, and a</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 w:name="page12"/>
    <w:bookmarkEnd w:id="11"/>
    <w:p>
      <w:pPr>
        <w:jc w:val="both"/>
        <w:spacing w:after="0" w:line="266" w:lineRule="auto"/>
        <w:rPr>
          <w:sz w:val="20"/>
          <w:szCs w:val="20"/>
          <w:color w:val="auto"/>
        </w:rPr>
      </w:pPr>
      <w:r>
        <w:rPr>
          <w:rFonts w:ascii="Times New Roman" w:cs="Times New Roman" w:eastAsia="Times New Roman" w:hAnsi="Times New Roman"/>
          <w:sz w:val="18"/>
          <w:szCs w:val="18"/>
          <w:color w:val="auto"/>
        </w:rPr>
        <w:t>loyalty and rewards program for consumer engagement; sales data and machine alerts; DEX data transmission; and the ability to extend digital payments capabilities and the full suite of services across multiple aspects of an operator’s business including the micro-markets contract food industry, online and mobile payments.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sales strategy includes both direct sales and channel development, depending on the particular dynamics of each of our markets. Our direct sale efforts are supported by both inside and external sales team members, which are aligned to serve our enterprise and our small- and medium-business (SMB) customers and prospects. In order to expand our sales reach, we have agreements with resellers in select market segments. Our marketing strategy includes advertising and outreach initiatives designed to build brand awareness, position our company’s thought leadership within unattended retail, make clear our competitive strengths, and prove the value of our products and services to our opportunity markets. Activities include creating a vibrant company and product presence on the web, digital advertising, Search Engine Optimization ("SEO"), and social media; the use of direct mail and email campaigns; educational and instructional online training sessions; content curation through blogs, whitepapers, guides, podcasts, and joint industry studies; advertising in vertically-oriented trade publications; participating in industry tradeshows and events; and working closely with customers and key strategic partners on co-marketing opportunities that drive customer and consumer adoption of our services.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2022, we are marketing and selling our products primarily through our full and part-time sales and marketing staff consisting of 44 people.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RELATIONSHIPS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most important relationships are with our almost 24,000 customers, which are governed by services agreements that provide for terms and conditions of purchase, rental, subscription or lease of the devices, licensing of our solutions, and processing services. Under the terms, we typically collect our fees from settled funds, including activation fees, monthly service fees, and transaction processing fees. Our relationships with certain large customers are governed by customized terms and conditions contained within individually negotiated services agreements.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maintain broad and long-standing relationships with card industry associations, including our listing on the Visa Global Registry of Service Providers.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time to time, we enter into short-term incentive and promotional agreements with the card industry counterparties.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maintain close relationships with domestic wireless telecommunications carriers and with which we have long-term bespoke pricing and support terms.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long-term agreements with our payment processors, each of which is seamlessly integrated with our products and customers.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established reseller relationships with select solution providers for add-on features and services within our traditional offerings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part of our strategy to expand our sales reach while optimizing resources, we have agreements with select resellers within the industries we serve.</w:t>
      </w:r>
    </w:p>
    <w:p>
      <w:pPr>
        <w:spacing w:after="0" w:line="239"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Lastly, we have a number of key technology vendors supporting our network environment and technology, our product development and our product offerings.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AND SUPPLY CHAIN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utilize independent third-party manufacturing partners to produce the substantial majority of our hardware products that we market and sell to our customers. Production by our manufacturing partners is performed in accordance with our product specifications, quality control and compliance standards. For the years ended June 30, 2022 and June 30, 2021 our manufacturing activities principally took place in the United States and Mexico.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internal processes center around quality assurance of materials and testing of finished goods received from our contract manufacturers.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2" w:name="page13"/>
    <w:bookmarkEnd w:id="12"/>
    <w:p>
      <w:pPr>
        <w:jc w:val="both"/>
        <w:spacing w:after="0" w:line="266" w:lineRule="auto"/>
        <w:rPr>
          <w:sz w:val="20"/>
          <w:szCs w:val="20"/>
          <w:color w:val="auto"/>
        </w:rPr>
      </w:pPr>
      <w:r>
        <w:rPr>
          <w:rFonts w:ascii="Times New Roman" w:cs="Times New Roman" w:eastAsia="Times New Roman" w:hAnsi="Times New Roman"/>
          <w:sz w:val="18"/>
          <w:szCs w:val="18"/>
          <w:color w:val="auto"/>
        </w:rPr>
        <w:t>As supply chains worldwide continue to recover from COVID-19-related disruptions, the technology industry has experienced delays within supply chain. We have not experienced significant disruptions to date; however we are continually monitoring and evaluating manufacturing partners to accommodate our expected growth and minimize potential risks of disruption within our supply chain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 PROPRIETARY INFORMATION, AND PATENTS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owns US federal and foreign registrations for the following trademarks and service marks: Because Machines Can’t Cry For Help®, Blue Light Sequence (design only)Business Express®, Cantaloupe circle logo (design only), Cantaloupe Systems®, Cantaloupe Systems &amp; design (Cantaloupe circle logo), CM2iQ®, COMPUVEND®, EnergyMiser®, ePort®, ePort Connect®, ePort Mobile &amp; design, eSuds®, Intelligent Vending®, Routemaster®, Seed®, Seed &amp; design, Seed Office®, SnackMiser®, TransAct®, USA Technologies®, USA Technologies &amp; design, USALIVE®, VendingMiser®, VendPro®, VM2iQ®, Warehouse Master®, and YOKE®.</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Much of the technology developed or to be developed by the Company is subject to trade secret protection. To reduce the risk of loss of trade secret protection through disclosure, the Company has entered into confidentiality agreements with its key employees.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From the incorporation of our Company in 1992, through June 30, 2022, 136 patents have been granted to the Company or its subsidiaries. Of the 136 patents, 50 are still in force at June 30, 2022. Our patents expire between 2022 and 2038.</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ACTIVE DEVICES AND ACTIVE CUSTOMERS</w:t>
      </w:r>
    </w:p>
    <w:p>
      <w:pPr>
        <w:spacing w:after="0" w:line="29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order to present meaningful information on our business, we report Active Devices and Active Customers. Active Devices are devices that have communicated with us or have had a transaction in the last twelve months. Included in the number of Active Devices are devices that communicate through other devices that communicate or transact with us. A self-service retail location that utilizes an ePort cashless payment device as well as Seed management services constitutes only one device. We define Active Customers as all customers with at least one active device</w:t>
      </w:r>
    </w:p>
    <w:p>
      <w:pPr>
        <w:spacing w:after="0" w:line="20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We had 23,991 Active Customers and 1.14 million Active Devices connected to our service as of June 30, 2022 compared to 19,834 Active Customers and 1.09 million Active Customers as of June 30, 2021.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June 30, 2022, the Company had 225 full-time employees compared to 181 full-time employees as of June 30, 2021. This represents a headcount increase of approximately 24% over prior year. Headcount growth has occurred primarily in our Sales, Customer Support and Technology departments. The headcount increase aligns with the Company's overall objectives to reduce general and administrative expenses and utilize savings to invest in innovative technologies and products, increase marketing spend to penetrate new and existing customers with our products and services and provide highest levels of customer service. We believe our ability to attract and retain qualified employees in all areas of our business is critical to our future success and growth. We seek employees who share a passion for our technology and its ability to improve our customers’ businesses.</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our ability to attract and retain the most qualified candidates in all areas of our business is critical to our future success and growth, and we strive for a well-balanced and diverse workforce. In addition to standard Company-wide Compliance trainings, we prioritize and continue to invest in helping our employees grow professionally in their career. We offer a combination of interactive professional development trainings, access to on demand online courses through our learning management System, and group learning programs.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offer our employees wages and benefit packages that we believe are competitive with others throughout our industry. In addition to salaries, we provide benefits that include a 401(k) retirement savings plan, healthcare and insurance benefits, health savings and flexible spending accounts, tuition reimbursement, paid time off, as well as other benefits including access to mental health benefits, and a paid parental leave policy.</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continue to prioritize the health and safety of our employees through the COVID-19 pandemic. We continue to regularly adapt and review and policies and procedures established at the beginning of COVID-19 and communicate updates regularly internally to our employees. We have kept in place the additional safety measures for employees continuing critical on-site work at either the Company or customers’ locations and offer flexible remote or hybrid working arrangements. We have taken, and will continue to take, actions in accordance with the applicable local guidance, such as the guidance provided by the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 xml:space="preserve">Centers for Disease Control and Prevention in the United States, to protect our employees so they can safely and effectively perform their </w:t>
      </w:r>
      <w:r>
        <w:rPr>
          <w:rFonts w:ascii="Times New Roman" w:cs="Times New Roman" w:eastAsia="Times New Roman" w:hAnsi="Times New Roman"/>
          <w:sz w:val="21"/>
          <w:szCs w:val="21"/>
          <w:color w:val="auto"/>
        </w:rPr>
        <w:t>wor</w:t>
      </w:r>
      <w:r>
        <w:rPr>
          <w:rFonts w:ascii="Times New Roman" w:cs="Times New Roman" w:eastAsia="Times New Roman" w:hAnsi="Times New Roman"/>
          <w:sz w:val="18"/>
          <w:szCs w:val="18"/>
          <w:color w:val="auto"/>
        </w:rPr>
        <w:t>k duties.</w:t>
      </w:r>
    </w:p>
    <w:p>
      <w:pPr>
        <w:spacing w:after="0" w:line="24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Annually we request our employees to complete a Company-wide employee engagement survey. The survey is facilitated internally through our Human Resources department. The survey reflects questions to gauge employee sentiments toward current trends and issues including company direction and strategy, communication by management, individual development, team culture, and overall satisfaction. With the information provided by the annual engagement survey, leadership is provided key insights and valuable feedback which we continue to implement in our Company-wide action plans with the intent to focus on key areas to prioritize, enhance, and drive continued increase in employee engagement, learning and development, and professional growth for our employees.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public may access any materials the Company files with the Securities and Exchange Commission (“SEC”), including our annual reports on Form 10-K, quarterly reports on Form 10-Q, current reports on Form 8-K, proxy statements for our annual stockholder meetings, and amendments to those reports, through the SEC’s Interactive Data Electronic Applications system at http://www.sec.gov. These reports are also available free of charge on our website, www.cantaloupe.com, as soon as reasonably practicable after we electronically file the material with the SEC. In addition, our website includes, among other things, charters of the various committees of our Board of Directors and our code of business conduct and ethics applicable to all employees, officers and directors. Within the time period required by the SEC, we will post on our website any amendment to the code of business conduct and ethics and any waiver applicable to any executive officer, director or senior financial officer. We use our website as a means of disclosing material non-public information and for complying with our disclosure obligations under Regulation FD. Accordingly, investors should monitor our website, in addition to following our press releases, SEC filings and public conference calls and webcasts.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4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i w:val="1"/>
          <w:iCs w:val="1"/>
          <w:color w:val="auto"/>
        </w:rPr>
        <w:t>The risks and uncertainties describe below are not the only ones we face. There may be other unknown or unpredictable economic, business, competitive, regulatory or other factors that could have material adverse effects on our future results. The occurrence of any of these risks could materially adversely affect our business, financial condition, results of operations and cash flows. Accordingly, you should carefully consider the following risk factors, as well as other information contained in or incorporated by reference in this Annual Report.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You should read this summary together with the more detailed description of each risk factor contained below. Our business operations are subject to numerous risks and uncertainties, including those outside of our control, that could cause our actual results to be harmed, including risks regarding the following:</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 and our industry:</w:t>
      </w:r>
    </w:p>
    <w:p>
      <w:pPr>
        <w:spacing w:after="0" w:line="310" w:lineRule="exact"/>
        <w:rPr>
          <w:sz w:val="20"/>
          <w:szCs w:val="20"/>
          <w:color w:val="auto"/>
        </w:rPr>
      </w:pPr>
    </w:p>
    <w:p>
      <w:pPr>
        <w:ind w:left="6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market or business conditions unrelated to our operating performance, including global supply chain disruptions and inflationary pressures could adversely affect our business and results of operations.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losses since inception and if we continue to incur losses, the price of our shares can be expected to fall.</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COVID-19 pandemic has and may continue to significantly and adversely impact our business.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of widespread inflation could negatively affect our industry.</w:t>
      </w:r>
    </w:p>
    <w:p>
      <w:pPr>
        <w:spacing w:after="0" w:line="252"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not able to implement successful enhancements and new features for our products and services, our business could be materially and adversely affected.</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all of the network service contracts with our customers are terminable for any or no reason upon thirty to sixty days’ advance notice.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successfully implement our go-to-market strategy which may adversely affect growth and profitability.</w:t>
      </w:r>
    </w:p>
    <w:p>
      <w:pPr>
        <w:spacing w:after="0" w:line="1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engage in the outsourcing of engineering work, including outsourcing of software work overseas.</w:t>
      </w:r>
    </w:p>
    <w:p>
      <w:pPr>
        <w:spacing w:after="0" w:line="21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commercially manage the transition from the 3G network could lead to competitive disadvantage in the marketplace.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one or more of our key customers could significantly reduce our revenues, results of operations, and increase net losses.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card association and debit network interchange fees could increase our operating costs or otherwise adversely affect our operations.</w:t>
      </w:r>
    </w:p>
    <w:p>
      <w:pPr>
        <w:spacing w:after="0" w:line="27" w:lineRule="exact"/>
        <w:rPr>
          <w:rFonts w:ascii="Times New Roman" w:cs="Times New Roman" w:eastAsia="Times New Roman" w:hAnsi="Times New Roman"/>
          <w:sz w:val="18"/>
          <w:szCs w:val="18"/>
          <w:color w:val="auto"/>
        </w:rPr>
      </w:pPr>
    </w:p>
    <w:p>
      <w:pPr>
        <w:ind w:left="660" w:hanging="328"/>
        <w:spacing w:after="0" w:line="239" w:lineRule="auto"/>
        <w:tabs>
          <w:tab w:leader="none" w:pos="655"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color w:val="auto"/>
        </w:rPr>
        <w:t>Our efforts to expand into international markets may not be successful; our products and services may not gain traction in new markets; managing international operations may be challenging or may fail.</w:t>
      </w:r>
    </w:p>
    <w:p>
      <w:pPr>
        <w:spacing w:after="0" w:line="220" w:lineRule="exact"/>
        <w:rPr>
          <w:rFonts w:ascii="Arial" w:cs="Arial" w:eastAsia="Arial" w:hAnsi="Arial"/>
          <w:sz w:val="22"/>
          <w:szCs w:val="22"/>
          <w:color w:val="auto"/>
        </w:rPr>
      </w:pPr>
    </w:p>
    <w:p>
      <w:pPr>
        <w:ind w:left="660" w:hanging="328"/>
        <w:spacing w:after="0"/>
        <w:tabs>
          <w:tab w:leader="none" w:pos="6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Geopolitical conflicts, including the conflict between Russia and Ukraine, may adversely affect our business and results of operations.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Operational and liquidity:</w:t>
      </w:r>
    </w:p>
    <w:p>
      <w:pPr>
        <w:spacing w:after="0" w:line="202" w:lineRule="exact"/>
        <w:rPr>
          <w:sz w:val="20"/>
          <w:szCs w:val="20"/>
          <w:color w:val="auto"/>
        </w:rPr>
      </w:pPr>
    </w:p>
    <w:p>
      <w:pPr>
        <w:ind w:left="660" w:right="2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our key personnel and, if they leave us, or if we are unable to attract highly skilled personnel, our business could be adversely affected.</w:t>
      </w:r>
    </w:p>
    <w:p>
      <w:pPr>
        <w:spacing w:after="0" w:line="162"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our systems, breaches in the security of transactions involving our products or services, or failure of our processing systems could adversely affect our reputation, business and results of operations.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5" w:name="page16"/>
    <w:bookmarkEnd w:id="15"/>
    <w:p>
      <w:pPr>
        <w:ind w:left="660" w:hanging="328"/>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of our relationships with certain third-party suppliers upon whom we rely for services that are critical to our products could adversely affect our business and delay achievement of our business plan.</w:t>
      </w:r>
    </w:p>
    <w:p>
      <w:pPr>
        <w:spacing w:after="0" w:line="162"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other card payment processors, and if they fail or no longer agree to provide their services or we fail to operate in compliance with the requirements of those relationships, our customer relationships could be adversely affected, and we could lose business.</w:t>
      </w:r>
    </w:p>
    <w:p>
      <w:pPr>
        <w:spacing w:after="0" w:line="16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at other participants in the financial system could prevent us from delivering our cashless payment services.</w:t>
      </w:r>
    </w:p>
    <w:p>
      <w:pPr>
        <w:spacing w:after="0" w:line="21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increase in chargebacks not paid by our customers may adversely affect our results of operations, financial condition and cash flows.</w:t>
      </w:r>
    </w:p>
    <w:p>
      <w:pPr>
        <w:spacing w:after="0" w:line="21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proprietary technology and limited ability to protect our intellectual property may adversely affect our ability to compete.</w:t>
      </w:r>
    </w:p>
    <w:p>
      <w:pPr>
        <w:spacing w:after="0" w:line="198"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require additional financing or find it necessary to raise capital to sustain our operations and without it we may not be able to achieve our business plan.</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5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any of the financial covenants under the Company’s credit agreement could result in an event of default which may accelerate our outstanding indebtedness or other obligations and have a material adverse impact on our business, liquidity position and financial position.</w:t>
      </w:r>
    </w:p>
    <w:p>
      <w:pPr>
        <w:ind w:left="660" w:hanging="328"/>
        <w:spacing w:after="0" w:line="239" w:lineRule="auto"/>
        <w:tabs>
          <w:tab w:leader="none" w:pos="655" w:val="left"/>
        </w:tabs>
        <w:numPr>
          <w:ilvl w:val="0"/>
          <w:numId w:val="11"/>
        </w:numPr>
        <w:rPr>
          <w:rFonts w:ascii="Arial" w:cs="Arial" w:eastAsia="Arial" w:hAnsi="Arial"/>
          <w:sz w:val="22"/>
          <w:szCs w:val="22"/>
          <w:color w:val="auto"/>
        </w:rPr>
      </w:pPr>
      <w:r>
        <w:rPr>
          <w:rFonts w:ascii="Times New Roman" w:cs="Times New Roman" w:eastAsia="Times New Roman" w:hAnsi="Times New Roman"/>
          <w:sz w:val="18"/>
          <w:szCs w:val="18"/>
          <w:color w:val="auto"/>
        </w:rPr>
        <w:t>We may not fully realize the benefits of acquisitions, it may take longer than we anticipate for us to achieve those benefits, they may be difficult to integrate, may disrupt our business, or divert management attention and may adversely affect our financial condition.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regulatory, and compliance risks:</w:t>
      </w:r>
    </w:p>
    <w:p>
      <w:pPr>
        <w:spacing w:after="0" w:line="216" w:lineRule="exact"/>
        <w:rPr>
          <w:sz w:val="20"/>
          <w:szCs w:val="20"/>
          <w:color w:val="auto"/>
        </w:rPr>
      </w:pPr>
    </w:p>
    <w:p>
      <w:pPr>
        <w:ind w:left="660" w:hanging="328"/>
        <w:spacing w:after="0" w:line="282" w:lineRule="auto"/>
        <w:tabs>
          <w:tab w:leader="none" w:pos="655" w:val="left"/>
        </w:tabs>
        <w:numPr>
          <w:ilvl w:val="0"/>
          <w:numId w:val="1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We are subject to laws and regulations that affect the products, services and markets in which we operate. Failure by us to comply with these laws or regulations would have an adverse effect on our business, financial condition, or results of operations.</w:t>
      </w:r>
    </w:p>
    <w:p>
      <w:pPr>
        <w:spacing w:after="0" w:line="175" w:lineRule="exact"/>
        <w:rPr>
          <w:rFonts w:ascii="Times New Roman" w:cs="Times New Roman" w:eastAsia="Times New Roman" w:hAnsi="Times New Roman"/>
          <w:sz w:val="18"/>
          <w:szCs w:val="18"/>
          <w:b w:val="1"/>
          <w:bCs w:val="1"/>
          <w:i w:val="1"/>
          <w:iCs w:val="1"/>
          <w:color w:val="auto"/>
        </w:rPr>
      </w:pPr>
    </w:p>
    <w:p>
      <w:pPr>
        <w:ind w:left="66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accounting review of our previously issued financial statements and the audits of prior fiscal years have been time-consuming and expensive, has resulted in claims and lawsuits , and may result in additional expense and/or litigation.</w:t>
      </w:r>
    </w:p>
    <w:p>
      <w:pPr>
        <w:spacing w:after="0" w:line="202"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Matters relating to or arising from the restatement and the 2019 Investigation, including adverse publicity and potential concerns from our customers, and enforcement proceedings could continue to have an adverse effect on our business and financial condition.</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Remaining regulatory matters may require significant time and attention, result in substantial expenses and lead to adverse publicity.</w:t>
      </w:r>
    </w:p>
    <w:p>
      <w:pPr>
        <w:spacing w:after="0" w:line="252"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certain of our former officers and directors could be subject to future claims and lawsuits, which could require significant additional management time and attention, result in significant additional legal expenses or result in government enforcement actions.</w:t>
      </w:r>
    </w:p>
    <w:p>
      <w:pPr>
        <w:spacing w:after="0" w:line="189"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effective systems of internal control over financial reporting and disclosure controls and procedures could cause a loss of confidence in our financial reporting and adversely affect the trading price of our common stock.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common stock:</w:t>
      </w:r>
    </w:p>
    <w:p>
      <w:pPr>
        <w:spacing w:after="0" w:line="216"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Director and officer liability is limited and shareholders may have limited rights to recover against directors for breach of fiduciary duty.</w:t>
      </w:r>
    </w:p>
    <w:p>
      <w:pPr>
        <w:spacing w:after="0" w:line="252" w:lineRule="exact"/>
        <w:rPr>
          <w:rFonts w:ascii="Times New Roman" w:cs="Times New Roman" w:eastAsia="Times New Roman" w:hAnsi="Times New Roman"/>
          <w:sz w:val="18"/>
          <w:szCs w:val="18"/>
          <w:b w:val="1"/>
          <w:bCs w:val="1"/>
          <w:i w:val="1"/>
          <w:iCs w:val="1"/>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active trading market for our common stock may not be maintained.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6" w:name="page17"/>
    <w:bookmarkEnd w:id="16"/>
    <w:p>
      <w:pPr>
        <w:ind w:left="328" w:hanging="328"/>
        <w:spacing w:after="0" w:line="266" w:lineRule="auto"/>
        <w:tabs>
          <w:tab w:leader="none" w:pos="32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securities and/or industry analysts fail to continue publishing research about our business, if they change their recommendations adversely, or if our results of operations do not meet their expectations, our stock price and trading volume could decline.</w:t>
      </w:r>
    </w:p>
    <w:p>
      <w:pPr>
        <w:spacing w:after="0" w:line="202"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risk that we may be dropped from inclusion in the Russell 2000® Index which could result in a decline in the price of our stock.</w:t>
      </w:r>
    </w:p>
    <w:p>
      <w:pPr>
        <w:spacing w:after="0" w:line="238" w:lineRule="exact"/>
        <w:rPr>
          <w:rFonts w:ascii="Times New Roman" w:cs="Times New Roman" w:eastAsia="Times New Roman" w:hAnsi="Times New Roman"/>
          <w:sz w:val="18"/>
          <w:szCs w:val="18"/>
          <w:color w:val="auto"/>
        </w:rPr>
      </w:pPr>
    </w:p>
    <w:p>
      <w:pPr>
        <w:jc w:val="both"/>
        <w:ind w:left="328" w:hanging="328"/>
        <w:spacing w:after="0" w:line="258" w:lineRule="auto"/>
        <w:tabs>
          <w:tab w:leader="none" w:pos="32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certain fundamental transactions involving the Company, such as a merger or sale of substantially all of our assets, we may be required to distribute the liquidation preference then due to the holders of our Series A Preferred Stock which would reduce the amount of the distributions otherwise to be made to the holders of our common stock in connection with such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89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 and our industry</w:t>
      </w:r>
    </w:p>
    <w:p>
      <w:pPr>
        <w:spacing w:after="0" w:line="23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General economic, market or business conditions unrelated to our operating performance, including global supply chain disruptions and inflationary pressures could adversely affect our business and results of operations.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global payments technology industry depends heavily on the overall level of consumer, business and government spending. We are exposed to general economic conditions that affect consumer confidence, spending, and discretionary income and changes in consumer purchasing habits. A sustained deterioration in general economic conditions in the markets in which we operate, supply chain disruptions, inflationary pressure or interest rate fluctuations, may adversely affect our financial performance by reducing the number or active devices, active customers and total number of transactions using our payment solutions.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downturn in the economy and other adverse economic trends may accelerate the timing, or increase the impact of, risks to our financial performance.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trends could include the following:</w:t>
      </w:r>
    </w:p>
    <w:p>
      <w:pPr>
        <w:spacing w:after="0" w:line="207" w:lineRule="exact"/>
        <w:rPr>
          <w:sz w:val="20"/>
          <w:szCs w:val="20"/>
          <w:color w:val="auto"/>
        </w:rPr>
      </w:pPr>
    </w:p>
    <w:p>
      <w:pPr>
        <w:ind w:left="6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 levels of consumer and business confidence typically associated with recessionary environments may result in decreased spending by consumers;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unemployment may result in decreased spending by consumers;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budgetary concerns in the United States and other countries could affect sovereign credit ratings, and impact consumer confidence and spending;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chain disruptions may result in decreased spending by consumers whose ability to provide goods and services is materially impacted;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chain disruptions could impact our ability to purchase devices for existing or prospective customers;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and potential future inflationary pressures may adversely impact spending by consumers;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emerging market economies tend to be more sensitive to adverse economic trends than the more established markets we serve;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climate-related events, including extreme weather events and natural disasters and their effect on critical infrastructure in the U.S. or internationally, could have similar adverse effects on our customers and our operations.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Furthermore, shareholders, customers and other stakeholders have begun to consider how corporations are addressing environmental, social and governance (“ESG”) issues. Government regulators, investors, customers and the general public are increasingly focused on ESG practices and disclosures, and views about ESG are diverse and rapidly changing. These shifts in investing priorities may result in adverse effects on the trading price of our common stock if investors determine that the Company has not made sufficient progress on ESG matters. We could also face potential negative ESG-related publicity in traditional media or social media if shareholders or other stakeholders determine that we have not adequately considered or addressed ESG matters.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have a history of losses since inception and if we continue to incur losses, the price of our shares can be expected to fall.</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experienced losses from inception through June 30, 2012, and from fiscal year 2015 through fiscal year 2022. For fiscal years 2022, 2021, and 2020, we incurred a net loss of $1.7 million, $8.7 million, and $40.6 million, respectively. In light of our recent history of losses as well as the length of our history of losses, profitability in the foreseeable future is not assured. Until we achieve profitability, we will be required to use our cash and cash equivalents on hand and may raise capital to meet cash flow requirements including the issuance of common stock or debt financing. Additionally, if we continue to incur losses in the future, the price of our common stock can be expected to fall.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coronavirus disease 2019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COVID-19</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pandemic has and may continue to significantly and adversely impact our business.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global spread of the COVID-19 pandemic has created significant volatility, uncertainty and economic disruption on our business. Electronic payment transaction volume within unattended markets decreased significantly at the onset of the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8" w:name="page19"/>
    <w:bookmarkEnd w:id="18"/>
    <w:p>
      <w:pPr>
        <w:jc w:val="both"/>
        <w:spacing w:after="0" w:line="282" w:lineRule="auto"/>
        <w:rPr>
          <w:sz w:val="20"/>
          <w:szCs w:val="20"/>
          <w:color w:val="auto"/>
        </w:rPr>
      </w:pPr>
      <w:r>
        <w:rPr>
          <w:rFonts w:ascii="Times New Roman" w:cs="Times New Roman" w:eastAsia="Times New Roman" w:hAnsi="Times New Roman"/>
          <w:sz w:val="18"/>
          <w:szCs w:val="18"/>
          <w:color w:val="auto"/>
        </w:rPr>
        <w:t>pandemic, as government authorities imposed forced closure of non-essential businesses and social distancing protocols, significantly reducing foot traffic to distributed assets containing our electronic payment solutions and reducing discretionary spending by consumers.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of COVID-19, the technology industry is experiencing disruptions within its supply chain. We have experienced, and may continue to experience delays in securing the components and finished goods of our hardware products that we market and sell to our customers. Supply chain delays could cause shortages of our hardware products, which could negatively affect our ability to retain and acquire customers and could adversely impact our financial results.</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extent to which the COVID-19 pandemic continues to impact our business, operations and financial results will depend on numerous evolving factors that we are not able to accurately predict, including: the duration and scope of the pandemic; potential mutations of COVID-19; the efficacy of vaccines and treatment developments and their deployment; governmental, business and individuals’ actions that have been and continue to be taken in response to the pandemic; and the impact of the pandemic on economic activity and actions taken in response. Furthermore, even as containment measures are lifted there can be no assurance as to whether further measures will be implemented, or the time required to sustain operations and sales at pre-pandemic levels. There may also be increased marketplace consolidation as companies are challenged to respond to the continued evolving conditions of COVID-19.</w:t>
      </w:r>
    </w:p>
    <w:p>
      <w:pPr>
        <w:spacing w:after="0" w:line="2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sustained or recurring downturn could result in a decrease in the fair value of our goodwill or other intangible assets, causing them to exceed their carrying value. This may require us to recognize an impairment to those assets. Further, the COVID-19 pandemic could decrease consumer spending, adversely affect demand for our technology and services, cause one or more of our customers and partners to file for bankruptcy protection or go out of business, cause one or more of our customers to fail to renew, terminate, or renegotiate their contracts, affect the ability of our sales team to travel to potential customers, impact expected spending from new customers and negatively impact collections of accounts receivable, all of which could adversely affect our business, results of operations and financial condition. In response to the outbreak, we agreed to concessions on price and/or payment terms with certain customers who have been negatively impacted by the COVID-19 pandemic, and may negotiate additional concessions on price and/or payment terms.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is not possible for us to predict the future impact of the pandemic and its effects on our business, results of operations or financial condition at this time.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impact of inflation could negatively affect our business, our industry, and our customer base.</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own costs, including labor, hardware, services, technology providers, and other variable expenses could be severely impacted by severe, widespread or continuing inflation. Our customer base includes many small businesses, some of which operate on tight margins. Our customers may not successfully navigate a rising cost environment, causing collection issues or bankruptcies. Inflation could seriously erode the discretionary buying decisions of consumers, impacting size of purchases or volumes at our unattended points of sale.</w:t>
      </w:r>
    </w:p>
    <w:p>
      <w:pPr>
        <w:spacing w:after="0" w:line="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color w:val="auto"/>
        </w:rPr>
        <w:t>If we are not able to implement successful enhancements and new features for our products and services, our business could be materially and adversely affected.</w:t>
      </w:r>
    </w:p>
    <w:p>
      <w:pPr>
        <w:spacing w:after="0" w:line="2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success depends on our ability to develop new products and services to address the rapidly evolving market for cashless payments and cloud and mobile solutions for the self-service retail markets. Rapid and significant technological changes continue to confront the industries in which we operate, including developments in proximity payment devices. These new services and technologies may be superior to, impair, or render obsolete the products and services we currently offer or the technologies we currently use to provide them. Incorporating new technologies into our products and services may require substantial expenditures and take considerable time, and we may not be successful in realizing a return on these development efforts in a timely manner or at all. There can be no assurance that any new products or services we develop and offer to our customers will achieve significant commercial acceptance. Our ability to develop new products and services may be inhibited by industry-wide standards, payment card networks, existing and future laws and regulations, resistance to change from our customers, challenges of integration with a wide variety of legacy end-point machines, or third parties’ intellectual property rights. If we are unable to provide enhancements and new features for our products and services or to develop new products and services that achieve market acceptance or that keep pace with rapid technological developments and evolving industry standards, our business would be materially and adversely affected.</w:t>
      </w: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because our products and services are designed to operate with a variety of systems, infrastructures, and devices, we need to continuously modify and enhance our products and services to keep pace with changes in mobile, software,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9" w:name="page20"/>
    <w:bookmarkEnd w:id="19"/>
    <w:p>
      <w:pPr>
        <w:jc w:val="both"/>
        <w:spacing w:after="0" w:line="261" w:lineRule="auto"/>
        <w:rPr>
          <w:sz w:val="20"/>
          <w:szCs w:val="20"/>
          <w:color w:val="auto"/>
        </w:rPr>
      </w:pPr>
      <w:r>
        <w:rPr>
          <w:rFonts w:ascii="Times New Roman" w:cs="Times New Roman" w:eastAsia="Times New Roman" w:hAnsi="Times New Roman"/>
          <w:sz w:val="18"/>
          <w:szCs w:val="18"/>
          <w:color w:val="auto"/>
        </w:rPr>
        <w:t>communication, and database technologies. We may not be successful in either developing these modifications and enhancements or in bringing them to market in a timely and cost-effective manner. Any failure of our products and services to continue to operate effectively with third-party infrastructures and technologies could reduce the demand for our products and services, result in dissatisfaction of our customers, and materially and adversely affect our business.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Substantially all of the service contracts with our customers are terminable for any or no reason upon thirty to sixty days’ advance notice.</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Substantially all of our customers may terminate their services with us for any or no reason upon providing us with thirty to sixty- days’ advance notice. Accordingly, consistent demand for and satisfaction with our products by our customers is critical to our financial condition and future success. Problems, outages, defects, or other issues with our products or services or competition in the marketplace could cause us to lose a substantial number of our customers with minimal notice. If a substantial number of our customers were to exercise their termination rights, it would result in a material adverse effect to our business, operating results, and financial condition.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not successfully implement our go-to-market strategy which may adversely affect growth and profitability.</w:t>
      </w:r>
    </w:p>
    <w:p>
      <w:pPr>
        <w:spacing w:after="0" w:line="2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Our current core business is highly concentrated among several large customers in the vending industry. We have made inroads into other adjacent markets including micro-markets, laundry, gaming, entertainment, vehicle services, and other commercial payments applications and continued expansion into these markets is a substantial piece of our potential future growth prospects. Changing technology, customer preferences, and competitor actions may limit our ability to successfully grow and expand beyond our core business.</w:t>
      </w:r>
    </w:p>
    <w:p>
      <w:pPr>
        <w:spacing w:after="0" w:line="2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We face significant risks to our business when we engage in the outsourcing of engineering work, including outsourcing of software work overseas, which, if not properly managed, could result in the loss of valuable intellectual property and increased costs due to inefficient and poor work product, which could harm our business, including our financial results, reputation, and brand.</w:t>
      </w:r>
    </w:p>
    <w:p>
      <w:pPr>
        <w:spacing w:after="0" w:line="18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We may, from time-to-time, outsource engineering work related to the design, development, and operations of our products and services, typically to save money and gain access to additional engineering resources. We have worked, and expect to work in the future, with companies located in jurisdictions outside of the U.S., including, but not limited to Ukraine, Columbia, and India. If we are unable to properly manage and oversee the outsourcing of engineering and other work to third parties located internationally that operate under different laws and regulations than those in the U.S., we could suffer the loss of valuable intellectual property, or the loss of the ability to claim such intellectual property, including patents and trade names. Additionally, instead of saving money, we could in fact incur significant additional costs because of inefficient engineering services and poor work product. As a result, our business would be harmed, including our financial results, reputation, and brand.</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ability to commercially manage the transition from the 3G network could lead to competitive disadvantage in the marketplace.</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transition away from the 3G wireless network is nearing completion as the cellular service providers phase these networks out in North America through the end of the 2022 calendar year. This transition has and will continue to affect many of our active devices and has required significant customer retention programs and resources to ensure that our existing customer base is properly transitioned to the new platform. This change affects our industry and will also lead to changes with our competitors and their customers. Our ability to successfully transition the remaining impacted devices and provide the new platform for our existing and new customers is critical to our strategy, our network and to the competitive landscape in the marketplace.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loss of one or more of our key customers could significantly reduce our revenues, results of operations, and increase net losses.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derived, and believe we will continue to derive, a significant portion of our revenues from one large customer or a limited number of large customers. Customer concentrations for the years ended June 30, 2022, 2021 and 2020 were as follows: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0" w:type="dxa"/>
            <w:vAlign w:val="bottom"/>
            <w:tcBorders>
              <w:bottom w:val="single" w:sz="8" w:color="auto"/>
            </w:tcBorders>
            <w:gridSpan w:val="5"/>
          </w:tcPr>
          <w:p>
            <w:pPr>
              <w:jc w:val="center"/>
              <w:ind w:left="810"/>
              <w:spacing w:after="0"/>
              <w:rPr>
                <w:sz w:val="20"/>
                <w:szCs w:val="20"/>
                <w:color w:val="auto"/>
              </w:rPr>
            </w:pPr>
            <w:r>
              <w:rPr>
                <w:rFonts w:ascii="Times New Roman" w:cs="Times New Roman" w:eastAsia="Times New Roman" w:hAnsi="Times New Roman"/>
                <w:sz w:val="18"/>
                <w:szCs w:val="18"/>
                <w:b w:val="1"/>
                <w:bCs w:val="1"/>
                <w:color w:val="auto"/>
                <w:w w:val="99"/>
              </w:rPr>
              <w:t>For the year ended June 30,</w:t>
            </w:r>
          </w:p>
        </w:tc>
        <w:tc>
          <w:tcPr>
            <w:tcW w:w="90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223"/>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Single customer</w:t>
            </w:r>
          </w:p>
        </w:tc>
        <w:tc>
          <w:tcPr>
            <w:tcW w:w="3700" w:type="dxa"/>
            <w:vAlign w:val="bottom"/>
            <w:gridSpan w:val="2"/>
          </w:tcPr>
          <w:p>
            <w:pPr>
              <w:spacing w:after="0"/>
              <w:rPr>
                <w:sz w:val="19"/>
                <w:szCs w:val="19"/>
                <w:color w:val="auto"/>
              </w:rPr>
            </w:pPr>
          </w:p>
        </w:tc>
        <w:tc>
          <w:tcPr>
            <w:tcW w:w="13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c>
          <w:tcPr>
            <w:tcW w:w="13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40" w:type="dxa"/>
            <w:vAlign w:val="bottom"/>
          </w:tcPr>
          <w:p>
            <w:pPr>
              <w:spacing w:after="0"/>
              <w:rPr>
                <w:sz w:val="19"/>
                <w:szCs w:val="19"/>
                <w:color w:val="auto"/>
              </w:rPr>
            </w:pPr>
          </w:p>
        </w:tc>
      </w:tr>
      <w:tr>
        <w:trPr>
          <w:trHeight w:val="228"/>
        </w:trPr>
        <w:tc>
          <w:tcPr>
            <w:tcW w:w="34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5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40" w:type="dxa"/>
            <w:vAlign w:val="bottom"/>
          </w:tcPr>
          <w:p>
            <w:pPr>
              <w:spacing w:after="0"/>
              <w:rPr>
                <w:sz w:val="19"/>
                <w:szCs w:val="19"/>
                <w:color w:val="auto"/>
              </w:rPr>
            </w:pPr>
          </w:p>
        </w:tc>
      </w:tr>
      <w:tr>
        <w:trPr>
          <w:trHeight w:val="846"/>
        </w:trPr>
        <w:tc>
          <w:tcPr>
            <w:tcW w:w="3400" w:type="dxa"/>
            <w:vAlign w:val="bottom"/>
          </w:tcPr>
          <w:p>
            <w:pPr>
              <w:spacing w:after="0"/>
              <w:rPr>
                <w:sz w:val="24"/>
                <w:szCs w:val="24"/>
                <w:color w:val="auto"/>
              </w:rPr>
            </w:pPr>
          </w:p>
        </w:tc>
        <w:tc>
          <w:tcPr>
            <w:tcW w:w="3580" w:type="dxa"/>
            <w:vAlign w:val="bottom"/>
          </w:tcPr>
          <w:p>
            <w:pPr>
              <w:jc w:val="right"/>
              <w:ind w:right="1170"/>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3400" w:type="dxa"/>
            <w:vAlign w:val="bottom"/>
            <w:tcBorders>
              <w:bottom w:val="single" w:sz="8" w:color="9A9A9A"/>
            </w:tcBorders>
          </w:tcPr>
          <w:p>
            <w:pPr>
              <w:spacing w:after="0"/>
              <w:rPr>
                <w:sz w:val="10"/>
                <w:szCs w:val="10"/>
                <w:color w:val="auto"/>
              </w:rPr>
            </w:pPr>
          </w:p>
        </w:tc>
        <w:tc>
          <w:tcPr>
            <w:tcW w:w="35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0" w:name="page21"/>
    <w:bookmarkEnd w:id="20"/>
    <w:p>
      <w:pPr>
        <w:jc w:val="both"/>
        <w:spacing w:after="0" w:line="256" w:lineRule="auto"/>
        <w:rPr>
          <w:sz w:val="20"/>
          <w:szCs w:val="20"/>
          <w:color w:val="auto"/>
        </w:rPr>
      </w:pPr>
      <w:r>
        <w:rPr>
          <w:rFonts w:ascii="Times New Roman" w:cs="Times New Roman" w:eastAsia="Times New Roman" w:hAnsi="Times New Roman"/>
          <w:sz w:val="18"/>
          <w:szCs w:val="18"/>
          <w:color w:val="auto"/>
        </w:rPr>
        <w:t>The loss of such customers could materially adversely affect our revenues. Additionally, a major customer in one year may not purchase any of our products or services in another year, which may negatively affect our financial performance. We have offered, and may in the future offer, discounts to our large customers to incentivize them to continue to utilize our products and services. If we are required to sell products to any of our large customers at reduced prices or unfavorable terms, our revenue and earnings could be materially adversely affected. Further, there is no assurance that our customers will continue to utilize our transaction processing and related services as our customer agreements are generally cancellable by the customer on thirty to sixty days’ notice.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Increases in card association and debit network interchange fees could increase our operating costs or otherwise adversely affect our operations.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obligated to pay interchange fees and other network fees set by the bankcard networks to the card issuing bank and the bankcard networks for each transaction we process through our network. From time to time, card associations and debit networks increase the organization and/or processing fees, known as interchange fees that they charge. Under our processing agreements with our customers, we are permitted to pass along these fee increases to our customers through corresponding increases in our processing fees. Passing along such increases could result in some of our customers canceling their contracts with us. Consequently, it is possible that competitive pressures will result in our Company absorbing some or all of the increases in the future, which would increase our operating costs, reduce our gross profit and adversely affect our business.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expending significant resources into certain international initiatives. Our efforts may fail, adversely affecting our results.</w:t>
      </w:r>
    </w:p>
    <w:p>
      <w:pPr>
        <w:spacing w:after="0" w:line="3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As we expand into international markets, we may not be successful, or our plans may be delayed. Our Company is inexperienced in managing international operations. Our products will need to be localized in some cases and if our localization efforts fail or are delayed or our products and services do not gain traction in new markets, our business could be adversely affected.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Geopolitical conflicts, including the conflict between Russia and Ukraine, may adversely affect our business and results of operations.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While we do not currently have employees, customers or corporate offices in impacted areas, we have worked, and expect to work in the future, with companies located in jurisdictions outside of the U.S., including, but not limited to Ukraine. In addition, we are focused on international expansion. As a result, our operations and international expansion efforts could be impacted by economic, political and other conditions resulting from the current conflict between Russia and Ukraine, which could, among other things, lead to a reduction in consumer, government or corporate spending, international sanctions, embargoes, heightened inflation, volatility in global financial markets, increased cyber disruptions or attacks, higher supply chain costs and increased tensions between the United States and countries in which we operate, which could result in charges related to the recoverability of assets, including financial assets, long-lived assets and goodwill and other losses, and could adversely affect our financial position and results of operations. To the extent the invasion of Ukraine by Russia adversely affects our business, it may also have the effect of heightening many other risks disclosed in this Form 10-K, any of which could have a material adverse effect on our business and results of operations.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Operational and liquidity</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We depend on our key personnel and, if they leave us, or if we are unable to attract highly skilled personnel, our business could be adversely affected.</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success and future growth also depends, to a significant degree, on the skills and continued services of our management team. Further, due to the complexity of the work required to make needed improvements within the Company, it may be difficult for us to retain existing senior management and new hires, sales personnel, and development and engineering personnel critical to our ability to execute our business plan, which could result in harm to key customer relationships, loss of key information, expertise or know-how and unanticipated recruitment and training costs. We may experience a loss of productivity due to the departure of key personnel and the associated loss of institutional knowledge, or while new personnel integrate into our business and transition into their respective roles. Our future success also depends on our ability to attract and motivate highly skilled technical, managerial, sales, marketing and customer service personnel, including members of our management team. The labor market has been very challenging this fiscal year, with several key functions and departments experiencing high turnover. These changes are disruptive and expensive. Continued turnover could prevent us from achieving,</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or significantly delay achievement, of our business and operational goals and could adversely affect our business and results of operations.</w:t>
      </w:r>
    </w:p>
    <w:p>
      <w:pPr>
        <w:spacing w:after="0" w:line="24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Disruptions to our systems, breaches in the security of transactions involving our products or services, or failure of our processing systems could adversely affect our reputation, business and results of operations.</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rely on information technology and other systems to transmit financial information of consumers making cashless transactions and to provide accounting and inventory management services to our customers. As such, the information we transmit and/or maintain is exposed to the ever-evolving threat of compromised security, in the form of a risk of potential breach, system failure, computer virus, cyber-attack or unauthorized or fraudulent use by consumers, customers, company employees, or employees of third party vendors. A cybersecurity breach could result in disclosure of confidential information and intellectual property, or cause operational disruptions and compromised data. We may be unable to anticipate or prevent techniques to obtain unauthorized access or to sabotage systems because they change frequently and often are not detected until after an incident has occurred.</w:t>
      </w: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our processing systems may experience errors, interruptions, delays or damage from a number of causes, including, but not limited to, power outages, hardware, software and network failures, internal design, manual or usage errors, terrorism, workplace violence or wrongdoing, catastrophic events, climate-related events such as natural disasters and severe weather conditions. The steps we take to deter and mitigate these risks, including annual validation of our compliance with the Payment Card Industry Data Security Standard, may not be successful, and any resulting compromise or loss of data or systems could adversely impact the marketplace acceptance of our products and services, and could result in significant remedial expenses to not only assess and repair any damage to our systems, but also to reimburse customers for losses that occur from service interruptions or the fraudulent use of confidential data. Additionally, we could become subject to significant fines, litigation, and loss of reputation, potentially impacting our financial results.</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following an acquisition, we take steps to ensure our data and system security protection measures cover the acquired business as part of our integration process. As such, there may be a period of increased cybersecurity risk during the period between closing an acquisition and the completion of our data and system security integration.</w:t>
      </w:r>
    </w:p>
    <w:p>
      <w:pPr>
        <w:spacing w:after="0" w:line="19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The termination of our relationships with certain third-party suppliers upon whom we rely for services that are critical to our products could adversely affect our business and delay achievement of our business plan.</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operation of our networked devices depends upon the capacity, reliability and security of services provided to us by our wireless telecommunication services providers, equipment manufacturers and other suppliers. In addition, if we terminate relationships with our current telecommunications service providers and other third-party suppliers, we may have to replace hardware that is part of our existing ePort or Seed products that are already installed in the marketplace. This could significantly harm our reputation and could cause us to lose customers and revenues.</w:t>
      </w:r>
    </w:p>
    <w:p>
      <w:pPr>
        <w:spacing w:after="0" w:line="20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We rely on other card payment processors, and if they fail or no longer agree to provide their services or we fail to operate in compliance with the requirements of those relationships, our customer relationships could be adversely affected, and we could lose business.</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rely on agreements with other large payment processing organizations, primarily Fiserv Inc., JPMorgan Chase &amp; Co., and Global Payments, Inc. to enable us to provide card authorization, data capture and transmission, settlement and merchant accounting services for the customers we serve. The termination by our card processing providers of their arrangements with us or their failure to perform their services efficiently and effectively would adversely affect our relationships with the customers whose accounts we serve and may cause those customers to terminate their processing agreements with us.</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 substantially all of the cashless payment transactions handled by our network involve Visa U.S.A. Inc. (“Visa”) or MasterCard International Incorporated ("MasterCard"). If we fail to comply with the applicable standards or requirements of the Visa and MasterCard card associations relating to security, Visa or MasterCard could suspend or terminate our registration with them. The termination of our registration with them or any changes in the Visa or MasterCard rules that would impair our registration with them could require us to stop providing cashless payment services through our network. In such event, our business plan and/or competitive advantages in the market place would be materially adversely affected.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Disruptions at other participants in the financial system could prevent us from delivering our cashless payment services.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operations and systems of many participants in the financial system are interconnected. Many of the transactions that involve our cashless payment services rely on multiple participants in the financial system to accurately move funds and</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2" w:name="page23"/>
    <w:bookmarkEnd w:id="22"/>
    <w:p>
      <w:pPr>
        <w:jc w:val="both"/>
        <w:spacing w:after="0" w:line="258" w:lineRule="auto"/>
        <w:rPr>
          <w:sz w:val="20"/>
          <w:szCs w:val="20"/>
          <w:color w:val="auto"/>
        </w:rPr>
      </w:pPr>
      <w:r>
        <w:rPr>
          <w:rFonts w:ascii="Times New Roman" w:cs="Times New Roman" w:eastAsia="Times New Roman" w:hAnsi="Times New Roman"/>
          <w:sz w:val="18"/>
          <w:szCs w:val="18"/>
          <w:color w:val="auto"/>
        </w:rPr>
        <w:t>communicate information to the next participant in the transaction chain. A disruption for any reason at one of the participants in the financial system could impact our ability to cause funds to be moved in a manner to successfully deliver our services. Although we work with other participants to avoid any disruptions, there is no assurance that such efforts will be effective. Such a disruption could lead to the inability for us to deliver services, reputational damage, lost customers and lost revenue, loss of customers’ confidence, as well as additional costs, all of which could have a material adverse effect on our revenues, profitability, financial condition, and future growth.</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Any increase in chargebacks not paid by our customers may adversely affect our results of operations, financial condition and cash flows.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event a dispute between a cardholder and a customer is not resolved in favor of the customer, the transaction is normally charged back to the customer and the purchase price is credited or otherwise refunded to the cardholder. When we serve as merchant of record, if we are unable to collect such amounts from the customer's account, or if the customer refuses or is unable, due to closure, bankruptcy or other reasons, to reimburse us for a chargeback, we bear the loss for the amount of the refund paid to the cardholder. We may experience significant losses from chargebacks in the future. Any increase in chargebacks not paid by our customers could have a material adverse effect on our business, financial condition, results of operations and cash flows. We have policies to manage customer-related credit risk and attempt to mitigate such risk by monitoring transaction activity. Notwithstanding our programs and policies for managing credit risk, it is possible that a default on such obligations by one or more of our customers could have a material adverse effect on our business.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dependence on proprietary technology and limited ability to protect our intellectual property may adversely affect our ability to compete.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Challenge to our ownership of our intellectual property could materially damage our business prospects. Our technology may infringe upon the proprietary rights of others. Our ability to execute our business plan is dependent, in part, on our ability to obtain patent protection for our proprietary products, maintain trade secret protection and operate without infringing the proprietary rights of others.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June 30, 2022, the United States Government and other countries have granted us 136 patents, of which 50 are still in force. We have a number of pending patent applications, and will consider filing applications for additional patents covering aspects of our future developments, although there can be no assurance that we will do so. In addition, there can be no assurance that we will maintain or prosecute these applications. There can be no assurance that:</w:t>
      </w:r>
    </w:p>
    <w:p>
      <w:pPr>
        <w:spacing w:after="0" w:line="68"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 remaining patent applications will be granted to us;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develop additional products that are patentable or that do not infringe the patents of others;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patents issued to us will provide us with any competitive advantages or adequate protection for our products;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patents issued to us will not be challenged, invalidated or circumvented by others; or</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products would not infringe the patents of others.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any of our products or services is found to have infringed any patent, there can be no assurance that we will be able to obtain licenses to continue to manufacture, use, sell, and license such product or service or that we will not have to pay damages and/or be enjoined as a result of such infringement.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are unable to adequately protect our proprietary technology or fail to enforce or prosecute our patents against others, third parties may be able to compete more effectively against us, which could result in the loss of customers and our business being adversely affected. Patent and proprietary rights litigation entails substantial legal and other costs and diverts Company resources as well as the attention of our management. There can be no assurance we will have the necessary financial resources to appropriately defend or prosecute our intellectual property rights in connection with any such litigation.</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We may require additional financing or find it necessary to raise capital to sustain our operations and without it we may not be able to achieve our business plan.</w:t>
      </w:r>
    </w:p>
    <w:p>
      <w:pPr>
        <w:spacing w:after="0" w:line="17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At June 30, 2022, we had a net working capital surplus of $57.4 million and cash and cash equivalents of $68.1 million. We had net cash (used in) provided by operating activities of $(8.7) million, $8.2 million, and $(14.1) million for fiscal years ended 2022, 2021, and 2020, respectively. We may need additional funds to continue these operations. We may also need additional capital to respond to unusual or unanticipated non-operational events. Such non-operational events include but are not limited to shareholder class action lawsuits, government inquiries or enforcement actions that could potentially arise from the circumstances that gave rise to our restatements, extended filing delays in filing our periodic reports and the impact of</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3" w:name="page24"/>
    <w:bookmarkEnd w:id="23"/>
    <w:p>
      <w:pPr>
        <w:jc w:val="both"/>
        <w:spacing w:after="0" w:line="266" w:lineRule="auto"/>
        <w:rPr>
          <w:sz w:val="20"/>
          <w:szCs w:val="20"/>
          <w:color w:val="auto"/>
        </w:rPr>
      </w:pPr>
      <w:r>
        <w:rPr>
          <w:rFonts w:ascii="Times New Roman" w:cs="Times New Roman" w:eastAsia="Times New Roman" w:hAnsi="Times New Roman"/>
          <w:sz w:val="18"/>
          <w:szCs w:val="18"/>
          <w:color w:val="auto"/>
        </w:rPr>
        <w:t>COVID-19 on our business. Should the financing that we require to sustain our working capital needs be unavailable or prohibitively expensive when we require it, the consequences could have a material adverse effect on our business, operating results, financial condition and future prospects.</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Failure to comply with any of the financial covenants under the Company’s credit agreement could result in an event of default which may accelerate our outstanding indebtedness or other obligations and have a material adverse impact on our business, liquidity position and financial position.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17, 2022, the Company entered into an amended and restated credit agreement with JPMorgan Chase Bank, N.A. which provides for a $15 million secured revolving credit facility (the “Amended Revolving Facility”) and a $25 million secured term facility (the “Amended Secured Term Facility” and together with the Amended Revolving Facility, the “Amended JPMorgan Credit Facility”), and fully replaces our previous 2021 JPMorgan Credit Facility.</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Amended JPMorgan Credit Facility has a four year maturity and includes customary representations, warranties and covenants, and acceleration, indemnity and events of default provisions, including, among other things, two financial covenants. One financial covenant requires the Company to maintain, at all times, a total leverage ratio of not more than 3.00 to 1.00 on the last day of any fiscal quarter. The other financial covenant is conditional on a material acquisition occurring: if a material acquisition occurs, the Company is required to maintain a total leverage ratio not greater than 4.00 to 1.00 for the next four fiscal quarters following the material acquisition.</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was in compliance with its financial covenants as of June 30, 2022. Failure to comply with the foregoing financial covenants, if not cured or waived, will result in an event of default that could trigger acceleration of our indebtedness, which would require us to repay all amounts owed under the 2022 JPMorgan Credit Agreement and could have a material adverse impact on our business, liquidity position and financial position.</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cannot be certain that our future operating results will be sufficient to ensure compliance with the financial covenants in our 2022 JPMorgan Credit Agreement or to remedy any defaults. In addition, in the event of any event of default and related acceleration, we may not have or be able to obtain sufficient funds to make the accelerated payments required under the 2022 JPMorgan Credit Agreement.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 may adversely affect our financial condition.</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could acquire additional products, technologies, or businesses to complement or expand our business. We may be unable to negotiate favorable terms in a timely manner or at all. Negotiation and integration of these types of potential business combinations could divert management’s time and resources. In addition, we may encounter unanticipated costs, operational challenges, or potential disruption of our business and diversion of management’s attention from our core business. We may not realize the anticipated benefits from an acquisition. We could reduce the cash that would otherwise be available to fund operations or other purposes, or we could incur debt, potentially on unfavorable terms.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regulatory, and compliance risks</w:t>
      </w:r>
    </w:p>
    <w:p>
      <w:pPr>
        <w:spacing w:after="0" w:line="25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We are subject to laws and regulations that affect the products, services and markets in which we operate. Failure by us to comply with these laws or regulations would have an adverse effect on our business, financial condition, or results of operations.</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among other things, subject to certain banking regulations and credit card association regulations. Failure to comply with these regulations may result in the suspension of our business, the limitation, suspension or termination of service, and/or the imposition of fines that could have an adverse effect on our financial condition. Additionally, changes to legal rules and regulations, or interpretation or enforcement thereof, could have a negative financial effect on us or our product offerings. To the extent this occurs, we could be subject to additional technical, contractual or other requirements as a condition of our continuing to conduct our payment processing business. These requirements could cause us to incur additional costs, which could be significant, or to lose revenues to the extent we do not comply with these requirements.</w:t>
      </w:r>
    </w:p>
    <w:p>
      <w:pPr>
        <w:spacing w:after="0" w:line="19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auto"/>
        </w:rPr>
        <w:t>The accounting review of our previously issued financial statements and the audits of prior fiscal years have been time-consuming and expensive, has resulted in claims and lawsuits, and may result in additional expense and/or litigation.</w:t>
      </w:r>
    </w:p>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fiscal year 2019, the Audit Committee, with the assistance of independent legal and forensic accounting advisors, conducted an internal investigation of then-current and prior period matters relating to certain of the Company’s contractual arrangements,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including the accounting treatment, financial reporting and internal controls related to such arrangements (the “2019 Investigation”).</w:t>
      </w:r>
    </w:p>
    <w:p>
      <w:pPr>
        <w:spacing w:after="0" w:line="25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incurred significant expenses, including audit, legal, consulting and other professional fees, in connection with the 2019 Investigation, the review of our accounting, the audits, the restatements of previously filed financial statements, bank consents, the remediation of deficiencies in our internal control over financial reporting, the proxy solicitation, and professional services fees to assist the Company with accounting and compliance activities in fiscal year 2020 following the filing of the 2019 Form 10-K. To the extent that steps we have taken to take to reduce errors in accounting determinations are not successful, we could be forced to incur significant additional time and expense. The incurrence of significant additional expense, or the requirement that management devote significant time that could reduce the time available to execute on our business strategies, could have a material adverse effect on our business, results of operations and financial condition.</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we have completed the restatement, we cannot guarantee that we will not be subject to future claims, investigations, proceedings, inquiries from regulators and enforcement proceedings. Any future claims, investigations, inquiries or proceedings will, regardless of the outcome, likely consume a significant amount of our internal resources and result in additional costs.</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management has been, and may in the future be, required to devote significant time and attention to litigation and claims, and this and any additional matters that arise could have a material adverse impact on our results of operations and financial condition as well as on our reputation.</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Matters relating to or arising from the restatement and the 2019 Investigation, including adverse publicity and potential concerns from our customers, and enforcement proceedings could continue to have an adverse effect on our business and financial condition.</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previously restated our consolidated financial statements as of and for the fiscal year 2017 and our unaudited consolidated financial statements for the quarterly periods ended September 30, 2016, December 31, 2016, March 31, 2017, September 30, 2017, December 31, 2017, and March 31, 2018. As a result, we have been and could continue to be the subject of negative publicity focusing on the restatement and adjustment of our financial statements, and may be adversely impacted by negative reactions from our customers or others with whom we do business. Concerns include the perception of the effort required to address our accounting and control environment and the ability for us to be a long-term provider to our customers. The continued occurrence of any of the foregoing could harm our business and have an adverse effect on our financial condition. Additionally, as a result of the restatements, we have become subject to a number of additional risks and uncertainties, including substantial unanticipated costs for accounting and legal fees in connection with or related to the restatement. If litigation or enforcement proceedings did occur, we may incur additional substantial defense costs regardless of their outcome. Likewise, such events might cause a diversion of our management’s time and attention. If we do not prevail in any such litigation, we could be required to pay substantial damages or settlement costs.</w:t>
      </w:r>
    </w:p>
    <w:p>
      <w:pPr>
        <w:spacing w:after="0" w:line="21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auto"/>
        </w:rPr>
        <w:t>Remaining regulatory matters relating to U.S. Department of Justice (“DOJ”) and Securities and Exchange Commission (“SEC”) inquiries may require significant time and attention, result in substantial expenses and lead to adverse publicity.</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third quarter of fiscal year 2020, the Company responded to a subpoena received from the DOJ that sought records regarding Company activities related to the 2019 Investigation. We cooperated fully with the DOJ’s queries. The DOJ staff has notified us during fiscal year 2022 that they have concluded their investigation and that they do not intend to proceed with any further investigation or enforcement. Since fiscal year 2019, the Company has received inquiries from the SEC into the facts and circumstances of the 2019 Investigation and has fully cooperated with these inquiries.</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Potential SEC enforcement could result in substantial legal and accounting expenses, divert management’s attention from other business concerns and harm our business. Any civil action commenced against us could result in administrative orders against us, the imposition of significant penalties and/or fines against us, and/or the imposition of civil sanctions against us or certain of our former officers, directors and/or employees. Any regulatory action could result in the filing of additional restatements of our prior financial statements or require that we take other actions. If we are subject to an adverse finding resulting from the investigation, we could be required to pay damages or penalties or have other remedies imposed upon us. These matters could require significant management and financial resources which could otherwise be devoted to the operation of our business. Additionally, as a result of these inquiries, we could be the subject of negative publicity including negative reactions from our customers or others with whom we do business.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5" w:name="page26"/>
    <w:bookmarkEnd w:id="25"/>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and certain of our former officers and directors could be subject to future claims and lawsuits, which could require significant additional management time and attention, result in significant additional legal expenses or result in government enforcement actions.</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and certain of our former officers and directors may become subject to further litigation, government investigations or proceedings arising from the 2019 Investigation. Future litigation, investigation or other actions that may be filed or initiated against us or our former officers or directors may be time consuming and expensive. We cannot predict what losses we may incur in these matters, and contingencies related to our obligations under the federal and state securities laws, or in other legal proceedings or governmental investigations or proceedings related to these matters.</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date, we have incurred significant costs in connection with litigation, investigations and with the special litigation committee proceedings. Any legal proceedings, if decided adversely to us, could result in significant monetary damages, penalties and reputational harm, and will likely involve significant defense and other costs. We have entered into indemnification agreements with certain of our former directors and officers, and our bylaws require us to indemnify each of our directors and officers. Further, our insurance may not cover all claims that have been or may be brought against us, and insurance coverage may not continue to be available to us at a reasonable cost. As a result, we have been and may continue to be exposed to substantial uninsured liabilities, including pursuant to our indemnification obligations, which could materially adversely affect our business, prospects, results of operations and financial condition.</w:t>
      </w:r>
    </w:p>
    <w:p>
      <w:pPr>
        <w:spacing w:after="0" w:line="2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Failure to maintain effective systems of internal control over financial reporting and disclosure controls and procedures could cause a loss of confidence in our financial reporting and adversely affect the trading price of our common stock.</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Effective internal control over financial reporting is necessary for us to provide accurate financial information. Section 404 of the Sarbanes-Oxley Act requires us to evaluate the effectiveness of our internal control over financial reporting as of the end of each fiscal year and to include a management report assessing the effectiveness of our internal control over financial reporting in our Annual Report on Form 10-K. As discussed in Item 9A, our internal controls over financial reporting were not effective as of June 30, 2022 due to the existence of multiple material weakness in such controls. Management is in the process of remediating the material weaknesses. We cannot provide assurance that our remediation efforts will be adequate to allow us to conclude that such controls will be effective as of June 30, 2023. If we are unable to adequately maintain our internal control over financial reporting in the future, we may not be able to accurately report our financial results, which could cause investors to lose confidence in our reported financial information, negatively affecting the trading price of our common stock, or our ability to access the capital markets. Refer to Part II, Item 9A for additional information regarding the material weaknesses that have been identified and our remediation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common stock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and officer liability is limited and shareholders may have limited rights to recover against directors for breach of fiduciary duty.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permitted by Pennsylvania law, our by-laws limit the liability of our directors for monetary damages for breach of a director’s fiduciary duty except for liability in certain instances. As a result of our by-law provisions and Pennsylvania law, shareholders may have limited rights to recover against directors for breach of fiduciary duty. In addition, our by-laws and indemnification agreements entered into by the Company with each of the officers and directors provide that we shall indemnify our directors and officers to the fullest extent permitted by law.</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 active trading market for our common stock may not be maintained.</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can provide no assurance that we will be able to maintain an active trading market for our common stock on the Nasdaq Global Select Market, or any other exchange in the future. If an active market for our common stock is not maintained, or if we fail to satisfy the continued listing standards of Nasdaq for any reason and our securities are delisted, it may be difficult for our security holders to sell their securities without depressing the market price for the securities or at all. An inactive trading market may also impair our ability to both raise capital by selling shares of common stock and complete other acquisitions by using our shares of common stock as consideration.</w:t>
      </w:r>
    </w:p>
    <w:p>
      <w:pPr>
        <w:spacing w:after="0" w:line="166"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color w:val="auto"/>
        </w:rPr>
        <w:t>If securities and/or industry analysts fail to continue publishing research about our business, if they change their recommendations adversely, or if our results of operations do not meet their expectations, our stock price and trading volume could decline.</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will be influenced by the research and reports that industry or securities analysts publish about us or our business. If one or more of these analysts cease coverage of our company or fail to publish reports on us regularly for any reason, we could lose visibility in the financial markets, which in turn could cause our stock price or trading volume to decline. In addition, it is likely that, in some future period, our operating results will be below the expectations of securities analysts or investors. If one or more of the analysts who cover us downgrade our stock, or if our results of operations do not meet their expectations, our stock price could decline.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There is a risk that we may be dropped from inclusion in the Russell 2000® Index which could result in a decline in the price of our stock.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we are currently included in the Russell 2000® Index, there is a risk that we could be dropped from inclusion when the list of public companies included in the Russell 2000® Index is reconstituted in May 2023 if our market capitalization falls below the minimum necessary for inclusion, which could result in a decline in demand for our common stock and, accordingly, the trading price of our common stock following such event.</w:t>
      </w:r>
    </w:p>
    <w:p>
      <w:pPr>
        <w:spacing w:after="0" w:line="19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Upon certain fundamental transactions involving the Company, such as a merger or sale of substantially all of our assets, we may be required to distribute the liquidation preference then due to the holders of our Series A Preferred Stock which would reduce the amount of the distributions otherwise to be made to the holders of our common stock in connection with such transactions.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articles of incorporation provide that upon a merger or sale of substantially all of our assets or upon the disposition of more than 50% of our voting power, the holders of at least 60% of the preferred stock may elect to have such transaction treated as a liquidation and be entitled to receive their liquidation preference. Upon our liquidation, the holders of our preferred stock are entitled to receive a liquidation preference prior to any distribution to the holders of common stock which, as of June 30, 2022 was approximately $22.1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Our headquarters are located at 100 Deerfield Lane, Suite 300, Malvern, Pennsylvania. All of our current locations are leased and expire in varying years outlined below. All of our leased facilities are used for corporate functions, product development, sales, and other purposes. We believe our existing facilities are sufficient for our current and future needs.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3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Approximate Monthly Base Rent</w:t>
            </w:r>
          </w:p>
        </w:tc>
        <w:tc>
          <w:tcPr>
            <w:tcW w:w="2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Lease Expiration</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Approximate Size</w:t>
            </w:r>
          </w:p>
        </w:tc>
      </w:tr>
      <w:tr>
        <w:trPr>
          <w:trHeight w:val="223"/>
        </w:trPr>
        <w:tc>
          <w:tcPr>
            <w:tcW w:w="2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Atlanta, Georgia</w:t>
            </w:r>
          </w:p>
        </w:tc>
        <w:tc>
          <w:tcPr>
            <w:tcW w:w="140" w:type="dxa"/>
            <w:vAlign w:val="bottom"/>
            <w:tcBorders>
              <w:top w:val="single" w:sz="8" w:color="CCEEFF"/>
            </w:tcBorders>
            <w:shd w:val="clear" w:color="auto" w:fill="CCEEFF"/>
          </w:tcPr>
          <w:p>
            <w:pPr>
              <w:spacing w:after="0"/>
              <w:rPr>
                <w:sz w:val="19"/>
                <w:szCs w:val="19"/>
                <w:color w:val="auto"/>
              </w:rPr>
            </w:pPr>
          </w:p>
        </w:tc>
        <w:tc>
          <w:tcPr>
            <w:tcW w:w="3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$21,000 - $22,000</w:t>
            </w:r>
          </w:p>
        </w:tc>
        <w:tc>
          <w:tcPr>
            <w:tcW w:w="100" w:type="dxa"/>
            <w:vAlign w:val="bottom"/>
            <w:tcBorders>
              <w:top w:val="single" w:sz="8" w:color="CCEEFF"/>
            </w:tcBorders>
            <w:shd w:val="clear" w:color="auto" w:fill="CCEEFF"/>
          </w:tcPr>
          <w:p>
            <w:pPr>
              <w:spacing w:after="0"/>
              <w:rPr>
                <w:sz w:val="19"/>
                <w:szCs w:val="19"/>
                <w:color w:val="auto"/>
              </w:rPr>
            </w:pPr>
          </w:p>
        </w:tc>
        <w:tc>
          <w:tcPr>
            <w:tcW w:w="2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June 2023</w:t>
            </w:r>
          </w:p>
        </w:tc>
        <w:tc>
          <w:tcPr>
            <w:tcW w:w="80" w:type="dxa"/>
            <w:vAlign w:val="bottom"/>
            <w:tcBorders>
              <w:top w:val="single" w:sz="8" w:color="CCEEFF"/>
            </w:tcBorders>
            <w:shd w:val="clear" w:color="auto" w:fill="CCEEFF"/>
          </w:tcPr>
          <w:p>
            <w:pPr>
              <w:spacing w:after="0"/>
              <w:rPr>
                <w:sz w:val="19"/>
                <w:szCs w:val="19"/>
                <w:color w:val="auto"/>
              </w:rPr>
            </w:pPr>
          </w:p>
        </w:tc>
        <w:tc>
          <w:tcPr>
            <w:tcW w:w="2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11,900 sq. ft.</w:t>
            </w:r>
          </w:p>
        </w:tc>
      </w:tr>
      <w:tr>
        <w:trPr>
          <w:trHeight w:val="230"/>
        </w:trPr>
        <w:tc>
          <w:tcPr>
            <w:tcW w:w="2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Malvern, Pennsylvania</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$57,000 - $61,000</w:t>
            </w:r>
          </w:p>
        </w:tc>
        <w:tc>
          <w:tcPr>
            <w:tcW w:w="100" w:type="dxa"/>
            <w:vAlign w:val="bottom"/>
          </w:tcPr>
          <w:p>
            <w:pPr>
              <w:spacing w:after="0"/>
              <w:rPr>
                <w:sz w:val="19"/>
                <w:szCs w:val="19"/>
                <w:color w:val="auto"/>
              </w:rPr>
            </w:pPr>
          </w:p>
        </w:tc>
        <w:tc>
          <w:tcPr>
            <w:tcW w:w="2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November 2023</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27,000 sq. ft.</w:t>
            </w:r>
          </w:p>
        </w:tc>
      </w:tr>
      <w:tr>
        <w:trPr>
          <w:trHeight w:val="229"/>
        </w:trPr>
        <w:tc>
          <w:tcPr>
            <w:tcW w:w="2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Metairie, Louisiana*</w:t>
            </w:r>
          </w:p>
        </w:tc>
        <w:tc>
          <w:tcPr>
            <w:tcW w:w="3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$15,000 - $16,000</w:t>
            </w:r>
          </w:p>
        </w:tc>
        <w:tc>
          <w:tcPr>
            <w:tcW w:w="100" w:type="dxa"/>
            <w:vAlign w:val="bottom"/>
            <w:shd w:val="clear" w:color="auto" w:fill="CCEEFF"/>
          </w:tcPr>
          <w:p>
            <w:pPr>
              <w:spacing w:after="0"/>
              <w:rPr>
                <w:sz w:val="19"/>
                <w:szCs w:val="19"/>
                <w:color w:val="auto"/>
              </w:rPr>
            </w:pPr>
          </w:p>
        </w:tc>
        <w:tc>
          <w:tcPr>
            <w:tcW w:w="2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July 2024</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7,800 sq. ft.</w:t>
            </w:r>
          </w:p>
        </w:tc>
      </w:tr>
      <w:tr>
        <w:trPr>
          <w:trHeight w:val="234"/>
        </w:trPr>
        <w:tc>
          <w:tcPr>
            <w:tcW w:w="2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Denver, Colorado*</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$45,000 - $53,000</w:t>
            </w:r>
          </w:p>
        </w:tc>
        <w:tc>
          <w:tcPr>
            <w:tcW w:w="100" w:type="dxa"/>
            <w:vAlign w:val="bottom"/>
          </w:tcPr>
          <w:p>
            <w:pPr>
              <w:spacing w:after="0"/>
              <w:rPr>
                <w:sz w:val="20"/>
                <w:szCs w:val="20"/>
                <w:color w:val="auto"/>
              </w:rPr>
            </w:pPr>
          </w:p>
        </w:tc>
        <w:tc>
          <w:tcPr>
            <w:tcW w:w="2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December 2026</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16,700 sq. ft.</w:t>
            </w: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These office space locations are no longer utilized by the Company and have been sub-leased.</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 party to litigation and other proceedings that arise in the ordinary course of our business. We establish accruals for those matters in circumstances when a loss contingency is considered probable and the related amount is reasonably estimable. Any such accruals may be adjusted as circumstances change. Assessments of losses are inherently subjective and involve unpredictable factors. It is possible that future results of operations for any particular quarterly or annual period could be materially and adversely affected by any developments relating to the legal proceedings, claims and investigations.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Except as set forth in Note 18 to the consolidated financial statements in Part II, Item 8 of this Annual Report, we are not aware of any material pending legal or governmental proceedings as of the filing date of this Annual Report to which we are party, other than routine litigation incidental to our business.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common stock is traded on The NASDAQ Global Market under the symbol “CTLP”. As of October 14, 2022, there were 510 holders of record of our common stock and 230 record holders of the preferred stock. This number does not include stockholders for whom shares were held in a “nominee” or “street” name.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holders of the common stock are entitled to receive such dividends as the Board of Directors of the Company may from time to time declare out of funds legally available for payment of dividends. Through the date hereof, no cash dividends have been declared on the Company’s common stock or preferred stock. No dividend may be paid on the common stock until all accumulated and unpaid dividends on the preferred stock have been paid. As of June 30, 2022, such accumulated unpaid dividends amounted to approximately $17.7 million. The preferred stock is also entitled to a liquidation preference over the common stock which equaled approximately $22.1 million as of June 30, 2022.</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200"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The following graph shows a comparison of the 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cumulative total shareholder return for our common stock with The US Small-Cap Russell 2000® Index and the S&amp;P 500 Information Technology Index in the United States. The graph assumes a $100 investment on June 30, 2017 in our common stock and in the Small-Cap Russell 2000® Index and the S&amp;P 500 Information Technology Index, including reinvestment of dividends.</w:t>
      </w:r>
    </w:p>
    <w:p>
      <w:pPr>
        <w:spacing w:after="0" w:line="8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The Company was added as a member of the US Small-Cap Russell 2000</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Index in June 2021. We have included the Small-Cap Russell 2000® Index replacing the Nasdaq Composite Index in our cumulative total return comparisons below, which reflects a change from the presentation in prior fiscal years.</w:t>
      </w:r>
    </w:p>
    <w:p>
      <w:pPr>
        <w:spacing w:after="0" w:line="109" w:lineRule="exact"/>
        <w:rPr>
          <w:sz w:val="20"/>
          <w:szCs w:val="20"/>
          <w:color w:val="auto"/>
        </w:rPr>
      </w:pPr>
    </w:p>
    <w:p>
      <w:pPr>
        <w:jc w:val="center"/>
        <w:spacing w:after="0" w:line="207" w:lineRule="exact"/>
        <w:rPr>
          <w:sz w:val="20"/>
          <w:szCs w:val="20"/>
          <w:color w:val="auto"/>
        </w:rPr>
      </w:pPr>
      <w:r>
        <w:rPr>
          <w:rFonts w:ascii="Times New Roman" w:cs="Times New Roman" w:eastAsia="Times New Roman" w:hAnsi="Times New Roman"/>
          <w:sz w:val="18"/>
          <w:szCs w:val="18"/>
          <w:b w:val="1"/>
          <w:bCs w:val="1"/>
          <w:color w:val="auto"/>
        </w:rPr>
        <w:t>COMPARISON OF 5</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YEAR CUMULATIVE TOTAL RETURN</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Among Cantaloupe, Inc., The US Small-Cap Russell 2000® Index, and The S&amp;P 500 Information Technology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1153795</wp:posOffset>
            </wp:positionH>
            <wp:positionV relativeFrom="paragraph">
              <wp:posOffset>51435</wp:posOffset>
            </wp:positionV>
            <wp:extent cx="4834890" cy="37547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834890" cy="3754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90"/>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Total Return For:</w:t>
            </w:r>
          </w:p>
        </w:tc>
        <w:tc>
          <w:tcPr>
            <w:tcW w:w="220" w:type="dxa"/>
            <w:vAlign w:val="bottom"/>
          </w:tcPr>
          <w:p>
            <w:pPr>
              <w:spacing w:after="0"/>
              <w:rPr>
                <w:sz w:val="16"/>
                <w:szCs w:val="16"/>
                <w:color w:val="auto"/>
              </w:rPr>
            </w:pPr>
          </w:p>
        </w:tc>
        <w:tc>
          <w:tcPr>
            <w:tcW w:w="9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Jun-17</w:t>
            </w:r>
          </w:p>
        </w:tc>
        <w:tc>
          <w:tcPr>
            <w:tcW w:w="220" w:type="dxa"/>
            <w:vAlign w:val="bottom"/>
          </w:tcPr>
          <w:p>
            <w:pPr>
              <w:spacing w:after="0"/>
              <w:rPr>
                <w:sz w:val="16"/>
                <w:szCs w:val="16"/>
                <w:color w:val="auto"/>
              </w:rPr>
            </w:pPr>
          </w:p>
        </w:tc>
        <w:tc>
          <w:tcPr>
            <w:tcW w:w="9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Jun-18</w:t>
            </w:r>
          </w:p>
        </w:tc>
        <w:tc>
          <w:tcPr>
            <w:tcW w:w="220" w:type="dxa"/>
            <w:vAlign w:val="bottom"/>
          </w:tcPr>
          <w:p>
            <w:pPr>
              <w:spacing w:after="0"/>
              <w:rPr>
                <w:sz w:val="16"/>
                <w:szCs w:val="16"/>
                <w:color w:val="auto"/>
              </w:rPr>
            </w:pP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Jun-19</w:t>
            </w:r>
          </w:p>
        </w:tc>
        <w:tc>
          <w:tcPr>
            <w:tcW w:w="220" w:type="dxa"/>
            <w:vAlign w:val="bottom"/>
          </w:tcPr>
          <w:p>
            <w:pPr>
              <w:spacing w:after="0"/>
              <w:rPr>
                <w:sz w:val="16"/>
                <w:szCs w:val="16"/>
                <w:color w:val="auto"/>
              </w:rPr>
            </w:pP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Jun-20</w:t>
            </w:r>
          </w:p>
        </w:tc>
        <w:tc>
          <w:tcPr>
            <w:tcW w:w="220" w:type="dxa"/>
            <w:vAlign w:val="bottom"/>
          </w:tcPr>
          <w:p>
            <w:pPr>
              <w:spacing w:after="0"/>
              <w:rPr>
                <w:sz w:val="16"/>
                <w:szCs w:val="16"/>
                <w:color w:val="auto"/>
              </w:rPr>
            </w:pP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Jun-21</w:t>
            </w:r>
          </w:p>
        </w:tc>
        <w:tc>
          <w:tcPr>
            <w:tcW w:w="220" w:type="dxa"/>
            <w:vAlign w:val="bottom"/>
          </w:tcPr>
          <w:p>
            <w:pPr>
              <w:spacing w:after="0"/>
              <w:rPr>
                <w:sz w:val="16"/>
                <w:szCs w:val="16"/>
                <w:color w:val="auto"/>
              </w:rPr>
            </w:pPr>
          </w:p>
        </w:tc>
        <w:tc>
          <w:tcPr>
            <w:tcW w:w="88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Jun-22</w:t>
            </w:r>
          </w:p>
        </w:tc>
      </w:tr>
      <w:tr>
        <w:trPr>
          <w:trHeight w:val="23"/>
        </w:trPr>
        <w:tc>
          <w:tcPr>
            <w:tcW w:w="4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6"/>
        </w:trPr>
        <w:tc>
          <w:tcPr>
            <w:tcW w:w="4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29"/>
        </w:trPr>
        <w:tc>
          <w:tcPr>
            <w:tcW w:w="4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Cantaloupe, Inc.</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30"/>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 Small-Cap Russell 2000® Index</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29"/>
        </w:trPr>
        <w:tc>
          <w:tcPr>
            <w:tcW w:w="4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S&amp;P 500 Information Technology Index</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r>
    </w:tbl>
    <w:p>
      <w:pPr>
        <w:spacing w:after="0" w:line="2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information in the performance graph is not deemed to be “soliciting material” or to be “filed” with the Securities and Exchange Commission or subject to Regulation 14A or 14C under the Securities Exchange Act of 1934, as amended, or to the liabilities of Section 18 of the Securities Exchange Act of 1934, as amended, and will not be deemed to be incorporated by reference into any filing under the Securities Act of 1933, as amended, or the Securities Exchange Act of 1934, as amended, except to the extent that we specifically incorporate it by reference into such a filing. The stock price performance included in this graph is not necessarily indicative of future stock price performance.</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03" w:right="1440"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following discussion and analysis of the financial condition and results of operations should be read in conjunction with our consolidated financial statements and related notes included in this Form 10-K, as well as the discussion under “Item 1A. Risk Factors.” For further discussion of the business, industry, our products and services, competitive strengths, and growth strategy, see “Item 1. Business.” Unless stated otherwise, the comparisons presented in this discussion and analysis refer to the year-over-year comparison of changes in our financial condition and results of operations as of and for the fiscal years ended June 30, 2022 and June 30, 2021. Discussion of fiscal year 2021 items and the year-over year comparison of changes in our financial condition and results of operations as of and for the fiscal years ended June 30, 2021 and June 30, 2020 can be found in Part II, “Item 7. Management’s Discussion and Analysis of Financial Condition and Results of Operations” of our Annual Report on Form 10-K for the fiscal year ended June 30, 2021, which was previously filed with the SEC on September 3, 2021.</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Certain prior period amounts have been reclassified to conform with current year presentation. The changes in presentation did not affect our total revenues, total costs of sales, gross profit, total operating expenses, operating loss, net loss or net loss per common share. For further information on the presentation changes, see </w:t>
      </w:r>
      <w:r>
        <w:rPr>
          <w:rFonts w:ascii="Times New Roman" w:cs="Times New Roman" w:eastAsia="Times New Roman" w:hAnsi="Times New Roman"/>
          <w:sz w:val="18"/>
          <w:szCs w:val="18"/>
          <w:i w:val="1"/>
          <w:iCs w:val="1"/>
          <w:color w:val="auto"/>
        </w:rPr>
        <w:t>Item 1. Financial Statements — Note 2. Accounting Policies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discussion contains forward-looking statements that involve risks and uncertainties. Our actual results could differ materially from those anticipated in these forward-looking statements. Furthermore, the period to period comparison of our historical results is not necessarily indicative of the results that may be expected in the future.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THE COMPANY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Cantaloupe, Inc., previously known as USA Technologies, Inc., is organized under the laws of the Commonwealth of Pennsylvania. We are a digital payments and software services company that provides end-to-end technology solutions for the unattended retail market. We are transforming the unattended retail world by offering a single platform for self-service commerce which includes integrated payments processing and software solutions that handle inventory management, pre-kitting, route logistics, warehouse and back-office management. Our enterprise-wide platform is designed to increase consumer engagement and sales revenue through digital payments, digital advertising and customer loyalty programs, while providing retailers with control and visibility over their operations and inventory. As a result, customers ranging from vending machine companies to operators of micro-markets, car wash, electric vehicle charging stations, commercial laundry, kiosks, amusements and more, can run their businesses more proactively, predictably, and competitively.</w:t>
      </w:r>
    </w:p>
    <w:p>
      <w:pPr>
        <w:spacing w:after="0" w:line="19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Company's fiscal year ends June 30. The Company generates revenue in multiple ways. During the fiscal years ended June 30, 2022 and June 30, 2021, we derived approximately 82% and 83% respectively, of our revenue from subscription and transaction fees and approximately 18% and 17%, respectively, of our revenue from equipment sales. Active Devices on our service include point of sale ("POS") electronic payment devices, certified payment software, or the servicing of similar third-party installed POS terminals. Customers can obtain POS electronic payment devices from us in the following ways:</w:t>
      </w:r>
    </w:p>
    <w:p>
      <w:pPr>
        <w:spacing w:after="0" w:line="101" w:lineRule="exact"/>
        <w:rPr>
          <w:sz w:val="20"/>
          <w:szCs w:val="20"/>
          <w:color w:val="auto"/>
        </w:rPr>
      </w:pPr>
    </w:p>
    <w:p>
      <w:pPr>
        <w:ind w:left="640" w:hanging="308"/>
        <w:spacing w:after="0"/>
        <w:tabs>
          <w:tab w:leader="none" w:pos="640" w:val="left"/>
        </w:tabs>
        <w:numPr>
          <w:ilvl w:val="0"/>
          <w:numId w:val="17"/>
        </w:numPr>
        <w:rPr>
          <w:rFonts w:ascii="Times New Roman" w:cs="Times New Roman" w:eastAsia="Times New Roman" w:hAnsi="Times New Roman"/>
          <w:sz w:val="25"/>
          <w:szCs w:val="25"/>
          <w:color w:val="auto"/>
        </w:rPr>
      </w:pPr>
      <w:r>
        <w:rPr>
          <w:rFonts w:ascii="Times New Roman" w:cs="Times New Roman" w:eastAsia="Times New Roman" w:hAnsi="Times New Roman"/>
          <w:sz w:val="18"/>
          <w:szCs w:val="18"/>
          <w:color w:val="auto"/>
        </w:rPr>
        <w:t>Purchasing devices directly from the Company or one of its authorized resellers;</w:t>
      </w:r>
    </w:p>
    <w:p>
      <w:pPr>
        <w:spacing w:after="0" w:line="170" w:lineRule="exact"/>
        <w:rPr>
          <w:rFonts w:ascii="Times New Roman" w:cs="Times New Roman" w:eastAsia="Times New Roman" w:hAnsi="Times New Roman"/>
          <w:sz w:val="25"/>
          <w:szCs w:val="25"/>
          <w:color w:val="auto"/>
        </w:rPr>
      </w:pPr>
    </w:p>
    <w:p>
      <w:pPr>
        <w:ind w:left="660" w:hanging="328"/>
        <w:spacing w:after="0" w:line="225" w:lineRule="auto"/>
        <w:tabs>
          <w:tab w:leader="none" w:pos="654" w:val="left"/>
        </w:tabs>
        <w:numPr>
          <w:ilvl w:val="0"/>
          <w:numId w:val="17"/>
        </w:numPr>
        <w:rPr>
          <w:rFonts w:ascii="Times New Roman" w:cs="Times New Roman" w:eastAsia="Times New Roman" w:hAnsi="Times New Roman"/>
          <w:sz w:val="25"/>
          <w:szCs w:val="25"/>
          <w:color w:val="auto"/>
        </w:rPr>
      </w:pPr>
      <w:r>
        <w:rPr>
          <w:rFonts w:ascii="Times New Roman" w:cs="Times New Roman" w:eastAsia="Times New Roman" w:hAnsi="Times New Roman"/>
          <w:sz w:val="18"/>
          <w:szCs w:val="18"/>
          <w:color w:val="auto"/>
        </w:rPr>
        <w:t>Financing devices under the Company’s QuickStart Program, which are non-cancellable sixty-month sales-type leases directly from the Company; and</w:t>
      </w:r>
    </w:p>
    <w:p>
      <w:pPr>
        <w:spacing w:after="0" w:line="157" w:lineRule="exact"/>
        <w:rPr>
          <w:rFonts w:ascii="Times New Roman" w:cs="Times New Roman" w:eastAsia="Times New Roman" w:hAnsi="Times New Roman"/>
          <w:sz w:val="25"/>
          <w:szCs w:val="25"/>
          <w:color w:val="auto"/>
        </w:rPr>
      </w:pPr>
    </w:p>
    <w:p>
      <w:pPr>
        <w:ind w:left="660" w:hanging="328"/>
        <w:spacing w:after="0" w:line="231" w:lineRule="auto"/>
        <w:tabs>
          <w:tab w:leader="none" w:pos="654" w:val="left"/>
        </w:tabs>
        <w:numPr>
          <w:ilvl w:val="0"/>
          <w:numId w:val="17"/>
        </w:numPr>
        <w:rPr>
          <w:rFonts w:ascii="Times New Roman" w:cs="Times New Roman" w:eastAsia="Times New Roman" w:hAnsi="Times New Roman"/>
          <w:sz w:val="25"/>
          <w:szCs w:val="25"/>
          <w:color w:val="auto"/>
        </w:rPr>
      </w:pPr>
      <w:r>
        <w:rPr>
          <w:rFonts w:ascii="Times New Roman" w:cs="Times New Roman" w:eastAsia="Times New Roman" w:hAnsi="Times New Roman"/>
          <w:sz w:val="18"/>
          <w:szCs w:val="18"/>
          <w:color w:val="auto"/>
        </w:rPr>
        <w:t>Participating in a monthly bundled subscription under the Company's Cantaloupe ONE program, which are 36-month rental agreements that transition to month-to-month agreements after the initial subscription commitment period.</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Highlights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Highlights of the Company for the fiscal year ended June 30, 2022 are below:</w:t>
      </w:r>
    </w:p>
    <w:p>
      <w:pPr>
        <w:spacing w:after="0" w:line="117"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24 thousand Active Customers and 1.14 million Active Devices (as defined in Item 1. Business) connected to our service.</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2021, we completed the acquisition of certain assets and liabilities of Delicious Nutritious LLC, doing business as Yoke Payments ("Yoke"), a micro market payments company. Through the acquisition, Yoke's POS platform offers self-checkout while seamlessly integrating with Cantaloupe’s inventory management and payment processing platforms. During the year, we implemented the newly enhanced Yoke Micro Market Platform upgrade that includes new features and functionality for Yoke Pay, Yoke POS, and the Yoke Portal.</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32" w:name="page33"/>
    <w:bookmarkEnd w:id="32"/>
    <w:p>
      <w:pPr>
        <w:jc w:val="both"/>
        <w:ind w:left="660" w:hanging="328"/>
        <w:spacing w:after="0" w:line="266"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successful rollout of the ePort Engage and ePort Engage Combo devices which began shipping during the current fiscal year. ePort Engage series is our next generation of digital touchscreen devices for the market which provides retailers the ability to captivate consumers in new ways and enables truly frictionless purchasing.</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Cantaloupe announced and launched a bundled subscription model, the Cantaloupe ONE Platform which provides operators the flexibility and predictability of a monthly, fixed subscription amount covering the hardware and service fees.</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Entered into an amended and restated credit agreement (the "Amended JP Morgan Credit Facility") with JP Morgan Chase Bank, N.A. in March 2022 that provides for a $15 million secured revolving credit facility and a $25 million secured term facility, which replaces our previous 2021 JPMorgan Credit Facility.</w:t>
      </w:r>
    </w:p>
    <w:p>
      <w:pPr>
        <w:spacing w:after="0" w:line="67" w:lineRule="exact"/>
        <w:rPr>
          <w:rFonts w:ascii="Times New Roman" w:cs="Times New Roman" w:eastAsia="Times New Roman" w:hAnsi="Times New Roman"/>
          <w:sz w:val="18"/>
          <w:szCs w:val="18"/>
          <w:color w:val="auto"/>
        </w:rPr>
      </w:pPr>
    </w:p>
    <w:p>
      <w:pPr>
        <w:jc w:val="both"/>
        <w:ind w:left="660" w:right="20" w:hanging="328"/>
        <w:spacing w:after="0" w:line="261"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announced a partnership with HIVERY, a data-science company that specializes in Artificial Intelligence ("AI") technology to streamline category management for retailers in the consumer packaged goods industry. The partnership aims to provide the Company's Seed customers an enhanced merchandising technology leveraging AI and Machine Learning to improve vending machine performance. The integration was available to customers as of June 30, 2022.</w:t>
      </w:r>
    </w:p>
    <w:p>
      <w:pPr>
        <w:spacing w:after="0" w:line="71"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expanded its machine compatibility for remote price change (RPC), a feature within the Seed suite of services that enables customers to make price changes to products at vending machines remotely. Customers started subscribing to RPC in the quarter ended June 30, 2022.</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 Update</w:t>
      </w:r>
    </w:p>
    <w:p>
      <w:pPr>
        <w:spacing w:after="0" w:line="23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its employees, and its customers operate in geographic locations in which its business operations and financial performance continues to be affected by the COVID-19 pandemic. While businesses, schools and other organizations re-open, which has led to increased foot-traffic to distributed assets containing our electronic payment solutions, the emergence of new strains and variants and resurgence of the virus, such as the outbreak of the Omicron variant in early calendar year 2022, have and may in the future lead to additional shutdowns and closures that impact our operations and financial results. Such impacts to our financial statements have in the past included, and may in the future include the impairment of goodwill and intangible assets, impairment of long-lived assets including operating lease assets, property and equipment and allowance for doubtful accounts for accounts and finance receivables. We have concluded that there are no material impairments as a result of our evaluation for the year ended June 30, 2022. Where applicable, we have incorporated judgments and estimates of the expected impact of COVID-19 in the preparation of the financial statements based on information currently available. These judgments and estimates may change, as new events develop and additional information is obtained, and are recognized in the consolidated financial statements as soon as they become known.</w:t>
      </w:r>
    </w:p>
    <w:p>
      <w:pPr>
        <w:spacing w:after="0" w:line="2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we are encouraged by our strong operating and financial results, we continue to monitor the evolving situation and follow guidance from federal, state and local public health authorities. Given the potential uncertainty of the situation, the Company cannot, at this time, reasonably estimate the longer-term repercussions of COVID-19 on our financial condition, results of operations or cash flows.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consolidated financial statements are prepared in accordance with U.S. generally accepted accounting principles (“U.S. GAAP”, "GAAP"), and they conform to general practices in our industry. The preparation of financial statements and related disclosures in conformity with U.S. GAAP requires management to make judgments, assumptions, and estimates that affect the amounts reported in the consolidated financial statements and accompanying notes.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Critical accounting policies require numerous estimates and strategic or economic assumptions that may prove inaccurate or subject to variations and may significantly affect our reported results and financial position for the period or in future periods. Changes in underlying factors, assumptions, or estimates in any of these areas could have a material impact on our future financial condition and results of operations. We apply critical accounting policies consistently from period to period and intend that any change in methodology occur in an appropriate manner.</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Accounting policies currently deemed critical to our business operations and the understanding of our results of operations are listed below. For a detailed discussion on the application of these and other accounting policies, see Note 2 to our consolidated financial statements included in this Annual Report.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i w:val="1"/>
          <w:iCs w:val="1"/>
          <w:color w:val="auto"/>
        </w:rPr>
        <w:t xml:space="preserve">Revenue Recognition. </w:t>
      </w:r>
      <w:r>
        <w:rPr>
          <w:rFonts w:ascii="Times New Roman" w:cs="Times New Roman" w:eastAsia="Times New Roman" w:hAnsi="Times New Roman"/>
          <w:sz w:val="18"/>
          <w:szCs w:val="18"/>
          <w:color w:val="auto"/>
        </w:rPr>
        <w:t>The Company derives revenue primarily from the sale or lease of equipment and services to the small ticket, unattended POS market.</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application of the accounting principles in U.S. GAAP related to the measurement and recognition of revenue requires us to make judgments and estimates. Complex arrangements may require significant judgment in contract interpretation to determine the appropriate accounting.</w:t>
      </w:r>
    </w:p>
    <w:p>
      <w:pPr>
        <w:spacing w:after="0" w:line="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enters into arrangements with multiple performance obligations, which may include various combinations of equipment and services. Our equipment and service deliverables qualify as separate performance obligations and can be sold on a standalone basis. A deliverable constitutes a separate unit of accounting when it has standalone value and, where return rights exist, delivery or performance of the undelivered items is considered probable and substantially within the Company’s control. For these multiple deliverable arrangements, the Company allocates revenue to the deliverables based on their relative standalone selling prices. To the extent that a deliverable is subject to specific guidance on whether and/or how to allocate the consideration in a multiple element arrangement, that deliverable is accounted for in accordance with such specific guidance. The Company limits the amount of revenue recognition for delivered items to the amount that is not contingent on the future delivery of products or services or meeting other future performance obligations.</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Capitalization of internal-use software and cloud computing arrangements. </w:t>
      </w:r>
      <w:r>
        <w:rPr>
          <w:rFonts w:ascii="Times New Roman" w:cs="Times New Roman" w:eastAsia="Times New Roman" w:hAnsi="Times New Roman"/>
          <w:sz w:val="18"/>
          <w:szCs w:val="18"/>
          <w:color w:val="auto"/>
        </w:rPr>
        <w:t>We have significant expenditures associated with the technological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maintenance and improvement of our network and technology offerings. These expenditures include both the cost of internal employees, who spend portions of their time on various technological projects, and the use of external temporary labor and consultants. Capitalization of internal-use software occurs when we have completed the preliminary project stage, management authorizes the project, management commits to funding the project, it is probable the project will be completed and the project will be used to perform the function intended. We are required to assess these expenditures and make a determination as to whether the costs should be expensed as incurred or are subject to capitalization. In making these determinations, we consider the stage of the development project, the probability of successful development and if the development is resulting in increased features and functionality. In addition, if we determine that a project qualifies for capitalization, the amount of capitalization is subject to various estimates, including the amount of time spent on the development work and the cost of internal employees and external consultants. Internal-use software is included within Property and equipment, net on our Consolidated Balance Sheets and is amortized over its estimated useful life, which is typically 3 to 7 years.</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capitalize certain costs related to hosting arrangements that are service contracts (cloud computing arrangements) following the internal-use software capitalization criteria described above. Our cloud computing arrangements involve services we use to support internal corporate functions, our platforms and technology offerings. Capitalized costs relating to cloud computing arrangements are included within Prepaid expenses and other current assets or Other assets on our Consolidated Balance Sheets and are amortized on a straight-line basis over the estimated useful life, which is typically 3 to 5 years.</w:t>
      </w:r>
    </w:p>
    <w:p>
      <w:pPr>
        <w:spacing w:after="0" w:line="9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Goodwill. </w:t>
      </w:r>
      <w:r>
        <w:rPr>
          <w:rFonts w:ascii="Times New Roman" w:cs="Times New Roman" w:eastAsia="Times New Roman" w:hAnsi="Times New Roman"/>
          <w:sz w:val="18"/>
          <w:szCs w:val="18"/>
          <w:color w:val="auto"/>
        </w:rPr>
        <w:t>We test goodwill for impairment at least annually, or more frequently if events or changes in circumstances indicate that impairment may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occurred. Goodwill is reviewed for impairment utilizing either a qualitative or a quantitative goodwill impairment test. If we choose to perform a qualitative assessment and determine the fair value more likely than not exceeds the carrying value, no further evaluation is necessary. When we perform the quantitative goodwill impairment test, we compare the fair value of our reporting unit to its carrying value. If the fair value of the reporting unit exceeds its carrying value, then goodwill is not considered impaired. An impairment charge is recognized for the amount by which, if any, the carrying value exceeds the reporting unit’s fair value. However, the loss recognized cannot exceed the reporting unit’s goodwill balance.</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quantitative impairment test process requires valuation of the reporting unit, which we determine using the income approach, the market approach or a combination of the two approaches. Under the income approach, we calculate the fair value of the reporting unit based on the present value of estimated future cash flows derived from assumptions that include expected growth rates and revenues, projected expenses, discount rates, capital expenditures and income tax rates. Under the market approach, we estimate the fair value based on the quoted stock price, recent equity transactions of our business, market transactions involving similar businesses and market comparables.</w:t>
      </w:r>
    </w:p>
    <w:p>
      <w:pPr>
        <w:spacing w:after="0" w:line="1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has selected April 1 as its annual goodwill impairment testing date. The Company has concluded there has been no impairment of goodwill during the years ended June 30, 2022, 2021, or 2020. </w:t>
      </w:r>
      <w:r>
        <w:rPr>
          <w:rFonts w:ascii="Times New Roman" w:cs="Times New Roman" w:eastAsia="Times New Roman" w:hAnsi="Times New Roman"/>
          <w:sz w:val="18"/>
          <w:szCs w:val="18"/>
          <w:color w:val="212529"/>
        </w:rPr>
        <w:t>As of the date of our annual impairment test for fiscal year 2022, the fair value of our reporting unit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exceeded its carrying value by a significant margin. </w:t>
      </w:r>
      <w:r>
        <w:rPr>
          <w:rFonts w:ascii="Times New Roman" w:cs="Times New Roman" w:eastAsia="Times New Roman" w:hAnsi="Times New Roman"/>
          <w:sz w:val="18"/>
          <w:szCs w:val="18"/>
          <w:color w:val="000000"/>
        </w:rPr>
        <w:t>Subsequent to our annual impairment test, no indicators of impairment were identified. As of June 30,</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2022, if our estimate of the fair value of our reporting unit was 10% lower, no goodwill impairment would have existed.</w:t>
      </w:r>
    </w:p>
    <w:p>
      <w:pPr>
        <w:spacing w:after="0" w:line="9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Impairment of Long-Lived Assets. </w:t>
      </w:r>
      <w:r>
        <w:rPr>
          <w:rFonts w:ascii="Times New Roman" w:cs="Times New Roman" w:eastAsia="Times New Roman" w:hAnsi="Times New Roman"/>
          <w:sz w:val="18"/>
          <w:szCs w:val="18"/>
          <w:color w:val="auto"/>
        </w:rPr>
        <w:t>We review long-lived assets, such as finite-lived intangible assets, property and equipment and operating lease right-of-use assets for potential impairment, when there is evidence that events or changes in circumstances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5" w:right="339" w:bottom="1440" w:gutter="0" w:footer="0" w:header="0"/>
        </w:sectPr>
      </w:pPr>
    </w:p>
    <w:bookmarkStart w:id="34" w:name="page35"/>
    <w:bookmarkEnd w:id="34"/>
    <w:p>
      <w:pPr>
        <w:jc w:val="both"/>
        <w:spacing w:after="0" w:line="258" w:lineRule="auto"/>
        <w:rPr>
          <w:sz w:val="20"/>
          <w:szCs w:val="20"/>
          <w:color w:val="auto"/>
        </w:rPr>
      </w:pPr>
      <w:r>
        <w:rPr>
          <w:rFonts w:ascii="Times New Roman" w:cs="Times New Roman" w:eastAsia="Times New Roman" w:hAnsi="Times New Roman"/>
          <w:sz w:val="18"/>
          <w:szCs w:val="18"/>
          <w:color w:val="auto"/>
        </w:rPr>
        <w:t>which indicate that the carrying value of an asset may not be recoverable. If the sum of the expected future undiscounted cash flow is less than the carrying amount of the asset, an impairment is indicated. A loss is then recognized for the difference, if any, between the fair value of the asset (as estimated by management using its best judgment) and the carrying value of the asset. If actual market value is less favorable than that estimated by management, additional write-downs may be required. We recorded an impairment charge relating to our operating lease right-of-use assets of $1.6 million for the fiscal year ended June 30, 2021. There were no material impairment charges recorded for the fiscal year ended June 30, 2022.</w:t>
      </w:r>
    </w:p>
    <w:p>
      <w:pPr>
        <w:spacing w:after="0" w:line="10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i w:val="1"/>
          <w:iCs w:val="1"/>
          <w:color w:val="auto"/>
        </w:rPr>
        <w:t xml:space="preserve">Allowances for Accounts and Finance Receivables. </w:t>
      </w:r>
      <w:r>
        <w:rPr>
          <w:rFonts w:ascii="Times New Roman" w:cs="Times New Roman" w:eastAsia="Times New Roman" w:hAnsi="Times New Roman"/>
          <w:sz w:val="18"/>
          <w:szCs w:val="18"/>
          <w:color w:val="auto"/>
        </w:rPr>
        <w:t>We maintain lifetime expected loss allowances for accounts and finance receivables based on historical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experience of payment performance, current conditions of the customer, and reasonable and supportable economic forecasts of collectability for the asset’s entire expected life, which is generally less than one year for accounts receivable and five years for finance receivables. Historical loss experience is utilized as there have been no significant changes in the mix or risk characteristics of the receivable revenue streams used to calculate historical loss rates. Current conditions are analyzed at each measurement date to reassess whether our receivables continue to exhibit similar risk characteristics as the prior measurement date, and determine if the reserve calculation needs to be adjusted for new developments, such as a customer’s inability to meet its financial obligations. Reasonable and supportable macroeconomic trends also are incorporated into the analysis. Estimating the allowances therefore requires us to apply judgment in relying on historical customer payment experience, regularly analyzing the financial condition of our customers, and developing macroeconomic forecasts to adequately cover expected credit losses on our receivables. By nature, such estimates are highly subjective, and it is possible that the amount of receivables that we are unable to collect may be different than the amounts initially estimated in the allowances.</w:t>
      </w:r>
    </w:p>
    <w:p>
      <w:pPr>
        <w:spacing w:after="0" w:line="13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Inventories. </w:t>
      </w:r>
      <w:r>
        <w:rPr>
          <w:rFonts w:ascii="Times New Roman" w:cs="Times New Roman" w:eastAsia="Times New Roman" w:hAnsi="Times New Roman"/>
          <w:sz w:val="18"/>
          <w:szCs w:val="18"/>
          <w:color w:val="auto"/>
        </w:rPr>
        <w:t>We determine the value of inventories using the lower of cost or net realizable value. We write down inventories for the difference between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carrying value of the inventories and their net realizable value. If actual market conditions are less favorable than those projected by management, additional write-downs may be required.</w:t>
      </w:r>
    </w:p>
    <w:p>
      <w:pPr>
        <w:spacing w:after="0" w:line="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estimate our reserves for inventory obsolescence by continuously examining our inventories to determine if there are indicators that carrying values exceed net realizable values. Experience has shown that significant indicators that could require the need for additional inventory write-downs are the age of the inventory, the length of its product life cycles, anticipated demand for our products, changes to technical standards required by payment companies or by law, and current economic conditions. While we believe that adequate write-downs for inventory obsolescence have been made in the consolidated financial statements, actual demand could be less than forecasted demand for our products and we could experience additional inventory write-downs in the future.</w:t>
      </w:r>
    </w:p>
    <w:p>
      <w:pPr>
        <w:spacing w:after="0" w:line="11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Loss Contingencies. </w:t>
      </w:r>
      <w:r>
        <w:rPr>
          <w:rFonts w:ascii="Times New Roman" w:cs="Times New Roman" w:eastAsia="Times New Roman" w:hAnsi="Times New Roman"/>
          <w:sz w:val="18"/>
          <w:szCs w:val="18"/>
          <w:color w:val="auto"/>
        </w:rPr>
        <w:t>Loss contingencies are uncertain and unresolved matters that arise in the ordinary course of business and result from events or actions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others that have the potential to result in a future loss. Such contingencies include, but are not limited to, litigation.</w:t>
      </w:r>
    </w:p>
    <w:p>
      <w:pPr>
        <w:spacing w:after="0" w:line="9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When a loss is considered probable and reasonably estimable, we record a liability in the amount of our best estimate for the ultimate loss. When there appears to be a range of possible costs with equal likelihood, liabilities are based on the low-end of such range. However, the likelihood of a loss with respect to a particular contingency is often difficult to predict and determining a meaningful estimate of the loss or a range of loss may not be practicable based on the information available and the potential effect of future events and decisions by third parties that will determine the ultimate resolution of the contingency. Moreover, it is not uncommon for such matters to be resolved over many years, during which time relevant developments and new information must be continuously evaluated to determine both the likelihood of potential loss and whether it is possible to reasonably estimate a range of possible loss.</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Disclosure is provided for material loss contingencies when a loss is probable but a reasonable estimate cannot be made, and when it is reasonably possible that a loss will be incurred or when it is reasonably possible that the amount of a loss will exceed the recorded provision. We regularly review all contingencies to determine whether the likelihood of loss has changed and to assess whether a reasonable estimate of the loss or range of loss can be made. As discussed above, development of a meaningful estimate of loss or a range of potential loss is complex when the outcome is directly dependent on negotiations with or decisions by third parties, such as regulatory agencies, the court system and other interested parties. Such factors bear directly on whether it is possible to reasonably estimate a range of potential loss and boundaries of high and low estimates.</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Deferred Income Tax Assets and Liabilities. </w:t>
      </w:r>
      <w:r>
        <w:rPr>
          <w:rFonts w:ascii="Times New Roman" w:cs="Times New Roman" w:eastAsia="Times New Roman" w:hAnsi="Times New Roman"/>
          <w:sz w:val="18"/>
          <w:szCs w:val="18"/>
          <w:color w:val="auto"/>
        </w:rPr>
        <w:t>The carrying values of deferred income tax assets and liabilities reflect the application of our income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policies in accordance with applicable accounting standards and are based on management’s assumptions and estimates regarding future operating results and levels of taxable income, as well as management’s judgment regarding the interpretation of the provisions of applicable accounting standards. The carrying values of liabilities for income taxes currently payable are based on management’s interpretations of applicable tax laws and incorporate management’s assumptions and judgments regarding the use of tax planning strategies in various taxing jurisdictions.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5" w:name="page36"/>
    <w:bookmarkEnd w:id="35"/>
    <w:p>
      <w:pPr>
        <w:jc w:val="both"/>
        <w:spacing w:after="0" w:line="255" w:lineRule="auto"/>
        <w:rPr>
          <w:sz w:val="20"/>
          <w:szCs w:val="20"/>
          <w:color w:val="auto"/>
        </w:rPr>
      </w:pPr>
      <w:r>
        <w:rPr>
          <w:rFonts w:ascii="Times New Roman" w:cs="Times New Roman" w:eastAsia="Times New Roman" w:hAnsi="Times New Roman"/>
          <w:sz w:val="18"/>
          <w:szCs w:val="18"/>
          <w:color w:val="auto"/>
        </w:rPr>
        <w:t>We evaluate the recoverability of these deferred tax assets by assessing the adequacy of future expected taxable income from all sources, including reversal of taxable temporary differences, forecasted operating earnings and available tax planning strategies. These sources of income inherently rely heavily on estimates. We use our historical experience and our short and long-term business forecasts to provide insight. To the extent we do not consider it more likely than not that a deferred tax asset will be recovered, a valuation allowance is established. Federal and state net operating loss carryforwards are reserved with a full valuation allowance because, based on the available evidence, we believe it is more likely than not that we would not be able to utilize those deferred tax assets in the future. If the actual amounts of taxable income differ from our estimates, the amount of our valuation allowance could be materially impacted.</w:t>
      </w:r>
    </w:p>
    <w:p>
      <w:pPr>
        <w:spacing w:after="0" w:line="11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Sales tax reserve. </w:t>
      </w:r>
      <w:r>
        <w:rPr>
          <w:rFonts w:ascii="Times New Roman" w:cs="Times New Roman" w:eastAsia="Times New Roman" w:hAnsi="Times New Roman"/>
          <w:sz w:val="18"/>
          <w:szCs w:val="18"/>
          <w:color w:val="auto"/>
        </w:rPr>
        <w:t>The Company has recorded a contingent liability for sales tax, included in accrued expenses in the Consolidated Balance Sheets. On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quarterly basis, the Company accrues interest on the unpaid balance. The estimated liability is adjusted upon the payment of sales tax related to the accrual, the changes in state tax laws that may impact the accrual and the expiration of the statute of limitations for open years under review. The liability includes significant judgments and estimates that may change in the future, and the actual liability may be different from our current estimate. Changes to the sales tax reserve amount are recorded within general and administrative expenses and interest expense in the Consolidated Statements of Operations and accrued expenses in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shows certain financial and non-financial data that management believes give readers insight into certain trends and relationships about the Company’s financial performance. We believe the metrics (Active Devices, Active Customers, Total Number of Transactions and Total Dollar Volume of Transactions) are useful in allowing management and readers to evaluate our strategy of driving growth in devices and transactions.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Active Devices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Active Devices are devices that have communicated with us or have had a transaction in the last twelve months. Included in the number of Active Devices are devices that communicate through other devices that communicate or transact with us. A self-service retail location that utilizes an ePort cashless payment device as well as Seed management services constitutes only one device.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Active Customers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defines Active Customers as all customers with at least one active device.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Number Of Transactions and Total Dollar Volume of Transactions</w:t>
      </w:r>
    </w:p>
    <w:p>
      <w:pPr>
        <w:spacing w:after="0" w:line="23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Transactions are defined as electronic payment transactions that are processed by our technology-enabled solutions. Management uses Total Number of Transactions and Total Dollar Volume of Transactions to monitor recovery from the COVID-19 pandemic and to evaluate the effectiveness of our new customer strategy and ability to leverage existing customers and partners.</w:t>
      </w:r>
    </w:p>
    <w:p>
      <w:pPr>
        <w:sectPr>
          <w:pgSz w:w="11900" w:h="16838" w:orient="portrait"/>
          <w:cols w:equalWidth="0" w:num="1">
            <w:col w:w="11240"/>
          </w:cols>
          <w:pgMar w:left="320" w:top="110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Devices:</w:t>
      </w:r>
    </w:p>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Active Devices (thousands)</w:t>
      </w:r>
    </w:p>
    <w:p>
      <w:pPr>
        <w:spacing w:after="0" w:line="2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Active Customers</w:t>
      </w:r>
    </w:p>
    <w:p>
      <w:pPr>
        <w:spacing w:after="0" w:line="2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Volumes:</w:t>
      </w:r>
    </w:p>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Number of Transactions (millions)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Dollar Volume of Transactions (millions)</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Highlights for the fiscal year ended June 30, 2022 include: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As of and for the years ended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540" w:type="dxa"/>
            <w:vAlign w:val="bottom"/>
            <w:tcBorders>
              <w:top w:val="single" w:sz="8" w:color="auto"/>
              <w:bottom w:val="single" w:sz="8" w:color="auto"/>
            </w:tcBorders>
          </w:tcPr>
          <w:p>
            <w:pPr>
              <w:jc w:val="right"/>
              <w:ind w:right="934"/>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280" w:type="dxa"/>
            <w:vAlign w:val="bottom"/>
            <w:tcBorders>
              <w:top w:val="single" w:sz="8" w:color="auto"/>
              <w:bottom w:val="single" w:sz="8" w:color="auto"/>
            </w:tcBorders>
          </w:tcPr>
          <w:p>
            <w:pPr>
              <w:jc w:val="right"/>
              <w:ind w:right="934"/>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1940" w:type="dxa"/>
            <w:vAlign w:val="bottom"/>
            <w:tcBorders>
              <w:top w:val="single" w:sz="8" w:color="auto"/>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June 30, 2020</w:t>
            </w:r>
          </w:p>
        </w:tc>
      </w:tr>
      <w:tr>
        <w:trPr>
          <w:trHeight w:val="459"/>
        </w:trPr>
        <w:tc>
          <w:tcPr>
            <w:tcW w:w="2540" w:type="dxa"/>
            <w:vAlign w:val="bottom"/>
          </w:tcPr>
          <w:p>
            <w:pPr>
              <w:jc w:val="right"/>
              <w:ind w:right="334"/>
              <w:spacing w:after="0"/>
              <w:rPr>
                <w:sz w:val="20"/>
                <w:szCs w:val="20"/>
                <w:color w:val="auto"/>
              </w:rPr>
            </w:pPr>
            <w:r>
              <w:rPr>
                <w:rFonts w:ascii="Times New Roman" w:cs="Times New Roman" w:eastAsia="Times New Roman" w:hAnsi="Times New Roman"/>
                <w:sz w:val="18"/>
                <w:szCs w:val="18"/>
                <w:color w:val="auto"/>
              </w:rPr>
              <w:t>1,137</w:t>
            </w:r>
          </w:p>
        </w:tc>
        <w:tc>
          <w:tcPr>
            <w:tcW w:w="2280" w:type="dxa"/>
            <w:vAlign w:val="bottom"/>
          </w:tcPr>
          <w:p>
            <w:pPr>
              <w:jc w:val="right"/>
              <w:ind w:right="334"/>
              <w:spacing w:after="0"/>
              <w:rPr>
                <w:sz w:val="20"/>
                <w:szCs w:val="20"/>
                <w:color w:val="auto"/>
              </w:rPr>
            </w:pPr>
            <w:r>
              <w:rPr>
                <w:rFonts w:ascii="Times New Roman" w:cs="Times New Roman" w:eastAsia="Times New Roman" w:hAnsi="Times New Roman"/>
                <w:sz w:val="18"/>
                <w:szCs w:val="18"/>
                <w:color w:val="auto"/>
              </w:rPr>
              <w:t>1,094</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w:t>
            </w:r>
          </w:p>
        </w:tc>
      </w:tr>
      <w:tr>
        <w:trPr>
          <w:trHeight w:val="769"/>
        </w:trPr>
        <w:tc>
          <w:tcPr>
            <w:tcW w:w="2540" w:type="dxa"/>
            <w:vAlign w:val="bottom"/>
          </w:tcPr>
          <w:p>
            <w:pPr>
              <w:jc w:val="right"/>
              <w:ind w:right="334"/>
              <w:spacing w:after="0"/>
              <w:rPr>
                <w:sz w:val="20"/>
                <w:szCs w:val="20"/>
                <w:color w:val="auto"/>
              </w:rPr>
            </w:pPr>
            <w:r>
              <w:rPr>
                <w:rFonts w:ascii="Times New Roman" w:cs="Times New Roman" w:eastAsia="Times New Roman" w:hAnsi="Times New Roman"/>
                <w:sz w:val="18"/>
                <w:szCs w:val="18"/>
                <w:color w:val="auto"/>
              </w:rPr>
              <w:t>23,991</w:t>
            </w:r>
          </w:p>
        </w:tc>
        <w:tc>
          <w:tcPr>
            <w:tcW w:w="2280" w:type="dxa"/>
            <w:vAlign w:val="bottom"/>
          </w:tcPr>
          <w:p>
            <w:pPr>
              <w:jc w:val="right"/>
              <w:ind w:right="334"/>
              <w:spacing w:after="0"/>
              <w:rPr>
                <w:sz w:val="20"/>
                <w:szCs w:val="20"/>
                <w:color w:val="auto"/>
              </w:rPr>
            </w:pPr>
            <w:r>
              <w:rPr>
                <w:rFonts w:ascii="Times New Roman" w:cs="Times New Roman" w:eastAsia="Times New Roman" w:hAnsi="Times New Roman"/>
                <w:sz w:val="18"/>
                <w:szCs w:val="18"/>
                <w:color w:val="auto"/>
              </w:rPr>
              <w:t>19,834</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17,249</w:t>
            </w:r>
          </w:p>
        </w:tc>
      </w:tr>
      <w:tr>
        <w:trPr>
          <w:trHeight w:val="770"/>
        </w:trPr>
        <w:tc>
          <w:tcPr>
            <w:tcW w:w="2540" w:type="dxa"/>
            <w:vAlign w:val="bottom"/>
          </w:tcPr>
          <w:p>
            <w:pPr>
              <w:jc w:val="right"/>
              <w:ind w:right="334"/>
              <w:spacing w:after="0"/>
              <w:rPr>
                <w:sz w:val="20"/>
                <w:szCs w:val="20"/>
                <w:color w:val="auto"/>
              </w:rPr>
            </w:pPr>
            <w:r>
              <w:rPr>
                <w:rFonts w:ascii="Times New Roman" w:cs="Times New Roman" w:eastAsia="Times New Roman" w:hAnsi="Times New Roman"/>
                <w:sz w:val="18"/>
                <w:szCs w:val="18"/>
                <w:color w:val="auto"/>
              </w:rPr>
              <w:t>1,052.8</w:t>
            </w:r>
          </w:p>
        </w:tc>
        <w:tc>
          <w:tcPr>
            <w:tcW w:w="2280" w:type="dxa"/>
            <w:vAlign w:val="bottom"/>
          </w:tcPr>
          <w:p>
            <w:pPr>
              <w:jc w:val="right"/>
              <w:ind w:right="334"/>
              <w:spacing w:after="0"/>
              <w:rPr>
                <w:sz w:val="20"/>
                <w:szCs w:val="20"/>
                <w:color w:val="auto"/>
              </w:rPr>
            </w:pPr>
            <w:r>
              <w:rPr>
                <w:rFonts w:ascii="Times New Roman" w:cs="Times New Roman" w:eastAsia="Times New Roman" w:hAnsi="Times New Roman"/>
                <w:sz w:val="18"/>
                <w:szCs w:val="18"/>
                <w:color w:val="auto"/>
              </w:rPr>
              <w:t>868.7</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881.1</w:t>
            </w:r>
          </w:p>
        </w:tc>
      </w:tr>
      <w:tr>
        <w:trPr>
          <w:trHeight w:val="270"/>
        </w:trPr>
        <w:tc>
          <w:tcPr>
            <w:tcW w:w="2540" w:type="dxa"/>
            <w:vAlign w:val="bottom"/>
          </w:tcPr>
          <w:p>
            <w:pPr>
              <w:jc w:val="right"/>
              <w:ind w:right="334"/>
              <w:spacing w:after="0"/>
              <w:rPr>
                <w:sz w:val="20"/>
                <w:szCs w:val="20"/>
                <w:color w:val="auto"/>
              </w:rPr>
            </w:pPr>
            <w:r>
              <w:rPr>
                <w:rFonts w:ascii="Times New Roman" w:cs="Times New Roman" w:eastAsia="Times New Roman" w:hAnsi="Times New Roman"/>
                <w:sz w:val="18"/>
                <w:szCs w:val="18"/>
                <w:color w:val="auto"/>
              </w:rPr>
              <w:t>2,286.7</w:t>
            </w:r>
          </w:p>
        </w:tc>
        <w:tc>
          <w:tcPr>
            <w:tcW w:w="2280" w:type="dxa"/>
            <w:vAlign w:val="bottom"/>
          </w:tcPr>
          <w:p>
            <w:pPr>
              <w:jc w:val="right"/>
              <w:ind w:right="334"/>
              <w:spacing w:after="0"/>
              <w:rPr>
                <w:sz w:val="20"/>
                <w:szCs w:val="20"/>
                <w:color w:val="auto"/>
              </w:rPr>
            </w:pPr>
            <w:r>
              <w:rPr>
                <w:rFonts w:ascii="Times New Roman" w:cs="Times New Roman" w:eastAsia="Times New Roman" w:hAnsi="Times New Roman"/>
                <w:sz w:val="18"/>
                <w:szCs w:val="18"/>
                <w:color w:val="auto"/>
              </w:rPr>
              <w:t>1,756.6</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1,729.4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-2839085</wp:posOffset>
            </wp:positionH>
            <wp:positionV relativeFrom="paragraph">
              <wp:posOffset>-1447800</wp:posOffset>
            </wp:positionV>
            <wp:extent cx="7132320" cy="1454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-1130935</wp:posOffset>
            </wp:positionV>
            <wp:extent cx="713232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-814070</wp:posOffset>
            </wp:positionV>
            <wp:extent cx="713232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-471170</wp:posOffset>
            </wp:positionV>
            <wp:extent cx="7132320" cy="1454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-153670</wp:posOffset>
            </wp:positionV>
            <wp:extent cx="713232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616" w:lineRule="exact"/>
        <w:rPr>
          <w:sz w:val="20"/>
          <w:szCs w:val="20"/>
          <w:color w:val="auto"/>
        </w:rPr>
      </w:pPr>
    </w:p>
    <w:p>
      <w:pPr>
        <w:sectPr>
          <w:pgSz w:w="11900" w:h="16838" w:orient="portrait"/>
          <w:cols w:equalWidth="0" w:num="2">
            <w:col w:w="4220" w:space="260"/>
            <w:col w:w="6760"/>
          </w:cols>
          <w:pgMar w:left="320" w:top="1103" w:right="339" w:bottom="1440" w:gutter="0" w:footer="0" w:header="0"/>
          <w:type w:val="continuous"/>
        </w:sectPr>
      </w:pPr>
    </w:p>
    <w:p>
      <w:pPr>
        <w:ind w:left="660" w:right="2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1.14 million Active Devices as of June 30, 2022 compared to 1.09 million as of June 30, 2021, an increase of approximately 43 thousand Active Devices, or 4.0%;</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23,991 Active Customers to our service as of June 30, 2022 compared to 19,834 as of June 30, 2021, an increase of 4,157 Active Customers, or 21%.</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2.3 billion in dollar volume of transactions for the year ended June 30, 2022 compared to 1.8 billion for the year ended June 30, 2021, an increase of $0.53 billion, or 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FINANCIAL HIGHLIGHTS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and charts summarize our results of operations and significant changes in our financial performance for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5572125" cy="53574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572125" cy="5357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20"/>
          </w:cols>
          <w:pgMar w:left="320" w:top="887" w:right="9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Revenues and Gross Profit</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20" w:type="dxa"/>
            <w:vAlign w:val="bottom"/>
            <w:gridSpan w:val="3"/>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0" w:type="dxa"/>
            <w:vAlign w:val="bottom"/>
          </w:tcPr>
          <w:p>
            <w:pPr>
              <w:spacing w:after="0"/>
              <w:rPr>
                <w:sz w:val="1"/>
                <w:szCs w:val="1"/>
                <w:color w:val="auto"/>
              </w:rPr>
            </w:pPr>
          </w:p>
        </w:tc>
      </w:tr>
      <w:tr>
        <w:trPr>
          <w:trHeight w:val="23"/>
        </w:trPr>
        <w:tc>
          <w:tcPr>
            <w:tcW w:w="3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86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146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2022 v. 2021</w:t>
            </w:r>
          </w:p>
        </w:tc>
        <w:tc>
          <w:tcPr>
            <w:tcW w:w="1360" w:type="dxa"/>
            <w:vAlign w:val="bottom"/>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2021 v. 2020</w:t>
            </w:r>
          </w:p>
        </w:tc>
        <w:tc>
          <w:tcPr>
            <w:tcW w:w="0" w:type="dxa"/>
            <w:vAlign w:val="bottom"/>
          </w:tcPr>
          <w:p>
            <w:pPr>
              <w:spacing w:after="0"/>
              <w:rPr>
                <w:sz w:val="1"/>
                <w:szCs w:val="1"/>
                <w:color w:val="auto"/>
              </w:rPr>
            </w:pPr>
          </w:p>
        </w:tc>
      </w:tr>
      <w:tr>
        <w:trPr>
          <w:trHeight w:val="202"/>
        </w:trPr>
        <w:tc>
          <w:tcPr>
            <w:tcW w:w="3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3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Subscription and transaction fees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168,850</w:t>
            </w:r>
          </w:p>
        </w:tc>
        <w:tc>
          <w:tcPr>
            <w:tcW w:w="120" w:type="dxa"/>
            <w:vAlign w:val="bottom"/>
          </w:tcPr>
          <w:p>
            <w:pPr>
              <w:spacing w:after="0"/>
              <w:rPr>
                <w:sz w:val="18"/>
                <w:szCs w:val="18"/>
                <w:color w:val="auto"/>
              </w:rPr>
            </w:pPr>
          </w:p>
        </w:tc>
        <w:tc>
          <w:tcPr>
            <w:tcW w:w="32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139,242</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133,167</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21.3 %</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4.6 %</w:t>
            </w:r>
          </w:p>
        </w:tc>
        <w:tc>
          <w:tcPr>
            <w:tcW w:w="0" w:type="dxa"/>
            <w:vAlign w:val="bottom"/>
          </w:tcPr>
          <w:p>
            <w:pPr>
              <w:spacing w:after="0"/>
              <w:rPr>
                <w:sz w:val="1"/>
                <w:szCs w:val="1"/>
                <w:color w:val="auto"/>
              </w:rPr>
            </w:pPr>
          </w:p>
        </w:tc>
      </w:tr>
      <w:tr>
        <w:trPr>
          <w:trHeight w:val="219"/>
        </w:trPr>
        <w:tc>
          <w:tcPr>
            <w:tcW w:w="3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Equipment sales</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36,352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27,697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29,986</w:t>
            </w: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31.2 %</w:t>
            </w: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0" w:type="dxa"/>
            <w:vAlign w:val="bottom"/>
          </w:tcPr>
          <w:p>
            <w:pPr>
              <w:spacing w:after="0"/>
              <w:rPr>
                <w:sz w:val="1"/>
                <w:szCs w:val="1"/>
                <w:color w:val="auto"/>
              </w:rPr>
            </w:pPr>
          </w:p>
        </w:tc>
      </w:tr>
      <w:tr>
        <w:trPr>
          <w:trHeight w:val="207"/>
        </w:trPr>
        <w:tc>
          <w:tcPr>
            <w:tcW w:w="38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revenue</w:t>
            </w:r>
          </w:p>
        </w:tc>
        <w:tc>
          <w:tcPr>
            <w:tcW w:w="320" w:type="dxa"/>
            <w:vAlign w:val="bottom"/>
          </w:tcPr>
          <w:p>
            <w:pPr>
              <w:spacing w:after="0"/>
              <w:rPr>
                <w:sz w:val="17"/>
                <w:szCs w:val="17"/>
                <w:color w:val="auto"/>
              </w:rPr>
            </w:pPr>
          </w:p>
        </w:tc>
        <w:tc>
          <w:tcPr>
            <w:tcW w:w="10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205,202</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166,939</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163,153</w:t>
            </w:r>
          </w:p>
        </w:tc>
        <w:tc>
          <w:tcPr>
            <w:tcW w:w="1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22.9 %</w:t>
            </w:r>
          </w:p>
        </w:tc>
        <w:tc>
          <w:tcPr>
            <w:tcW w:w="1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2.3 %</w:t>
            </w:r>
          </w:p>
        </w:tc>
        <w:tc>
          <w:tcPr>
            <w:tcW w:w="0" w:type="dxa"/>
            <w:vAlign w:val="bottom"/>
          </w:tcPr>
          <w:p>
            <w:pPr>
              <w:spacing w:after="0"/>
              <w:rPr>
                <w:sz w:val="1"/>
                <w:szCs w:val="1"/>
                <w:color w:val="auto"/>
              </w:rPr>
            </w:pPr>
          </w:p>
        </w:tc>
      </w:tr>
      <w:tr>
        <w:trPr>
          <w:trHeight w:val="219"/>
        </w:trPr>
        <w:tc>
          <w:tcPr>
            <w:tcW w:w="38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Costs of sales: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Cost of subscription and transaction fees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103,392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83,617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82,980</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0.8 %</w:t>
            </w:r>
          </w:p>
        </w:tc>
        <w:tc>
          <w:tcPr>
            <w:tcW w:w="0" w:type="dxa"/>
            <w:vAlign w:val="bottom"/>
          </w:tcPr>
          <w:p>
            <w:pPr>
              <w:spacing w:after="0"/>
              <w:rPr>
                <w:sz w:val="1"/>
                <w:szCs w:val="1"/>
                <w:color w:val="auto"/>
              </w:rPr>
            </w:pPr>
          </w:p>
        </w:tc>
      </w:tr>
      <w:tr>
        <w:trPr>
          <w:trHeight w:val="213"/>
        </w:trPr>
        <w:tc>
          <w:tcPr>
            <w:tcW w:w="3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Cost of equipment sales</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37,615</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rPr>
              <w:t>29,296</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rPr>
              <w:t>33,900</w:t>
            </w: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28.4 %</w:t>
            </w: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0" w:type="dxa"/>
            <w:vAlign w:val="bottom"/>
          </w:tcPr>
          <w:p>
            <w:pPr>
              <w:spacing w:after="0"/>
              <w:rPr>
                <w:sz w:val="1"/>
                <w:szCs w:val="1"/>
                <w:color w:val="auto"/>
              </w:rPr>
            </w:pPr>
          </w:p>
        </w:tc>
      </w:tr>
      <w:tr>
        <w:trPr>
          <w:trHeight w:val="212"/>
        </w:trPr>
        <w:tc>
          <w:tcPr>
            <w:tcW w:w="3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costs of sales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141,007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112,913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116,880</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24.9 %</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Subscription and transaction fees</w:t>
            </w:r>
          </w:p>
        </w:tc>
        <w:tc>
          <w:tcPr>
            <w:tcW w:w="320" w:type="dxa"/>
            <w:vAlign w:val="bottom"/>
          </w:tcPr>
          <w:p>
            <w:pPr>
              <w:spacing w:after="0"/>
              <w:rPr>
                <w:sz w:val="18"/>
                <w:szCs w:val="18"/>
                <w:color w:val="auto"/>
              </w:rPr>
            </w:pPr>
          </w:p>
        </w:tc>
        <w:tc>
          <w:tcPr>
            <w:tcW w:w="10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65,458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55,625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50,187</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17.7 %</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10.8 %</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Equipment sales</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(1,263)</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(1,599)</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(3,914)</w:t>
            </w:r>
          </w:p>
        </w:tc>
        <w:tc>
          <w:tcPr>
            <w:tcW w:w="10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c>
          <w:tcPr>
            <w:tcW w:w="10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59.1 %</w:t>
            </w:r>
          </w:p>
        </w:tc>
        <w:tc>
          <w:tcPr>
            <w:tcW w:w="0" w:type="dxa"/>
            <w:vAlign w:val="bottom"/>
          </w:tcPr>
          <w:p>
            <w:pPr>
              <w:spacing w:after="0"/>
              <w:rPr>
                <w:sz w:val="1"/>
                <w:szCs w:val="1"/>
                <w:color w:val="auto"/>
              </w:rPr>
            </w:pPr>
          </w:p>
        </w:tc>
      </w:tr>
      <w:tr>
        <w:trPr>
          <w:trHeight w:val="212"/>
        </w:trPr>
        <w:tc>
          <w:tcPr>
            <w:tcW w:w="38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gross profit</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64,195</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rPr>
              <w:t>54,026</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rPr>
              <w:t>46,273</w:t>
            </w:r>
          </w:p>
        </w:tc>
        <w:tc>
          <w:tcPr>
            <w:tcW w:w="10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18.8 %</w:t>
            </w:r>
          </w:p>
        </w:tc>
        <w:tc>
          <w:tcPr>
            <w:tcW w:w="10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16.8 %</w:t>
            </w:r>
          </w:p>
        </w:tc>
        <w:tc>
          <w:tcPr>
            <w:tcW w:w="0" w:type="dxa"/>
            <w:vAlign w:val="bottom"/>
          </w:tcPr>
          <w:p>
            <w:pPr>
              <w:spacing w:after="0"/>
              <w:rPr>
                <w:sz w:val="1"/>
                <w:szCs w:val="1"/>
                <w:color w:val="auto"/>
              </w:rPr>
            </w:pPr>
          </w:p>
        </w:tc>
      </w:tr>
      <w:tr>
        <w:trPr>
          <w:trHeight w:val="20"/>
        </w:trPr>
        <w:tc>
          <w:tcPr>
            <w:tcW w:w="38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8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2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000" w:type="dxa"/>
            <w:vAlign w:val="bottom"/>
          </w:tcPr>
          <w:p>
            <w:pPr>
              <w:spacing w:after="0"/>
              <w:rPr>
                <w:sz w:val="18"/>
                <w:szCs w:val="18"/>
                <w:color w:val="auto"/>
              </w:rPr>
            </w:pPr>
          </w:p>
        </w:tc>
      </w:tr>
      <w:tr>
        <w:trPr>
          <w:trHeight w:val="232"/>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Subscription and transaction fees</w:t>
            </w:r>
          </w:p>
        </w:tc>
        <w:tc>
          <w:tcPr>
            <w:tcW w:w="22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38.8 %</w:t>
            </w:r>
          </w:p>
        </w:tc>
        <w:tc>
          <w:tcPr>
            <w:tcW w:w="14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39.9 %</w:t>
            </w:r>
          </w:p>
        </w:tc>
        <w:tc>
          <w:tcPr>
            <w:tcW w:w="4000" w:type="dxa"/>
            <w:vAlign w:val="bottom"/>
            <w:shd w:val="clear" w:color="auto" w:fill="CCEEFF"/>
          </w:tcPr>
          <w:p>
            <w:pPr>
              <w:jc w:val="right"/>
              <w:ind w:right="2850"/>
              <w:spacing w:after="0"/>
              <w:rPr>
                <w:sz w:val="20"/>
                <w:szCs w:val="20"/>
                <w:color w:val="auto"/>
              </w:rPr>
            </w:pPr>
            <w:r>
              <w:rPr>
                <w:rFonts w:ascii="Times New Roman" w:cs="Times New Roman" w:eastAsia="Times New Roman" w:hAnsi="Times New Roman"/>
                <w:sz w:val="18"/>
                <w:szCs w:val="18"/>
                <w:color w:val="auto"/>
              </w:rPr>
              <w:t>37.7 %</w:t>
            </w:r>
          </w:p>
        </w:tc>
      </w:tr>
      <w:tr>
        <w:trPr>
          <w:trHeight w:val="230"/>
        </w:trPr>
        <w:tc>
          <w:tcPr>
            <w:tcW w:w="35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Equipment sales</w:t>
            </w:r>
          </w:p>
        </w:tc>
        <w:tc>
          <w:tcPr>
            <w:tcW w:w="22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(3.5)%</w:t>
            </w:r>
          </w:p>
        </w:tc>
        <w:tc>
          <w:tcPr>
            <w:tcW w:w="14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(5.8)%</w:t>
            </w:r>
          </w:p>
        </w:tc>
        <w:tc>
          <w:tcPr>
            <w:tcW w:w="4000" w:type="dxa"/>
            <w:vAlign w:val="bottom"/>
          </w:tcPr>
          <w:p>
            <w:pPr>
              <w:jc w:val="right"/>
              <w:ind w:right="2850"/>
              <w:spacing w:after="0"/>
              <w:rPr>
                <w:sz w:val="20"/>
                <w:szCs w:val="20"/>
                <w:color w:val="auto"/>
              </w:rPr>
            </w:pPr>
            <w:r>
              <w:rPr>
                <w:rFonts w:ascii="Times New Roman" w:cs="Times New Roman" w:eastAsia="Times New Roman" w:hAnsi="Times New Roman"/>
                <w:sz w:val="18"/>
                <w:szCs w:val="18"/>
                <w:color w:val="auto"/>
              </w:rPr>
              <w:t>(13.1)%</w:t>
            </w:r>
          </w:p>
        </w:tc>
      </w:tr>
      <w:tr>
        <w:trPr>
          <w:trHeight w:val="229"/>
        </w:trPr>
        <w:tc>
          <w:tcPr>
            <w:tcW w:w="3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gross margin</w:t>
            </w:r>
          </w:p>
        </w:tc>
        <w:tc>
          <w:tcPr>
            <w:tcW w:w="22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31.3 %</w:t>
            </w:r>
          </w:p>
        </w:tc>
        <w:tc>
          <w:tcPr>
            <w:tcW w:w="14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32.4 %</w:t>
            </w:r>
          </w:p>
        </w:tc>
        <w:tc>
          <w:tcPr>
            <w:tcW w:w="4000" w:type="dxa"/>
            <w:vAlign w:val="bottom"/>
            <w:shd w:val="clear" w:color="auto" w:fill="CCEEFF"/>
          </w:tcPr>
          <w:p>
            <w:pPr>
              <w:jc w:val="right"/>
              <w:ind w:right="2850"/>
              <w:spacing w:after="0"/>
              <w:rPr>
                <w:sz w:val="20"/>
                <w:szCs w:val="20"/>
                <w:color w:val="auto"/>
              </w:rPr>
            </w:pPr>
            <w:r>
              <w:rPr>
                <w:rFonts w:ascii="Times New Roman" w:cs="Times New Roman" w:eastAsia="Times New Roman" w:hAnsi="Times New Roman"/>
                <w:sz w:val="18"/>
                <w:szCs w:val="18"/>
                <w:color w:val="auto"/>
              </w:rPr>
              <w:t>28.4 %</w:t>
            </w: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Total revenues for the year ended June 30, 2022 was $205.2 million, consisting of $168.9 million of subscriptions and transactions fees and $36.4 million of equipment sales, compared to $166.9 million for the year ended June 30, 2021, consisting of $139.2 million of subscription and transaction fees and $27.7 million of equipment sales. The $38.3 million increase in total revenue from the prior year was attributable to a $29.6 million increase in subscription and transaction fees and a $8.7 million increase in equipment sales. The increase in subscription and transaction fees is primarily driven by increased processing volumes, with an approximately 30% increase in total dollar volumes for the year ended June 30, 2022 compared to the prior year. We are currently exceeding pre-pandemic (COVID-19) levels of processing volumes. We continue to benefit from a broader macroeconomic recovery across the United States as businesses, schools and other organizations across the country continue to maintain normal levels of operations. Increase in revenues is also attributed to continued focus of management to grow our recurring services to our customer base and a 4% in the Active Devices count compared to last year.</w:t>
      </w:r>
    </w:p>
    <w:p>
      <w:pPr>
        <w:spacing w:after="0" w:line="21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increase in equipment sales relates to more equipment shipments in the current year compared to last year driven by continued upgrades by our customers from 3G to 4G network compatible devices and customers upgrading their hardware devices to the latest payment technology security standards. We expect equipment revenue to continue to be a significant contributor to our total revenues through the 3G network discontinuation date in North America through the end of the 2022 calendar year.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Costs of sales</w:t>
      </w:r>
    </w:p>
    <w:p>
      <w:pPr>
        <w:spacing w:after="0" w:line="22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Costs of sales increased $28.1 million for the year ended June 30, 2022 compared to the year ended June 30, 2021. The increase in costs of sales is attributed to a $19.8 million and $8.3 million increase in subscription and transaction costs and equipment costs respectively. The increase in cost of subscription and transaction fees was primarily driven by an corresponding increase in transaction processing fees. Similarly, the increase in the cost of equipment sales was driven by an increase in the volume of equipment sold during the current fiscal year.</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i w:val="1"/>
          <w:iCs w:val="1"/>
          <w:color w:val="auto"/>
        </w:rPr>
        <w:t>Gross Margin</w:t>
      </w:r>
    </w:p>
    <w:p>
      <w:pPr>
        <w:spacing w:after="0" w:line="22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Total gross margin decreased from 32.4% for year ended June 30, 2021 compared to 31.3% for the year ended June 30, 2022. The decrease in gross margin was primarily a result of a change in revenue mix with a higher percent of our total revenue being transaction fees, which is inherently a lower margin revenue stream. We were able to offset a portion of this decrease with an increase in our transaction fees margin by lowering costs for our payment processor and payment networks. Additionally, we have seen an increase in average price per transaction relative to the same period in the prior year, which is additive to our gross margin.</w:t>
      </w:r>
    </w:p>
    <w:p>
      <w:pPr>
        <w:spacing w:after="0" w:line="19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Lastly we did improve the gross margin on equipment sales driven by the rollout of the ePort Engage devices which are priced to have higher margins relative to the equipment sales last year.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20" w:type="dxa"/>
            <w:vAlign w:val="bottom"/>
            <w:gridSpan w:val="3"/>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0" w:type="dxa"/>
            <w:vAlign w:val="bottom"/>
          </w:tcPr>
          <w:p>
            <w:pPr>
              <w:spacing w:after="0"/>
              <w:rPr>
                <w:sz w:val="1"/>
                <w:szCs w:val="1"/>
                <w:color w:val="auto"/>
              </w:rPr>
            </w:pPr>
          </w:p>
        </w:tc>
      </w:tr>
      <w:tr>
        <w:trPr>
          <w:trHeight w:val="23"/>
        </w:trPr>
        <w:tc>
          <w:tcPr>
            <w:tcW w:w="40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Category ($ in thousands)</w:t>
            </w: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404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156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2022 v. 2021</w:t>
            </w:r>
          </w:p>
        </w:tc>
        <w:tc>
          <w:tcPr>
            <w:tcW w:w="1460" w:type="dxa"/>
            <w:vAlign w:val="bottom"/>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2021 v. 2020</w:t>
            </w:r>
          </w:p>
        </w:tc>
        <w:tc>
          <w:tcPr>
            <w:tcW w:w="0" w:type="dxa"/>
            <w:vAlign w:val="bottom"/>
          </w:tcPr>
          <w:p>
            <w:pPr>
              <w:spacing w:after="0"/>
              <w:rPr>
                <w:sz w:val="1"/>
                <w:szCs w:val="1"/>
                <w:color w:val="auto"/>
              </w:rPr>
            </w:pPr>
          </w:p>
        </w:tc>
      </w:tr>
      <w:tr>
        <w:trPr>
          <w:trHeight w:val="213"/>
        </w:trPr>
        <w:tc>
          <w:tcPr>
            <w:tcW w:w="4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Sales and marketing</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8,908</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6,935</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6,571</w:t>
            </w:r>
          </w:p>
        </w:tc>
        <w:tc>
          <w:tcPr>
            <w:tcW w:w="1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28.4 %</w:t>
            </w:r>
          </w:p>
        </w:tc>
        <w:tc>
          <w:tcPr>
            <w:tcW w:w="1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5.5 %</w:t>
            </w:r>
          </w:p>
        </w:tc>
        <w:tc>
          <w:tcPr>
            <w:tcW w:w="0" w:type="dxa"/>
            <w:vAlign w:val="bottom"/>
          </w:tcPr>
          <w:p>
            <w:pPr>
              <w:spacing w:after="0"/>
              <w:rPr>
                <w:sz w:val="1"/>
                <w:szCs w:val="1"/>
                <w:color w:val="auto"/>
              </w:rPr>
            </w:pPr>
          </w:p>
        </w:tc>
      </w:tr>
      <w:tr>
        <w:trPr>
          <w:trHeight w:val="213"/>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Technology and product development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21,877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15,935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15,094</w:t>
            </w:r>
          </w:p>
        </w:tc>
        <w:tc>
          <w:tcPr>
            <w:tcW w:w="100" w:type="dxa"/>
            <w:vAlign w:val="bottom"/>
          </w:tcPr>
          <w:p>
            <w:pPr>
              <w:spacing w:after="0"/>
              <w:rPr>
                <w:sz w:val="18"/>
                <w:szCs w:val="18"/>
                <w:color w:val="auto"/>
              </w:rPr>
            </w:pPr>
          </w:p>
        </w:tc>
        <w:tc>
          <w:tcPr>
            <w:tcW w:w="14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37.3 %</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5.6 %</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30,519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35,754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40,083</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(14.6 %)</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(10.8 %)</w:t>
            </w:r>
          </w:p>
        </w:tc>
        <w:tc>
          <w:tcPr>
            <w:tcW w:w="0" w:type="dxa"/>
            <w:vAlign w:val="bottom"/>
          </w:tcPr>
          <w:p>
            <w:pPr>
              <w:spacing w:after="0"/>
              <w:rPr>
                <w:sz w:val="1"/>
                <w:szCs w:val="1"/>
                <w:color w:val="auto"/>
              </w:rPr>
            </w:pPr>
          </w:p>
        </w:tc>
      </w:tr>
      <w:tr>
        <w:trPr>
          <w:trHeight w:val="213"/>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Investigation, proxy solicitation and restatement expenses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19,810</w:t>
            </w:r>
          </w:p>
        </w:tc>
        <w:tc>
          <w:tcPr>
            <w:tcW w:w="100" w:type="dxa"/>
            <w:vAlign w:val="bottom"/>
          </w:tcPr>
          <w:p>
            <w:pPr>
              <w:spacing w:after="0"/>
              <w:rPr>
                <w:sz w:val="18"/>
                <w:szCs w:val="18"/>
                <w:color w:val="auto"/>
              </w:rPr>
            </w:pPr>
          </w:p>
        </w:tc>
        <w:tc>
          <w:tcPr>
            <w:tcW w:w="14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4,352</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4,107</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4,307</w:t>
            </w:r>
          </w:p>
        </w:tc>
        <w:tc>
          <w:tcPr>
            <w:tcW w:w="100" w:type="dxa"/>
            <w:vAlign w:val="bottom"/>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6.0 %</w:t>
            </w:r>
          </w:p>
        </w:tc>
        <w:tc>
          <w:tcPr>
            <w:tcW w:w="100" w:type="dxa"/>
            <w:vAlign w:val="bottom"/>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(4.6 %)</w:t>
            </w:r>
          </w:p>
        </w:tc>
        <w:tc>
          <w:tcPr>
            <w:tcW w:w="0" w:type="dxa"/>
            <w:vAlign w:val="bottom"/>
          </w:tcPr>
          <w:p>
            <w:pPr>
              <w:spacing w:after="0"/>
              <w:rPr>
                <w:sz w:val="1"/>
                <w:szCs w:val="1"/>
                <w:color w:val="auto"/>
              </w:rPr>
            </w:pPr>
          </w:p>
        </w:tc>
      </w:tr>
      <w:tr>
        <w:trPr>
          <w:trHeight w:val="212"/>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66,852</w:t>
            </w:r>
          </w:p>
        </w:tc>
        <w:tc>
          <w:tcPr>
            <w:tcW w:w="100" w:type="dxa"/>
            <w:vAlign w:val="bottom"/>
          </w:tcPr>
          <w:p>
            <w:pPr>
              <w:spacing w:after="0"/>
              <w:rPr>
                <w:sz w:val="18"/>
                <w:szCs w:val="18"/>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62,731</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85,865</w:t>
            </w:r>
          </w:p>
        </w:tc>
        <w:tc>
          <w:tcPr>
            <w:tcW w:w="100" w:type="dxa"/>
            <w:vAlign w:val="bottom"/>
          </w:tcPr>
          <w:p>
            <w:pPr>
              <w:spacing w:after="0"/>
              <w:rPr>
                <w:sz w:val="18"/>
                <w:szCs w:val="18"/>
                <w:color w:val="auto"/>
              </w:rPr>
            </w:pPr>
          </w:p>
        </w:tc>
        <w:tc>
          <w:tcPr>
            <w:tcW w:w="14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6.6 %</w:t>
            </w:r>
          </w:p>
        </w:tc>
        <w:tc>
          <w:tcPr>
            <w:tcW w:w="10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(26.9 %)</w:t>
            </w:r>
          </w:p>
        </w:tc>
        <w:tc>
          <w:tcPr>
            <w:tcW w:w="0" w:type="dxa"/>
            <w:vAlign w:val="bottom"/>
          </w:tcPr>
          <w:p>
            <w:pPr>
              <w:spacing w:after="0"/>
              <w:rPr>
                <w:sz w:val="1"/>
                <w:szCs w:val="1"/>
                <w:color w:val="auto"/>
              </w:rPr>
            </w:pPr>
          </w:p>
        </w:tc>
      </w:tr>
      <w:tr>
        <w:trPr>
          <w:trHeight w:val="21"/>
        </w:trPr>
        <w:tc>
          <w:tcPr>
            <w:tcW w:w="4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i w:val="1"/>
          <w:iCs w:val="1"/>
          <w:color w:val="auto"/>
        </w:rPr>
        <w:t xml:space="preserve">Total operating expenses. </w:t>
      </w:r>
      <w:r>
        <w:rPr>
          <w:rFonts w:ascii="Times New Roman" w:cs="Times New Roman" w:eastAsia="Times New Roman" w:hAnsi="Times New Roman"/>
          <w:sz w:val="18"/>
          <w:szCs w:val="18"/>
          <w:color w:val="auto"/>
        </w:rPr>
        <w:t>Operating expenses increased by $4.1 million for the year ended June 30, 2022 compared to the year ended June 30, 2021.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 is primarily attributed to a $5.9 million increase in technology and product development expenses, a $2.0 million increase in sales and marketing costs and a $1.2 million increase in investigation, proxy solicitation and restatement expenses offset by a decrease of $5.2 million in general and administrative expenses. Outside of the non-recurring investigation, proxy solicitation and restatement expenses; the change in total operating expenses reflects the Company's overall objectives to reduce general and administrative expenses and utilize savings to invest in innovative technologies and products and increase marketing spend to penetrate new and existing customers with our products and services. See further details within individual categories below.</w:t>
      </w:r>
    </w:p>
    <w:p>
      <w:pPr>
        <w:spacing w:after="0" w:line="20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expenses increased approximately $2.0 million for the year ended June 30, 2022 compared to the year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June 30, 2021. The change is primarily attributed to an increase of approximately $1.4 million in advertising and trade show costs. The increase in trade show costs was due to our participation in industry conventions throughout FY22, along with launching our first Cantaloupe Innovation Summit in August 2022. These events were leveraged to drive increased sales and customer retention, while showcasing the latest innovations for self-service operators. Additional spending went into lead generation activities tied to advertising in trade publications, search, and retargeting campaigns to drive increased small- and medium-business (SMB) opportunities. The increase in expenses is also attributed to a $0.4 million increase in sales and marketing employee compensation expense which comprised of headcount increases and additional sales commissions costs incurred in the current year. The increased compensation expense supports our expanding business and service offerings in the United States and internationally.</w:t>
      </w:r>
    </w:p>
    <w:p>
      <w:pPr>
        <w:spacing w:after="0" w:line="21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i w:val="1"/>
          <w:iCs w:val="1"/>
          <w:color w:val="auto"/>
        </w:rPr>
        <w:t xml:space="preserve">Technology and product development. </w:t>
      </w:r>
      <w:r>
        <w:rPr>
          <w:rFonts w:ascii="Times New Roman" w:cs="Times New Roman" w:eastAsia="Times New Roman" w:hAnsi="Times New Roman"/>
          <w:sz w:val="18"/>
          <w:szCs w:val="18"/>
          <w:color w:val="auto"/>
        </w:rPr>
        <w:t>Technology and product development expenses increased approximately $5.9 million for the year ended June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2022 compared to the year ended June 30, 2021. The increase was driven primarily by the Company's objectives of investing in innovative technologies, specifically advancing mobile enhancements across the Seed platform (including Seed Warehouse App, Seed Driver App) and the mobile loyalty platform for consumers. Other innovations include continuous improvements and machine acceptance of remote price change, integration with HIVERY Enhance for leveraging artificial intelligence/machine learning technology and new ePort hardware devices that were launched during the year. Additional expenses in technology were incurred to further strengthen our network environment and platform by preparing and transitioning to Amazon Web Services (completed in July 2022), which will provide our customers greater stability, reliability, and overall higher performance on processing transactions and transmitting data.</w:t>
      </w:r>
    </w:p>
    <w:p>
      <w:pPr>
        <w:spacing w:after="0" w:line="21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General and administrative expenses decreased approximately $5.2 million for the year ended June 30,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year ended June 30, 2021. The decrease in general and administrative expenses was primarily driven by a $5.4 million decrease in professional fees due to reduced reliance on external consultants who previously supported the Company’s accounting, financial reporting and legal functions, a $1.6 million change relating to the network incident in the prior year, a $1.6 million lease impairment charge in the prior year, a $1.9 million decrease in stock</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5" w:right="339" w:bottom="1440" w:gutter="0" w:footer="0" w:header="0"/>
        </w:sectPr>
      </w:pPr>
    </w:p>
    <w:bookmarkStart w:id="40" w:name="page41"/>
    <w:bookmarkEnd w:id="40"/>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compensation, partially offset by a $0.9 million increase in salary and bonuses, an increase in bad debt expense of approximately $2.1 million, a $0.9 million change in sales tax reserve and an increase in travel and expense costs of $0.6 million during the current year.</w:t>
      </w:r>
    </w:p>
    <w:p>
      <w:pPr>
        <w:spacing w:after="0" w:line="17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i w:val="1"/>
          <w:iCs w:val="1"/>
          <w:color w:val="auto"/>
        </w:rPr>
        <w:t xml:space="preserve">Investigation, proxy solicitation and restatement expenses. </w:t>
      </w:r>
      <w:r>
        <w:rPr>
          <w:rFonts w:ascii="Times New Roman" w:cs="Times New Roman" w:eastAsia="Times New Roman" w:hAnsi="Times New Roman"/>
          <w:sz w:val="18"/>
          <w:szCs w:val="18"/>
          <w:color w:val="auto"/>
        </w:rPr>
        <w:t>In fiscal year 2019, the Audit Committee, with the assistance of independent legal and forensic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advisors, conducted an internal investigation of then-current and prior period matters relating to certain of the Company’s contractual arrangements, including the accounting treatment, financial reporting and internal controls related to such arrangements. Additionally, in fiscal year 2019, significant financial reporting issues were identified which were unrelated to the internal investigation and which resulted in further adjustments to the Company’s previously issued or prior fiscal years’ unissued financial statements. As a result of the findings, the Company restated its consolidated financial statements as of and for the fiscal year 2017 and our unaudited consolidated financial statements for the quarterly periods ended September 30, 2016, December 31, 2016, March 31, 2017, September 30, 2017, December 31, 2017, and March 31, 2018.</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Investigation, proxy solicitation and restatement expenses were incurred primarily in fiscal year 2020 and 2019 in connection with the 2019 Investigation and the restatements of previously filed financial statements, bank consents, the remediation of deficiencies in our internal control over financial reporting, the proxy solicitation, and professional services fees to assist with accounting and compliance activities in fiscal year 2020 following the filing of the 2019 Form 10-K.</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did not incur any material investigation, proxy solicitation and restatement expenses for the year ended June 30, 2021. For the fiscal year ended June 30, 2022, the Company and former officers incurred additional legal charges primarily relating to responding to inquiries from the U.S. Department of Justice (“DOJ”) and Securities and Exchange Commission (“SEC”) in regards to the 2019 Investigation. See Note 18 to the consolidated financial statements in Part II, Item 8 of this Annual Report for further information on the above mentioned matters.</w:t>
      </w:r>
    </w:p>
    <w:p>
      <w:pPr>
        <w:spacing w:after="0" w:line="17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Depreciation and amortization expense was predominantly consistent for the fiscal years ended June 30, 2022 and June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2021.</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(expense), Net</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40" w:type="dxa"/>
            <w:vAlign w:val="bottom"/>
            <w:gridSpan w:val="3"/>
          </w:tcPr>
          <w:p>
            <w:pPr>
              <w:jc w:val="right"/>
              <w:ind w:right="941"/>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0" w:type="dxa"/>
            <w:vAlign w:val="bottom"/>
          </w:tcPr>
          <w:p>
            <w:pPr>
              <w:spacing w:after="0"/>
              <w:rPr>
                <w:sz w:val="1"/>
                <w:szCs w:val="1"/>
                <w:color w:val="auto"/>
              </w:rPr>
            </w:pPr>
          </w:p>
        </w:tc>
      </w:tr>
      <w:tr>
        <w:trPr>
          <w:trHeight w:val="24"/>
        </w:trPr>
        <w:tc>
          <w:tcPr>
            <w:tcW w:w="40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Category ($ in thousands)</w:t>
            </w: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400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158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2022 v. 2021</w:t>
            </w:r>
          </w:p>
        </w:tc>
        <w:tc>
          <w:tcPr>
            <w:tcW w:w="1460" w:type="dxa"/>
            <w:vAlign w:val="bottom"/>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2021 v. 2020</w:t>
            </w:r>
          </w:p>
        </w:tc>
        <w:tc>
          <w:tcPr>
            <w:tcW w:w="0" w:type="dxa"/>
            <w:vAlign w:val="bottom"/>
          </w:tcPr>
          <w:p>
            <w:pPr>
              <w:spacing w:after="0"/>
              <w:rPr>
                <w:sz w:val="1"/>
                <w:szCs w:val="1"/>
                <w:color w:val="auto"/>
              </w:rPr>
            </w:pPr>
          </w:p>
        </w:tc>
      </w:tr>
      <w:tr>
        <w:trPr>
          <w:trHeight w:val="210"/>
        </w:trPr>
        <w:tc>
          <w:tcPr>
            <w:tcW w:w="40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income</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1,595</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62.6 %</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(27.3 %)</w:t>
            </w:r>
          </w:p>
        </w:tc>
        <w:tc>
          <w:tcPr>
            <w:tcW w:w="0" w:type="dxa"/>
            <w:vAlign w:val="bottom"/>
          </w:tcPr>
          <w:p>
            <w:pPr>
              <w:spacing w:after="0"/>
              <w:rPr>
                <w:sz w:val="1"/>
                <w:szCs w:val="1"/>
                <w:color w:val="auto"/>
              </w:rPr>
            </w:pPr>
          </w:p>
        </w:tc>
      </w:tr>
      <w:tr>
        <w:trPr>
          <w:trHeight w:val="213"/>
        </w:trPr>
        <w:tc>
          <w:tcPr>
            <w:tcW w:w="4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w:t>
            </w:r>
          </w:p>
        </w:tc>
        <w:tc>
          <w:tcPr>
            <w:tcW w:w="120" w:type="dxa"/>
            <w:vAlign w:val="bottom"/>
          </w:tcPr>
          <w:p>
            <w:pPr>
              <w:spacing w:after="0"/>
              <w:rPr>
                <w:sz w:val="18"/>
                <w:szCs w:val="18"/>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(4,013)</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(2,597)</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(86.9 %)</w:t>
            </w:r>
          </w:p>
        </w:tc>
        <w:tc>
          <w:tcPr>
            <w:tcW w:w="120" w:type="dxa"/>
            <w:vAlign w:val="bottom"/>
          </w:tcPr>
          <w:p>
            <w:pPr>
              <w:spacing w:after="0"/>
              <w:rPr>
                <w:sz w:val="18"/>
                <w:szCs w:val="18"/>
                <w:color w:val="auto"/>
              </w:rPr>
            </w:pPr>
          </w:p>
        </w:tc>
        <w:tc>
          <w:tcPr>
            <w:tcW w:w="14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54.5 %</w:t>
            </w:r>
          </w:p>
        </w:tc>
        <w:tc>
          <w:tcPr>
            <w:tcW w:w="0" w:type="dxa"/>
            <w:vAlign w:val="bottom"/>
          </w:tcPr>
          <w:p>
            <w:pPr>
              <w:spacing w:after="0"/>
              <w:rPr>
                <w:sz w:val="1"/>
                <w:szCs w:val="1"/>
                <w:color w:val="auto"/>
              </w:rPr>
            </w:pPr>
          </w:p>
        </w:tc>
      </w:tr>
      <w:tr>
        <w:trPr>
          <w:trHeight w:val="217"/>
        </w:trPr>
        <w:tc>
          <w:tcPr>
            <w:tcW w:w="4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income (expense)</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100.0 %</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NM</w:t>
            </w:r>
          </w:p>
        </w:tc>
        <w:tc>
          <w:tcPr>
            <w:tcW w:w="0" w:type="dxa"/>
            <w:vAlign w:val="bottom"/>
          </w:tcPr>
          <w:p>
            <w:pPr>
              <w:spacing w:after="0"/>
              <w:rPr>
                <w:sz w:val="1"/>
                <w:szCs w:val="1"/>
                <w:color w:val="auto"/>
              </w:rPr>
            </w:pPr>
          </w:p>
        </w:tc>
      </w:tr>
      <w:tr>
        <w:trPr>
          <w:trHeight w:val="211"/>
        </w:trPr>
        <w:tc>
          <w:tcPr>
            <w:tcW w:w="4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1,140</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370</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(1,002)</w:t>
            </w:r>
          </w:p>
        </w:tc>
        <w:tc>
          <w:tcPr>
            <w:tcW w:w="100" w:type="dxa"/>
            <w:vAlign w:val="bottom"/>
          </w:tcPr>
          <w:p>
            <w:pPr>
              <w:spacing w:after="0"/>
              <w:rPr>
                <w:sz w:val="18"/>
                <w:szCs w:val="18"/>
                <w:color w:val="auto"/>
              </w:rPr>
            </w:pPr>
          </w:p>
        </w:tc>
        <w:tc>
          <w:tcPr>
            <w:tcW w:w="146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208.1 %</w:t>
            </w:r>
          </w:p>
        </w:tc>
        <w:tc>
          <w:tcPr>
            <w:tcW w:w="120" w:type="dxa"/>
            <w:vAlign w:val="bottom"/>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(136.9 %)</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____________</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NM — not meaningful</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other income (expense), net for the fiscal year ended June 30, 2022 was $1.1 million, compared to $0.4 million for the fiscal year ended June 30, 2021. The $0.7 million increase in Other income (expense), net from the prior fiscal year was primarily attributable to a $0.7 million increase in interest income, a $3.5 million decrease in Interest expense offset by a $(3.4) million decrease in Other income.</w:t>
      </w:r>
    </w:p>
    <w:p>
      <w:pPr>
        <w:spacing w:after="0" w:line="160"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Interest income. </w:t>
      </w:r>
      <w:r>
        <w:rPr>
          <w:rFonts w:ascii="Times New Roman" w:cs="Times New Roman" w:eastAsia="Times New Roman" w:hAnsi="Times New Roman"/>
          <w:sz w:val="18"/>
          <w:szCs w:val="18"/>
          <w:color w:val="auto"/>
        </w:rPr>
        <w:t>The increase in interest income is primarily driven by a larger finance receivables amount on our balance sheet as of June 30,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June 30, 2021 and June 30, 2020.</w:t>
      </w:r>
    </w:p>
    <w:p>
      <w:pPr>
        <w:spacing w:after="0" w:line="1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The higher interest expense for the for the fiscal year ended June 30, 2021 was primarily related to the recognition of the remaining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balance of unamortized debt issuance costs and debt discount associated with the senior secured term loan facility with Antara Capital Master Fund LP of $2.6 million into interest expense, when the Antara Term Facility was fully repaid and terminated. The remaining reduction in interest expense was mainly due to a $0.8 million change in the interest component of the sales tax reserve in fiscal year 2022 compared to the fiscal year 2021. The change in the sales tax reserve was driven by the expiration of statute of limitations and other factors considered by management while establishing the reserve.</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1" w:name="page42"/>
    <w:bookmarkEnd w:id="41"/>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Other income (expense): </w:t>
      </w:r>
      <w:r>
        <w:rPr>
          <w:rFonts w:ascii="Times New Roman" w:cs="Times New Roman" w:eastAsia="Times New Roman" w:hAnsi="Times New Roman"/>
          <w:sz w:val="18"/>
          <w:szCs w:val="18"/>
          <w:color w:val="auto"/>
        </w:rPr>
        <w:t>The higher other income for the fiscal year ended June 30, 2021 was primarily attributed to Company receiving notification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Small Business Administration that the $3.1 million Paycheck Protection Program loan and related accrued interest were forgiven in full. The Company recorded the forgiveness as a gain on debt extinguishment in our consolidated financial statements resulting in the increase in Other Income for the fiscal year ended June 30, 2021.</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 - Adjusted EBITDA</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"Adjusted EBITDA” (as defined is a non-GAAP financial measure which is not required by or defined under GAAP. We use this non-GAAP financial measure for financial and operational decision-making purposes and as a means to evaluate period-to-period comparisons. We believe that this non-GAAP financial measure provides useful information about our operating results, enhances the overall understanding of past financial performance and future prospects and allows for greater transparency with respect to metrics used by our management in its financial and operational decision making. The presentation of this financial measure is not intended to be considered in isolation or as a substitute for the financial measures prepared and presented in accordance with GAAP, including our net income or net loss or net cash used in operating activities. Management recognizes that non-GAAP financial measures have limitations in that they do not reflect all of the items associated with our net income or net loss as determined in accordance with GAAP, and are not a substitute for or a measure of our profitability or net earnings. Adjusted EBITDA is presented because we believe it is useful to investors as a measure of comparative operating performance. Additionally, we utilize Adjusted EBITDA as a metric in our executive officer and management incentive compensation plans.</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define Adjusted EBITDA as U.S. GAAP net loss before (i) interest income (ii) interest expense on debt and reserves (iii) income tax expense (iv) depreciation (v) amortization (vi) stock-based compensation expense (vii) fees and charges that were incurred in connection with the 2019 Investigation and financial statement restatement activities as well as proxy solicitation costs that are not indicative of our core operations and (viii) certain other significant infrequent or unusual losses and gains that are not indicative of our core operations including asset impairment charges and gain on extinguishment of debt.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reconciliation of U.S. GAAP net loss to Adjusted EBITDA for the fiscal years ended June 30, 2022, 2021, and 2020:</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500" w:type="dxa"/>
            <w:vAlign w:val="bottom"/>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02"/>
        </w:trPr>
        <w:tc>
          <w:tcPr>
            <w:tcW w:w="6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(40,595)</w:t>
            </w:r>
          </w:p>
        </w:tc>
        <w:tc>
          <w:tcPr>
            <w:tcW w:w="0" w:type="dxa"/>
            <w:vAlign w:val="bottom"/>
          </w:tcPr>
          <w:p>
            <w:pPr>
              <w:spacing w:after="0"/>
              <w:rPr>
                <w:sz w:val="1"/>
                <w:szCs w:val="1"/>
                <w:color w:val="auto"/>
              </w:rPr>
            </w:pPr>
          </w:p>
        </w:tc>
      </w:tr>
      <w:tr>
        <w:trPr>
          <w:trHeight w:val="230"/>
        </w:trPr>
        <w:tc>
          <w:tcPr>
            <w:tcW w:w="6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Less: interest income</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(1,595)</w:t>
            </w:r>
          </w:p>
        </w:tc>
        <w:tc>
          <w:tcPr>
            <w:tcW w:w="0" w:type="dxa"/>
            <w:vAlign w:val="bottom"/>
          </w:tcPr>
          <w:p>
            <w:pPr>
              <w:spacing w:after="0"/>
              <w:rPr>
                <w:sz w:val="1"/>
                <w:szCs w:val="1"/>
                <w:color w:val="auto"/>
              </w:rPr>
            </w:pPr>
          </w:p>
        </w:tc>
      </w:tr>
      <w:tr>
        <w:trPr>
          <w:trHeight w:val="230"/>
        </w:trPr>
        <w:tc>
          <w:tcPr>
            <w:tcW w:w="6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Plus: interest expense</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2,597</w:t>
            </w:r>
          </w:p>
        </w:tc>
        <w:tc>
          <w:tcPr>
            <w:tcW w:w="0" w:type="dxa"/>
            <w:vAlign w:val="bottom"/>
          </w:tcPr>
          <w:p>
            <w:pPr>
              <w:spacing w:after="0"/>
              <w:rPr>
                <w:sz w:val="1"/>
                <w:szCs w:val="1"/>
                <w:color w:val="auto"/>
              </w:rPr>
            </w:pPr>
          </w:p>
        </w:tc>
      </w:tr>
      <w:tr>
        <w:trPr>
          <w:trHeight w:val="229"/>
        </w:trPr>
        <w:tc>
          <w:tcPr>
            <w:tcW w:w="6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Plus: income tax provision</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6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Plus: depreciation expense included in cost of sales for rentals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2,711</w:t>
            </w:r>
          </w:p>
        </w:tc>
        <w:tc>
          <w:tcPr>
            <w:tcW w:w="0" w:type="dxa"/>
            <w:vAlign w:val="bottom"/>
          </w:tcPr>
          <w:p>
            <w:pPr>
              <w:spacing w:after="0"/>
              <w:rPr>
                <w:sz w:val="1"/>
                <w:szCs w:val="1"/>
                <w:color w:val="auto"/>
              </w:rPr>
            </w:pPr>
          </w:p>
        </w:tc>
      </w:tr>
      <w:tr>
        <w:trPr>
          <w:trHeight w:val="230"/>
        </w:trPr>
        <w:tc>
          <w:tcPr>
            <w:tcW w:w="65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Plus: depreciation and amortization expense in operating expenses</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4,107</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4,307</w:t>
            </w:r>
          </w:p>
        </w:tc>
        <w:tc>
          <w:tcPr>
            <w:tcW w:w="0" w:type="dxa"/>
            <w:vAlign w:val="bottom"/>
          </w:tcPr>
          <w:p>
            <w:pPr>
              <w:spacing w:after="0"/>
              <w:rPr>
                <w:sz w:val="1"/>
                <w:szCs w:val="1"/>
                <w:color w:val="auto"/>
              </w:rPr>
            </w:pPr>
          </w:p>
        </w:tc>
      </w:tr>
      <w:tr>
        <w:trPr>
          <w:trHeight w:val="223"/>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(32,574)</w:t>
            </w:r>
          </w:p>
        </w:tc>
        <w:tc>
          <w:tcPr>
            <w:tcW w:w="0" w:type="dxa"/>
            <w:vAlign w:val="bottom"/>
          </w:tcPr>
          <w:p>
            <w:pPr>
              <w:spacing w:after="0"/>
              <w:rPr>
                <w:sz w:val="1"/>
                <w:szCs w:val="1"/>
                <w:color w:val="auto"/>
              </w:rPr>
            </w:pPr>
          </w:p>
        </w:tc>
      </w:tr>
      <w:tr>
        <w:trPr>
          <w:trHeight w:val="223"/>
        </w:trPr>
        <w:tc>
          <w:tcPr>
            <w:tcW w:w="6500" w:type="dxa"/>
            <w:vAlign w:val="bottom"/>
          </w:tcPr>
          <w:p>
            <w:pPr>
              <w:ind w:left="140"/>
              <w:spacing w:after="0" w:line="223" w:lineRule="exact"/>
              <w:rPr>
                <w:sz w:val="20"/>
                <w:szCs w:val="20"/>
                <w:color w:val="auto"/>
              </w:rPr>
            </w:pPr>
            <w:r>
              <w:rPr>
                <w:rFonts w:ascii="Times New Roman" w:cs="Times New Roman" w:eastAsia="Times New Roman" w:hAnsi="Times New Roman"/>
                <w:sz w:val="18"/>
                <w:szCs w:val="18"/>
                <w:color w:val="auto"/>
              </w:rPr>
              <w:t xml:space="preserve">Plus: stock-based compensation </w:t>
            </w:r>
            <w:r>
              <w:rPr>
                <w:rFonts w:ascii="Times New Roman" w:cs="Times New Roman" w:eastAsia="Times New Roman" w:hAnsi="Times New Roman"/>
                <w:sz w:val="23"/>
                <w:szCs w:val="23"/>
                <w:color w:val="auto"/>
                <w:vertAlign w:val="superscript"/>
              </w:rPr>
              <w:t>(a)</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3,029</w:t>
            </w:r>
          </w:p>
        </w:tc>
        <w:tc>
          <w:tcPr>
            <w:tcW w:w="0" w:type="dxa"/>
            <w:vAlign w:val="bottom"/>
          </w:tcPr>
          <w:p>
            <w:pPr>
              <w:spacing w:after="0"/>
              <w:rPr>
                <w:sz w:val="1"/>
                <w:szCs w:val="1"/>
                <w:color w:val="auto"/>
              </w:rPr>
            </w:pPr>
          </w:p>
        </w:tc>
      </w:tr>
      <w:tr>
        <w:trPr>
          <w:trHeight w:val="230"/>
        </w:trPr>
        <w:tc>
          <w:tcPr>
            <w:tcW w:w="650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Plus: investigation, proxy solicitation and restatement expenses </w:t>
            </w:r>
            <w:r>
              <w:rPr>
                <w:rFonts w:ascii="Times New Roman" w:cs="Times New Roman" w:eastAsia="Times New Roman" w:hAnsi="Times New Roman"/>
                <w:sz w:val="23"/>
                <w:szCs w:val="23"/>
                <w:color w:val="auto"/>
                <w:vertAlign w:val="superscript"/>
              </w:rPr>
              <w:t>(b)</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19,810</w:t>
            </w:r>
          </w:p>
        </w:tc>
        <w:tc>
          <w:tcPr>
            <w:tcW w:w="0" w:type="dxa"/>
            <w:vAlign w:val="bottom"/>
          </w:tcPr>
          <w:p>
            <w:pPr>
              <w:spacing w:after="0"/>
              <w:rPr>
                <w:sz w:val="1"/>
                <w:szCs w:val="1"/>
                <w:color w:val="auto"/>
              </w:rPr>
            </w:pPr>
          </w:p>
        </w:tc>
      </w:tr>
      <w:tr>
        <w:trPr>
          <w:trHeight w:val="230"/>
        </w:trPr>
        <w:tc>
          <w:tcPr>
            <w:tcW w:w="650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Plus: asset impairment charge </w:t>
            </w:r>
            <w:r>
              <w:rPr>
                <w:rFonts w:ascii="Times New Roman" w:cs="Times New Roman" w:eastAsia="Times New Roman" w:hAnsi="Times New Roman"/>
                <w:sz w:val="23"/>
                <w:szCs w:val="23"/>
                <w:color w:val="auto"/>
                <w:vertAlign w:val="superscript"/>
              </w:rPr>
              <w:t>(c)</w:t>
            </w:r>
          </w:p>
        </w:tc>
        <w:tc>
          <w:tcPr>
            <w:tcW w:w="3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50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Less: gain on extinguishment of debt </w:t>
            </w:r>
            <w:r>
              <w:rPr>
                <w:rFonts w:ascii="Times New Roman" w:cs="Times New Roman" w:eastAsia="Times New Roman" w:hAnsi="Times New Roman"/>
                <w:sz w:val="23"/>
                <w:szCs w:val="23"/>
                <w:color w:val="auto"/>
                <w:vertAlign w:val="superscript"/>
              </w:rPr>
              <w:t>(d)</w:t>
            </w:r>
          </w:p>
        </w:tc>
        <w:tc>
          <w:tcPr>
            <w:tcW w:w="3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5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Adjustments to EBITDA</w:t>
            </w:r>
          </w:p>
        </w:tc>
        <w:tc>
          <w:tcPr>
            <w:tcW w:w="3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7,444</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7,588</w:t>
            </w:r>
          </w:p>
        </w:tc>
        <w:tc>
          <w:tcPr>
            <w:tcW w:w="12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22,839</w:t>
            </w:r>
          </w:p>
        </w:tc>
        <w:tc>
          <w:tcPr>
            <w:tcW w:w="0" w:type="dxa"/>
            <w:vAlign w:val="bottom"/>
          </w:tcPr>
          <w:p>
            <w:pPr>
              <w:spacing w:after="0"/>
              <w:rPr>
                <w:sz w:val="1"/>
                <w:szCs w:val="1"/>
                <w:color w:val="auto"/>
              </w:rPr>
            </w:pPr>
          </w:p>
        </w:tc>
      </w:tr>
      <w:tr>
        <w:trPr>
          <w:trHeight w:val="248"/>
        </w:trPr>
        <w:tc>
          <w:tcPr>
            <w:tcW w:w="6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(9,735)</w:t>
            </w:r>
          </w:p>
        </w:tc>
        <w:tc>
          <w:tcPr>
            <w:tcW w:w="0" w:type="dxa"/>
            <w:vAlign w:val="bottom"/>
          </w:tcPr>
          <w:p>
            <w:pPr>
              <w:spacing w:after="0"/>
              <w:rPr>
                <w:sz w:val="1"/>
                <w:szCs w:val="1"/>
                <w:color w:val="auto"/>
              </w:rPr>
            </w:pP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9" w:lineRule="exact"/>
        <w:rPr>
          <w:sz w:val="20"/>
          <w:szCs w:val="20"/>
          <w:color w:val="auto"/>
        </w:rPr>
      </w:pPr>
    </w:p>
    <w:p>
      <w:pPr>
        <w:ind w:left="200" w:hanging="192"/>
        <w:spacing w:after="0"/>
        <w:tabs>
          <w:tab w:leader="none" w:pos="2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an adjustment to EBITDA, we have excluded stock-based compensation, as it does not reflect our cash-based operations.</w:t>
      </w:r>
    </w:p>
    <w:p>
      <w:pPr>
        <w:spacing w:after="0" w:line="27" w:lineRule="exact"/>
        <w:rPr>
          <w:rFonts w:ascii="Times New Roman" w:cs="Times New Roman" w:eastAsia="Times New Roman" w:hAnsi="Times New Roman"/>
          <w:sz w:val="14"/>
          <w:szCs w:val="14"/>
          <w:color w:val="auto"/>
        </w:rPr>
      </w:pPr>
    </w:p>
    <w:p>
      <w:pPr>
        <w:ind w:right="180" w:firstLine="8"/>
        <w:spacing w:after="0" w:line="254" w:lineRule="auto"/>
        <w:tabs>
          <w:tab w:leader="none" w:pos="204"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an adjustment to EBITDA, we have excluded the fees incurred in connection with the costs and expenses related to the 2019 Investigation, financial statement restatement activities, and proxy solicitation costs because we believe that they represent charges that are not related to our core operations.</w:t>
      </w:r>
    </w:p>
    <w:p>
      <w:pPr>
        <w:ind w:right="400" w:firstLine="8"/>
        <w:spacing w:after="0" w:line="259" w:lineRule="auto"/>
        <w:tabs>
          <w:tab w:leader="none" w:pos="196"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an adjustment to EBITDA, we have excluded the non-cash impairment charges related to long-lived operating lease right-of-use assets because we believe that these do not represent charges that are related to our core operations.</w:t>
      </w:r>
    </w:p>
    <w:p>
      <w:pPr>
        <w:ind w:left="220" w:hanging="212"/>
        <w:spacing w:after="0"/>
        <w:tabs>
          <w:tab w:leader="none" w:pos="2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an adjustment to EBITDA, we have excluded the one-time gain related to the forgiveness of our PPP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5"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Cash</w:t>
      </w:r>
    </w:p>
    <w:p>
      <w:pPr>
        <w:spacing w:after="0" w:line="21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Historically, we have financed our operations primarily through cash from operating activities, debt financings, and equity issuances. The Company has the following primary sources of capital available: (1) cash and cash equivalents on hand of $68.1 million as of June 30, 2022; (2) the cash that may be provided by operating activities; and (3) up to $15 million available to be drawn on the Amended Revolving Facility (defined below) with JPMorgan Chase Bank, N.A. (4) up to an additional $10 million available through March 2023 to be drawn on the Amended Secured Term Facility (defined below) with JPMorgan Chase Bank, N.A.</w:t>
      </w:r>
    </w:p>
    <w:p>
      <w:pPr>
        <w:spacing w:after="0" w:line="18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During the year ended June 30, 2022, the Company entered into an amended and restated credit agreement with JPMorgan Chase Bank, N.A. which provides for a $15 million secured revolving credit facility (the “Amended Revolving Facility”) and a $25 million secured term facility (the “Amended Secured Term Facility” and together with the Amended Revolving Facility, the “Amended JPMorgan Credit Facility”), and fully replaces our previous 2021 JPMorgan Credit Facility. For additional discussion on the amended credit facility see Note 11 to our Consolidated Financial Statements.</w:t>
      </w:r>
    </w:p>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also has estimated and recorded for potential sales tax and related interest and penalty liabilities of $14.7 million in the aggregate as of June 30, 2022. The Company continues to evaluate these liabilities and the amount and timing of any such payments.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believes that its current financial resources will be sufficient to fund its current twelve-month operating budget from the date of issuance of these consolidated financial statements.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are charts that reflect our cash liquidity and outstanding debt for the years ended June 30, 2022,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154305</wp:posOffset>
            </wp:positionV>
            <wp:extent cx="5572125" cy="25717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572125"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Consolidated Statements of Cash Flows in Item 8 of this Annual Report for details on the changes in cash and cash equivalents classified by operating, investing and financing activities during our respective reporting periods.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43" w:name="page44"/>
    <w:bookmarkEnd w:id="4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2385695</wp:posOffset>
            </wp:positionH>
            <wp:positionV relativeFrom="page">
              <wp:posOffset>715010</wp:posOffset>
            </wp:positionV>
            <wp:extent cx="2785745" cy="25717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clrChange>
                        <a:clrFrom>
                          <a:srgbClr val="FFFFFF"/>
                        </a:clrFrom>
                        <a:clrTo>
                          <a:srgbClr val="FFFFFF">
                            <a:alpha val="0"/>
                          </a:srgbClr>
                        </a:clrTo>
                      </a:clrChange>
                      <a:extLst>
                        <a:ext uri="{28A0092B-C50C-407E-A947-70E740481C1C}"/>
                      </a:extLst>
                    </a:blip>
                    <a:srcRect/>
                    <a:stretch>
                      <a:fillRect/>
                    </a:stretch>
                  </pic:blipFill>
                  <pic:spPr bwMode="auto">
                    <a:xfrm>
                      <a:off x="0" y="0"/>
                      <a:ext cx="2785745"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(used in) operating activities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used in operating activities was $8.7 million for the year ended June 30, 2022 compared to cash provided by operating activities of $8.2 million for the year ended June 30, 2021. The $8.7 million cash used in operating activities reflects our net loss of $1.7 million, $22.5 million utilized by changes in working capital accounts offset by $15.5 million in non-cash operating charges.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Cash utilized by working capital accounts of approximately $22 million was principally a function of a $14.1 million increase in inventory, $13.6 million increase in accounts receivable, $4.3 million increase in prepaids and other assets, offset by an increase of $12.2 million to accounts payable and accrued expenses. Increase in inventory is driven by increased equipment sales as well as strategic planning to mitigate potential supply chain disruptions. The Company has increased inventory on hand in order to efficiently fulfill orders as they are placed and as we anticipate orders for customers who are continuing to upgrade 3G devices to 4G as the 3G network sunset date approaches near the end of calendar year 2022. Increase in cash utilized by accounts receivable of was as a result of increased sales and processing volumes during fiscal year 2022; offset by an increase in accounts payable and accrued expenses which was comprised of funds owed to customers as a result of larger processing volumes in fiscal year 2022.</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Non-cash operating charges primarily consisted of stock-based compensation, depreciation of property and equipment, and amortization of our intangible assets.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used in investing activities was $12.2 million for the year ended June 30, 2022 compared to cash used of $1.8 million in the same period in the prior year. Increase in cash used is due to the cash paid for the Yoke acquisition of $3 million and $9.3 million for increased property and equipment balances driven primarily by the Company's continued focus on investing in innovative technologies and products.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used in investing activities was $1.8 million for the year ended June 30, 2021 which was primarily used to increase property and equipment.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financing activities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Cash provided by financing activities was $0.9 million for the year ended June 30, 2022 compared to cash provided of $50.1 million in the prior year. During the prior fiscal year, the Company raised $52.4 million of proceeds (net of issuance costs) through a private placement transaction with respect to the sale of an aggregate of 5,730,000 shares of the Company’s common stock to accredited investors (described below). The Company paid $1.2 million as a prepayment penalty and commitment termination fee to Antara as part of the repayment of the 2020 Antara Term Facility and paid $0.5 million of debt issuance costs as a result of entering into the 2021 JPMorgan Credit Facility.</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2022, the Company had certain contractual obligations due over a period of time as summarized in the following table:</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160" w:type="dxa"/>
            <w:vAlign w:val="bottom"/>
            <w:gridSpan w:val="6"/>
          </w:tcPr>
          <w:p>
            <w:pPr>
              <w:jc w:val="center"/>
              <w:ind w:left="896"/>
              <w:spacing w:after="0"/>
              <w:rPr>
                <w:sz w:val="20"/>
                <w:szCs w:val="20"/>
                <w:color w:val="auto"/>
              </w:rPr>
            </w:pPr>
            <w:r>
              <w:rPr>
                <w:rFonts w:ascii="Times New Roman" w:cs="Times New Roman" w:eastAsia="Times New Roman" w:hAnsi="Times New Roman"/>
                <w:sz w:val="14"/>
                <w:szCs w:val="14"/>
                <w:b w:val="1"/>
                <w:bCs w:val="1"/>
                <w:color w:val="auto"/>
              </w:rPr>
              <w:t>Payments Due by Fiscal Year</w:t>
            </w: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7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6"/>
                <w:szCs w:val="16"/>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Less than 1 year</w:t>
            </w:r>
          </w:p>
        </w:tc>
        <w:tc>
          <w:tcPr>
            <w:tcW w:w="280" w:type="dxa"/>
            <w:vAlign w:val="bottom"/>
          </w:tcPr>
          <w:p>
            <w:pPr>
              <w:spacing w:after="0"/>
              <w:rPr>
                <w:sz w:val="16"/>
                <w:szCs w:val="16"/>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280" w:type="dxa"/>
            <w:vAlign w:val="bottom"/>
          </w:tcPr>
          <w:p>
            <w:pPr>
              <w:spacing w:after="0"/>
              <w:rPr>
                <w:sz w:val="16"/>
                <w:szCs w:val="16"/>
                <w:color w:val="auto"/>
              </w:rPr>
            </w:pP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120" w:type="dxa"/>
            <w:vAlign w:val="bottom"/>
          </w:tcPr>
          <w:p>
            <w:pPr>
              <w:spacing w:after="0"/>
              <w:rPr>
                <w:sz w:val="16"/>
                <w:szCs w:val="16"/>
                <w:color w:val="auto"/>
              </w:rPr>
            </w:pPr>
          </w:p>
        </w:tc>
        <w:tc>
          <w:tcPr>
            <w:tcW w:w="1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More than 5 years</w:t>
            </w:r>
          </w:p>
        </w:tc>
        <w:tc>
          <w:tcPr>
            <w:tcW w:w="0" w:type="dxa"/>
            <w:vAlign w:val="bottom"/>
          </w:tcPr>
          <w:p>
            <w:pPr>
              <w:spacing w:after="0"/>
              <w:rPr>
                <w:sz w:val="1"/>
                <w:szCs w:val="1"/>
                <w:color w:val="auto"/>
              </w:rPr>
            </w:pPr>
          </w:p>
        </w:tc>
      </w:tr>
      <w:tr>
        <w:trPr>
          <w:trHeight w:val="23"/>
        </w:trPr>
        <w:tc>
          <w:tcPr>
            <w:tcW w:w="3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58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Debt and financing obligations </w:t>
            </w:r>
            <w:r>
              <w:rPr>
                <w:rFonts w:ascii="Times New Roman" w:cs="Times New Roman" w:eastAsia="Times New Roman" w:hAnsi="Times New Roman"/>
                <w:sz w:val="23"/>
                <w:szCs w:val="23"/>
                <w:color w:val="auto"/>
                <w:vertAlign w:val="superscript"/>
              </w:rPr>
              <w:t>(a)</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7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Operating lease obligations </w:t>
            </w:r>
            <w:r>
              <w:rPr>
                <w:rFonts w:ascii="Times New Roman" w:cs="Times New Roman" w:eastAsia="Times New Roman" w:hAnsi="Times New Roman"/>
                <w:sz w:val="23"/>
                <w:szCs w:val="23"/>
                <w:color w:val="auto"/>
                <w:vertAlign w:val="superscript"/>
              </w:rPr>
              <w:t>(b)</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7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Purchase obligations </w:t>
            </w:r>
            <w:r>
              <w:rPr>
                <w:rFonts w:ascii="Times New Roman" w:cs="Times New Roman" w:eastAsia="Times New Roman" w:hAnsi="Times New Roman"/>
                <w:sz w:val="23"/>
                <w:szCs w:val="23"/>
                <w:color w:val="auto"/>
                <w:vertAlign w:val="superscript"/>
              </w:rPr>
              <w:t>(c)</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contractual obligations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43,626</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14,767</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13,422</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15,437</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
        </w:trPr>
        <w:tc>
          <w:tcPr>
            <w:tcW w:w="3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660" w:hanging="328"/>
        <w:spacing w:after="0" w:line="271" w:lineRule="auto"/>
        <w:tabs>
          <w:tab w:leader="none" w:pos="692"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debt and financing obligations include both principal and interest obligations. As of June 30, 2022, an interest rate of 5% was used to compute the amount of the contractual obligations for interest on the Amended JPMorgan Credit Agreement. See Note 11 to the consolidated financial statements for further information.</w:t>
      </w:r>
    </w:p>
    <w:p>
      <w:pPr>
        <w:ind w:left="640" w:hanging="308"/>
        <w:spacing w:after="0"/>
        <w:tabs>
          <w:tab w:leader="none" w:pos="6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lease obligations represent our undiscounted operating lease liabilities as of June 30, 2022. See Note 3 to the consolidated financial statements for further information.</w:t>
      </w:r>
    </w:p>
    <w:p>
      <w:pPr>
        <w:spacing w:after="0" w:line="14"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 obligations primarily represent firm commitments to purchase inventory. See Note 18 to the consolidated financial statements for further information.</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June 30, 2022 we are exposed to market risk related to changes in interest rates on our outstanding borrowings. On March 17, 2022, the Company entered into an amended and restated credit agreement with JPMorgan Chase Bank, N.A. which provides for a $15 million secured revolving credit facility (the “Amended Revolving Facility”) and a $25 million secured term facility (the “Amended Secured Term Facility” and together with the Amended Revolving Facility, the “Amended JPMorgan Credit Facility”), and fully replaces our previous 2021 JPMorgan Credit Facility. The Amended JPMorgan Credit Facility has a four year maturity. Interest on the Amended JPMorgan Credit Facility will be based, at the Company’s option, on a base rate or SOFR plus an applicable margin tied to the Company’s total leverage ratio and having ranges of between 2.50% and 3.00% for base rate loans and between 3.50% and 4.00% for SOFR loans; provided that until June 30, 2022 the applicable margin shall be 2.75% for base rate loans and 3.75% for SOFR loans. An increase of 100 basis points in SOFR Rate would not have a material impact on our interest expense or consolidated financial statements.</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also exposed to market risk related to changes in interest rates on our cash investments. We invest our excess cash in money market funds that we believe are highly liquid and marketable in the short term. These investments earn a floating rate of interest and are not held for trading or other speculative purposes. Consequently, our exposure to market risks for interest rate changes related to our money market funds is not material. Market risks related to fluctuations of foreign currencies are not material and we have no freestanding derivative instruments as of June 30, 2022.</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CANTALOUPE, INC.</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37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95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1660" w:type="dxa"/>
            <w:vAlign w:val="bottom"/>
          </w:tcPr>
          <w:p>
            <w:pPr>
              <w:spacing w:after="0"/>
              <w:rPr>
                <w:sz w:val="20"/>
                <w:szCs w:val="20"/>
                <w:color w:val="auto"/>
              </w:rPr>
            </w:pPr>
          </w:p>
        </w:tc>
      </w:tr>
      <w:tr>
        <w:trPr>
          <w:trHeight w:val="283"/>
        </w:trPr>
        <w:tc>
          <w:tcPr>
            <w:tcW w:w="95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(BDO USA, LLP; Richmond, VA; PCAOB ID#243)</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0"/>
        </w:trPr>
        <w:tc>
          <w:tcPr>
            <w:tcW w:w="2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250"/>
        </w:trPr>
        <w:tc>
          <w:tcPr>
            <w:tcW w:w="75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Report of Independent Registered Public Accounting Firm on Internal Control over Financial Reporting</w:t>
            </w:r>
          </w:p>
        </w:tc>
        <w:tc>
          <w:tcPr>
            <w:tcW w:w="20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50"/>
        </w:trPr>
        <w:tc>
          <w:tcPr>
            <w:tcW w:w="21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Consolidated Balance Sheets</w:t>
            </w:r>
          </w:p>
        </w:tc>
        <w:tc>
          <w:tcPr>
            <w:tcW w:w="7420" w:type="dxa"/>
            <w:vAlign w:val="bottom"/>
            <w:gridSpan w:val="7"/>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50"/>
        </w:trPr>
        <w:tc>
          <w:tcPr>
            <w:tcW w:w="28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w:t>
            </w:r>
          </w:p>
        </w:tc>
        <w:tc>
          <w:tcPr>
            <w:tcW w:w="6700" w:type="dxa"/>
            <w:vAlign w:val="bottom"/>
            <w:gridSpan w:val="6"/>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50"/>
        </w:trPr>
        <w:tc>
          <w:tcPr>
            <w:tcW w:w="35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Consolidated Statements of Shareholders’ Equity</w:t>
            </w:r>
          </w:p>
        </w:tc>
        <w:tc>
          <w:tcPr>
            <w:tcW w:w="5960" w:type="dxa"/>
            <w:vAlign w:val="bottom"/>
            <w:gridSpan w:val="3"/>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50"/>
        </w:trPr>
        <w:tc>
          <w:tcPr>
            <w:tcW w:w="28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6640" w:type="dxa"/>
            <w:vAlign w:val="bottom"/>
            <w:gridSpan w:val="5"/>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50"/>
        </w:trPr>
        <w:tc>
          <w:tcPr>
            <w:tcW w:w="31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6360" w:type="dxa"/>
            <w:vAlign w:val="bottom"/>
            <w:gridSpan w:val="4"/>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03" w:right="37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Cantaloupe,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Malvern, Pennsylvania</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Consolidated Financial Statements</w:t>
      </w:r>
    </w:p>
    <w:p>
      <w:pPr>
        <w:spacing w:after="0" w:line="24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Cantaloupe, Inc. (the “Company”) as of June 30, 2022 and 2021, the related consolidated statements of operations, shareholders’ equity, and cash flows for each of the three years in the period ended June 30, 2022, and the related notes (collectively referred to as the “consolidated financial statements”). In our opinion, the consolidated financial statements present fairly, in all material respects, the financial position of the Company at June 30, 2022 and 2021, and the results of its operations and its cash flows for each of the three years in the period ended June 30, 2022, in conformity with accounting principles generally accepted in the United States of America.</w:t>
      </w:r>
    </w:p>
    <w:p>
      <w:pPr>
        <w:spacing w:after="0" w:line="21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June 30, 2022, based on criteria established in Internal Control – Integrated Framework (2013) issued by the Committee of Sponsoring Organizations of the Treadway Commission (“COSO”) and our report dated October 19, 2022 expressed an adverse opinion thereon.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1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8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separate opinions on the critical audit matter or on the accounts or disclosures to which it relates.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 – Identification of Performance Obligations</w:t>
      </w:r>
    </w:p>
    <w:p>
      <w:pPr>
        <w:spacing w:after="0" w:line="24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As described in Notes 2 and 4 to the consolidated financial statements, the Company recognized consolidated revenues for the year ended June 30, 2022 of $205 million. The Company sells or leases point-of-sale devices (hardware) and provides an end-to-end payment solution, which integrates hardware, software, and payment processing in the unattended retail market. The Company’s contracts with customers may have multiple performance obligations, which requires management to make certain estimates and assumptions about the nature and extent of those performance obligations. The Company recognizes revenue when it satisfies a performance obligation by transferring control over a product or service to a customer, which maybe at a point in time, or over time.</w:t>
      </w:r>
    </w:p>
    <w:p>
      <w:pPr>
        <w:spacing w:after="0" w:line="21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identified revenue recognition, specifically related to management’s identification of the performance obligations within its customer contracts, as a critical audit matter. The principal considerations for our determination included the volume of the Company’s contracts and variability within those contracts that may contain multiple products and services, together with the</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47" w:name="page48"/>
    <w:bookmarkEnd w:id="47"/>
    <w:p>
      <w:pPr>
        <w:spacing w:after="0" w:line="266" w:lineRule="auto"/>
        <w:rPr>
          <w:sz w:val="20"/>
          <w:szCs w:val="20"/>
          <w:color w:val="auto"/>
        </w:rPr>
      </w:pPr>
      <w:r>
        <w:rPr>
          <w:rFonts w:ascii="Times New Roman" w:cs="Times New Roman" w:eastAsia="Times New Roman" w:hAnsi="Times New Roman"/>
          <w:sz w:val="18"/>
          <w:szCs w:val="18"/>
          <w:color w:val="auto"/>
        </w:rPr>
        <w:t>significant judgment involved in management’s identification of performance obligations. Auditing these elements was especially challenging due to the extent of audit effort and the degree of auditor judgment required to address these matters.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primary procedures we performed to address this critical audit matter included:</w:t>
      </w:r>
    </w:p>
    <w:p>
      <w:pPr>
        <w:spacing w:after="0" w:line="16" w:lineRule="exact"/>
        <w:rPr>
          <w:sz w:val="20"/>
          <w:szCs w:val="20"/>
          <w:color w:val="auto"/>
        </w:rPr>
      </w:pPr>
    </w:p>
    <w:p>
      <w:pPr>
        <w:jc w:val="both"/>
        <w:ind w:left="660" w:hanging="328"/>
        <w:spacing w:after="0" w:line="239"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a sample of revenue contracts by obtaining and evaluating underlying source documents relevant to revenue recognition. For those selected contracts, evaluating management’s identification of the performance obligations, including consideration of terms and conditions that may give rise to a material right.</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2019.</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Richmond, Virginia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19, 2022</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Cantaloupe,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Malvern, Pennsylvania</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4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 xml:space="preserve">We have audited Cantaloupe, Inc.’s (the “Company’s”) internal control over financial reporting as of June 30, 2022, based on criteria established in </w:t>
      </w:r>
      <w:r>
        <w:rPr>
          <w:rFonts w:ascii="Times New Roman" w:cs="Times New Roman" w:eastAsia="Times New Roman" w:hAnsi="Times New Roman"/>
          <w:sz w:val="18"/>
          <w:szCs w:val="18"/>
          <w:i w:val="1"/>
          <w:iCs w:val="1"/>
          <w:color w:val="auto"/>
        </w:rPr>
        <w:t>Internal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Control – Integrated Framework (2013) </w:t>
      </w:r>
      <w:r>
        <w:rPr>
          <w:rFonts w:ascii="Times New Roman" w:cs="Times New Roman" w:eastAsia="Times New Roman" w:hAnsi="Times New Roman"/>
          <w:sz w:val="18"/>
          <w:szCs w:val="18"/>
          <w:color w:val="auto"/>
        </w:rPr>
        <w:t>issued by the Committee of Sponsoring Organizations of the Treadway Commission (the “COSO criteria”). In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opinion, the Company did not maintain, in all material respects, effective internal control over financial reporting as of June 30, 2022, based on the COSO criteria.</w:t>
      </w:r>
    </w:p>
    <w:p>
      <w:pPr>
        <w:spacing w:after="0" w:line="20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do not express an opinion or any other form of assurance on management’s statements referring to any corrective actions taken by the Company after the date of management’s assessment.</w:t>
      </w:r>
    </w:p>
    <w:p>
      <w:pPr>
        <w:spacing w:after="0" w:line="18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June 30, 2022 and 2021, the related consolidated statements of operations, shareholders’ equity, and cash flows for each of the three years in the period ended June 30, 2022, and the related notes (collectively referred to as “the financial statements”) and our report dated October 19, 2022 expressed an unqualified opinion thereon.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4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“Item 9A,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21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conducted our audit of internal control over financial reporting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9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Material weaknesses related to management’s failure to design and maintain effective controls over financial reporting, specifically related to (1) entity-level controls impacting the control environment, risk assessment procedures, and monitoring activities to prevent or detect material misstatements to the consolidated financial statements, including insufficient identification and assessment of risks impacting the design, implementation, and operating effectiveness of internal controls over financial reporting, and insufficient evaluation and determination as to whether the components of internal control were present and functioning based upon evidence maintained for activity level controls, including management review controls, across substantially all of the Company’s financial statement areas; (2) effective information technology controls related to user access, program change management, and segregation of duties for systems supporting the Company’s accounting and reporting processes, and controls necessary to validate the completeness and accuracy of key reports used within activity level controls across substantially all financial statement areas; and (3) controls over recorded revenue and related accounts, including controls over the appropriate identification of performance obligations within customer contracts, allocation of transaction price to those performance obligations, identification of transactions requiring gross presentation, input of executed contract terms into the Company's information systems that perform revenue recognition, including the completeness and accuracy for reports used in the operation of controls over revenue recognition.</w:t>
      </w:r>
    </w:p>
    <w:p>
      <w:pPr>
        <w:spacing w:after="0" w:line="21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material weaknesses were considered in determining the nature, timing, and extent of audit tests applied in our audit of the 2022 financial statements, and this report does not affect our report dated October 19, 2022 on those financial statements.</w:t>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4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Richmond, Virginia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19, 2022</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0" w:name="page51"/>
    <w:bookmarkEnd w:id="5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Cantaloupe,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5"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in thousands, except share data)</w:t>
            </w: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440" w:type="dxa"/>
            <w:vAlign w:val="bottom"/>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40"/>
        </w:trPr>
        <w:tc>
          <w:tcPr>
            <w:tcW w:w="8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68,125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88,136</w:t>
            </w:r>
          </w:p>
        </w:tc>
        <w:tc>
          <w:tcPr>
            <w:tcW w:w="0" w:type="dxa"/>
            <w:vAlign w:val="bottom"/>
          </w:tcPr>
          <w:p>
            <w:pPr>
              <w:spacing w:after="0"/>
              <w:rPr>
                <w:sz w:val="1"/>
                <w:szCs w:val="1"/>
                <w:color w:val="auto"/>
              </w:rPr>
            </w:pPr>
          </w:p>
        </w:tc>
      </w:tr>
      <w:tr>
        <w:trPr>
          <w:trHeight w:val="229"/>
        </w:trPr>
        <w:tc>
          <w:tcPr>
            <w:tcW w:w="8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receivable, net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37,695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27,470</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Finance receivables, net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7,967</w:t>
            </w:r>
          </w:p>
        </w:tc>
        <w:tc>
          <w:tcPr>
            <w:tcW w:w="0" w:type="dxa"/>
            <w:vAlign w:val="bottom"/>
          </w:tcPr>
          <w:p>
            <w:pPr>
              <w:spacing w:after="0"/>
              <w:rPr>
                <w:sz w:val="1"/>
                <w:szCs w:val="1"/>
                <w:color w:val="auto"/>
              </w:rPr>
            </w:pPr>
          </w:p>
        </w:tc>
      </w:tr>
      <w:tr>
        <w:trPr>
          <w:trHeight w:val="229"/>
        </w:trPr>
        <w:tc>
          <w:tcPr>
            <w:tcW w:w="8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Inventory, net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19,754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5,292</w:t>
            </w: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4,285</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2,414</w:t>
            </w:r>
          </w:p>
        </w:tc>
        <w:tc>
          <w:tcPr>
            <w:tcW w:w="0" w:type="dxa"/>
            <w:vAlign w:val="bottom"/>
          </w:tcPr>
          <w:p>
            <w:pPr>
              <w:spacing w:after="0"/>
              <w:rPr>
                <w:sz w:val="1"/>
                <w:szCs w:val="1"/>
                <w:color w:val="auto"/>
              </w:rPr>
            </w:pPr>
          </w:p>
        </w:tc>
      </w:tr>
      <w:tr>
        <w:trPr>
          <w:trHeight w:val="223"/>
        </w:trPr>
        <w:tc>
          <w:tcPr>
            <w:tcW w:w="8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136,580</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131,279</w:t>
            </w:r>
          </w:p>
        </w:tc>
        <w:tc>
          <w:tcPr>
            <w:tcW w:w="0" w:type="dxa"/>
            <w:vAlign w:val="bottom"/>
          </w:tcPr>
          <w:p>
            <w:pPr>
              <w:spacing w:after="0"/>
              <w:rPr>
                <w:sz w:val="1"/>
                <w:szCs w:val="1"/>
                <w:color w:val="auto"/>
              </w:rPr>
            </w:pPr>
          </w:p>
        </w:tc>
      </w:tr>
      <w:tr>
        <w:trPr>
          <w:trHeight w:val="196"/>
        </w:trPr>
        <w:tc>
          <w:tcPr>
            <w:tcW w:w="8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Finance receivables due after one year, net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11,632</w:t>
            </w:r>
          </w:p>
        </w:tc>
        <w:tc>
          <w:tcPr>
            <w:tcW w:w="0" w:type="dxa"/>
            <w:vAlign w:val="bottom"/>
          </w:tcPr>
          <w:p>
            <w:pPr>
              <w:spacing w:after="0"/>
              <w:rPr>
                <w:sz w:val="1"/>
                <w:szCs w:val="1"/>
                <w:color w:val="auto"/>
              </w:rPr>
            </w:pPr>
          </w:p>
        </w:tc>
      </w:tr>
      <w:tr>
        <w:trPr>
          <w:trHeight w:val="229"/>
        </w:trPr>
        <w:tc>
          <w:tcPr>
            <w:tcW w:w="8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5,570</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lease assets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3,049</w:t>
            </w:r>
          </w:p>
        </w:tc>
        <w:tc>
          <w:tcPr>
            <w:tcW w:w="0" w:type="dxa"/>
            <w:vAlign w:val="bottom"/>
          </w:tcPr>
          <w:p>
            <w:pPr>
              <w:spacing w:after="0"/>
              <w:rPr>
                <w:sz w:val="1"/>
                <w:szCs w:val="1"/>
                <w:color w:val="auto"/>
              </w:rPr>
            </w:pPr>
          </w:p>
        </w:tc>
      </w:tr>
      <w:tr>
        <w:trPr>
          <w:trHeight w:val="229"/>
        </w:trPr>
        <w:tc>
          <w:tcPr>
            <w:tcW w:w="8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Intangibles, net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17,947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19,992</w:t>
            </w: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66,656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63,945</w:t>
            </w:r>
          </w:p>
        </w:tc>
        <w:tc>
          <w:tcPr>
            <w:tcW w:w="0" w:type="dxa"/>
            <w:vAlign w:val="bottom"/>
          </w:tcPr>
          <w:p>
            <w:pPr>
              <w:spacing w:after="0"/>
              <w:rPr>
                <w:sz w:val="1"/>
                <w:szCs w:val="1"/>
                <w:color w:val="auto"/>
              </w:rPr>
            </w:pPr>
          </w:p>
        </w:tc>
      </w:tr>
      <w:tr>
        <w:trPr>
          <w:trHeight w:val="230"/>
        </w:trPr>
        <w:tc>
          <w:tcPr>
            <w:tcW w:w="84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4,568</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2,205</w:t>
            </w:r>
          </w:p>
        </w:tc>
        <w:tc>
          <w:tcPr>
            <w:tcW w:w="0" w:type="dxa"/>
            <w:vAlign w:val="bottom"/>
          </w:tcPr>
          <w:p>
            <w:pPr>
              <w:spacing w:after="0"/>
              <w:rPr>
                <w:sz w:val="1"/>
                <w:szCs w:val="1"/>
                <w:color w:val="auto"/>
              </w:rPr>
            </w:pPr>
          </w:p>
        </w:tc>
      </w:tr>
      <w:tr>
        <w:trPr>
          <w:trHeight w:val="223"/>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non-current assets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119,052</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106,393</w:t>
            </w:r>
          </w:p>
        </w:tc>
        <w:tc>
          <w:tcPr>
            <w:tcW w:w="0" w:type="dxa"/>
            <w:vAlign w:val="bottom"/>
          </w:tcPr>
          <w:p>
            <w:pPr>
              <w:spacing w:after="0"/>
              <w:rPr>
                <w:sz w:val="1"/>
                <w:szCs w:val="1"/>
                <w:color w:val="auto"/>
              </w:rPr>
            </w:pPr>
          </w:p>
        </w:tc>
      </w:tr>
      <w:tr>
        <w:trPr>
          <w:trHeight w:val="196"/>
        </w:trPr>
        <w:tc>
          <w:tcPr>
            <w:tcW w:w="84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8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255,632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237,672</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convertible preferred stock and shareholders’ equity</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48,440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36,775</w:t>
            </w:r>
          </w:p>
        </w:tc>
        <w:tc>
          <w:tcPr>
            <w:tcW w:w="0" w:type="dxa"/>
            <w:vAlign w:val="bottom"/>
          </w:tcPr>
          <w:p>
            <w:pPr>
              <w:spacing w:after="0"/>
              <w:rPr>
                <w:sz w:val="1"/>
                <w:szCs w:val="1"/>
                <w:color w:val="auto"/>
              </w:rPr>
            </w:pPr>
          </w:p>
        </w:tc>
      </w:tr>
      <w:tr>
        <w:trPr>
          <w:trHeight w:val="229"/>
        </w:trPr>
        <w:tc>
          <w:tcPr>
            <w:tcW w:w="8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expenses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28,154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26,460</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 obligations under long-term debt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0" w:type="dxa"/>
            <w:vAlign w:val="bottom"/>
          </w:tcPr>
          <w:p>
            <w:pPr>
              <w:spacing w:after="0"/>
              <w:rPr>
                <w:sz w:val="1"/>
                <w:szCs w:val="1"/>
                <w:color w:val="auto"/>
              </w:rPr>
            </w:pPr>
          </w:p>
        </w:tc>
      </w:tr>
      <w:tr>
        <w:trPr>
          <w:trHeight w:val="230"/>
        </w:trPr>
        <w:tc>
          <w:tcPr>
            <w:tcW w:w="84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Deferred revenue</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1,893</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1,763</w:t>
            </w:r>
          </w:p>
        </w:tc>
        <w:tc>
          <w:tcPr>
            <w:tcW w:w="0" w:type="dxa"/>
            <w:vAlign w:val="bottom"/>
          </w:tcPr>
          <w:p>
            <w:pPr>
              <w:spacing w:after="0"/>
              <w:rPr>
                <w:sz w:val="1"/>
                <w:szCs w:val="1"/>
                <w:color w:val="auto"/>
              </w:rPr>
            </w:pPr>
          </w:p>
        </w:tc>
      </w:tr>
      <w:tr>
        <w:trPr>
          <w:trHeight w:val="223"/>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79,179</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65,673</w:t>
            </w:r>
          </w:p>
        </w:tc>
        <w:tc>
          <w:tcPr>
            <w:tcW w:w="0" w:type="dxa"/>
            <w:vAlign w:val="bottom"/>
          </w:tcPr>
          <w:p>
            <w:pPr>
              <w:spacing w:after="0"/>
              <w:rPr>
                <w:sz w:val="1"/>
                <w:szCs w:val="1"/>
                <w:color w:val="auto"/>
              </w:rPr>
            </w:pPr>
          </w:p>
        </w:tc>
      </w:tr>
      <w:tr>
        <w:trPr>
          <w:trHeight w:val="196"/>
        </w:trPr>
        <w:tc>
          <w:tcPr>
            <w:tcW w:w="8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income taxes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13,644</w:t>
            </w:r>
          </w:p>
        </w:tc>
        <w:tc>
          <w:tcPr>
            <w:tcW w:w="0" w:type="dxa"/>
            <w:vAlign w:val="bottom"/>
          </w:tcPr>
          <w:p>
            <w:pPr>
              <w:spacing w:after="0"/>
              <w:rPr>
                <w:sz w:val="1"/>
                <w:szCs w:val="1"/>
                <w:color w:val="auto"/>
              </w:rPr>
            </w:pPr>
          </w:p>
        </w:tc>
      </w:tr>
      <w:tr>
        <w:trPr>
          <w:trHeight w:val="229"/>
        </w:trPr>
        <w:tc>
          <w:tcPr>
            <w:tcW w:w="84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2,366</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3,645</w:t>
            </w:r>
          </w:p>
        </w:tc>
        <w:tc>
          <w:tcPr>
            <w:tcW w:w="0" w:type="dxa"/>
            <w:vAlign w:val="bottom"/>
          </w:tcPr>
          <w:p>
            <w:pPr>
              <w:spacing w:after="0"/>
              <w:rPr>
                <w:sz w:val="1"/>
                <w:szCs w:val="1"/>
                <w:color w:val="auto"/>
              </w:rPr>
            </w:pPr>
          </w:p>
        </w:tc>
      </w:tr>
      <w:tr>
        <w:trPr>
          <w:trHeight w:val="223"/>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16,482</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17,468</w:t>
            </w:r>
          </w:p>
        </w:tc>
        <w:tc>
          <w:tcPr>
            <w:tcW w:w="0" w:type="dxa"/>
            <w:vAlign w:val="bottom"/>
          </w:tcPr>
          <w:p>
            <w:pPr>
              <w:spacing w:after="0"/>
              <w:rPr>
                <w:sz w:val="1"/>
                <w:szCs w:val="1"/>
                <w:color w:val="auto"/>
              </w:rPr>
            </w:pPr>
          </w:p>
        </w:tc>
      </w:tr>
      <w:tr>
        <w:trPr>
          <w:trHeight w:val="196"/>
        </w:trPr>
        <w:tc>
          <w:tcPr>
            <w:tcW w:w="84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95,661</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83,141</w:t>
            </w:r>
          </w:p>
        </w:tc>
        <w:tc>
          <w:tcPr>
            <w:tcW w:w="0" w:type="dxa"/>
            <w:vAlign w:val="bottom"/>
          </w:tcPr>
          <w:p>
            <w:pPr>
              <w:spacing w:after="0"/>
              <w:rPr>
                <w:sz w:val="1"/>
                <w:szCs w:val="1"/>
                <w:color w:val="auto"/>
              </w:rPr>
            </w:pPr>
          </w:p>
        </w:tc>
      </w:tr>
      <w:tr>
        <w:trPr>
          <w:trHeight w:val="210"/>
        </w:trPr>
        <w:tc>
          <w:tcPr>
            <w:tcW w:w="8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18)</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Convertible preferred stock:</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44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Series A convertible preferred stock, 900,000 shares authorized, 445,063 issued and outstanding, with liquidation</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preferences of $22,115 and $21,447 at June 30, 2022 and 2021, respectively</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3,138</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Preferred stock, no par value, 1,800,000 shares authorized</w:t>
            </w: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844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Common stock, no par value, 640,000,000 shares authorized, 71,188,053 and 71,258,047 shares issued and</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outstanding at June 30, 2022 and 2021, respectively</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469,918</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462,775</w:t>
            </w:r>
          </w:p>
        </w:tc>
        <w:tc>
          <w:tcPr>
            <w:tcW w:w="0" w:type="dxa"/>
            <w:vAlign w:val="bottom"/>
          </w:tcPr>
          <w:p>
            <w:pPr>
              <w:spacing w:after="0"/>
              <w:rPr>
                <w:sz w:val="1"/>
                <w:szCs w:val="1"/>
                <w:color w:val="auto"/>
              </w:rPr>
            </w:pPr>
          </w:p>
        </w:tc>
      </w:tr>
      <w:tr>
        <w:trPr>
          <w:trHeight w:val="229"/>
        </w:trPr>
        <w:tc>
          <w:tcPr>
            <w:tcW w:w="84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Accumulated deficit</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(313,085)</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(311,382)</w:t>
            </w:r>
          </w:p>
        </w:tc>
        <w:tc>
          <w:tcPr>
            <w:tcW w:w="0" w:type="dxa"/>
            <w:vAlign w:val="bottom"/>
          </w:tcPr>
          <w:p>
            <w:pPr>
              <w:spacing w:after="0"/>
              <w:rPr>
                <w:sz w:val="1"/>
                <w:szCs w:val="1"/>
                <w:color w:val="auto"/>
              </w:rPr>
            </w:pPr>
          </w:p>
        </w:tc>
      </w:tr>
      <w:tr>
        <w:trPr>
          <w:trHeight w:val="223"/>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156,833</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151,393</w:t>
            </w:r>
          </w:p>
        </w:tc>
        <w:tc>
          <w:tcPr>
            <w:tcW w:w="0" w:type="dxa"/>
            <w:vAlign w:val="bottom"/>
          </w:tcPr>
          <w:p>
            <w:pPr>
              <w:spacing w:after="0"/>
              <w:rPr>
                <w:sz w:val="1"/>
                <w:szCs w:val="1"/>
                <w:color w:val="auto"/>
              </w:rPr>
            </w:pPr>
          </w:p>
        </w:tc>
      </w:tr>
      <w:tr>
        <w:trPr>
          <w:trHeight w:val="223"/>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convertible preferred stock and shareholders’ equity</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255,632</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237,672</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ectPr>
          <w:pgSz w:w="11900" w:h="16838" w:orient="portrait"/>
          <w:cols w:equalWidth="0" w:num="1">
            <w:col w:w="11220"/>
          </w:cols>
          <w:pgMar w:left="320" w:top="1103" w:right="35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3" w:right="359" w:bottom="1440" w:gutter="0" w:footer="0" w:header="0"/>
          <w:type w:val="continuous"/>
        </w:sectPr>
      </w:pPr>
    </w:p>
    <w:bookmarkStart w:id="51" w:name="page52"/>
    <w:bookmarkEnd w:id="5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Cantaloupe,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 except shares and per share data)</w:t>
            </w: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020" w:type="dxa"/>
            <w:vAlign w:val="bottom"/>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02"/>
        </w:trPr>
        <w:tc>
          <w:tcPr>
            <w:tcW w:w="7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Subscription and transaction fees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168,850</w:t>
            </w:r>
          </w:p>
        </w:tc>
        <w:tc>
          <w:tcPr>
            <w:tcW w:w="100" w:type="dxa"/>
            <w:vAlign w:val="bottom"/>
          </w:tcPr>
          <w:p>
            <w:pPr>
              <w:spacing w:after="0"/>
              <w:rPr>
                <w:sz w:val="19"/>
                <w:szCs w:val="19"/>
                <w:color w:val="auto"/>
              </w:rPr>
            </w:pPr>
          </w:p>
        </w:tc>
        <w:tc>
          <w:tcPr>
            <w:tcW w:w="30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139,242</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133,167</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Equipment sales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36,352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27,697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29,986</w:t>
            </w:r>
          </w:p>
        </w:tc>
        <w:tc>
          <w:tcPr>
            <w:tcW w:w="0" w:type="dxa"/>
            <w:vAlign w:val="bottom"/>
          </w:tcPr>
          <w:p>
            <w:pPr>
              <w:spacing w:after="0"/>
              <w:rPr>
                <w:sz w:val="1"/>
                <w:szCs w:val="1"/>
                <w:color w:val="auto"/>
              </w:rPr>
            </w:pPr>
          </w:p>
        </w:tc>
      </w:tr>
      <w:tr>
        <w:trPr>
          <w:trHeight w:val="223"/>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205,202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166,939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163,153</w:t>
            </w:r>
          </w:p>
        </w:tc>
        <w:tc>
          <w:tcPr>
            <w:tcW w:w="0" w:type="dxa"/>
            <w:vAlign w:val="bottom"/>
          </w:tcPr>
          <w:p>
            <w:pPr>
              <w:spacing w:after="0"/>
              <w:rPr>
                <w:sz w:val="1"/>
                <w:szCs w:val="1"/>
                <w:color w:val="auto"/>
              </w:rPr>
            </w:pPr>
          </w:p>
        </w:tc>
      </w:tr>
      <w:tr>
        <w:trPr>
          <w:trHeight w:val="196"/>
        </w:trPr>
        <w:tc>
          <w:tcPr>
            <w:tcW w:w="70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Costs of sales: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subscription and transaction fees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103,392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83,617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82,980</w:t>
            </w:r>
          </w:p>
        </w:tc>
        <w:tc>
          <w:tcPr>
            <w:tcW w:w="0" w:type="dxa"/>
            <w:vAlign w:val="bottom"/>
          </w:tcPr>
          <w:p>
            <w:pPr>
              <w:spacing w:after="0"/>
              <w:rPr>
                <w:sz w:val="1"/>
                <w:szCs w:val="1"/>
                <w:color w:val="auto"/>
              </w:rPr>
            </w:pPr>
          </w:p>
        </w:tc>
      </w:tr>
      <w:tr>
        <w:trPr>
          <w:trHeight w:val="230"/>
        </w:trPr>
        <w:tc>
          <w:tcPr>
            <w:tcW w:w="70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Cost of equipment sales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37,615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29,296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33,900</w:t>
            </w:r>
          </w:p>
        </w:tc>
        <w:tc>
          <w:tcPr>
            <w:tcW w:w="0" w:type="dxa"/>
            <w:vAlign w:val="bottom"/>
          </w:tcPr>
          <w:p>
            <w:pPr>
              <w:spacing w:after="0"/>
              <w:rPr>
                <w:sz w:val="1"/>
                <w:szCs w:val="1"/>
                <w:color w:val="auto"/>
              </w:rPr>
            </w:pPr>
          </w:p>
        </w:tc>
      </w:tr>
      <w:tr>
        <w:trPr>
          <w:trHeight w:val="22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costs of sales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141,007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112,913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116,880</w:t>
            </w:r>
          </w:p>
        </w:tc>
        <w:tc>
          <w:tcPr>
            <w:tcW w:w="0" w:type="dxa"/>
            <w:vAlign w:val="bottom"/>
          </w:tcPr>
          <w:p>
            <w:pPr>
              <w:spacing w:after="0"/>
              <w:rPr>
                <w:sz w:val="1"/>
                <w:szCs w:val="1"/>
                <w:color w:val="auto"/>
              </w:rPr>
            </w:pPr>
          </w:p>
        </w:tc>
      </w:tr>
      <w:tr>
        <w:trPr>
          <w:trHeight w:val="250"/>
        </w:trPr>
        <w:tc>
          <w:tcPr>
            <w:tcW w:w="70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64,195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54,026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46,273</w:t>
            </w:r>
          </w:p>
        </w:tc>
        <w:tc>
          <w:tcPr>
            <w:tcW w:w="0" w:type="dxa"/>
            <w:vAlign w:val="bottom"/>
          </w:tcPr>
          <w:p>
            <w:pPr>
              <w:spacing w:after="0"/>
              <w:rPr>
                <w:sz w:val="1"/>
                <w:szCs w:val="1"/>
                <w:color w:val="auto"/>
              </w:rPr>
            </w:pPr>
          </w:p>
        </w:tc>
      </w:tr>
      <w:tr>
        <w:trPr>
          <w:trHeight w:val="196"/>
        </w:trPr>
        <w:tc>
          <w:tcPr>
            <w:tcW w:w="7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6,571</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Technology and product development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15,094</w:t>
            </w:r>
          </w:p>
        </w:tc>
        <w:tc>
          <w:tcPr>
            <w:tcW w:w="0" w:type="dxa"/>
            <w:vAlign w:val="bottom"/>
          </w:tcPr>
          <w:p>
            <w:pPr>
              <w:spacing w:after="0"/>
              <w:rPr>
                <w:sz w:val="1"/>
                <w:szCs w:val="1"/>
                <w:color w:val="auto"/>
              </w:rPr>
            </w:pPr>
          </w:p>
        </w:tc>
      </w:tr>
      <w:tr>
        <w:trPr>
          <w:trHeight w:val="229"/>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30,519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35,754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40,083</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Investigation, proxy solicitation and restatement expenses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19,810</w:t>
            </w:r>
          </w:p>
        </w:tc>
        <w:tc>
          <w:tcPr>
            <w:tcW w:w="0" w:type="dxa"/>
            <w:vAlign w:val="bottom"/>
          </w:tcPr>
          <w:p>
            <w:pPr>
              <w:spacing w:after="0"/>
              <w:rPr>
                <w:sz w:val="1"/>
                <w:szCs w:val="1"/>
                <w:color w:val="auto"/>
              </w:rPr>
            </w:pPr>
          </w:p>
        </w:tc>
      </w:tr>
      <w:tr>
        <w:trPr>
          <w:trHeight w:val="229"/>
        </w:trPr>
        <w:tc>
          <w:tcPr>
            <w:tcW w:w="70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4,307</w:t>
            </w:r>
          </w:p>
        </w:tc>
        <w:tc>
          <w:tcPr>
            <w:tcW w:w="0" w:type="dxa"/>
            <w:vAlign w:val="bottom"/>
          </w:tcPr>
          <w:p>
            <w:pPr>
              <w:spacing w:after="0"/>
              <w:rPr>
                <w:sz w:val="1"/>
                <w:szCs w:val="1"/>
                <w:color w:val="auto"/>
              </w:rPr>
            </w:pPr>
          </w:p>
        </w:tc>
      </w:tr>
      <w:tr>
        <w:trPr>
          <w:trHeight w:val="22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66,852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62,731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85,865</w:t>
            </w:r>
          </w:p>
        </w:tc>
        <w:tc>
          <w:tcPr>
            <w:tcW w:w="0" w:type="dxa"/>
            <w:vAlign w:val="bottom"/>
          </w:tcPr>
          <w:p>
            <w:pPr>
              <w:spacing w:after="0"/>
              <w:rPr>
                <w:sz w:val="1"/>
                <w:szCs w:val="1"/>
                <w:color w:val="auto"/>
              </w:rPr>
            </w:pPr>
          </w:p>
        </w:tc>
      </w:tr>
      <w:tr>
        <w:trPr>
          <w:trHeight w:val="270"/>
        </w:trPr>
        <w:tc>
          <w:tcPr>
            <w:tcW w:w="70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(39,592)</w:t>
            </w:r>
          </w:p>
        </w:tc>
        <w:tc>
          <w:tcPr>
            <w:tcW w:w="0" w:type="dxa"/>
            <w:vAlign w:val="bottom"/>
          </w:tcPr>
          <w:p>
            <w:pPr>
              <w:spacing w:after="0"/>
              <w:rPr>
                <w:sz w:val="1"/>
                <w:szCs w:val="1"/>
                <w:color w:val="auto"/>
              </w:rPr>
            </w:pPr>
          </w:p>
        </w:tc>
      </w:tr>
      <w:tr>
        <w:trPr>
          <w:trHeight w:val="196"/>
        </w:trPr>
        <w:tc>
          <w:tcPr>
            <w:tcW w:w="7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1,595</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(2,597)</w:t>
            </w:r>
          </w:p>
        </w:tc>
        <w:tc>
          <w:tcPr>
            <w:tcW w:w="0" w:type="dxa"/>
            <w:vAlign w:val="bottom"/>
          </w:tcPr>
          <w:p>
            <w:pPr>
              <w:spacing w:after="0"/>
              <w:rPr>
                <w:sz w:val="1"/>
                <w:szCs w:val="1"/>
                <w:color w:val="auto"/>
              </w:rPr>
            </w:pPr>
          </w:p>
        </w:tc>
      </w:tr>
      <w:tr>
        <w:trPr>
          <w:trHeight w:val="230"/>
        </w:trPr>
        <w:tc>
          <w:tcPr>
            <w:tcW w:w="70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income (expense)</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0" w:type="dxa"/>
            <w:vAlign w:val="bottom"/>
          </w:tcPr>
          <w:p>
            <w:pPr>
              <w:spacing w:after="0"/>
              <w:rPr>
                <w:sz w:val="1"/>
                <w:szCs w:val="1"/>
                <w:color w:val="auto"/>
              </w:rPr>
            </w:pPr>
          </w:p>
        </w:tc>
      </w:tr>
      <w:tr>
        <w:trPr>
          <w:trHeight w:val="196"/>
        </w:trPr>
        <w:tc>
          <w:tcPr>
            <w:tcW w:w="7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(40,594)</w:t>
            </w:r>
          </w:p>
        </w:tc>
        <w:tc>
          <w:tcPr>
            <w:tcW w:w="0" w:type="dxa"/>
            <w:vAlign w:val="bottom"/>
          </w:tcPr>
          <w:p>
            <w:pPr>
              <w:spacing w:after="0"/>
              <w:rPr>
                <w:sz w:val="1"/>
                <w:szCs w:val="1"/>
                <w:color w:val="auto"/>
              </w:rPr>
            </w:pPr>
          </w:p>
        </w:tc>
      </w:tr>
      <w:tr>
        <w:trPr>
          <w:trHeight w:val="230"/>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70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(40,595)</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dividends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0" w:type="dxa"/>
            <w:vAlign w:val="bottom"/>
          </w:tcPr>
          <w:p>
            <w:pPr>
              <w:spacing w:after="0"/>
              <w:rPr>
                <w:sz w:val="1"/>
                <w:szCs w:val="1"/>
                <w:color w:val="auto"/>
              </w:rPr>
            </w:pPr>
          </w:p>
        </w:tc>
      </w:tr>
      <w:tr>
        <w:trPr>
          <w:trHeight w:val="223"/>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applicable to common shares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(9,373)</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(41,263)</w:t>
            </w:r>
          </w:p>
        </w:tc>
        <w:tc>
          <w:tcPr>
            <w:tcW w:w="0" w:type="dxa"/>
            <w:vAlign w:val="bottom"/>
          </w:tcPr>
          <w:p>
            <w:pPr>
              <w:spacing w:after="0"/>
              <w:rPr>
                <w:sz w:val="1"/>
                <w:szCs w:val="1"/>
                <w:color w:val="auto"/>
              </w:rPr>
            </w:pPr>
          </w:p>
        </w:tc>
      </w:tr>
      <w:tr>
        <w:trPr>
          <w:trHeight w:val="20"/>
        </w:trPr>
        <w:tc>
          <w:tcPr>
            <w:tcW w:w="70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0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common share</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 and diluted</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0" w:type="dxa"/>
            <w:vAlign w:val="bottom"/>
          </w:tcPr>
          <w:p>
            <w:pPr>
              <w:spacing w:after="0"/>
              <w:rPr>
                <w:sz w:val="1"/>
                <w:szCs w:val="1"/>
                <w:color w:val="auto"/>
              </w:rPr>
            </w:pPr>
          </w:p>
        </w:tc>
      </w:tr>
      <w:tr>
        <w:trPr>
          <w:trHeight w:val="175"/>
        </w:trPr>
        <w:tc>
          <w:tcPr>
            <w:tcW w:w="70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Weighted average number of common shares outstanding used to compute net loss per share</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applicable to common shares</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 and diluted</w:t>
            </w: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71,091,790</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67,002,438</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62,980,193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03" w:right="37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t>Cantaloupe,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80" w:type="dxa"/>
            <w:vAlign w:val="bottom"/>
          </w:tcPr>
          <w:p>
            <w:pPr>
              <w:spacing w:after="0"/>
              <w:rPr>
                <w:sz w:val="16"/>
                <w:szCs w:val="16"/>
                <w:color w:val="auto"/>
              </w:rPr>
            </w:pPr>
          </w:p>
        </w:tc>
        <w:tc>
          <w:tcPr>
            <w:tcW w:w="2860" w:type="dxa"/>
            <w:vAlign w:val="bottom"/>
            <w:gridSpan w:val="5"/>
          </w:tcPr>
          <w:p>
            <w:pPr>
              <w:ind w:left="9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80" w:type="dxa"/>
            <w:vAlign w:val="bottom"/>
          </w:tcPr>
          <w:p>
            <w:pPr>
              <w:spacing w:after="0"/>
              <w:rPr>
                <w:sz w:val="16"/>
                <w:szCs w:val="16"/>
                <w:color w:val="auto"/>
              </w:rPr>
            </w:pPr>
          </w:p>
        </w:tc>
        <w:tc>
          <w:tcPr>
            <w:tcW w:w="12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5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 except share data)</w:t>
            </w: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vMerge w:val="restart"/>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580" w:type="dxa"/>
            <w:vAlign w:val="bottom"/>
            <w:vMerge w:val="continue"/>
          </w:tcPr>
          <w:p>
            <w:pPr>
              <w:spacing w:after="0"/>
              <w:rPr>
                <w:sz w:val="16"/>
                <w:szCs w:val="16"/>
                <w:color w:val="auto"/>
              </w:rPr>
            </w:pPr>
          </w:p>
        </w:tc>
        <w:tc>
          <w:tcPr>
            <w:tcW w:w="144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6"/>
                <w:szCs w:val="16"/>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3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June 30, 2019</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60,008,481</w:t>
            </w: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376,853</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(262,430)</w:t>
            </w: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114,423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and exercises (net)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752,808</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center"/>
              <w:ind w:left="688"/>
              <w:spacing w:after="0"/>
              <w:rPr>
                <w:sz w:val="20"/>
                <w:szCs w:val="20"/>
                <w:color w:val="auto"/>
              </w:rPr>
            </w:pPr>
            <w:r>
              <w:rPr>
                <w:rFonts w:ascii="Times New Roman" w:cs="Times New Roman" w:eastAsia="Times New Roman" w:hAnsi="Times New Roman"/>
                <w:sz w:val="14"/>
                <w:szCs w:val="14"/>
                <w:color w:val="auto"/>
                <w:w w:val="99"/>
              </w:rPr>
              <w:t>—</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55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Issuance of common stock in relation to private placement, net of offering costs incurred of</w:t>
            </w: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3,800,000</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16,777</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vMerge w:val="restart"/>
          </w:tcPr>
          <w:p>
            <w:pPr>
              <w:jc w:val="center"/>
              <w:ind w:left="688"/>
              <w:spacing w:after="0"/>
              <w:rPr>
                <w:sz w:val="20"/>
                <w:szCs w:val="20"/>
                <w:color w:val="auto"/>
              </w:rPr>
            </w:pPr>
            <w:r>
              <w:rPr>
                <w:rFonts w:ascii="Times New Roman" w:cs="Times New Roman" w:eastAsia="Times New Roman" w:hAnsi="Times New Roman"/>
                <w:sz w:val="14"/>
                <w:szCs w:val="14"/>
                <w:color w:val="auto"/>
                <w:w w:val="99"/>
              </w:rPr>
              <w:t>—</w:t>
            </w:r>
          </w:p>
        </w:tc>
        <w:tc>
          <w:tcPr>
            <w:tcW w:w="30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16,777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5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$1,102</w:t>
            </w:r>
          </w:p>
        </w:tc>
        <w:tc>
          <w:tcPr>
            <w:tcW w:w="13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 to Hudson Executive Capital LP</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635,593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center"/>
              <w:ind w:left="688"/>
              <w:spacing w:after="0"/>
              <w:rPr>
                <w:sz w:val="20"/>
                <w:szCs w:val="20"/>
                <w:color w:val="auto"/>
              </w:rPr>
            </w:pPr>
            <w:r>
              <w:rPr>
                <w:rFonts w:ascii="Times New Roman" w:cs="Times New Roman" w:eastAsia="Times New Roman" w:hAnsi="Times New Roman"/>
                <w:sz w:val="14"/>
                <w:szCs w:val="14"/>
                <w:color w:val="auto"/>
                <w:w w:val="99"/>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(40,595)</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(40,595)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June 30, 2020</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65,196,882</w:t>
            </w: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401,240</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(303,025)</w:t>
            </w: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98,215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Impact of adoption of ASC 326</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140" w:type="dxa"/>
            <w:vAlign w:val="bottom"/>
          </w:tcPr>
          <w:p>
            <w:pPr>
              <w:jc w:val="center"/>
              <w:ind w:left="848"/>
              <w:spacing w:after="0"/>
              <w:rPr>
                <w:sz w:val="20"/>
                <w:szCs w:val="20"/>
                <w:color w:val="auto"/>
              </w:rPr>
            </w:pPr>
            <w:r>
              <w:rPr>
                <w:rFonts w:ascii="Times New Roman" w:cs="Times New Roman" w:eastAsia="Times New Roman" w:hAnsi="Times New Roman"/>
                <w:sz w:val="14"/>
                <w:szCs w:val="14"/>
                <w:color w:val="auto"/>
              </w:rPr>
              <w:t>348</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and exercises (net)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319,011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9,145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center"/>
              <w:ind w:left="688"/>
              <w:spacing w:after="0"/>
              <w:rPr>
                <w:sz w:val="20"/>
                <w:szCs w:val="20"/>
                <w:color w:val="auto"/>
              </w:rPr>
            </w:pPr>
            <w:r>
              <w:rPr>
                <w:rFonts w:ascii="Times New Roman" w:cs="Times New Roman" w:eastAsia="Times New Roman" w:hAnsi="Times New Roman"/>
                <w:sz w:val="14"/>
                <w:szCs w:val="14"/>
                <w:color w:val="auto"/>
                <w:w w:val="99"/>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55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Issuance of common stock in relation to private placement, net of offering costs incurred of</w:t>
            </w: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5,730,000</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52,390</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vMerge w:val="restart"/>
          </w:tcPr>
          <w:p>
            <w:pPr>
              <w:jc w:val="center"/>
              <w:ind w:left="688"/>
              <w:spacing w:after="0"/>
              <w:rPr>
                <w:sz w:val="20"/>
                <w:szCs w:val="20"/>
                <w:color w:val="auto"/>
              </w:rPr>
            </w:pPr>
            <w:r>
              <w:rPr>
                <w:rFonts w:ascii="Times New Roman" w:cs="Times New Roman" w:eastAsia="Times New Roman" w:hAnsi="Times New Roman"/>
                <w:sz w:val="14"/>
                <w:szCs w:val="14"/>
                <w:color w:val="auto"/>
                <w:w w:val="99"/>
              </w:rPr>
              <w:t>—</w:t>
            </w:r>
          </w:p>
        </w:tc>
        <w:tc>
          <w:tcPr>
            <w:tcW w:w="30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52,390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5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$2,618</w:t>
            </w:r>
          </w:p>
        </w:tc>
        <w:tc>
          <w:tcPr>
            <w:tcW w:w="13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Exercise of warrants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12,154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center"/>
              <w:ind w:left="688"/>
              <w:spacing w:after="0"/>
              <w:rPr>
                <w:sz w:val="20"/>
                <w:szCs w:val="20"/>
                <w:color w:val="auto"/>
              </w:rPr>
            </w:pPr>
            <w:r>
              <w:rPr>
                <w:rFonts w:ascii="Times New Roman" w:cs="Times New Roman" w:eastAsia="Times New Roman" w:hAnsi="Times New Roman"/>
                <w:sz w:val="14"/>
                <w:szCs w:val="14"/>
                <w:color w:val="auto"/>
                <w:w w:val="99"/>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(8,705)</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(8,705)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June 30, 2021</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71,258,047</w:t>
            </w: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462,775</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(311,382)</w:t>
            </w: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151,393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and exercises (net)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249,829</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7,143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center"/>
              <w:ind w:left="688"/>
              <w:spacing w:after="0"/>
              <w:rPr>
                <w:sz w:val="20"/>
                <w:szCs w:val="20"/>
                <w:color w:val="auto"/>
              </w:rPr>
            </w:pPr>
            <w:r>
              <w:rPr>
                <w:rFonts w:ascii="Times New Roman" w:cs="Times New Roman" w:eastAsia="Times New Roman" w:hAnsi="Times New Roman"/>
                <w:sz w:val="14"/>
                <w:szCs w:val="14"/>
                <w:color w:val="auto"/>
                <w:w w:val="99"/>
              </w:rPr>
              <w:t>—</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7,143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Retirement of stock</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(319,823)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260" w:type="dxa"/>
            <w:vAlign w:val="bottom"/>
            <w:gridSpan w:val="2"/>
          </w:tcPr>
          <w:p>
            <w:pPr>
              <w:jc w:val="center"/>
              <w:ind w:left="688"/>
              <w:spacing w:after="0"/>
              <w:rPr>
                <w:sz w:val="20"/>
                <w:szCs w:val="20"/>
                <w:color w:val="auto"/>
              </w:rPr>
            </w:pPr>
            <w:r>
              <w:rPr>
                <w:rFonts w:ascii="Times New Roman" w:cs="Times New Roman" w:eastAsia="Times New Roman" w:hAnsi="Times New Roman"/>
                <w:sz w:val="14"/>
                <w:szCs w:val="14"/>
                <w:color w:val="auto"/>
                <w:w w:val="99"/>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(1,703)</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June 30, 2022</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71,188,053</w:t>
            </w:r>
          </w:p>
        </w:tc>
        <w:tc>
          <w:tcPr>
            <w:tcW w:w="12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469,918</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(313,085)</w:t>
            </w:r>
          </w:p>
        </w:tc>
        <w:tc>
          <w:tcPr>
            <w:tcW w:w="12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156,833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5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8"/>
        </w:trPr>
        <w:tc>
          <w:tcPr>
            <w:tcW w:w="55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See accompanying notes to consolidated financial statements.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53" w:name="page54"/>
    <w:bookmarkEnd w:id="5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Cantaloupe,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020" w:type="dxa"/>
            <w:vAlign w:val="bottom"/>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40"/>
        </w:trPr>
        <w:tc>
          <w:tcPr>
            <w:tcW w:w="70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7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(1,703)</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(8,705)</w:t>
            </w:r>
          </w:p>
        </w:tc>
        <w:tc>
          <w:tcPr>
            <w:tcW w:w="12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(40,595)</w:t>
            </w:r>
          </w:p>
        </w:tc>
        <w:tc>
          <w:tcPr>
            <w:tcW w:w="0" w:type="dxa"/>
            <w:vAlign w:val="bottom"/>
          </w:tcPr>
          <w:p>
            <w:pPr>
              <w:spacing w:after="0"/>
              <w:rPr>
                <w:sz w:val="1"/>
                <w:szCs w:val="1"/>
                <w:color w:val="auto"/>
              </w:rPr>
            </w:pPr>
          </w:p>
        </w:tc>
      </w:tr>
      <w:tr>
        <w:trPr>
          <w:trHeight w:val="21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loss to net cash (used in) provided by operating activities: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0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Stock-based compensation</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6,248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9,075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3,029</w:t>
            </w:r>
          </w:p>
        </w:tc>
        <w:tc>
          <w:tcPr>
            <w:tcW w:w="0" w:type="dxa"/>
            <w:vAlign w:val="bottom"/>
          </w:tcPr>
          <w:p>
            <w:pPr>
              <w:spacing w:after="0"/>
              <w:rPr>
                <w:sz w:val="1"/>
                <w:szCs w:val="1"/>
                <w:color w:val="auto"/>
              </w:rPr>
            </w:pPr>
          </w:p>
        </w:tc>
      </w:tr>
      <w:tr>
        <w:trPr>
          <w:trHeight w:val="210"/>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Amortization of debt issuance costs and discounts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1,283</w:t>
            </w:r>
          </w:p>
        </w:tc>
        <w:tc>
          <w:tcPr>
            <w:tcW w:w="0" w:type="dxa"/>
            <w:vAlign w:val="bottom"/>
          </w:tcPr>
          <w:p>
            <w:pPr>
              <w:spacing w:after="0"/>
              <w:rPr>
                <w:sz w:val="1"/>
                <w:szCs w:val="1"/>
                <w:color w:val="auto"/>
              </w:rPr>
            </w:pPr>
          </w:p>
        </w:tc>
      </w:tr>
      <w:tr>
        <w:trPr>
          <w:trHeight w:val="195"/>
        </w:trPr>
        <w:tc>
          <w:tcPr>
            <w:tcW w:w="70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Reimbursement of shareholder proxy solicitation costs</w:t>
            </w:r>
          </w:p>
        </w:tc>
        <w:tc>
          <w:tcPr>
            <w:tcW w:w="30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4,500</w:t>
            </w:r>
          </w:p>
        </w:tc>
        <w:tc>
          <w:tcPr>
            <w:tcW w:w="0" w:type="dxa"/>
            <w:vAlign w:val="bottom"/>
          </w:tcPr>
          <w:p>
            <w:pPr>
              <w:spacing w:after="0"/>
              <w:rPr>
                <w:sz w:val="1"/>
                <w:szCs w:val="1"/>
                <w:color w:val="auto"/>
              </w:rPr>
            </w:pPr>
          </w:p>
        </w:tc>
      </w:tr>
      <w:tr>
        <w:trPr>
          <w:trHeight w:val="210"/>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Provision for expected losses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2,958</w:t>
            </w:r>
          </w:p>
        </w:tc>
        <w:tc>
          <w:tcPr>
            <w:tcW w:w="0" w:type="dxa"/>
            <w:vAlign w:val="bottom"/>
          </w:tcPr>
          <w:p>
            <w:pPr>
              <w:spacing w:after="0"/>
              <w:rPr>
                <w:sz w:val="1"/>
                <w:szCs w:val="1"/>
                <w:color w:val="auto"/>
              </w:rPr>
            </w:pPr>
          </w:p>
        </w:tc>
      </w:tr>
      <w:tr>
        <w:trPr>
          <w:trHeight w:val="195"/>
        </w:trPr>
        <w:tc>
          <w:tcPr>
            <w:tcW w:w="70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Provision for inventory reserve</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693</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681</w:t>
            </w:r>
          </w:p>
        </w:tc>
        <w:tc>
          <w:tcPr>
            <w:tcW w:w="0" w:type="dxa"/>
            <w:vAlign w:val="bottom"/>
          </w:tcPr>
          <w:p>
            <w:pPr>
              <w:spacing w:after="0"/>
              <w:rPr>
                <w:sz w:val="1"/>
                <w:szCs w:val="1"/>
                <w:color w:val="auto"/>
              </w:rPr>
            </w:pPr>
          </w:p>
        </w:tc>
      </w:tr>
      <w:tr>
        <w:trPr>
          <w:trHeight w:val="210"/>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Depreciation and amortization included in operating expenses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4,307</w:t>
            </w:r>
          </w:p>
        </w:tc>
        <w:tc>
          <w:tcPr>
            <w:tcW w:w="0" w:type="dxa"/>
            <w:vAlign w:val="bottom"/>
          </w:tcPr>
          <w:p>
            <w:pPr>
              <w:spacing w:after="0"/>
              <w:rPr>
                <w:sz w:val="1"/>
                <w:szCs w:val="1"/>
                <w:color w:val="auto"/>
              </w:rPr>
            </w:pPr>
          </w:p>
        </w:tc>
      </w:tr>
      <w:tr>
        <w:trPr>
          <w:trHeight w:val="195"/>
        </w:trPr>
        <w:tc>
          <w:tcPr>
            <w:tcW w:w="70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Depreciation included in cost of sales for rental equipment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2,710</w:t>
            </w:r>
          </w:p>
        </w:tc>
        <w:tc>
          <w:tcPr>
            <w:tcW w:w="0" w:type="dxa"/>
            <w:vAlign w:val="bottom"/>
          </w:tcPr>
          <w:p>
            <w:pPr>
              <w:spacing w:after="0"/>
              <w:rPr>
                <w:sz w:val="1"/>
                <w:szCs w:val="1"/>
                <w:color w:val="auto"/>
              </w:rPr>
            </w:pPr>
          </w:p>
        </w:tc>
      </w:tr>
      <w:tr>
        <w:trPr>
          <w:trHeight w:val="210"/>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Property and equipment write-off</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70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Gain on extinguishment of debt</w:t>
            </w:r>
          </w:p>
        </w:tc>
        <w:tc>
          <w:tcPr>
            <w:tcW w:w="30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Operating lease right-of-use asset impairment</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70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Other</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2,103</w:t>
            </w:r>
          </w:p>
        </w:tc>
        <w:tc>
          <w:tcPr>
            <w:tcW w:w="0" w:type="dxa"/>
            <w:vAlign w:val="bottom"/>
          </w:tcPr>
          <w:p>
            <w:pPr>
              <w:spacing w:after="0"/>
              <w:rPr>
                <w:sz w:val="1"/>
                <w:szCs w:val="1"/>
                <w:color w:val="auto"/>
              </w:rPr>
            </w:pPr>
          </w:p>
        </w:tc>
      </w:tr>
      <w:tr>
        <w:trPr>
          <w:trHeight w:val="21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0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Accounts receivable</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(13,649)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(10,126)</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1,818</w:t>
            </w:r>
          </w:p>
        </w:tc>
        <w:tc>
          <w:tcPr>
            <w:tcW w:w="0" w:type="dxa"/>
            <w:vAlign w:val="bottom"/>
          </w:tcPr>
          <w:p>
            <w:pPr>
              <w:spacing w:after="0"/>
              <w:rPr>
                <w:sz w:val="1"/>
                <w:szCs w:val="1"/>
                <w:color w:val="auto"/>
              </w:rPr>
            </w:pPr>
          </w:p>
        </w:tc>
      </w:tr>
      <w:tr>
        <w:trPr>
          <w:trHeight w:val="210"/>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Finance receivables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w:t>
            </w:r>
          </w:p>
        </w:tc>
        <w:tc>
          <w:tcPr>
            <w:tcW w:w="0" w:type="dxa"/>
            <w:vAlign w:val="bottom"/>
          </w:tcPr>
          <w:p>
            <w:pPr>
              <w:spacing w:after="0"/>
              <w:rPr>
                <w:sz w:val="1"/>
                <w:szCs w:val="1"/>
                <w:color w:val="auto"/>
              </w:rPr>
            </w:pPr>
          </w:p>
        </w:tc>
      </w:tr>
      <w:tr>
        <w:trPr>
          <w:trHeight w:val="195"/>
        </w:trPr>
        <w:tc>
          <w:tcPr>
            <w:tcW w:w="70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Inventory</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(14,064)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1,463</w:t>
            </w:r>
          </w:p>
        </w:tc>
        <w:tc>
          <w:tcPr>
            <w:tcW w:w="0" w:type="dxa"/>
            <w:vAlign w:val="bottom"/>
          </w:tcPr>
          <w:p>
            <w:pPr>
              <w:spacing w:after="0"/>
              <w:rPr>
                <w:sz w:val="1"/>
                <w:szCs w:val="1"/>
                <w:color w:val="auto"/>
              </w:rPr>
            </w:pPr>
          </w:p>
        </w:tc>
      </w:tr>
      <w:tr>
        <w:trPr>
          <w:trHeight w:val="210"/>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(563)</w:t>
            </w:r>
          </w:p>
        </w:tc>
        <w:tc>
          <w:tcPr>
            <w:tcW w:w="0" w:type="dxa"/>
            <w:vAlign w:val="bottom"/>
          </w:tcPr>
          <w:p>
            <w:pPr>
              <w:spacing w:after="0"/>
              <w:rPr>
                <w:sz w:val="1"/>
                <w:szCs w:val="1"/>
                <w:color w:val="auto"/>
              </w:rPr>
            </w:pPr>
          </w:p>
        </w:tc>
      </w:tr>
      <w:tr>
        <w:trPr>
          <w:trHeight w:val="195"/>
        </w:trPr>
        <w:tc>
          <w:tcPr>
            <w:tcW w:w="70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Accounts payable and accrued expenses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12,153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7,013</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2,988</w:t>
            </w:r>
          </w:p>
        </w:tc>
        <w:tc>
          <w:tcPr>
            <w:tcW w:w="0" w:type="dxa"/>
            <w:vAlign w:val="bottom"/>
          </w:tcPr>
          <w:p>
            <w:pPr>
              <w:spacing w:after="0"/>
              <w:rPr>
                <w:sz w:val="1"/>
                <w:szCs w:val="1"/>
                <w:color w:val="auto"/>
              </w:rPr>
            </w:pPr>
          </w:p>
        </w:tc>
      </w:tr>
      <w:tr>
        <w:trPr>
          <w:trHeight w:val="210"/>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(1,384)</w:t>
            </w:r>
          </w:p>
        </w:tc>
        <w:tc>
          <w:tcPr>
            <w:tcW w:w="0" w:type="dxa"/>
            <w:vAlign w:val="bottom"/>
          </w:tcPr>
          <w:p>
            <w:pPr>
              <w:spacing w:after="0"/>
              <w:rPr>
                <w:sz w:val="1"/>
                <w:szCs w:val="1"/>
                <w:color w:val="auto"/>
              </w:rPr>
            </w:pPr>
          </w:p>
        </w:tc>
      </w:tr>
      <w:tr>
        <w:trPr>
          <w:trHeight w:val="196"/>
        </w:trPr>
        <w:tc>
          <w:tcPr>
            <w:tcW w:w="70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Deferred revenue</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20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provided by operating activities</w:t>
            </w: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(8,705)</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8,177</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(14,139)</w:t>
            </w:r>
          </w:p>
        </w:tc>
        <w:tc>
          <w:tcPr>
            <w:tcW w:w="0" w:type="dxa"/>
            <w:vAlign w:val="bottom"/>
          </w:tcPr>
          <w:p>
            <w:pPr>
              <w:spacing w:after="0"/>
              <w:rPr>
                <w:sz w:val="1"/>
                <w:szCs w:val="1"/>
                <w:color w:val="auto"/>
              </w:rPr>
            </w:pPr>
          </w:p>
        </w:tc>
      </w:tr>
      <w:tr>
        <w:trPr>
          <w:trHeight w:val="34"/>
        </w:trPr>
        <w:tc>
          <w:tcPr>
            <w:tcW w:w="7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7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 of property and equipment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(9,260)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(1,838)</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(2,538)</w:t>
            </w:r>
          </w:p>
        </w:tc>
        <w:tc>
          <w:tcPr>
            <w:tcW w:w="0" w:type="dxa"/>
            <w:vAlign w:val="bottom"/>
          </w:tcPr>
          <w:p>
            <w:pPr>
              <w:spacing w:after="0"/>
              <w:rPr>
                <w:sz w:val="1"/>
                <w:szCs w:val="1"/>
                <w:color w:val="auto"/>
              </w:rPr>
            </w:pPr>
          </w:p>
        </w:tc>
      </w:tr>
      <w:tr>
        <w:trPr>
          <w:trHeight w:val="21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for acquisition</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7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sale of property and equipment</w:t>
            </w:r>
          </w:p>
        </w:tc>
        <w:tc>
          <w:tcPr>
            <w:tcW w:w="30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203"/>
        </w:trPr>
        <w:tc>
          <w:tcPr>
            <w:tcW w:w="7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(12,226)</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(1,828)</w:t>
            </w: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(2,494)</w:t>
            </w:r>
          </w:p>
        </w:tc>
        <w:tc>
          <w:tcPr>
            <w:tcW w:w="0" w:type="dxa"/>
            <w:vAlign w:val="bottom"/>
          </w:tcPr>
          <w:p>
            <w:pPr>
              <w:spacing w:after="0"/>
              <w:rPr>
                <w:sz w:val="1"/>
                <w:szCs w:val="1"/>
                <w:color w:val="auto"/>
              </w:rPr>
            </w:pPr>
          </w:p>
        </w:tc>
      </w:tr>
      <w:tr>
        <w:trPr>
          <w:trHeight w:val="34"/>
        </w:trPr>
        <w:tc>
          <w:tcPr>
            <w:tcW w:w="7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7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long-term debt issuance by Antara, net of issuance costs paid to Antara</w:t>
            </w:r>
          </w:p>
        </w:tc>
        <w:tc>
          <w:tcPr>
            <w:tcW w:w="30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14,248</w:t>
            </w:r>
          </w:p>
        </w:tc>
        <w:tc>
          <w:tcPr>
            <w:tcW w:w="0" w:type="dxa"/>
            <w:vAlign w:val="bottom"/>
          </w:tcPr>
          <w:p>
            <w:pPr>
              <w:spacing w:after="0"/>
              <w:rPr>
                <w:sz w:val="1"/>
                <w:szCs w:val="1"/>
                <w:color w:val="auto"/>
              </w:rPr>
            </w:pPr>
          </w:p>
        </w:tc>
      </w:tr>
      <w:tr>
        <w:trPr>
          <w:trHeight w:val="21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equity issuance by Antara, net of issuance costs paid to Antara</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17,879</w:t>
            </w:r>
          </w:p>
        </w:tc>
        <w:tc>
          <w:tcPr>
            <w:tcW w:w="0" w:type="dxa"/>
            <w:vAlign w:val="bottom"/>
          </w:tcPr>
          <w:p>
            <w:pPr>
              <w:spacing w:after="0"/>
              <w:rPr>
                <w:sz w:val="1"/>
                <w:szCs w:val="1"/>
                <w:color w:val="auto"/>
              </w:rPr>
            </w:pPr>
          </w:p>
        </w:tc>
      </w:tr>
      <w:tr>
        <w:trPr>
          <w:trHeight w:val="195"/>
        </w:trPr>
        <w:tc>
          <w:tcPr>
            <w:tcW w:w="7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PPP Loan</w:t>
            </w:r>
          </w:p>
        </w:tc>
        <w:tc>
          <w:tcPr>
            <w:tcW w:w="30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3,065</w:t>
            </w:r>
          </w:p>
        </w:tc>
        <w:tc>
          <w:tcPr>
            <w:tcW w:w="0" w:type="dxa"/>
            <w:vAlign w:val="bottom"/>
          </w:tcPr>
          <w:p>
            <w:pPr>
              <w:spacing w:after="0"/>
              <w:rPr>
                <w:sz w:val="1"/>
                <w:szCs w:val="1"/>
                <w:color w:val="auto"/>
              </w:rPr>
            </w:pPr>
          </w:p>
        </w:tc>
      </w:tr>
      <w:tr>
        <w:trPr>
          <w:trHeight w:val="21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Payment of third-party debt issuance costs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(1,980)</w:t>
            </w:r>
          </w:p>
        </w:tc>
        <w:tc>
          <w:tcPr>
            <w:tcW w:w="0" w:type="dxa"/>
            <w:vAlign w:val="bottom"/>
          </w:tcPr>
          <w:p>
            <w:pPr>
              <w:spacing w:after="0"/>
              <w:rPr>
                <w:sz w:val="1"/>
                <w:szCs w:val="1"/>
                <w:color w:val="auto"/>
              </w:rPr>
            </w:pPr>
          </w:p>
        </w:tc>
      </w:tr>
      <w:tr>
        <w:trPr>
          <w:trHeight w:val="195"/>
        </w:trPr>
        <w:tc>
          <w:tcPr>
            <w:tcW w:w="7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long-term debt issuance by JPMorgan Chase Bank, N.A., net of debt issuance costs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14,550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Repayment of long-term debt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(15,744)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(2,522)</w:t>
            </w:r>
          </w:p>
        </w:tc>
        <w:tc>
          <w:tcPr>
            <w:tcW w:w="0" w:type="dxa"/>
            <w:vAlign w:val="bottom"/>
          </w:tcPr>
          <w:p>
            <w:pPr>
              <w:spacing w:after="0"/>
              <w:rPr>
                <w:sz w:val="1"/>
                <w:szCs w:val="1"/>
                <w:color w:val="auto"/>
              </w:rPr>
            </w:pPr>
          </w:p>
        </w:tc>
      </w:tr>
      <w:tr>
        <w:trPr>
          <w:trHeight w:val="195"/>
        </w:trPr>
        <w:tc>
          <w:tcPr>
            <w:tcW w:w="7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(repayments of) Revolving Credit Facility</w:t>
            </w:r>
          </w:p>
        </w:tc>
        <w:tc>
          <w:tcPr>
            <w:tcW w:w="30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0" w:type="dxa"/>
            <w:vAlign w:val="bottom"/>
          </w:tcPr>
          <w:p>
            <w:pPr>
              <w:spacing w:after="0"/>
              <w:rPr>
                <w:sz w:val="1"/>
                <w:szCs w:val="1"/>
                <w:color w:val="auto"/>
              </w:rPr>
            </w:pPr>
          </w:p>
        </w:tc>
      </w:tr>
      <w:tr>
        <w:trPr>
          <w:trHeight w:val="21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private placement</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55,008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7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Payment of equity issuance costs</w:t>
            </w:r>
          </w:p>
        </w:tc>
        <w:tc>
          <w:tcPr>
            <w:tcW w:w="30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(2,618)</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Payment of Antara prepayment penalty and commitment termination fee</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Proceeds from exercise of common stock options</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895</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0" w:type="dxa"/>
            <w:vAlign w:val="bottom"/>
          </w:tcPr>
          <w:p>
            <w:pPr>
              <w:spacing w:after="0"/>
              <w:rPr>
                <w:sz w:val="1"/>
                <w:szCs w:val="1"/>
                <w:color w:val="auto"/>
              </w:rPr>
            </w:pPr>
          </w:p>
        </w:tc>
      </w:tr>
      <w:tr>
        <w:trPr>
          <w:trHeight w:val="196"/>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920</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50,074</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20,882</w:t>
            </w:r>
          </w:p>
        </w:tc>
        <w:tc>
          <w:tcPr>
            <w:tcW w:w="0" w:type="dxa"/>
            <w:vAlign w:val="bottom"/>
          </w:tcPr>
          <w:p>
            <w:pPr>
              <w:spacing w:after="0"/>
              <w:rPr>
                <w:sz w:val="1"/>
                <w:szCs w:val="1"/>
                <w:color w:val="auto"/>
              </w:rPr>
            </w:pPr>
          </w:p>
        </w:tc>
      </w:tr>
      <w:tr>
        <w:trPr>
          <w:trHeight w:val="95"/>
        </w:trPr>
        <w:tc>
          <w:tcPr>
            <w:tcW w:w="7020" w:type="dxa"/>
            <w:vAlign w:val="bottom"/>
            <w:tcBorders>
              <w:bottom w:val="single" w:sz="8" w:color="CCEEFF"/>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(decrease) increase in cash and cash equivalents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(20,011)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56,423</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4,249</w:t>
            </w:r>
          </w:p>
        </w:tc>
        <w:tc>
          <w:tcPr>
            <w:tcW w:w="0" w:type="dxa"/>
            <w:vAlign w:val="bottom"/>
          </w:tcPr>
          <w:p>
            <w:pPr>
              <w:spacing w:after="0"/>
              <w:rPr>
                <w:sz w:val="1"/>
                <w:szCs w:val="1"/>
                <w:color w:val="auto"/>
              </w:rPr>
            </w:pPr>
          </w:p>
        </w:tc>
      </w:tr>
      <w:tr>
        <w:trPr>
          <w:trHeight w:val="196"/>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beginning of year</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88,136</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31,713</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27,464</w:t>
            </w:r>
          </w:p>
        </w:tc>
        <w:tc>
          <w:tcPr>
            <w:tcW w:w="0" w:type="dxa"/>
            <w:vAlign w:val="bottom"/>
          </w:tcPr>
          <w:p>
            <w:pPr>
              <w:spacing w:after="0"/>
              <w:rPr>
                <w:sz w:val="1"/>
                <w:szCs w:val="1"/>
                <w:color w:val="auto"/>
              </w:rPr>
            </w:pPr>
          </w:p>
        </w:tc>
      </w:tr>
      <w:tr>
        <w:trPr>
          <w:trHeight w:val="228"/>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end of year</w:t>
            </w: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68,125</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88,136</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31,713</w:t>
            </w:r>
          </w:p>
        </w:tc>
        <w:tc>
          <w:tcPr>
            <w:tcW w:w="0" w:type="dxa"/>
            <w:vAlign w:val="bottom"/>
          </w:tcPr>
          <w:p>
            <w:pPr>
              <w:spacing w:after="0"/>
              <w:rPr>
                <w:sz w:val="1"/>
                <w:szCs w:val="1"/>
                <w:color w:val="auto"/>
              </w:rPr>
            </w:pPr>
          </w:p>
        </w:tc>
      </w:tr>
      <w:tr>
        <w:trPr>
          <w:trHeight w:val="21"/>
        </w:trPr>
        <w:tc>
          <w:tcPr>
            <w:tcW w:w="7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Supplemental disclosures of cash flow information</w:t>
            </w: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7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paid in cash</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755</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1,055</w:t>
            </w:r>
          </w:p>
        </w:tc>
        <w:tc>
          <w:tcPr>
            <w:tcW w:w="12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See accompanying notes to consolidated financial statements.</w:t>
      </w:r>
    </w:p>
    <w:p>
      <w:pPr>
        <w:spacing w:after="0" w:line="200" w:lineRule="exact"/>
        <w:rPr>
          <w:sz w:val="20"/>
          <w:szCs w:val="20"/>
          <w:color w:val="auto"/>
        </w:rPr>
      </w:pP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03" w:right="37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b w:val="1"/>
          <w:bCs w:val="1"/>
          <w:color w:val="auto"/>
        </w:rPr>
        <w:t>Cantaloupe,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BUSINESS</w:t>
      </w:r>
    </w:p>
    <w:p>
      <w:pPr>
        <w:spacing w:after="0" w:line="200" w:lineRule="exact"/>
        <w:rPr>
          <w:sz w:val="20"/>
          <w:szCs w:val="20"/>
          <w:color w:val="auto"/>
        </w:rPr>
      </w:pPr>
    </w:p>
    <w:p>
      <w:pPr>
        <w:spacing w:after="0" w:line="2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Cantaloupe, Inc., previously known as USA Technologies, Inc., is organized under the laws of the Commonwealth of Pennsylvania. We are a digital payments and software services company that provides end-to-end technology solutions for the unattended retail market. We are transforming the unattended retail world by offering a single platform for self-service commerce which includes integrated payments processing and software solutions that handle inventory management, pre-kitting, route logistics, warehouse and back-office management. Our enterprise-wide platform is designed to increase consumer engagement and sales revenue through digital payments, digital advertising and customer loyalty programs, while providing retailers with control and visibility over their operations and inventory. As a result, customers ranging from vending machine companies to operators of micro-markets, car wash, electric vehicle charging stations, commercial laundry, kiosks, amusements and more, can run their businesses more proactively, predictably, and competitively.</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Impact of COVID-19</w:t>
      </w:r>
    </w:p>
    <w:p>
      <w:pPr>
        <w:spacing w:after="0" w:line="2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its employees, and its customers operate in geographic locations in which its business operations and financial performance continues to be affected by the COVID-19 pandemic. While businesses, schools and other organizations re-open, which has led to increased foot-traffic to distributed assets containing our electronic payment solutions, the emergence of new strains and variants and resurgence of the virus, such as the outbreak of the Omicron variant in early calendar year 2022, have and may in the future lead to additional shutdowns and closures that impact our operations and financial results. Such impacts to our financial statements have in the past included, and may in the future include the impairment of goodwill and intangible assets, impairment of long-lived assets including operating lease assets, property and equipment and allowance for doubtful accounts for accounts and finance receivables. We have concluded that there are no material impairments as a result of our evaluation for the year ended June 30, 2022. Where applicable, we have incorporated judgments and estimates of the expected impact of COVID-19 in the preparation of the financial statements based on information currently available. These judgments and estimates may change, as new events develop and additional information is obtained, and are recognized in the consolidated financial statements as soon as they become known.</w:t>
      </w:r>
    </w:p>
    <w:p>
      <w:pPr>
        <w:spacing w:after="0" w:line="2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we are encouraged by our strong operating and financial results, we continue to monitor the evolving situation and follow guidance from federal, state and local public health authorities. Given the potential uncertainty of the situation, the Company cannot, at this time, reasonably estimate the longer-term repercussions of COVID-19 on our financial condition, results of operations or cash flows.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ACCOUNTING POLICIES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CONSOLIDATION</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the Company and its wholly-owned subsidiaries. All intercompany accounts and transactions have been eliminated in consolidation.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 AND PREPARATION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have been prepared in accordance with generally accepted accounting principles in the United States of America ("U.S. GAAP"). All intercompany transactions and balances have been eliminated in consolidation. In the opinion of management, all adjustments considered necessary for a fair presentation, consisting of normal recurring adjustments, have been included.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operates as one operating segment because its chief operating decision maker, who is the Chief Executive Officer, reviews its financial information on a consolidated basis for purposes of making decisions regarding allocating resources and assessing performance.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Statements of Operations: operating expenses presentation</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Beginning in fiscal year 2022, the Company revised its presentation of operating expenses within its Consolidated Statements of Operations by disaggregating the previously disclosed Selling, general, and administrative costs into Sales and marketing,</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55" w:name="page56"/>
    <w:bookmarkEnd w:id="55"/>
    <w:p>
      <w:pPr>
        <w:jc w:val="both"/>
        <w:spacing w:after="0" w:line="266" w:lineRule="auto"/>
        <w:rPr>
          <w:sz w:val="20"/>
          <w:szCs w:val="20"/>
          <w:color w:val="auto"/>
        </w:rPr>
      </w:pPr>
      <w:r>
        <w:rPr>
          <w:rFonts w:ascii="Times New Roman" w:cs="Times New Roman" w:eastAsia="Times New Roman" w:hAnsi="Times New Roman"/>
          <w:sz w:val="18"/>
          <w:szCs w:val="18"/>
          <w:color w:val="auto"/>
        </w:rPr>
        <w:t>Technology and product development, and General and administrative costs. The updated presentation is intended to provide additional transparency to the readers of the financial statements and better align the Company’s financial performance with how management views and monitors business operations and makes strategic decisions. Prior period amounts for fiscal year 2021 and 2020 have been reclassified to conform with current year presentation.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brief description of the various categories within Operating expenses:</w:t>
      </w:r>
    </w:p>
    <w:p>
      <w:pPr>
        <w:spacing w:after="0" w:line="250" w:lineRule="exact"/>
        <w:rPr>
          <w:sz w:val="20"/>
          <w:szCs w:val="20"/>
          <w:color w:val="auto"/>
        </w:rPr>
      </w:pPr>
    </w:p>
    <w:p>
      <w:pPr>
        <w:jc w:val="both"/>
        <w:ind w:left="660" w:hanging="328"/>
        <w:spacing w:after="0" w:line="261"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expenses consist primarily of our sales and marketing team personnel costs which include non-capitalized wages, bonuses, stock-based compensation, sales commissions, severance costs, benefits, and employer taxes. In addition, this category includes fees paid for advertising, trade shows and external consultants who assist in outreach initiatives designed to build brand awareness and showcase the value of our products and services to our opportunity markets.</w:t>
      </w:r>
    </w:p>
    <w:p>
      <w:pPr>
        <w:spacing w:after="0" w:line="206"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Technology and product development: </w:t>
      </w:r>
      <w:r>
        <w:rPr>
          <w:rFonts w:ascii="Times New Roman" w:cs="Times New Roman" w:eastAsia="Times New Roman" w:hAnsi="Times New Roman"/>
          <w:sz w:val="18"/>
          <w:szCs w:val="18"/>
          <w:color w:val="auto"/>
        </w:rPr>
        <w:t>Technology and product development expenses consist primarily of our technology and product team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personnel costs and fees paid to external consultants relating to innovating and maintaining our portfolio of products and services and strengthening our network environment and platform. These costs include but are not limited to engineering, platform and software development, fees for software licenses, contract labor and other technology and product related items.</w:t>
      </w:r>
    </w:p>
    <w:p>
      <w:pPr>
        <w:spacing w:after="0" w:line="206" w:lineRule="exact"/>
        <w:rPr>
          <w:rFonts w:ascii="Times New Roman" w:cs="Times New Roman" w:eastAsia="Times New Roman" w:hAnsi="Times New Roman"/>
          <w:sz w:val="18"/>
          <w:szCs w:val="18"/>
          <w:i w:val="1"/>
          <w:iCs w:val="1"/>
          <w:color w:val="auto"/>
        </w:rPr>
      </w:pPr>
    </w:p>
    <w:p>
      <w:pPr>
        <w:jc w:val="both"/>
        <w:ind w:left="660" w:hanging="328"/>
        <w:spacing w:after="0" w:line="267" w:lineRule="auto"/>
        <w:tabs>
          <w:tab w:leader="none" w:pos="655"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consist primarily of our customer support, business operations, finance, legal,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human resources and other administrative personnel costs and fees paid to external consultants for these respective departments. In addition, this category includes rent and occupancy costs and other miscellaneous costs incurred in the course of operating the business.</w:t>
      </w:r>
    </w:p>
    <w:p>
      <w:pPr>
        <w:spacing w:after="0" w:line="186" w:lineRule="exact"/>
        <w:rPr>
          <w:rFonts w:ascii="Times New Roman" w:cs="Times New Roman" w:eastAsia="Times New Roman" w:hAnsi="Times New Roman"/>
          <w:sz w:val="18"/>
          <w:szCs w:val="18"/>
          <w:i w:val="1"/>
          <w:iCs w:val="1"/>
          <w:color w:val="auto"/>
        </w:rPr>
      </w:pPr>
    </w:p>
    <w:p>
      <w:pPr>
        <w:jc w:val="both"/>
        <w:ind w:left="660" w:hanging="328"/>
        <w:spacing w:after="0" w:line="246"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No changes made to the accounting policies or previously reported amounts included within the Company’s June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30, 2021 Annual Report on Form 10-K for this category. Depreciation expense on our property and equipment, excluding property and equipment used for rentals, and amortization expense on our intangible assets are included within the Depreciation and amortization caption in the Consolidated Statements of Operations.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presentation changes described above did not impact total operating expenses, operating loss, net loss or net loss per common share.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Statements of Operations: updated caption</w:t>
      </w:r>
    </w:p>
    <w:p>
      <w:pPr>
        <w:spacing w:after="0" w:line="2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Beginning in fiscal year 2022, the Company revised the previously reported revenue caption of License and transaction fees to Subscription and transaction fees within its Consolidated Statements of Operations to provide a more accurate description of the revenue stream and align with commonly used terminology by industry participants. No changes were made to the revenue recognition accounting policies or previously reported amounts included within the Company’s June 30, 2021 Annual Report on Form 10-K.</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U.S. GAAP requires management to make estimates, assumptions and judgments that affect the amounts reported in the consolidated financial statements and accompanying notes. The Company evaluates these estimates on an ongoing basis.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Estimates, judgments, and assumptions in these consolidated financial statement include, but are not limited to, those related to revenue recognition, capitalization of internal-use software and cloud computing arrangements, evaluation of goodwill and long-lived assets impairment, allowances for accounts and finance receivables, inventory reserves, loss contingencies, income taxes, deferred income tax assets and liabilities, and sales tax reserve.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equivalents represent all highly liquid investments with original maturities of three months or less from time of purchase. Cash equivalents are comprised of money market funds. The Company maintains its cash in bank deposit accounts where accounts may exceed federally insured limits at times. The Company deems this credit risk not to be significant as cash is held at well-capitalized financial institutions in the U.S.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i w:val="1"/>
          <w:iCs w:val="1"/>
          <w:color w:val="auto"/>
        </w:rPr>
        <w:t>ACCOUNTS RECEIVABLE AND ALLOWANCE FOR DOUBTFUL ACCOUNTS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Accounts receivable include amounts due to the Company for sales of equipment, other amounts due from customers, merchant service receivables, contract manufacturers, and unbilled amounts due from customers, net of the allowance for uncollectible accounts. The Company maintains an allowance for doubtful accounts for losses resulting from the inability of its customers to make required payments, including from a shortfall in the customer transaction fund flow from which the Company would normally collect amounts due. The provision for doubtful accounts relating to Accounts receivable balances is recorded within general and administrative expenses in the Consolidated Statements of Operations.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allowance is calculated under an expected loss model. We estimate our allowance using an aging analysis of the receivables balances, primarily based on historical loss experience, as there have been no significant changes in the mix or risk characteristics of the receivable revenue streams used to calculate historical loss rates. We also take into consideration that receivables for monthly service fees that are collected as part of the flow of funds from our transaction processing service have a lower risk profile than receivables for equipment and service fees billed under the Company’s standard payment terms of 30 to 60 days from invoice issuance, and adjust our aging analysis to incorporate those risk assessments. Accounts receivables are considered past due if the invoices are not collected based on the respective standard payment terms as agreed to with the customers.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Current conditions are analyzed at each measurement date as we reassess whether our receivables continue to exhibit similar risk characteristics as the prior measurement date, and determine if the reserve calculation needs to be adjusted for new developments, such as a customer’s inability to meet its financial obligations. Lastly, we also factor reasonable and supportable economic expectations into our allowance estimate for the asset’s entire expected life.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writes off receivable balances against the allowance for doubtful accounts when management determines the balance is uncollectible and the Company ceases collection efforts. For the year ended June 30, 2022, the Company experienced increased write-offs compared to the year ended June 30, 2021, as management determined collection of older aged accounts receivable balances was not probable. These older aged accounts receivables balances were predominantly reserved for already as part of the Company's allowance for doubtful accounts estimate.</w:t>
      </w:r>
    </w:p>
    <w:p>
      <w:pPr>
        <w:spacing w:after="0" w:line="16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Estimating an allowance requires us to apply judgment in relying on historical customer payment experience, regularly analyzing the financial condition of our customers, and developing macroeconomic forecasts to adequately cover expected credit losses on our receivables. By nature, such estimates are highly subjective, and it is possible that the amount of accounts receivables that we are unable to collect may be different than the amounts initially estimated in the allowance.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FINANCE RECEIVABLES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offers extended payment terms to certain customers for equipment sales under its Quick Start Program. Agreements under the Quick Start Program are accounted for as sales-type leases. Accordingly, the discounted future minimum lease payments are classified as finance receivables in the Company’s Consolidated Balance Sheets. Finance receivables or Quick Start leases are generally for a sixty month term. The Company recognizes a portion of the note or lease payments as interest income in the accompanying consolidated financial statements based on the effective interest rate method.</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Finance receivables are carried at their contractual amount net of allowance for doubtful accounts. On July 1, 2020, we adopted Topic 326. The effects of implementation of this standard is discussed below under "Measurement of Credits Losses on Financial Instruments". The provision for doubtful accounts relating to Finance receivables is recorded within general and administrative expenses in the Consolidated Statements of Operations.</w:t>
      </w:r>
    </w:p>
    <w:p>
      <w:pPr>
        <w:spacing w:after="0" w:line="16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allowance is calculated under an expected loss model. We estimate our allowance utilizing historical experience of payment performance, current conditions of the customer, and reasonable and supportable economic forecasts of collectability for the asset’s entire expected life, which is generally a sixty month term for finance receivables. Historical loss experience is utilized as there have been no significant changes in the mix or risk characteristics of the receivable revenue streams used to calculate historical loss rates. Current conditions are analyzed at each measurement date to reassess whether our receivables continue to exhibit similar risk characteristics as the prior measurement date, and determine if the reserve calculation needs to be adjusted for new developments, such as a customer’s inability to meet its financial obligations. Finance receivables are charged off against the allowance for credit losses when management determines that the finance receivables are uncollectible and the Company ceases collection efforts.</w:t>
      </w:r>
    </w:p>
    <w:p>
      <w:pPr>
        <w:spacing w:after="0" w:line="21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Estimating an allowance requires us to apply judgment in relying on historical customer payment experience, regularly analyzing the financial condition of our customers, and developing macroeconomic forecasts to adequately cover expected</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5" w:right="339" w:bottom="1440" w:gutter="0" w:footer="0" w:header="0"/>
        </w:sectPr>
      </w:pPr>
    </w:p>
    <w:bookmarkStart w:id="57" w:name="page58"/>
    <w:bookmarkEnd w:id="57"/>
    <w:p>
      <w:pPr>
        <w:jc w:val="both"/>
        <w:spacing w:after="0" w:line="266" w:lineRule="auto"/>
        <w:rPr>
          <w:sz w:val="20"/>
          <w:szCs w:val="20"/>
          <w:color w:val="auto"/>
        </w:rPr>
      </w:pPr>
      <w:r>
        <w:rPr>
          <w:rFonts w:ascii="Times New Roman" w:cs="Times New Roman" w:eastAsia="Times New Roman" w:hAnsi="Times New Roman"/>
          <w:sz w:val="18"/>
          <w:szCs w:val="18"/>
          <w:color w:val="auto"/>
        </w:rPr>
        <w:t>credit losses on our receivables. By nature, such estimates are highly subjective, and it is possible that the amount of finance receivables that we are unable to collect may be different than the amounts initially estimated in the allowance.</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INVENTORY, NET</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Inventory consists of finished goods. The company's inventories are valued at the lower of cost or net realizable value, generally using a weighted-average cost method.</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establishes allowances for slow-moving inventory based upon quality considerations and assumptions about future demand and market conditions. The allowance is recorded within Cost of equipment sales in our Consolidated Statements of Operations. The inventory reserve was $2.5 million and $3.5 million for the years ended June 30, 2022 and 2021,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AND EQUIPMENT, NET</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Property and equipment are recorded at either cost or, in the instance of an acquisition, the estimated fair value on the date of the acquisition, and are depreciated on a straight-line basis over the estimated useful lives of the related assets. Leasehold improvements are amortized on the straight-line basis over the lesser of the estimated useful life of the asset or the respective lease term. Depreciation expense on our property and equipment, excluding property and equipment used for rentals, is included in “Depreciation and amortization” in the Consolidated Statements of Operations. Depreciation expense on our property and equipment used for rentals is included in “Cost of Subscription and transaction fees” in the Consolidated Statements of Operations. Additions and improvements that extend the estimated lives of the assets are capitalized, while expenditures for repairs and maintenance are expensed as incurred.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goodwill represents the excess of cost over fair value of the net assets purchased in acquisitions. Goodwill is not amortized to earnings, but instead is subject to periodic testing for impairment. We test goodwill for impairment at least annually, or more frequently if events or changes in circumstances indicate that impairment may have occurred. Goodwill is reviewed for impairment utilizing either a qualitative or a quantitative goodwill impairment test. When we perform a qualitative assessment and determine the fair value more likely than not exceeds the carrying value, no further evaluation is necessary. When we perform the quantitative goodwill impairment test, we compare the fair value of our reporting unit to its carrying value. If the fair value of the reporting unit exceeds its carrying value, then goodwill is not considered impaired. An impairment charge is recognized for the amount by which, if any, the carrying value exceeds the reporting unit’s fair value. However, the loss recognized cannot exceed the reporting unit’s goodwill balance.</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quantitative impairment test process requires valuation of the reporting unit, which we determine using the income approach, the market approach or a combination of the two approaches. Under the income approach, we calculate the fair value of the reporting unit based on the present value of estimated future cash flows derived from assumptions that include expected growth rates and revenues, projected expenses, discount rates, capital expenditures and income tax rates. Under the market approach, we estimate the fair value based on the quoted stock price, recent equity transactions of our business, market transactions involving similar businesses and market comparables.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selected April 1 as its annual test date. The Company has concluded there has been no impairment of goodwill during the years ended June 30, 2022, 2021, or 2020. Subsequent to our annual impairment test, no indicators of impairment were identified.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AND LONG-LIVED ASSETS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intangible assets include trademarks, non-compete agreements, brand, developed technology, customer relationships and tradenames and were acquired in a purchase business combination. The Company carries these intangibles at cost, less accumulated amortization. Amortization is recorded on a straight-line basis over the estimated useful lives of the respective assets, which span between three and eighteen years, and are included in “Depreciation and amortization" in the Consolidated Statements of Operations.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indefinite-lived intangible assets at June 30, 2022 or 2021.</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8" w:name="page59"/>
    <w:bookmarkEnd w:id="58"/>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reviews its finite-lived intangible and other long-lived assets whenever events or changes in circumstances indicate that the carrying amount of such assets may not be recoverable. The carrying amount of an asset is not recoverable if it exceeds the sum of the undiscounted cash flows expected to result from the use and eventual disposition of the asset. Fair value of finite-lived intangible assets and property and equipment is based on various valuation techniques. If the carrying amount of an asset or group of assets exceeds its net realizable value, the asset will be written down to its fair value.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concluded that the carrying amount of intangible assets is recoverable as of June 30, 2022 and 2021. The Company recorded an impairment charge relating to our right-of-use assets of $1.6 million for the year ended June 30, 2021.</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FINANCIAL INSTRUMENTS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in the sale of an asset or paid to transfer a liability (an exit price) in an orderly transaction between market participants at the reporting date. The accounting guidance establishes a three-tiered hierarchy, which prioritizes the inputs used in the valuation methodologies in measuring fair value as follows:</w:t>
      </w:r>
    </w:p>
    <w:p>
      <w:pPr>
        <w:spacing w:after="0" w:line="147"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Level 1</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Inputs are unadjusted quoted prices in active markets for identical assets or liabilities that the Company has the ability to access at the measurement date.</w:t>
      </w:r>
    </w:p>
    <w:p>
      <w:pPr>
        <w:spacing w:after="0" w:line="170" w:lineRule="exact"/>
        <w:rPr>
          <w:sz w:val="20"/>
          <w:szCs w:val="20"/>
          <w:color w:val="auto"/>
        </w:rPr>
      </w:pPr>
    </w:p>
    <w:p>
      <w:pPr>
        <w:jc w:val="both"/>
        <w:spacing w:after="0" w:line="228" w:lineRule="exact"/>
        <w:rPr>
          <w:sz w:val="20"/>
          <w:szCs w:val="20"/>
          <w:color w:val="auto"/>
        </w:rPr>
      </w:pPr>
      <w:r>
        <w:rPr>
          <w:rFonts w:ascii="Times New Roman" w:cs="Times New Roman" w:eastAsia="Times New Roman" w:hAnsi="Times New Roman"/>
          <w:sz w:val="18"/>
          <w:szCs w:val="18"/>
          <w:color w:val="auto"/>
        </w:rPr>
        <w:t>Level 2</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Inputs are other than quoted prices included within Level 1 that are observable for the asset or liability, either directly or indirectly. Level 2 inputs include quoted prices for similar assets and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169"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Level 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Inputs are unobservable and reflect the Company’s assumptions that market participants would use in pricing the asset or liability. The Company develops these inputs based on the best information available.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 OF RISKS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Concentration of revenue with customers subject the Company to operating risks. Approximately 14%, 16% and 16% of the Company’s revenue for the years ended June 30, 2022, 2021 and 2020, respectively, were concentrated with one customer. The Company’s customers are principally located in the United States.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Accounts receivable from one single contract manufacturer represented 16% and 5% of accounts receivables, net of allowance, as of June 30, 2022 and 2021,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revenue recognition guidance provides a single model to determine when and how revenue is recognized. The core principle of the guidance is that an entity should recognize revenue to depict the transfer of control of promised goods or services to customers in an amount that reflects the consideration to which the entity expects to be entitled in exchange for those goods or services. The Company recognizes revenue using a five-step model resulting in revenue being recognized as performance obligations within a contract have been satisfied. The steps within that model include: (i) identifying the existence of a contract with a customer; (ii) identifying the performance obligations within the contract; (iii) determining the contract’s transaction price;</w:t>
      </w:r>
    </w:p>
    <w:p>
      <w:pPr>
        <w:spacing w:after="0" w:line="3" w:lineRule="exact"/>
        <w:rPr>
          <w:sz w:val="20"/>
          <w:szCs w:val="20"/>
          <w:color w:val="auto"/>
        </w:rPr>
      </w:pPr>
    </w:p>
    <w:p>
      <w:pPr>
        <w:jc w:val="both"/>
        <w:ind w:firstLine="8"/>
        <w:spacing w:after="0" w:line="252" w:lineRule="auto"/>
        <w:tabs>
          <w:tab w:leader="none" w:pos="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allocating the transaction price to the contract’s performance obligations; and, (v) recognizing revenue as the contract’s performance obligations are satisfied. Judgment is required to apply the principles-based, five-step model for revenue recognition. Management is required to make certain estimates and assumptions about the Company’s contracts with its customers, including, among others, the nature and extent of its performance obligations, its transaction price amounts and any allocations thereof, the events which constitute satisfaction of its performance obligations, and when control of any promised goods or services is transferred to its customers. The standard also requires certain incremental costs incurred to obtain or fulfill a contract to be deferred and amortized on a systematic basis consistent with the transfer of goods or services to the customer.</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provides an end-to-end payment solution which integrates hardware, software, and payment processing in the unattended retail market. The Company has contractual agreements with customers that set forth the general terms and conditions of the relationship, including pricing of goods and services, payment terms and contract duration. Revenue is recognized when the obligation under the terms of the Company’s contract with its customer is satisfied and is measured as the amount of consideration the Company expects to receive in exchange for transferring goods or providing services.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59" w:name="page60"/>
    <w:bookmarkEnd w:id="59"/>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business model is to act as the Merchant of Record for its sellers. We provide cashless vending payment services in exchange for monthly service fees, in addition to collecting usage-based consideration for completed transactions. The contracts we enter into with third-party suppliers provide us with the right to access and direct their services when processing a transaction. The Company combines the services provided by third-party suppliers to enable customers to accept cashless payment transactions, indicating that it controls all inputs in directing their use to create the combined service. Additionally, the Company sells cashless payment devices (e.g., e-Ports, Seed), which are either directly sold or leased through the Company's QuickStart or Cantaloupe ONE programs.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recognizes fees charged to our customers primarily on a gross basis as transaction revenue when we are the principal in respect of completing a payment transaction. As a principal to the transaction, when we are the Merchant of Record, we control the service of completing payments for our customers through the payment ecosystem. The fees paid to payment processors and other financial institutions are recognized as transaction expense. For certain transactions in which we act in the capacity as an agent, these transactions are recorded on a net basis. These are transactions in which we are not the Merchant of Record, and the customer is entering into a separate arrangement with a third party payment processor for the fulfillment of the payment service.</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Cashless vending services represent a single performance obligation as the combination of the services provided gives the customer the ability to accept cashless payments. The Company’s customers are contracting for integrated cashless services in connection with purchasing or leasing unattended point-of-sale devices. The activities when combined together are so integral to the customer’s ability to derive benefit from the service, that the activities are effectively inputs to a single promise to the customer. Certain services are distinct, but are not accounted for separately as the rights are coterminous, they are transferred concurrently and the outcome is the same as accounting for the services as individual performance obligations. The single performance obligation is determined to be a stand-ready obligation to process payments whenever a consumer intends to make a purchase at a point-of-sale device. As the Company is unable to predict the timing and quantity of transactions to be processed, the assessment of the nature of the performance obligation is focused on each time increment rather than the underlying activity. Therefore, cashless vending services are viewed to comprise a series of distinct days of service that are substantially the same and have the same pattern of transfer to the customer. As a result, the promise to stand ready is accounted for as a single performance obligation.</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Revenue related to cashless vending services is recognized over the period in which services are provided, with usage-based revenue recognized as transactions occur. Consideration for this service includes fixed fees for standing ready to process transactions, and generally also includes usage-based fees, priced as a percentage of transaction value and/or a specified fee per transaction processed. The total transaction price of usage-based services is determined to be variable consideration as it is based on unknown quantities of services to be performed over the contract term. The underlying variability is satisfied each day the service is performed and provided to the customer. Clients are billed for cashless vending services on a monthly basis and for transaction processing as transactions occur. Payment is due based on the Company’s standard payment terms which is typically within 30 to 60 days of invoice issuance.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Equipment sales represent a separate performance obligation, the majority of which is satisfied at a point in time through outright sales or sales-type leases when the equipment is delivered to the customer. Revenues related to Cantaloupe ONE equipment are recognized over time as the customer obtains the right to use the equipment through an operating lease. Clients are billed for equipment sales on a monthly basis, with payment due based on the Company’s standard payment terms which is typically within 30 to 60 days of invoice issuance.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will occasionally offer volume discounts, rebates or credits on certain contracts, which is considered variable consideration. The Company uses either the most-likely or estimated value method to estimate the amount of the consideration, based on what the Company expects to better predict the amount of consideration to which it will be entitled to on a contract-by-contract basis. The Company will qualitatively assess if the variable consideration should be limited to prevent possible significant reversals of revenue in future reporting periods.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assesses the goods and/or services promised in each customer contract and separately identifies a performance obligation for each promise to transfer to the customer a distinct good or service. The Company then allocates the transaction price to each performance obligation in the contract using relative standalone selling prices. The Company determines standalone selling prices based on the price at which a good or service is sold separately. If the standalone selling price is not observable through historic data, the Company estimates the standalone selling price by considering all reasonably available information, including market data, trends, as well as other company- or customer-specific factors.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60" w:name="page61"/>
    <w:bookmarkEnd w:id="60"/>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standard payment terms are payment is due within 30 to 60 days of invoice issuance. The Company uses the practical expedient and does not recognize a significant financing component for payment considerations of less than one year.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Warranties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offers standard warranties that provide the customer with assurance that its equipment will function in accordance with contract specifications. The Company's standard warranties are not sold separately, but are included with each customer purchase. Warranties are not considered separate performance obligations and, therefore, are estimated and recorded at the time of sale.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 and Contract Liabilities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contract with a customer creates legal rights and obligations. As the Company satisfies performance obligations under customer contracts, a right to unconditional consideration is recorded as an account receivable.</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Contract liabilities represent consideration received from customers in excess of revenues recognized (i.e., deferred revenue). Contract liabilities are classified as current or noncurrent based on the nature of the underlying contractual rights and obligations.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Costs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incurs costs to obtain contracts with customers, primarily in the form of commissions to sales employees. The Company recognizes as an asset the incremental costs of obtaining a contract with a customer if it expects to recover these costs. The Company currently does not incur material costs to fulfill its obligations under a contract once it is obtained but before transferring goods or services to the customer. Contract costs are amortized on a systematic basis consistent with the transfer to the customer of the goods or services to which the asset relates. A straight-line or proportional amortization method is used depending upon which method best depicts the pattern of transfer of the goods or services to the customer. The Company’s contracts frequently contain performance obligations satisfied at a point in time and overtime. In these instances, the Company amortizes the contract costs proportionally with the timing and pattern of revenue recognition. Amortization of costs to obtain a contract are included within sales and marketing expenses within the Consolidated Statements of Operations. In addition, these contract costs are evaluated for impairment by comparing, on a pooled basis, the expected future net cash flows from underlying customer relationships to the carrying amount of the capitalized contract costs.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order to determine the appropriate amortization period for contract costs, the Company considers a number of factors, including expected early terminations, estimated terms of customer relationships, the useful lives of technology Cantaloupe uses to provide goods and services to its customers, whether future contract renewals are expected and if there is any incremental commission to be paid on a contract renewal. The Company amortizes these assets over the expected period of benefit. Costs to obtain a contract with an expected period of benefit of one year or less are expensed when incurred.</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 from the sale of QuickStart lease of equipment is recognized when equipment is shipped to the customer. Transaction processing revenue is recognized upon the usage of the Company’s cashless payment and control network. Subscription fees for access to the Company’s devices and network services are recognized on a monthly basis. In all cases, revenue is only recognized when persuasive evidence of an arrangement exists, delivery has occurred or services have been rendered, the price is fixed and determinable, and collection of the resulting receivable is reasonably assured. The Company estimates an allowance for subscription and transaction fee refunds on a monthly basis.</w:t>
      </w:r>
    </w:p>
    <w:p>
      <w:pPr>
        <w:spacing w:after="0" w:line="197"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Hardware is available to customers under the QuickStart program pursuant to which the customer would enter into a five-year non-cancelable lease with either the Company or a third-party leasing company for the devices. The Company then allocates the transaction price to each performance obligation in the contract using relative standalone selling prices. The Company determines standalone selling prices based on the price at which a good or service is sold separately. If the standalone selling price is not observable through historic data, the Company estimates the standalone selling price by considering all reasonably available information, including market data, trends, as well as other company- or customer-specific factors. The QuickStart contracts qualify for sales type lease accounting. At lease inception, the Company recognizes revenue and creates a finance receivable in an amount that represents the present value of minimum lease payments. Accordingly, a portion of the lease payments are recognized as interest income. At the end of the lease period, the customer would have the option to purchase the device at its residual value. Any customer payments received in advance and prior to the Company satisfying any performance obligations are recorded as deferred revenue and amortized as revenue is recognized.</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i w:val="1"/>
          <w:iCs w:val="1"/>
          <w:color w:val="auto"/>
        </w:rPr>
        <w:t>Equipment Rental</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offers its customers a rental program for its hardware devices, Cantaloupe ONE platform. Cantaloupe ONE terms are 36 months rental agreements that transition to month-to-month agreements after the initial subscription commitment period. In accordance with ASC 842, “Leases”, the Company classifies the rental agreements as operating leases, with service fee revenue related to the leases included in subscription and transaction fees in the Consolidated Statements of Operations. Costs for the Cantaloupe ONE revenue, which consist of depreciation expense on the Cantaloupe ONE equipment, are included in cost of services in the Consolidated Statements of Operations. Equipment utilized by the Cantaloupe ONE program is included in property and equipment, net on the Consolidated Balance Sheets.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Lessee Accounting</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The Company has operating and finance leases for office space, warehouses and office equipment. Cantaloupe’s leases have lease terms of one year to eight years and some include options to extend and/or terminate the lease. The exercise of lease renewal options is at the Company’s sole discretion. When deemed reasonably certain of exercise, the renewal options are included in the determination of the lease term. The Company’s lease agreements do not contain any material variable lease payments, material residual value guarantees or any material restrictive covenants.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Right-of-use assets represent the Company’s right to use an underlying asset for the lease term and lease liabilities represent the obligation to make lease payments arising from the lease. Operating lease Right-of-Use (“ROU”) assets and liabilities are recognized at commencement date of the lease based on the present value of lease payments over the lease term. As most of our leases do not provide an implicit rate, we use our incremental borrowing rate, which is the collateralized rate of interest that we would pay to borrow over a similar term an amount equal to the lease payments, based on the information available at commencement date in determining the present value of lease payments. The operating lease ROU asset also includes any lease payments made and excludes lease incentives. Cantaloupe has lease agreements with lease and non-lease components. The Company uses the practical expedient related to treating lease and non-lease components as a single lease component for all leases as well as electing a policy exclusion permitting leases with an original lease term of less than one year to be excluded from the ROU assets and lease liabilities. Lease expense for operating lease payments is recognized on a straight-line basis over the lease term.</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Variable lease payments that are not based on an index or that result from changes to an index subsequent to the initial measurement of the corresponding lease liability are not included in the measurement of lease ROU assets or liabilities and instead are recognized in earnings in the period in which the obligation for those payments is incurred.</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reviews its ROU assets for events or changes in circumstances that may indicate that the carrying amount of such assets may not be recoverable. The carrying amount of an asset is not recoverable if it exceeds the sum of the undiscounted cash flows expected to result from the use and eventual disposition of the asset. If the carrying amount of an ROU exceeds its net realizable value, the asset will be written down to its fair value. The Company recorded a right-of-use asset impairment charge relating to optimizing its corporate real estate footprint of $1.6 million for the year ended June 30, 2021. The Company did not recognize an impairment charge related to the right-of-use assets for the year ended June 30, 2022.</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Lessor Accounting</w:t>
      </w:r>
    </w:p>
    <w:p>
      <w:pPr>
        <w:spacing w:after="0" w:line="1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Company offers its customers financing for the lease of our POS electronic payment devices through our QuickStart program. We account for these transactions as sales-type leases. Our sales -type leases generally have a non-cancellable term of 60 months. Certain leases contain an end-of-term purchase option that is generally insignificant and is reasonably certain to be exercised by the lessee. Leases that do not meet the criteria for sales-type lease accounting are accounted for as operating leases, typically our Cantaloupe ONE rental program. Cantaloupe ONE agreements are 36-month rental agreements that transition to month-to-month agreements after the initial subscription commitment period.</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also uses the practical expedient related to treating lease and non-lease components as a single component for those leases where the timing and pattern of transfer for the non-lease component and associated lease component are the same and the stand-alone lease component would be classified as an operating lease if accounted for separately. The combined component is then accounted for under Topic 606 or Topic 842 depending on the predominant characteristic of the combined component, which was Topic 606 for the Company's operating leases. All QuickStart leases are sales-type and do not qualify for the election.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5" w:right="339" w:bottom="1440" w:gutter="0" w:footer="0" w:header="0"/>
        </w:sectPr>
      </w:pPr>
    </w:p>
    <w:bookmarkStart w:id="62" w:name="page63"/>
    <w:bookmarkEnd w:id="62"/>
    <w:p>
      <w:pPr>
        <w:jc w:val="both"/>
        <w:spacing w:after="0" w:line="258" w:lineRule="auto"/>
        <w:rPr>
          <w:sz w:val="20"/>
          <w:szCs w:val="20"/>
          <w:color w:val="auto"/>
        </w:rPr>
      </w:pPr>
      <w:r>
        <w:rPr>
          <w:rFonts w:ascii="Times New Roman" w:cs="Times New Roman" w:eastAsia="Times New Roman" w:hAnsi="Times New Roman"/>
          <w:sz w:val="18"/>
          <w:szCs w:val="18"/>
          <w:color w:val="auto"/>
        </w:rPr>
        <w:t>Lessor consideration is allocated between lease components and the non-lease components using the requirements under Topic 606. Revenue from sales-type leases is recognized upon shipment to the customer and the interest portion is deferred and recognized as earned. The revenues related to the sales-type leases are included in Equipment sales in the Consolidated Statements of Operations and a portion of the lease payments as interest income. Revenue from operating leases is recognized ratably over the applicable service period with service fee revenue related to the leases included in Subscription and transaction fees in the Consolidated Statements of Operations.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SHIPPING AND HANDLING</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Shipping and handling fees billed to our customers in connection with sales are recorded as revenue. The costs incurred for shipping and handling of our product are recorded as cost of equipment.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are expensed as incurred and primarily consist of personnel, contractors and product development costs. Research and development expenses, which are included within the technology and product development expenses and general and administrative expenses in the Consolidated Statements of Operations, were approximately $3.5 million, $3.9 million and $3.8 million, for the fiscal years ended June 30, 2022, 2021, and 2020, respectively. Our research and development initiatives focus on adding features and functionality to our system solutions through the development and utilization of our processing and reporting network and new technology.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CAPITALIZATION OF INTERNAL-USE SOFTWARE AND CLOUD COMPUTING ARRANGEMENTS</w:t>
      </w:r>
    </w:p>
    <w:p>
      <w:pPr>
        <w:spacing w:after="0" w:line="24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We have significant expenditures associated with the technological maintenance and improvement of our network and technology offerings. These expenditures include both the cost of internal employees, who spend portions of their time on various technological projects, and the use of external temporary labor and consultants. Capitalization of internal-use software occurs when we have completed the preliminary project stage, management authorizes the project, management commits to funding the project, it is probable the project will be completed and the project will be used to perform the function intended. We are required to assess these expenditures and make a determination as to whether the costs should be expensed as incurred or are subject to capitalization. In making these determinations, we consider the stage of the development project, the probability of successful development and if the development is resulting in increased features and functionality. In addition, if we determine that a project qualifies for capitalization, the amount of capitalization is subject to various estimates, including the amount of time spent on the development work and the cost of internal employees and external consultants. Internal-use software is included within Property and equipment, net on our Consolidated Balance Sheets and is amortized over its estimated useful life, which is typically 3 to 7 years.</w:t>
      </w:r>
    </w:p>
    <w:p>
      <w:pPr>
        <w:spacing w:after="0" w:line="21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capitalize certain costs related to hosting arrangements that are service contracts (cloud computing arrangements) following the internal-use software capitalization criteria described above. Our cloud computing arrangements involve services we use to support internal corporate functions, our platforms and technology offerings. Capitalized costs relating to cloud computing arrangements are included within Prepaid expenses and other current assets or Other assets on our Consolidated Balance Sheets and are amortized on a straight-line basis over the estimated useful life, which is typically 3 to 5 years.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FOR EQUITY AWARDS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cost of services received in exchange for an award of equity instruments related to employees and non-employees is based on the grant-date fair value of the award and allocated over the requisite service period of the award. When the requisite service period precedes the grant date, the Company begins recognizing compensation cost before a grant date is established.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costs are recorded within operating expenses 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i w:val="1"/>
          <w:iCs w:val="1"/>
          <w:color w:val="auto"/>
        </w:rPr>
        <w:t>LOSS CONTINGENCIES</w:t>
      </w:r>
    </w:p>
    <w:p>
      <w:pPr>
        <w:spacing w:after="0" w:line="24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From time to time, we are involved in litigation, claims, contingencies and other legal matters. The Company’s management and its legal counsel assess such contingent liabilities, and such assessment inherently involves an exercise of judgment. In assessing loss contingencies related to legal proceedings that are pending against the Company or unasserted claims that may result in such proceedings, the Company's management team evaluates the perceived merits of any legal proceedings or unasserted claims as well as the perceived merits of the amount of relief sought or expected to be sought therein.</w:t>
      </w:r>
    </w:p>
    <w:p>
      <w:pPr>
        <w:spacing w:after="0" w:line="2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the assessment of a contingency indicates it is probable that a loss has been incurred and the amount of the liability can be estimated, the estimated liability would be accrued in the Company’s financial statements. If the assessment indicates a loss contingency is not probable, but is reasonably possible, or is probable but cannot be estimated, then the nature of the contingent liability, together with an estimate of the range of possible loss if determinable and material, would be disclosed. Loss contingencies considered remote are generally not disclosed unless they involve guarantees, in which case the nature of the guarantee would be disclosed. Expected legal costs associated with assessing or potentially settling a contingent liability are expensed as incurred.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TAX RESERVE</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recorded a contingent liability for sales tax, included in accrued expenses in the Consolidated Balance Sheets. On a quarterly basis, the Company accrues interest on the unpaid balance. The estimated liability is adjusted upon the payment of sales tax related to the accrual, the changes in state tax laws that may impact the accrual and the expiration of the statute of limitations for open years under review. The liability includes significant judgments and estimates that may change in the future, and the actual liability may be different from our current estimate. Future changes to the sales tax reserve amount will be recorded within general and administrative expenses and interest expense in the Consolidated Statements of Operations and accrued expenses in the Consolidated Balance Sheets.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Income taxes are computed using the asset and liability method of accounting. Under the asset and liability method, a deferred tax asset or liability is recognized for estimated future tax effects attributable to temporary differences and carryforwards. The measurement of deferred income tax assets is adjusted by a valuation allowance, if necessary, to recognize future tax benefits only to the extent, based on available evidence, it is more likely than not such benefits will be realized.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Tax positions must meet a “more-likely-than-not” recognition threshold to be recognized. The Company recognizes interest and penalties, if any, related to uncertain tax positions within general and administrative expenses in the Consolidated Statements of Operations. Interest and penalties related to uncertain tax positions incurred during the fiscal years ended June 30, 2022, 2021, and 2020 were immaterial.</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files income tax returns in the United States federal jurisdiction and various state jurisdictions. The tax years ended June 30, 2017 through June 30, 2021 remain open to examination by taxing jurisdictions to which the Company is subject. While the statute of limitations has expired for years prior to the year ended June 30, 2017, changes in reported losses for those years are examinable by tax authorities to the extent that operating loss carryforwards from those prior years impact upon taxable income in current years. As of June 30, 2022, the Company did not have any income tax examinations in process.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EARNINGS (LOSS) PER COMMON SHARE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Basic earnings (loss) per share are calculated by dividing net income (loss) applicable to common shares by the weighted average common shares outstanding for the period. Diluted earnings (loss) per share are calculated by dividing net income (loss) applicable to common shares by the weighted average common shares outstanding for the period plus the dilutive effects of common stock equivalents unless the effects of such common stock equivalents are anti-dilutive. For the years ended June 30, 2022, 2021 and 2020, no effect for common stock equivalents was considered in the calculation of diluted earnings (loss) per share because their effect was anti-dilutive.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5"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pronouncements adopted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Measurement of Credit Losses on Financial Instruments</w:t>
      </w:r>
    </w:p>
    <w:p>
      <w:pPr>
        <w:spacing w:after="0" w:line="252"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color w:val="auto"/>
        </w:rPr>
        <w:t xml:space="preserve">The Company adopted </w:t>
      </w:r>
      <w:r>
        <w:rPr>
          <w:rFonts w:ascii="Times New Roman" w:cs="Times New Roman" w:eastAsia="Times New Roman" w:hAnsi="Times New Roman"/>
          <w:sz w:val="18"/>
          <w:szCs w:val="18"/>
          <w:i w:val="1"/>
          <w:iCs w:val="1"/>
          <w:color w:val="auto"/>
        </w:rPr>
        <w:t>"Financial Instruments - Credit Losses"</w:t>
      </w:r>
      <w:r>
        <w:rPr>
          <w:rFonts w:ascii="Times New Roman" w:cs="Times New Roman" w:eastAsia="Times New Roman" w:hAnsi="Times New Roman"/>
          <w:sz w:val="18"/>
          <w:szCs w:val="18"/>
          <w:color w:val="auto"/>
        </w:rPr>
        <w:t xml:space="preserve"> (Topic 326) on July 1, 2020 using the modified retrospective approach through an adjustment to retained earnings, and began calculating our allowance for accounts and finance receivables under an expected loss model rather than an incurred loss model.</w:t>
      </w:r>
    </w:p>
    <w:p>
      <w:pPr>
        <w:spacing w:after="0" w:line="20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represents the impact of adoption of Topic 326 and a roll forward of the allowance for doubtful accounts for accounts and finance receivables for the years ending June 30, 2022 and 2021:</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20" w:type="dxa"/>
            <w:vAlign w:val="bottom"/>
            <w:gridSpan w:val="5"/>
          </w:tcPr>
          <w:p>
            <w:pPr>
              <w:jc w:val="right"/>
              <w:ind w:right="1220"/>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8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8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8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Accounts Receivable</w:t>
            </w:r>
          </w:p>
        </w:tc>
        <w:tc>
          <w:tcPr>
            <w:tcW w:w="120" w:type="dxa"/>
            <w:vAlign w:val="bottom"/>
          </w:tcPr>
          <w:p>
            <w:pPr>
              <w:spacing w:after="0"/>
              <w:rPr>
                <w:sz w:val="18"/>
                <w:szCs w:val="18"/>
                <w:color w:val="auto"/>
              </w:rPr>
            </w:pPr>
          </w:p>
        </w:tc>
        <w:tc>
          <w:tcPr>
            <w:tcW w:w="1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Finance Receivable</w:t>
            </w:r>
          </w:p>
        </w:tc>
        <w:tc>
          <w:tcPr>
            <w:tcW w:w="120" w:type="dxa"/>
            <w:vAlign w:val="bottom"/>
          </w:tcPr>
          <w:p>
            <w:pPr>
              <w:spacing w:after="0"/>
              <w:rPr>
                <w:sz w:val="18"/>
                <w:szCs w:val="18"/>
                <w:color w:val="auto"/>
              </w:rPr>
            </w:pPr>
          </w:p>
        </w:tc>
        <w:tc>
          <w:tcPr>
            <w:tcW w:w="16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Accounts Receivable</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Finance Receivable</w:t>
            </w:r>
          </w:p>
        </w:tc>
        <w:tc>
          <w:tcPr>
            <w:tcW w:w="0" w:type="dxa"/>
            <w:vAlign w:val="bottom"/>
          </w:tcPr>
          <w:p>
            <w:pPr>
              <w:spacing w:after="0"/>
              <w:rPr>
                <w:sz w:val="1"/>
                <w:szCs w:val="1"/>
                <w:color w:val="auto"/>
              </w:rPr>
            </w:pPr>
          </w:p>
        </w:tc>
      </w:tr>
      <w:tr>
        <w:trPr>
          <w:trHeight w:val="27"/>
        </w:trPr>
        <w:tc>
          <w:tcPr>
            <w:tcW w:w="48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7,715</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8,777</w:t>
            </w:r>
          </w:p>
        </w:tc>
        <w:tc>
          <w:tcPr>
            <w:tcW w:w="16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57"/>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Impact of adoption of Topic 326</w:t>
            </w:r>
          </w:p>
        </w:tc>
        <w:tc>
          <w:tcPr>
            <w:tcW w:w="120" w:type="dxa"/>
            <w:vAlign w:val="bottom"/>
          </w:tcPr>
          <w:p>
            <w:pPr>
              <w:spacing w:after="0"/>
              <w:rPr>
                <w:sz w:val="22"/>
                <w:szCs w:val="22"/>
                <w:color w:val="auto"/>
              </w:rPr>
            </w:pPr>
          </w:p>
        </w:tc>
        <w:tc>
          <w:tcPr>
            <w:tcW w:w="1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0" w:type="dxa"/>
            <w:vAlign w:val="bottom"/>
          </w:tcPr>
          <w:p>
            <w:pPr>
              <w:spacing w:after="0"/>
              <w:rPr>
                <w:sz w:val="1"/>
                <w:szCs w:val="1"/>
                <w:color w:val="auto"/>
              </w:rPr>
            </w:pPr>
          </w:p>
        </w:tc>
      </w:tr>
      <w:tr>
        <w:trPr>
          <w:trHeight w:val="256"/>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expected losses</w:t>
            </w:r>
          </w:p>
        </w:tc>
        <w:tc>
          <w:tcPr>
            <w:tcW w:w="12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3,435</w:t>
            </w: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16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0" w:type="dxa"/>
            <w:vAlign w:val="bottom"/>
          </w:tcPr>
          <w:p>
            <w:pPr>
              <w:spacing w:after="0"/>
              <w:rPr>
                <w:sz w:val="1"/>
                <w:szCs w:val="1"/>
                <w:color w:val="auto"/>
              </w:rPr>
            </w:pPr>
          </w:p>
        </w:tc>
      </w:tr>
      <w:tr>
        <w:trPr>
          <w:trHeight w:val="257"/>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Write-offs</w:t>
            </w:r>
          </w:p>
        </w:tc>
        <w:tc>
          <w:tcPr>
            <w:tcW w:w="1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(1,822)</w:t>
            </w:r>
          </w:p>
        </w:tc>
        <w:tc>
          <w:tcPr>
            <w:tcW w:w="1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16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9,328</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7,715</w:t>
            </w:r>
          </w:p>
        </w:tc>
        <w:tc>
          <w:tcPr>
            <w:tcW w:w="1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ASU 2019-12 - Income Taxes (Topic 740): Simplifying the Accounting for Income Taxes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1, 2021, the Company adopted ASU No. 2019-12, “Income Taxes (Topic 740): Simplifying the Accounting for Income Taxes.” ASU 2019-12 is intended to simplify accounting for income taxes by removing certain exceptions to the general principles in Topic 740 and amends existing guidance to improve consistent application. The adoption of this accounting standard did not materially impact the Company’s consolidated financial statements.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pronouncements to be adopted</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evaluating whether the effects of the following recent accounting pronouncements, or any other recently issued but not yet effective accounting standards, will have a material effect on the Company’s consolidated financial position, results of operations or cash flows.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ASU 2020-04, Reference Rate Reform (Topic 848): Facilitation of the Effects of Reference Rate Reform on Financial Reporting</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March 2020 and January 2021, the FASB issued ASU 2020-04, “Facilitation of the Effects of Reference Rate Reform on Financial Reporting” and ASU 2021-01, “Reference Rate Reform: Scope”, respectively. Together, the ASUs provide temporary optional expedients and exceptions for applying U.S. GAAP guidance on contract modifications and hedging relationships that reference LIBOR or another reference rate expected to be discontinued because of reference rate reform. These optional expedients and exceptions are effective beginning March 12, 2020 through December 31, 2022 and adoption is permitted at any time in the effective period. The Company is currently evaluating and assessing the impact these accounting standards will have on its consolidated financial statements and related disclosures and if it will elect these optional standards.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Lessor Classification</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July 2021, the FASB issued ASU 2021-05, “Lessors – Certain Leases with Variable Lease Payments” which requires lessors to classify leases as operating leases if they have variable lease payments that do not depend on an index or rate and would have selling losses if they were classified as sales-type or direct financing leases. ASU 2021-05 is effective for fiscal years beginning after December 15, 2021, and interim periods within those fiscal years. We plan to adopt this pronouncement for our fiscal year beginning July 1, 2022. The Company has evaluated the impact of this accounting standard and does not expect there to be a material effect at adoption to our consolidated financial statements.</w:t>
      </w:r>
    </w:p>
    <w:p>
      <w:pPr>
        <w:sectPr>
          <w:pgSz w:w="11900" w:h="16838" w:orient="portrait"/>
          <w:cols w:equalWidth="0" w:num="1">
            <w:col w:w="11240"/>
          </w:cols>
          <w:pgMar w:left="320" w:top="110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5" w:right="339" w:bottom="144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18"/>
          <w:szCs w:val="18"/>
          <w:i w:val="1"/>
          <w:iCs w:val="1"/>
          <w:color w:val="auto"/>
        </w:rPr>
        <w:t>Accounting for Debt and Equity Instruments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August 2020, the FASB issued ASU 2020-06, “Accounting for Convertible Instruments and Contracts in an Entity’s Own Equity” which simplifies accounting for convertible instruments and the derivatives scope exception for contracts in an entity's own equity and improves and amends the related earnings per share ("EPS") guidance. ASU 2020-06 is effective for fiscal years beginning after December 15, 2021, and interim periods within those fiscal years. We plan to adopt this pronouncement for our fiscal year beginning July 1, 2022. The Company has evaluated the impact of this accounting standard and does not expect there to be a material effect at adoption to our consolidated financial statements.</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LEASES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Lessee accounting</w:t>
      </w:r>
    </w:p>
    <w:p>
      <w:pPr>
        <w:spacing w:after="0" w:line="2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operating leases which are primarily real estate leases used for corporate functions, product development, sales, and other purposes. The following table provides supplemental balance sheet information related to the Company's operating leases:</w:t>
      </w:r>
    </w:p>
    <w:p>
      <w:pPr>
        <w:spacing w:after="0" w:line="223" w:lineRule="exact"/>
        <w:rPr>
          <w:sz w:val="20"/>
          <w:szCs w:val="20"/>
          <w:color w:val="auto"/>
        </w:rPr>
      </w:pPr>
    </w:p>
    <w:p>
      <w:pPr>
        <w:ind w:left="20"/>
        <w:spacing w:after="0"/>
        <w:tabs>
          <w:tab w:leader="none" w:pos="4160" w:val="left"/>
          <w:tab w:leader="none" w:pos="7920" w:val="left"/>
          <w:tab w:leader="none" w:pos="9760" w:val="left"/>
        </w:tabs>
        <w:rPr>
          <w:sz w:val="20"/>
          <w:szCs w:val="20"/>
          <w:color w:val="auto"/>
        </w:rPr>
      </w:pPr>
      <w:r>
        <w:rPr>
          <w:rFonts w:ascii="Times New Roman" w:cs="Times New Roman" w:eastAsia="Times New Roman" w:hAnsi="Times New Roman"/>
          <w:sz w:val="14"/>
          <w:szCs w:val="14"/>
          <w:b w:val="1"/>
          <w:bCs w:val="1"/>
          <w:color w:val="auto"/>
        </w:rPr>
        <w:t>($ in thousands)</w:t>
      </w:r>
      <w:r>
        <w:rPr>
          <w:sz w:val="20"/>
          <w:szCs w:val="20"/>
          <w:color w:val="auto"/>
        </w:rPr>
        <w:tab/>
      </w:r>
      <w:r>
        <w:rPr>
          <w:rFonts w:ascii="Times New Roman" w:cs="Times New Roman" w:eastAsia="Times New Roman" w:hAnsi="Times New Roman"/>
          <w:sz w:val="14"/>
          <w:szCs w:val="14"/>
          <w:b w:val="1"/>
          <w:bCs w:val="1"/>
          <w:color w:val="auto"/>
        </w:rPr>
        <w:t>Balance Sheet Classification</w:t>
      </w:r>
      <w:r>
        <w:rPr>
          <w:sz w:val="20"/>
          <w:szCs w:val="20"/>
          <w:color w:val="auto"/>
        </w:rPr>
        <w:tab/>
      </w:r>
      <w:r>
        <w:rPr>
          <w:rFonts w:ascii="Times New Roman" w:cs="Times New Roman" w:eastAsia="Times New Roman" w:hAnsi="Times New Roman"/>
          <w:sz w:val="14"/>
          <w:szCs w:val="14"/>
          <w:b w:val="1"/>
          <w:bCs w:val="1"/>
          <w:color w:val="auto"/>
        </w:rPr>
        <w:t>As of June 30, 2022</w:t>
      </w:r>
      <w:r>
        <w:rPr>
          <w:sz w:val="20"/>
          <w:szCs w:val="20"/>
          <w:color w:val="auto"/>
        </w:rPr>
        <w:tab/>
      </w:r>
      <w:r>
        <w:rPr>
          <w:rFonts w:ascii="Times New Roman" w:cs="Times New Roman" w:eastAsia="Times New Roman" w:hAnsi="Times New Roman"/>
          <w:sz w:val="14"/>
          <w:szCs w:val="14"/>
          <w:b w:val="1"/>
          <w:bCs w:val="1"/>
          <w:color w:val="auto"/>
        </w:rPr>
        <w:t>As of 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1556385</wp:posOffset>
            </wp:positionH>
            <wp:positionV relativeFrom="paragraph">
              <wp:posOffset>41910</wp:posOffset>
            </wp:positionV>
            <wp:extent cx="55803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580380" cy="825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p>
      <w:pPr>
        <w:spacing w:after="0" w:line="11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1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40" w:type="dxa"/>
            <w:vAlign w:val="bottom"/>
          </w:tcPr>
          <w:p>
            <w:pPr>
              <w:spacing w:after="0"/>
              <w:rPr>
                <w:sz w:val="20"/>
                <w:szCs w:val="20"/>
                <w:color w:val="auto"/>
              </w:rPr>
            </w:pPr>
          </w:p>
        </w:tc>
      </w:tr>
      <w:tr>
        <w:trPr>
          <w:trHeight w:val="270"/>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32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Operating lease right-of-use assets</w:t>
            </w:r>
          </w:p>
        </w:tc>
      </w:tr>
      <w:tr>
        <w:trPr>
          <w:trHeight w:val="499"/>
        </w:trPr>
        <w:tc>
          <w:tcPr>
            <w:tcW w:w="1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240" w:type="dxa"/>
            <w:vAlign w:val="bottom"/>
          </w:tcPr>
          <w:p>
            <w:pPr>
              <w:spacing w:after="0"/>
              <w:rPr>
                <w:sz w:val="24"/>
                <w:szCs w:val="24"/>
                <w:color w:val="auto"/>
              </w:rPr>
            </w:pPr>
          </w:p>
        </w:tc>
      </w:tr>
      <w:tr>
        <w:trPr>
          <w:trHeight w:val="270"/>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Current</w:t>
            </w:r>
          </w:p>
        </w:tc>
        <w:tc>
          <w:tcPr>
            <w:tcW w:w="32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Accrued expenses</w:t>
            </w:r>
          </w:p>
        </w:tc>
      </w:tr>
      <w:tr>
        <w:trPr>
          <w:trHeight w:val="270"/>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Long-term</w:t>
            </w:r>
          </w:p>
        </w:tc>
        <w:tc>
          <w:tcPr>
            <w:tcW w:w="324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9"/>
              </w:rPr>
              <w:t>Operating lease liabilities, non-current</w:t>
            </w:r>
          </w:p>
        </w:tc>
      </w:tr>
      <w:tr>
        <w:trPr>
          <w:trHeight w:val="283"/>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32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-1156970</wp:posOffset>
            </wp:positionV>
            <wp:extent cx="7132320" cy="1454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-839470</wp:posOffset>
            </wp:positionV>
            <wp:extent cx="7132320" cy="1714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-521970</wp:posOffset>
            </wp:positionV>
            <wp:extent cx="7132320" cy="1714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Components of lease cost are as follows:</w:t>
      </w:r>
    </w:p>
    <w:p>
      <w:pPr>
        <w:spacing w:after="0" w:line="3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 in thousands)</w:t>
      </w:r>
    </w:p>
    <w:p>
      <w:pPr>
        <w:spacing w:after="0" w:line="20" w:lineRule="exact"/>
        <w:rPr>
          <w:sz w:val="20"/>
          <w:szCs w:val="20"/>
          <w:color w:val="auto"/>
        </w:rPr>
      </w:pPr>
      <w:r>
        <w:rPr>
          <w:sz w:val="20"/>
          <w:szCs w:val="20"/>
          <w:color w:val="auto"/>
        </w:rPr>
        <w:br w:type="column"/>
      </w:r>
    </w:p>
    <w:p>
      <w:pPr>
        <w:spacing w:after="0" w:line="365" w:lineRule="exact"/>
        <w:rPr>
          <w:sz w:val="20"/>
          <w:szCs w:val="20"/>
          <w:color w:val="auto"/>
        </w:rPr>
      </w:pPr>
    </w:p>
    <w:p>
      <w:pPr>
        <w:spacing w:after="0" w:line="1" w:lineRule="exact"/>
        <w:rPr>
          <w:sz w:val="1"/>
          <w:szCs w:val="1"/>
          <w:color w:val="auto"/>
        </w:rPr>
      </w:pPr>
    </w:p>
    <w:tbl>
      <w:tblPr>
        <w:tblLayout w:type="fixed"/>
        <w:tblInd w:w="560" w:type="dxa"/>
        <w:tblCellMar>
          <w:top w:w="0" w:type="dxa"/>
          <w:left w:w="0" w:type="dxa"/>
          <w:bottom w:w="0" w:type="dxa"/>
          <w:right w:w="0" w:type="dxa"/>
        </w:tblCellMar>
      </w:tblPr>
      <w:tr>
        <w:trPr>
          <w:trHeight w:val="234"/>
        </w:trPr>
        <w:tc>
          <w:tcPr>
            <w:tcW w:w="7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2,370</w:t>
            </w:r>
          </w:p>
        </w:tc>
        <w:tc>
          <w:tcPr>
            <w:tcW w:w="120" w:type="dxa"/>
            <w:vAlign w:val="bottom"/>
          </w:tcPr>
          <w:p>
            <w:pPr>
              <w:spacing w:after="0"/>
              <w:rPr>
                <w:sz w:val="20"/>
                <w:szCs w:val="20"/>
                <w:color w:val="auto"/>
              </w:rPr>
            </w:pPr>
          </w:p>
        </w:tc>
        <w:tc>
          <w:tcPr>
            <w:tcW w:w="6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3,049</w:t>
            </w:r>
          </w:p>
        </w:tc>
      </w:tr>
      <w:tr>
        <w:trPr>
          <w:trHeight w:val="742"/>
        </w:trPr>
        <w:tc>
          <w:tcPr>
            <w:tcW w:w="7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w:t>
            </w:r>
          </w:p>
        </w:tc>
      </w:tr>
      <w:tr>
        <w:trPr>
          <w:trHeight w:val="270"/>
        </w:trPr>
        <w:tc>
          <w:tcPr>
            <w:tcW w:w="7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2,366</w:t>
            </w: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3,645</w:t>
            </w:r>
          </w:p>
        </w:tc>
      </w:tr>
      <w:tr>
        <w:trPr>
          <w:trHeight w:val="27"/>
        </w:trPr>
        <w:tc>
          <w:tcPr>
            <w:tcW w:w="7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7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3,904</w:t>
            </w:r>
          </w:p>
        </w:tc>
        <w:tc>
          <w:tcPr>
            <w:tcW w:w="120" w:type="dxa"/>
            <w:vAlign w:val="bottom"/>
          </w:tcPr>
          <w:p>
            <w:pPr>
              <w:spacing w:after="0"/>
              <w:rPr>
                <w:sz w:val="20"/>
                <w:szCs w:val="20"/>
                <w:color w:val="auto"/>
              </w:rPr>
            </w:pPr>
          </w:p>
        </w:tc>
        <w:tc>
          <w:tcPr>
            <w:tcW w:w="6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4,811</w:t>
            </w:r>
          </w:p>
        </w:tc>
      </w:tr>
      <w:tr>
        <w:trPr>
          <w:trHeight w:val="27"/>
        </w:trPr>
        <w:tc>
          <w:tcPr>
            <w:tcW w:w="7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tabs>
          <w:tab w:leader="none" w:pos="2260" w:val="left"/>
        </w:tabs>
        <w:rPr>
          <w:sz w:val="20"/>
          <w:szCs w:val="20"/>
          <w:color w:val="auto"/>
        </w:rPr>
      </w:pPr>
      <w:r>
        <w:rPr>
          <w:rFonts w:ascii="Times New Roman" w:cs="Times New Roman" w:eastAsia="Times New Roman" w:hAnsi="Times New Roman"/>
          <w:sz w:val="14"/>
          <w:szCs w:val="14"/>
          <w:b w:val="1"/>
          <w:bCs w:val="1"/>
          <w:color w:val="auto"/>
        </w:rPr>
        <w:t>Year ended June 30, 2022</w:t>
      </w:r>
      <w:r>
        <w:rPr>
          <w:sz w:val="20"/>
          <w:szCs w:val="20"/>
          <w:color w:val="auto"/>
        </w:rPr>
        <w:tab/>
      </w:r>
      <w:r>
        <w:rPr>
          <w:rFonts w:ascii="Times New Roman" w:cs="Times New Roman" w:eastAsia="Times New Roman" w:hAnsi="Times New Roman"/>
          <w:sz w:val="14"/>
          <w:szCs w:val="14"/>
          <w:b w:val="1"/>
          <w:bCs w:val="1"/>
          <w:color w:val="auto"/>
        </w:rPr>
        <w:t>Year ended 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33655</wp:posOffset>
            </wp:positionV>
            <wp:extent cx="282003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102" w:lineRule="exact"/>
        <w:rPr>
          <w:sz w:val="20"/>
          <w:szCs w:val="20"/>
          <w:color w:val="auto"/>
        </w:rPr>
      </w:pPr>
    </w:p>
    <w:p>
      <w:pPr>
        <w:sectPr>
          <w:pgSz w:w="11900" w:h="16838" w:orient="portrait"/>
          <w:cols w:equalWidth="0" w:num="2">
            <w:col w:w="6360" w:space="720"/>
            <w:col w:w="4160"/>
          </w:cols>
          <w:pgMar w:left="320" w:top="889" w:right="339" w:bottom="1440" w:gutter="0" w:footer="0" w:header="0"/>
          <w:type w:val="continuous"/>
        </w:sectPr>
      </w:pPr>
    </w:p>
    <w:p>
      <w:pPr>
        <w:ind w:left="40"/>
        <w:spacing w:after="0"/>
        <w:tabs>
          <w:tab w:leader="none" w:pos="6780" w:val="left"/>
          <w:tab w:leader="none" w:pos="8440" w:val="left"/>
          <w:tab w:leader="none" w:pos="9060" w:val="left"/>
          <w:tab w:leader="none" w:pos="10720" w:val="left"/>
        </w:tabs>
        <w:rPr>
          <w:sz w:val="20"/>
          <w:szCs w:val="20"/>
          <w:color w:val="auto"/>
        </w:rPr>
      </w:pPr>
      <w:r>
        <w:rPr>
          <w:rFonts w:ascii="Times New Roman" w:cs="Times New Roman" w:eastAsia="Times New Roman" w:hAnsi="Times New Roman"/>
          <w:sz w:val="18"/>
          <w:szCs w:val="18"/>
          <w:color w:val="auto"/>
        </w:rPr>
        <w:t>Operating lease costs*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1,923</w:t>
        <w:tab/>
        <w:t>$</w:t>
      </w:r>
      <w:r>
        <w:rPr>
          <w:sz w:val="20"/>
          <w:szCs w:val="20"/>
          <w:color w:val="auto"/>
        </w:rPr>
        <w:tab/>
      </w:r>
      <w:r>
        <w:rPr>
          <w:rFonts w:ascii="Times New Roman" w:cs="Times New Roman" w:eastAsia="Times New Roman" w:hAnsi="Times New Roman"/>
          <w:sz w:val="18"/>
          <w:szCs w:val="18"/>
          <w:color w:val="auto"/>
        </w:rPr>
        <w:t>2,079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-127635</wp:posOffset>
            </wp:positionV>
            <wp:extent cx="7115175" cy="1454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Includes short-term lease and variable lease costs, which are not material.</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information and non-cash activity related to our leases are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6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40" w:type="dxa"/>
            <w:vAlign w:val="bottom"/>
          </w:tcPr>
          <w:p>
            <w:pPr>
              <w:spacing w:after="0"/>
              <w:rPr>
                <w:sz w:val="16"/>
                <w:szCs w:val="16"/>
                <w:color w:val="auto"/>
              </w:rPr>
            </w:pPr>
          </w:p>
        </w:tc>
        <w:tc>
          <w:tcPr>
            <w:tcW w:w="212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Year ended June 30, 2022</w:t>
            </w:r>
          </w:p>
        </w:tc>
        <w:tc>
          <w:tcPr>
            <w:tcW w:w="200" w:type="dxa"/>
            <w:vAlign w:val="bottom"/>
          </w:tcPr>
          <w:p>
            <w:pPr>
              <w:spacing w:after="0"/>
              <w:rPr>
                <w:sz w:val="16"/>
                <w:szCs w:val="16"/>
                <w:color w:val="auto"/>
              </w:rPr>
            </w:pPr>
          </w:p>
        </w:tc>
        <w:tc>
          <w:tcPr>
            <w:tcW w:w="19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Year ended June 30, 2021</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67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1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760" w:type="dxa"/>
            <w:vAlign w:val="bottom"/>
            <w:gridSpan w:val="2"/>
            <w:vMerge w:val="continue"/>
          </w:tcPr>
          <w:p>
            <w:pPr>
              <w:spacing w:after="0"/>
              <w:rPr>
                <w:sz w:val="22"/>
                <w:szCs w:val="22"/>
                <w:color w:val="auto"/>
              </w:rPr>
            </w:pPr>
          </w:p>
        </w:tc>
        <w:tc>
          <w:tcPr>
            <w:tcW w:w="14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Non-cash activity</w:t>
            </w:r>
          </w:p>
        </w:tc>
        <w:tc>
          <w:tcPr>
            <w:tcW w:w="14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lease obligations</w:t>
            </w:r>
          </w:p>
        </w:tc>
        <w:tc>
          <w:tcPr>
            <w:tcW w:w="1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0"/>
        </w:trPr>
        <w:tc>
          <w:tcPr>
            <w:tcW w:w="6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Weighted-average remaining lease term and discount rate for our leases are as follows:</w:t>
            </w:r>
          </w:p>
        </w:tc>
        <w:tc>
          <w:tcPr>
            <w:tcW w:w="1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7"/>
        </w:trPr>
        <w:tc>
          <w:tcPr>
            <w:tcW w:w="2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June 30, 2022</w:t>
            </w:r>
          </w:p>
        </w:tc>
        <w:tc>
          <w:tcPr>
            <w:tcW w:w="200" w:type="dxa"/>
            <w:vAlign w:val="bottom"/>
          </w:tcPr>
          <w:p>
            <w:pPr>
              <w:spacing w:after="0"/>
              <w:rPr>
                <w:sz w:val="24"/>
                <w:szCs w:val="24"/>
                <w:color w:val="auto"/>
              </w:rPr>
            </w:pPr>
          </w:p>
        </w:tc>
        <w:tc>
          <w:tcPr>
            <w:tcW w:w="19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Year ended June 30, 2021</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6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remaining lease term (years)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1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discount rate</w:t>
            </w:r>
          </w:p>
        </w:tc>
        <w:tc>
          <w:tcPr>
            <w:tcW w:w="1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1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6.9 %</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889" w:right="339" w:bottom="1440" w:gutter="0" w:footer="0" w:header="0"/>
          <w:type w:val="continuous"/>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18"/>
          <w:szCs w:val="18"/>
          <w:color w:val="auto"/>
        </w:rPr>
        <w:t>Maturities of lease liabilities by fiscal year for our leases are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844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6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8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Lessor accounting</w:t>
            </w:r>
          </w:p>
        </w:tc>
        <w:tc>
          <w:tcPr>
            <w:tcW w:w="2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844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used for the Company's operating lease rental program consisted of the following:</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8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84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60" w:type="dxa"/>
            <w:vAlign w:val="bottom"/>
          </w:tcPr>
          <w:p>
            <w:pPr>
              <w:spacing w:after="0"/>
              <w:rPr>
                <w:sz w:val="16"/>
                <w:szCs w:val="16"/>
                <w:color w:val="auto"/>
              </w:rPr>
            </w:pPr>
          </w:p>
        </w:tc>
        <w:tc>
          <w:tcPr>
            <w:tcW w:w="106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gridSpan w:val="2"/>
          </w:tcPr>
          <w:p>
            <w:pPr>
              <w:spacing w:after="0"/>
              <w:rPr>
                <w:sz w:val="3"/>
                <w:szCs w:val="3"/>
                <w:color w:val="auto"/>
              </w:rPr>
            </w:pPr>
          </w:p>
        </w:tc>
        <w:tc>
          <w:tcPr>
            <w:tcW w:w="20" w:type="dxa"/>
            <w:vAlign w:val="bottom"/>
            <w:tcBorders>
              <w:bottom w:val="single" w:sz="8" w:color="D9D9D9"/>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8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25,242</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D9D9D9"/>
            </w:tcBorders>
            <w:shd w:val="clear" w:color="auto" w:fill="CCEEFF"/>
          </w:tcPr>
          <w:p>
            <w:pPr>
              <w:spacing w:after="0"/>
              <w:rPr>
                <w:sz w:val="22"/>
                <w:szCs w:val="22"/>
                <w:color w:val="auto"/>
              </w:rPr>
            </w:pPr>
          </w:p>
        </w:tc>
        <w:tc>
          <w:tcPr>
            <w:tcW w:w="1160" w:type="dxa"/>
            <w:vAlign w:val="bottom"/>
            <w:tcBorders>
              <w:bottom w:val="single" w:sz="8" w:color="D9D9D9"/>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26,753</w:t>
            </w:r>
          </w:p>
        </w:tc>
        <w:tc>
          <w:tcPr>
            <w:tcW w:w="20" w:type="dxa"/>
            <w:vAlign w:val="bottom"/>
            <w:tcBorders>
              <w:bottom w:val="single" w:sz="8" w:color="D9D9D9"/>
            </w:tcBorders>
            <w:shd w:val="clear" w:color="auto" w:fill="D9D9D9"/>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(22,914)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(24,487)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8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2,328</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2,266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net investment in sales-type leases (carrying value of lease receivables) and the future minimum amounts to be collected on these lease receivables as of June 30, 2022 are disclosed within Note 7, Finance Receivables.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REVENUE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Disaggregated Revenue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Beginning in fiscal year 2022, the Company disaggregated Subscription and transaction fees presented on the Consolidated Statements of Operations to Transaction fees and Subscription fees categories (described below) as this additional disclosure provides greater visibility into the Company's revenue streams and better aligns the Company’s financial performance including how management views and monitors business operations and makes strategic decisions.</w:t>
      </w:r>
    </w:p>
    <w:p>
      <w:pPr>
        <w:spacing w:after="0" w:line="70" w:lineRule="exact"/>
        <w:rPr>
          <w:sz w:val="20"/>
          <w:szCs w:val="20"/>
          <w:color w:val="auto"/>
        </w:rPr>
      </w:pPr>
    </w:p>
    <w:p>
      <w:pPr>
        <w:ind w:left="660" w:hanging="328"/>
        <w:spacing w:after="0" w:line="284"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Transaction fees: </w:t>
      </w:r>
      <w:r>
        <w:rPr>
          <w:rFonts w:ascii="Times New Roman" w:cs="Times New Roman" w:eastAsia="Times New Roman" w:hAnsi="Times New Roman"/>
          <w:sz w:val="18"/>
          <w:szCs w:val="18"/>
          <w:color w:val="auto"/>
        </w:rPr>
        <w:t>The Company charges its customers a transaction fee generally calculated as a percentage rate on volumes processed through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payment devices.</w:t>
      </w:r>
    </w:p>
    <w:p>
      <w:pPr>
        <w:spacing w:after="0" w:line="50"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Subscription fees: </w:t>
      </w:r>
      <w:r>
        <w:rPr>
          <w:rFonts w:ascii="Times New Roman" w:cs="Times New Roman" w:eastAsia="Times New Roman" w:hAnsi="Times New Roman"/>
          <w:sz w:val="18"/>
          <w:szCs w:val="18"/>
          <w:color w:val="auto"/>
        </w:rPr>
        <w:t>Subscription fees are primarily comprised of the monthly service fee charged to our customers for our cashless payment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service fees originated through our rental program and Seed software services that include inventory management, route logistics optimization, warehouse and accounting management, and responsive merchandising.</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similar operational characteristics, the Company's revenue is disaggregated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Year-ended June 30,</w:t>
            </w:r>
          </w:p>
        </w:tc>
        <w:tc>
          <w:tcPr>
            <w:tcW w:w="4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820" w:type="dxa"/>
            <w:vAlign w:val="bottom"/>
            <w:tcBorders>
              <w:bottom w:val="single" w:sz="8" w:color="CCEEFF"/>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29"/>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 fees</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110,695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85,497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81,244</w:t>
            </w:r>
          </w:p>
        </w:tc>
        <w:tc>
          <w:tcPr>
            <w:tcW w:w="0" w:type="dxa"/>
            <w:vAlign w:val="bottom"/>
          </w:tcPr>
          <w:p>
            <w:pPr>
              <w:spacing w:after="0"/>
              <w:rPr>
                <w:sz w:val="1"/>
                <w:szCs w:val="1"/>
                <w:color w:val="auto"/>
              </w:rPr>
            </w:pPr>
          </w:p>
        </w:tc>
      </w:tr>
      <w:tr>
        <w:trPr>
          <w:trHeight w:val="229"/>
        </w:trPr>
        <w:tc>
          <w:tcPr>
            <w:tcW w:w="5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Subscription fees</w:t>
            </w:r>
          </w:p>
        </w:tc>
        <w:tc>
          <w:tcPr>
            <w:tcW w:w="4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58,155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53,745</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51,923</w:t>
            </w:r>
          </w:p>
        </w:tc>
        <w:tc>
          <w:tcPr>
            <w:tcW w:w="0" w:type="dxa"/>
            <w:vAlign w:val="bottom"/>
          </w:tcPr>
          <w:p>
            <w:pPr>
              <w:spacing w:after="0"/>
              <w:rPr>
                <w:sz w:val="1"/>
                <w:szCs w:val="1"/>
                <w:color w:val="auto"/>
              </w:rPr>
            </w:pPr>
          </w:p>
        </w:tc>
      </w:tr>
      <w:tr>
        <w:trPr>
          <w:trHeight w:val="223"/>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 and transaction fees</w:t>
            </w: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139,242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133,167</w:t>
            </w:r>
          </w:p>
        </w:tc>
        <w:tc>
          <w:tcPr>
            <w:tcW w:w="0" w:type="dxa"/>
            <w:vAlign w:val="bottom"/>
          </w:tcPr>
          <w:p>
            <w:pPr>
              <w:spacing w:after="0"/>
              <w:rPr>
                <w:sz w:val="1"/>
                <w:szCs w:val="1"/>
                <w:color w:val="auto"/>
              </w:rPr>
            </w:pPr>
          </w:p>
        </w:tc>
      </w:tr>
      <w:tr>
        <w:trPr>
          <w:trHeight w:val="230"/>
        </w:trPr>
        <w:tc>
          <w:tcPr>
            <w:tcW w:w="5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Equipment sales</w:t>
            </w:r>
          </w:p>
        </w:tc>
        <w:tc>
          <w:tcPr>
            <w:tcW w:w="4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36,352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27,697</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29,986</w:t>
            </w:r>
          </w:p>
        </w:tc>
        <w:tc>
          <w:tcPr>
            <w:tcW w:w="0" w:type="dxa"/>
            <w:vAlign w:val="bottom"/>
          </w:tcPr>
          <w:p>
            <w:pPr>
              <w:spacing w:after="0"/>
              <w:rPr>
                <w:sz w:val="1"/>
                <w:szCs w:val="1"/>
                <w:color w:val="auto"/>
              </w:rPr>
            </w:pPr>
          </w:p>
        </w:tc>
      </w:tr>
      <w:tr>
        <w:trPr>
          <w:trHeight w:val="248"/>
        </w:trPr>
        <w:tc>
          <w:tcPr>
            <w:tcW w:w="5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166,939</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163,153</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0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18"/>
          <w:szCs w:val="18"/>
          <w:i w:val="1"/>
          <w:iCs w:val="1"/>
          <w:color w:val="auto"/>
        </w:rPr>
        <w:t>Contract Liabilities</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contract liability (i.e., deferred revenue) balances are as follows:</w:t>
      </w:r>
    </w:p>
    <w:p>
      <w:pPr>
        <w:spacing w:after="0" w:line="354" w:lineRule="exact"/>
        <w:rPr>
          <w:sz w:val="20"/>
          <w:szCs w:val="20"/>
          <w:color w:val="auto"/>
        </w:rPr>
      </w:pPr>
    </w:p>
    <w:tbl>
      <w:tblPr>
        <w:tblLayout w:type="fixed"/>
        <w:tblInd w:w="680" w:type="dxa"/>
        <w:tblCellMar>
          <w:top w:w="0" w:type="dxa"/>
          <w:left w:w="0" w:type="dxa"/>
          <w:bottom w:w="0" w:type="dxa"/>
          <w:right w:w="0" w:type="dxa"/>
        </w:tblCellMar>
      </w:tblPr>
      <w:tr>
        <w:trPr>
          <w:trHeight w:val="190"/>
        </w:trPr>
        <w:tc>
          <w:tcPr>
            <w:tcW w:w="6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60" w:type="dxa"/>
            <w:vAlign w:val="bottom"/>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40"/>
        </w:trPr>
        <w:tc>
          <w:tcPr>
            <w:tcW w:w="67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 beginning of the period</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w:t>
            </w:r>
          </w:p>
        </w:tc>
        <w:tc>
          <w:tcPr>
            <w:tcW w:w="0" w:type="dxa"/>
            <w:vAlign w:val="bottom"/>
          </w:tcPr>
          <w:p>
            <w:pPr>
              <w:spacing w:after="0"/>
              <w:rPr>
                <w:sz w:val="1"/>
                <w:szCs w:val="1"/>
                <w:color w:val="auto"/>
              </w:rPr>
            </w:pPr>
          </w:p>
        </w:tc>
      </w:tr>
      <w:tr>
        <w:trPr>
          <w:trHeight w:val="229"/>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end of the period</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1,893</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w:t>
            </w:r>
          </w:p>
        </w:tc>
        <w:tc>
          <w:tcPr>
            <w:tcW w:w="0" w:type="dxa"/>
            <w:vAlign w:val="bottom"/>
          </w:tcPr>
          <w:p>
            <w:pPr>
              <w:spacing w:after="0"/>
              <w:rPr>
                <w:sz w:val="1"/>
                <w:szCs w:val="1"/>
                <w:color w:val="auto"/>
              </w:rPr>
            </w:pPr>
          </w:p>
        </w:tc>
      </w:tr>
      <w:tr>
        <w:trPr>
          <w:trHeight w:val="176"/>
        </w:trPr>
        <w:tc>
          <w:tcPr>
            <w:tcW w:w="67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Revenue recognized in the period from amounts included in deferred revenue at the</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the period</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6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change in the contract liabilities year-over-year is primarily the result of timing difference between the Company's satisfaction of a performance obligation and payment from the customer.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Costs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June 30, 2022, the Company had net capitalized costs to obtain contracts of $0.5 million included in Prepaid expenses and other current assets and $2.3 million included in Other noncurrent assets on the Consolidated Balance Sheets. None of these capitalized contract costs were impaired. During the year ended June 30, 2022, amortization of capitalized contract costs was $0.7 million.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June 30, 2021, the Company had net capitalized costs to obtain contracts of $0.4 million included in Prepaid expenses and other current assets and $2.0 million included in Other noncurrent assets on the Consolidated Balance Sheets. None of these capitalized contract costs were impaired. During the year ended June 30, 2021, amortization of capitalized contract costs was $0.6 million.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Future Performance Obligations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will recognize revenue in future periods related to remaining performance obligations for certain open contracts. Generally, these contracts have terms of one year or less. The amount of revenue related to unsatisfied performance obligations in which the original duration of the contract is greater than one year is not significant.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LOSS PER SHARE CALCULATION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calculation of basic and diluted loss per share:</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 except share and per share data)</w:t>
            </w: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020" w:type="dxa"/>
            <w:vAlign w:val="bottom"/>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40"/>
        </w:trPr>
        <w:tc>
          <w:tcPr>
            <w:tcW w:w="70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 for basic and diluted loss per share</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(1,703)</w:t>
            </w:r>
          </w:p>
        </w:tc>
        <w:tc>
          <w:tcPr>
            <w:tcW w:w="100" w:type="dxa"/>
            <w:vAlign w:val="bottom"/>
          </w:tcPr>
          <w:p>
            <w:pPr>
              <w:spacing w:after="0"/>
              <w:rPr>
                <w:sz w:val="19"/>
                <w:szCs w:val="19"/>
                <w:color w:val="auto"/>
              </w:rPr>
            </w:pPr>
          </w:p>
        </w:tc>
        <w:tc>
          <w:tcPr>
            <w:tcW w:w="28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(8,705)</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(40,595)</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dividends</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0" w:type="dxa"/>
            <w:vAlign w:val="bottom"/>
          </w:tcPr>
          <w:p>
            <w:pPr>
              <w:spacing w:after="0"/>
              <w:rPr>
                <w:sz w:val="1"/>
                <w:szCs w:val="1"/>
                <w:color w:val="auto"/>
              </w:rPr>
            </w:pPr>
          </w:p>
        </w:tc>
      </w:tr>
      <w:tr>
        <w:trPr>
          <w:trHeight w:val="223"/>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available to common shareholders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(2,371)</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(9,373)</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(41,263)</w:t>
            </w:r>
          </w:p>
        </w:tc>
        <w:tc>
          <w:tcPr>
            <w:tcW w:w="0" w:type="dxa"/>
            <w:vAlign w:val="bottom"/>
          </w:tcPr>
          <w:p>
            <w:pPr>
              <w:spacing w:after="0"/>
              <w:rPr>
                <w:sz w:val="1"/>
                <w:szCs w:val="1"/>
                <w:color w:val="auto"/>
              </w:rPr>
            </w:pPr>
          </w:p>
        </w:tc>
      </w:tr>
      <w:tr>
        <w:trPr>
          <w:trHeight w:val="20"/>
        </w:trPr>
        <w:tc>
          <w:tcPr>
            <w:tcW w:w="70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0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Denominator for basic loss per share </w:t>
            </w:r>
            <w:r>
              <w:rPr>
                <w:rFonts w:ascii="Times New Roman" w:cs="Times New Roman" w:eastAsia="Times New Roman" w:hAnsi="Times New Roman"/>
                <w:sz w:val="18"/>
                <w:szCs w:val="18"/>
                <w:color w:val="auto"/>
              </w:rPr>
              <w:t>- Weighted average shares outstanding</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71,091,790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67,002,438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62,980,193</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dilutive potential common shares</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Denominator for diluted loss per share </w:t>
            </w:r>
            <w:r>
              <w:rPr>
                <w:rFonts w:ascii="Times New Roman" w:cs="Times New Roman" w:eastAsia="Times New Roman" w:hAnsi="Times New Roman"/>
                <w:sz w:val="18"/>
                <w:szCs w:val="18"/>
                <w:color w:val="auto"/>
              </w:rPr>
              <w:t>- Adjusted weighted average shares outstanding</w:t>
            </w:r>
          </w:p>
        </w:tc>
        <w:tc>
          <w:tcPr>
            <w:tcW w:w="2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71,091,790</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67,002,438</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62,980,193</w:t>
            </w:r>
          </w:p>
        </w:tc>
        <w:tc>
          <w:tcPr>
            <w:tcW w:w="0" w:type="dxa"/>
            <w:vAlign w:val="bottom"/>
          </w:tcPr>
          <w:p>
            <w:pPr>
              <w:spacing w:after="0"/>
              <w:rPr>
                <w:sz w:val="1"/>
                <w:szCs w:val="1"/>
                <w:color w:val="auto"/>
              </w:rPr>
            </w:pPr>
          </w:p>
        </w:tc>
      </w:tr>
      <w:tr>
        <w:trPr>
          <w:trHeight w:val="20"/>
        </w:trPr>
        <w:tc>
          <w:tcPr>
            <w:tcW w:w="70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0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and diluted loss per share</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0" w:type="dxa"/>
            <w:vAlign w:val="bottom"/>
          </w:tcPr>
          <w:p>
            <w:pPr>
              <w:spacing w:after="0"/>
              <w:rPr>
                <w:sz w:val="1"/>
                <w:szCs w:val="1"/>
                <w:color w:val="auto"/>
              </w:rPr>
            </w:pPr>
          </w:p>
        </w:tc>
      </w:tr>
      <w:tr>
        <w:trPr>
          <w:trHeight w:val="21"/>
        </w:trPr>
        <w:tc>
          <w:tcPr>
            <w:tcW w:w="7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Potentially anti-dilutive shares excluded from the calculation of diluted loss per share were approximately 5 million, 4 million, and 3 million for the year ended June 30, 2022, 2021 and 2020, respectively.</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color w:val="auto"/>
        </w:rPr>
        <w:t>6. ACQUISITION</w:t>
      </w:r>
    </w:p>
    <w:p>
      <w:pPr>
        <w:spacing w:after="0" w:line="22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 xml:space="preserve">In August 2021, we completed the acquisition of certain assets and liabilities of Delicious Nutritious LLC, doing business as Yoke Payments (“Yoke”), a micro market payments company. The acquisition of Yoke was accounted for as a business combination using the acquisition method of accounting which includes the results of operations of the acquired business from the date of acquisition. The purchase price of the acquired company is allocated between tangible and intangible assets acquired and liabilities assumed from the acquired business based on their estimated fair values using primarily Level 3 inputs under ASC Topic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with the residual of the purchase price recorded as goodwill.</w:t>
      </w:r>
    </w:p>
    <w:p>
      <w:pPr>
        <w:spacing w:after="0" w:line="22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Through the acquisition, Yoke’s point of sale platform will now extend its offering to provide self-checkout while seamlessly integrating with Cantaloupe’s inventory management and payment processing platforms. We plan to differentiate ourselves by providing a single platform to manage consumer and operational aspects of micro markets, while also integrating multiple service providers for flexibility and ultimate ease to our customers.</w:t>
      </w:r>
    </w:p>
    <w:p>
      <w:pPr>
        <w:spacing w:after="0" w:line="21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consideration transferred for the acquisition includes payments of $3 million in cash at the close of the transaction and $1 million in deferred cash payment due on or before July 30, 2022 based on the achievement of certain sales growth targets. As of the date of the acquisition and as of the year ended June 30, 2022, we expected to pay the entire deferred cash payment and we accrued a contingent consideration liability of $1 million which is included within Accrued expenses in our Consolidated Balance Sheet. On July 27, 2022, the Company made the cash payment of $1 million in accordance with the agreement consideration.</w:t>
      </w:r>
    </w:p>
    <w:p>
      <w:pPr>
        <w:spacing w:after="0" w:line="20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Additionally in connection with the acquisition, the Company will issue common stock to the former owners of Yoke based on the achievement of certain sales growth targets for software licenses through July 31, 2024 and continued employment as of the respective measurement dates. The accounting treatment for these awards in the context of the business combination is to recognize the awards as a post-combination expense and were not included in the purchase price. We will begin recognizing compensation expense for these awards over the requisite service period when it becomes probable that the performance condition would be satisfied. At each reporting date, we assess the probability of achieving the sales targets and fulfilling the performance condition. For the year ended June 30, 2022, we determined that it is not probable that the performance condition would be satisfied and, accordingly, have not recognized compensation expense related to these awards.</w:t>
      </w:r>
    </w:p>
    <w:p>
      <w:pPr>
        <w:spacing w:after="0" w:line="222"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total consideration paid for Yoke, total net assets acquired, identifiable assets and goodwill recognized at the acquisition date:</w:t>
      </w:r>
    </w:p>
    <w:p>
      <w:pPr>
        <w:spacing w:after="0" w:line="225" w:lineRule="exact"/>
        <w:rPr>
          <w:sz w:val="20"/>
          <w:szCs w:val="20"/>
          <w:color w:val="auto"/>
        </w:rPr>
      </w:pPr>
    </w:p>
    <w:tbl>
      <w:tblPr>
        <w:tblLayout w:type="fixed"/>
        <w:tblInd w:w="1240" w:type="dxa"/>
        <w:tblCellMar>
          <w:top w:w="0" w:type="dxa"/>
          <w:left w:w="0" w:type="dxa"/>
          <w:bottom w:w="0" w:type="dxa"/>
          <w:right w:w="0" w:type="dxa"/>
        </w:tblCellMar>
      </w:tblPr>
      <w:tr>
        <w:trPr>
          <w:trHeight w:val="238"/>
        </w:trPr>
        <w:tc>
          <w:tcPr>
            <w:tcW w:w="6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in thousands)</w:t>
            </w:r>
          </w:p>
        </w:tc>
        <w:tc>
          <w:tcPr>
            <w:tcW w:w="7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23"/>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Consideration</w:t>
            </w:r>
          </w:p>
        </w:tc>
        <w:tc>
          <w:tcPr>
            <w:tcW w:w="7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6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w:t>
            </w:r>
          </w:p>
        </w:tc>
        <w:tc>
          <w:tcPr>
            <w:tcW w:w="7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2,966</w:t>
            </w:r>
          </w:p>
        </w:tc>
      </w:tr>
      <w:tr>
        <w:trPr>
          <w:trHeight w:val="230"/>
        </w:trPr>
        <w:tc>
          <w:tcPr>
            <w:tcW w:w="6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Contingent consideration arrangement</w:t>
            </w:r>
          </w:p>
        </w:tc>
        <w:tc>
          <w:tcPr>
            <w:tcW w:w="7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3"/>
        </w:trPr>
        <w:tc>
          <w:tcPr>
            <w:tcW w:w="6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Fair value of total consideration transferred</w:t>
            </w:r>
          </w:p>
        </w:tc>
        <w:tc>
          <w:tcPr>
            <w:tcW w:w="7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3,966</w:t>
            </w:r>
          </w:p>
        </w:tc>
      </w:tr>
      <w:tr>
        <w:trPr>
          <w:trHeight w:val="250"/>
        </w:trPr>
        <w:tc>
          <w:tcPr>
            <w:tcW w:w="684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r>
      <w:tr>
        <w:trPr>
          <w:trHeight w:val="230"/>
        </w:trPr>
        <w:tc>
          <w:tcPr>
            <w:tcW w:w="6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Recognized amounts of identifiable assets</w:t>
            </w:r>
          </w:p>
        </w:tc>
        <w:tc>
          <w:tcPr>
            <w:tcW w:w="7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6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net assets acquired</w:t>
            </w:r>
          </w:p>
        </w:tc>
        <w:tc>
          <w:tcPr>
            <w:tcW w:w="7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0"/>
        </w:trPr>
        <w:tc>
          <w:tcPr>
            <w:tcW w:w="68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Identifiable intangible assets</w:t>
            </w:r>
          </w:p>
        </w:tc>
        <w:tc>
          <w:tcPr>
            <w:tcW w:w="7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1,235</w:t>
            </w:r>
          </w:p>
        </w:tc>
      </w:tr>
      <w:tr>
        <w:trPr>
          <w:trHeight w:val="223"/>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identifiable net assets</w:t>
            </w:r>
          </w:p>
        </w:tc>
        <w:tc>
          <w:tcPr>
            <w:tcW w:w="7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w:t>
            </w:r>
          </w:p>
        </w:tc>
      </w:tr>
      <w:tr>
        <w:trPr>
          <w:trHeight w:val="250"/>
        </w:trPr>
        <w:tc>
          <w:tcPr>
            <w:tcW w:w="68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55"/>
        </w:trPr>
        <w:tc>
          <w:tcPr>
            <w:tcW w:w="6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700" w:type="dxa"/>
            <w:vAlign w:val="bottom"/>
            <w:tcBorders>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2,710</w:t>
            </w: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Amounts allocated to identifiable intangible assets included $0.9 million related to developed technology, $0.3 million related to customer relationships, and $0.1 million related to other intangible assets. The fair value of the acquired developed technology was determined using a multi-period excess earnings method. The fair value of the acquired customer relationships was determined using the with-and-without method which estimates the value using the cash flow impact in a scenario where the customer relationships are not in place. The recognized intangible assets will be amortized on a straight-line basis over the estimated useful lives of the respective assets.</w:t>
      </w:r>
    </w:p>
    <w:p>
      <w:pPr>
        <w:spacing w:after="0" w:line="2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Goodwill of $2.7 million arising from the acquisition includes the expected synergies between Yoke and the Company and intangible assets that do not qualify for separate recognition at the time of acquisition. The goodwill, which is deductible for income tax purposes, was assigned to the Company’s only reporting unit.</w:t>
      </w:r>
    </w:p>
    <w:p>
      <w:pPr>
        <w:sectPr>
          <w:pgSz w:w="11900" w:h="16838" w:orient="portrait"/>
          <w:cols w:equalWidth="0" w:num="1">
            <w:col w:w="11240"/>
          </w:cols>
          <w:pgMar w:left="320" w:top="110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type w:val="continuous"/>
        </w:sectPr>
      </w:pPr>
    </w:p>
    <w:bookmarkStart w:id="69" w:name="page70"/>
    <w:bookmarkEnd w:id="69"/>
    <w:p>
      <w:pPr>
        <w:ind w:right="20"/>
        <w:spacing w:after="0" w:line="266" w:lineRule="auto"/>
        <w:rPr>
          <w:sz w:val="20"/>
          <w:szCs w:val="20"/>
          <w:color w:val="auto"/>
        </w:rPr>
      </w:pPr>
      <w:r>
        <w:rPr>
          <w:rFonts w:ascii="Times New Roman" w:cs="Times New Roman" w:eastAsia="Times New Roman" w:hAnsi="Times New Roman"/>
          <w:sz w:val="18"/>
          <w:szCs w:val="18"/>
          <w:color w:val="auto"/>
        </w:rPr>
        <w:t>The above table represents the final allocation of the purchase price, noting no material measurement period adjustments. Pro forma financial information of the acquisition is not presented due to the immaterial impact of the financial results of Yoke in the Company's Consolidated Financial Statements.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FINANCE RECEIVABLES</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Company’s finance receivables consist of financed devices under the QuickStart program and devices contractually associated with the Seed platform. Predominately all of the Company’s finance receivables agreements are classified as non-cancellable sixty-month sales-type leases. As of June 30, 2022 and 2021, finance receivables consist of the following:</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44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37"/>
        </w:trPr>
        <w:tc>
          <w:tcPr>
            <w:tcW w:w="844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4"/>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finance receivables, net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7,967</w:t>
            </w:r>
          </w:p>
        </w:tc>
        <w:tc>
          <w:tcPr>
            <w:tcW w:w="0" w:type="dxa"/>
            <w:vAlign w:val="bottom"/>
          </w:tcPr>
          <w:p>
            <w:pPr>
              <w:spacing w:after="0"/>
              <w:rPr>
                <w:sz w:val="1"/>
                <w:szCs w:val="1"/>
                <w:color w:val="auto"/>
              </w:rPr>
            </w:pPr>
          </w:p>
        </w:tc>
      </w:tr>
      <w:tr>
        <w:trPr>
          <w:trHeight w:val="243"/>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receivables due after one year, net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11,632</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4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finance receivables, net of allowance of $760 and $1,109, respectively</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21,448</w:t>
            </w: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19,599</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collect lease payments from customers primarily as part of the flow of funds from our transaction processing service. Balances are considered past due if customers do not have sufficient transaction revenue to cover the monthly lease payment by</w:t>
      </w:r>
    </w:p>
    <w:p>
      <w:pPr>
        <w:jc w:val="both"/>
        <w:spacing w:after="0" w:line="255" w:lineRule="auto"/>
        <w:rPr>
          <w:sz w:val="20"/>
          <w:szCs w:val="20"/>
          <w:color w:val="auto"/>
        </w:rPr>
      </w:pPr>
      <w:r>
        <w:rPr>
          <w:rFonts w:ascii="Times New Roman" w:cs="Times New Roman" w:eastAsia="Times New Roman" w:hAnsi="Times New Roman"/>
          <w:sz w:val="18"/>
          <w:szCs w:val="18"/>
          <w:color w:val="auto"/>
        </w:rPr>
        <w:t>the end of the monthly billing period. The Company routinely monitors customer payment performance and uses prior payment performance as a measure to assess the capability of the customer to repay contractual obligations of the lease agreements as scheduled. On an as-needed basis, qualitative information may be taken into consideration if new information arises related to the customer’s ability to repay the lease.</w:t>
      </w:r>
    </w:p>
    <w:p>
      <w:pPr>
        <w:spacing w:after="0" w:line="21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Credit risk for these receivables is continuously monitored by management and reflected within the allowance for finance receivables by aggregating leases with similar risk characteristics into pools that are collectively assessed. Because the Company’s lease contracts generally have similar terms, customer characteristics around transaction processing volume and sales were used to disaggregate the leases. Our key credit quality indicator is the amount of transaction revenue we process for each customer relative to their lease payment due, as we consider this customer characteristic to be the strongest predictor of the</w:t>
      </w:r>
    </w:p>
    <w:p>
      <w:pPr>
        <w:spacing w:after="0" w:line="3" w:lineRule="exact"/>
        <w:rPr>
          <w:sz w:val="20"/>
          <w:szCs w:val="20"/>
          <w:color w:val="auto"/>
        </w:rPr>
      </w:pPr>
    </w:p>
    <w:p>
      <w:pPr>
        <w:ind w:right="2060"/>
        <w:spacing w:after="0" w:line="260" w:lineRule="auto"/>
        <w:rPr>
          <w:sz w:val="20"/>
          <w:szCs w:val="20"/>
          <w:color w:val="auto"/>
        </w:rPr>
      </w:pPr>
      <w:r>
        <w:rPr>
          <w:rFonts w:ascii="Times New Roman" w:cs="Times New Roman" w:eastAsia="Times New Roman" w:hAnsi="Times New Roman"/>
          <w:sz w:val="18"/>
          <w:szCs w:val="18"/>
          <w:color w:val="auto"/>
        </w:rPr>
        <w:t>risk of customer default. Customers with low processing volume or with transaction sales that are insufficient to cover the lease payment are considered to be at a higher risk of customer default.</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Customers are pooled based on their ratio of gross sales to required monthly lease obligations. We categorize outstanding receivables into two categories: high ratio customers (customers who have adequate transaction processing volumes to cover monthly fees) and low ratio customers (customers that do not consistently have adequate transaction processing volumes to cover monthly fees). Using these two categories, we performed an analysis of historical write-offs to calculate reserve percentages by aging buckets for each category of customer.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June 30, 2022, the gross lease receivable by current payment performance on a contractual basis and year of origination consisted of the following:</w:t>
      </w:r>
    </w:p>
    <w:p>
      <w:pPr>
        <w:spacing w:after="0" w:line="367"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2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60" w:type="dxa"/>
            <w:vAlign w:val="bottom"/>
            <w:gridSpan w:val="5"/>
          </w:tcPr>
          <w:p>
            <w:pPr>
              <w:ind w:left="980"/>
              <w:spacing w:after="0"/>
              <w:rPr>
                <w:sz w:val="20"/>
                <w:szCs w:val="20"/>
                <w:color w:val="auto"/>
              </w:rPr>
            </w:pPr>
            <w:r>
              <w:rPr>
                <w:rFonts w:ascii="Times New Roman" w:cs="Times New Roman" w:eastAsia="Times New Roman" w:hAnsi="Times New Roman"/>
                <w:sz w:val="14"/>
                <w:szCs w:val="14"/>
                <w:b w:val="1"/>
                <w:bCs w:val="1"/>
                <w:color w:val="auto"/>
              </w:rPr>
              <w:t>Leases by Origination</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37"/>
        </w:trPr>
        <w:tc>
          <w:tcPr>
            <w:tcW w:w="216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158"/>
        </w:trPr>
        <w:tc>
          <w:tcPr>
            <w:tcW w:w="2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4"/>
                <w:szCs w:val="14"/>
                <w:b w:val="1"/>
                <w:bCs w:val="1"/>
                <w:color w:val="auto"/>
              </w:rPr>
              <w:t>Between 1 and 2</w:t>
            </w:r>
          </w:p>
        </w:tc>
        <w:tc>
          <w:tcPr>
            <w:tcW w:w="100" w:type="dxa"/>
            <w:vAlign w:val="bottom"/>
          </w:tcPr>
          <w:p>
            <w:pPr>
              <w:spacing w:after="0"/>
              <w:rPr>
                <w:sz w:val="13"/>
                <w:szCs w:val="13"/>
                <w:color w:val="auto"/>
              </w:rPr>
            </w:pPr>
          </w:p>
        </w:tc>
        <w:tc>
          <w:tcPr>
            <w:tcW w:w="124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4"/>
                <w:szCs w:val="14"/>
                <w:b w:val="1"/>
                <w:bCs w:val="1"/>
                <w:color w:val="auto"/>
              </w:rPr>
              <w:t>Between 2 and 3</w:t>
            </w:r>
          </w:p>
        </w:tc>
        <w:tc>
          <w:tcPr>
            <w:tcW w:w="100" w:type="dxa"/>
            <w:vAlign w:val="bottom"/>
          </w:tcPr>
          <w:p>
            <w:pPr>
              <w:spacing w:after="0"/>
              <w:rPr>
                <w:sz w:val="13"/>
                <w:szCs w:val="13"/>
                <w:color w:val="auto"/>
              </w:rPr>
            </w:pPr>
          </w:p>
        </w:tc>
        <w:tc>
          <w:tcPr>
            <w:tcW w:w="1220" w:type="dxa"/>
            <w:vAlign w:val="bottom"/>
            <w:gridSpan w:val="2"/>
          </w:tcPr>
          <w:p>
            <w:pPr>
              <w:jc w:val="center"/>
              <w:ind w:right="180"/>
              <w:spacing w:after="0" w:line="158" w:lineRule="exact"/>
              <w:rPr>
                <w:sz w:val="20"/>
                <w:szCs w:val="20"/>
                <w:color w:val="auto"/>
              </w:rPr>
            </w:pPr>
            <w:r>
              <w:rPr>
                <w:rFonts w:ascii="Times New Roman" w:cs="Times New Roman" w:eastAsia="Times New Roman" w:hAnsi="Times New Roman"/>
                <w:sz w:val="14"/>
                <w:szCs w:val="14"/>
                <w:b w:val="1"/>
                <w:bCs w:val="1"/>
                <w:color w:val="auto"/>
              </w:rPr>
              <w:t>Between 3 and 4</w:t>
            </w:r>
          </w:p>
        </w:tc>
        <w:tc>
          <w:tcPr>
            <w:tcW w:w="120" w:type="dxa"/>
            <w:vAlign w:val="bottom"/>
          </w:tcPr>
          <w:p>
            <w:pPr>
              <w:spacing w:after="0"/>
              <w:rPr>
                <w:sz w:val="13"/>
                <w:szCs w:val="13"/>
                <w:color w:val="auto"/>
              </w:rPr>
            </w:pPr>
          </w:p>
        </w:tc>
        <w:tc>
          <w:tcPr>
            <w:tcW w:w="122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4"/>
                <w:szCs w:val="14"/>
                <w:b w:val="1"/>
                <w:bCs w:val="1"/>
                <w:color w:val="auto"/>
              </w:rPr>
              <w:t>Between 4 and 5</w:t>
            </w:r>
          </w:p>
        </w:tc>
        <w:tc>
          <w:tcPr>
            <w:tcW w:w="140" w:type="dxa"/>
            <w:vAlign w:val="bottom"/>
          </w:tcPr>
          <w:p>
            <w:pPr>
              <w:spacing w:after="0"/>
              <w:rPr>
                <w:sz w:val="13"/>
                <w:szCs w:val="13"/>
                <w:color w:val="auto"/>
              </w:rPr>
            </w:pPr>
          </w:p>
        </w:tc>
        <w:tc>
          <w:tcPr>
            <w:tcW w:w="110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4"/>
                <w:szCs w:val="14"/>
                <w:b w:val="1"/>
                <w:bCs w:val="1"/>
                <w:color w:val="auto"/>
              </w:rPr>
              <w:t>More than 5</w:t>
            </w: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204"/>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3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Up to 1 Year Ago</w:t>
            </w:r>
          </w:p>
        </w:tc>
        <w:tc>
          <w:tcPr>
            <w:tcW w:w="10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Years Ago</w:t>
            </w:r>
          </w:p>
        </w:tc>
        <w:tc>
          <w:tcPr>
            <w:tcW w:w="10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Years Ago</w:t>
            </w:r>
          </w:p>
        </w:tc>
        <w:tc>
          <w:tcPr>
            <w:tcW w:w="100" w:type="dxa"/>
            <w:vAlign w:val="bottom"/>
          </w:tcPr>
          <w:p>
            <w:pPr>
              <w:spacing w:after="0"/>
              <w:rPr>
                <w:sz w:val="17"/>
                <w:szCs w:val="17"/>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Years Ago</w:t>
            </w:r>
          </w:p>
        </w:tc>
        <w:tc>
          <w:tcPr>
            <w:tcW w:w="12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Years Ago</w:t>
            </w: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Years Ago</w:t>
            </w:r>
          </w:p>
        </w:tc>
        <w:tc>
          <w:tcPr>
            <w:tcW w:w="240" w:type="dxa"/>
            <w:vAlign w:val="bottom"/>
          </w:tcPr>
          <w:p>
            <w:pPr>
              <w:spacing w:after="0"/>
              <w:rPr>
                <w:sz w:val="17"/>
                <w:szCs w:val="17"/>
                <w:color w:val="auto"/>
              </w:rPr>
            </w:pPr>
          </w:p>
        </w:tc>
        <w:tc>
          <w:tcPr>
            <w:tcW w:w="80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216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34"/>
        </w:trPr>
        <w:tc>
          <w:tcPr>
            <w:tcW w:w="2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2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420" w:type="dxa"/>
            <w:vAlign w:val="bottom"/>
            <w:tcBorders>
              <w:bottom w:val="single" w:sz="8" w:color="CCEEFF"/>
            </w:tcBorders>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2,593</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20,759</w:t>
            </w:r>
          </w:p>
        </w:tc>
      </w:tr>
      <w:tr>
        <w:trPr>
          <w:trHeight w:val="243"/>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30 days and under</w:t>
            </w:r>
          </w:p>
        </w:tc>
        <w:tc>
          <w:tcPr>
            <w:tcW w:w="4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r>
      <w:tr>
        <w:trPr>
          <w:trHeight w:val="27"/>
        </w:trPr>
        <w:tc>
          <w:tcPr>
            <w:tcW w:w="2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2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31 - 60 days</w:t>
            </w:r>
          </w:p>
        </w:tc>
        <w:tc>
          <w:tcPr>
            <w:tcW w:w="4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r>
      <w:tr>
        <w:trPr>
          <w:trHeight w:val="243"/>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61 - 90 days</w:t>
            </w:r>
          </w:p>
        </w:tc>
        <w:tc>
          <w:tcPr>
            <w:tcW w:w="4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r>
      <w:tr>
        <w:trPr>
          <w:trHeight w:val="27"/>
        </w:trPr>
        <w:tc>
          <w:tcPr>
            <w:tcW w:w="2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2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Greater than 90 days</w:t>
            </w:r>
          </w:p>
        </w:tc>
        <w:tc>
          <w:tcPr>
            <w:tcW w:w="4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w:t>
            </w:r>
          </w:p>
        </w:tc>
      </w:tr>
      <w:tr>
        <w:trPr>
          <w:trHeight w:val="264"/>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finance receivables</w:t>
            </w:r>
          </w:p>
        </w:tc>
        <w:tc>
          <w:tcPr>
            <w:tcW w:w="42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7,560</w:t>
            </w:r>
          </w:p>
        </w:tc>
        <w:tc>
          <w:tcPr>
            <w:tcW w:w="12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5,141</w:t>
            </w:r>
          </w:p>
        </w:tc>
        <w:tc>
          <w:tcPr>
            <w:tcW w:w="12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2,933</w:t>
            </w:r>
          </w:p>
        </w:tc>
        <w:tc>
          <w:tcPr>
            <w:tcW w:w="10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2,985</w:t>
            </w:r>
          </w:p>
        </w:tc>
        <w:tc>
          <w:tcPr>
            <w:tcW w:w="8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3,483</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22,208</w:t>
            </w:r>
          </w:p>
        </w:tc>
      </w:tr>
      <w:tr>
        <w:trPr>
          <w:trHeight w:val="21"/>
        </w:trPr>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0" w:name="page71"/>
    <w:bookmarkEnd w:id="70"/>
    <w:p>
      <w:pPr>
        <w:ind w:right="2400"/>
        <w:spacing w:after="0" w:line="309" w:lineRule="auto"/>
        <w:rPr>
          <w:sz w:val="20"/>
          <w:szCs w:val="20"/>
          <w:color w:val="auto"/>
        </w:rPr>
      </w:pPr>
      <w:r>
        <w:rPr>
          <w:rFonts w:ascii="Times New Roman" w:cs="Times New Roman" w:eastAsia="Times New Roman" w:hAnsi="Times New Roman"/>
          <w:sz w:val="18"/>
          <w:szCs w:val="18"/>
          <w:color w:val="auto"/>
        </w:rPr>
        <w:t>At June 30, 2021, the gross lease receivable by current payment performance on a contractual basis and year of origination consisted of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60" w:type="dxa"/>
            <w:vAlign w:val="bottom"/>
            <w:gridSpan w:val="5"/>
          </w:tcPr>
          <w:p>
            <w:pPr>
              <w:ind w:left="980"/>
              <w:spacing w:after="0"/>
              <w:rPr>
                <w:sz w:val="20"/>
                <w:szCs w:val="20"/>
                <w:color w:val="auto"/>
              </w:rPr>
            </w:pPr>
            <w:r>
              <w:rPr>
                <w:rFonts w:ascii="Times New Roman" w:cs="Times New Roman" w:eastAsia="Times New Roman" w:hAnsi="Times New Roman"/>
                <w:sz w:val="14"/>
                <w:szCs w:val="14"/>
                <w:b w:val="1"/>
                <w:bCs w:val="1"/>
                <w:color w:val="auto"/>
              </w:rPr>
              <w:t>Leases by Origination</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37"/>
        </w:trPr>
        <w:tc>
          <w:tcPr>
            <w:tcW w:w="216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gridSpan w:val="3"/>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171"/>
        </w:trPr>
        <w:tc>
          <w:tcPr>
            <w:tcW w:w="2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Between 1 and 2</w:t>
            </w:r>
          </w:p>
        </w:tc>
        <w:tc>
          <w:tcPr>
            <w:tcW w:w="100" w:type="dxa"/>
            <w:vAlign w:val="bottom"/>
          </w:tcPr>
          <w:p>
            <w:pPr>
              <w:spacing w:after="0"/>
              <w:rPr>
                <w:sz w:val="14"/>
                <w:szCs w:val="14"/>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Between 2 and 3</w:t>
            </w:r>
          </w:p>
        </w:tc>
        <w:tc>
          <w:tcPr>
            <w:tcW w:w="120" w:type="dxa"/>
            <w:vAlign w:val="bottom"/>
          </w:tcPr>
          <w:p>
            <w:pPr>
              <w:spacing w:after="0"/>
              <w:rPr>
                <w:sz w:val="14"/>
                <w:szCs w:val="14"/>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Between 3 and 4</w:t>
            </w:r>
          </w:p>
        </w:tc>
        <w:tc>
          <w:tcPr>
            <w:tcW w:w="12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Between 4 and 5</w:t>
            </w:r>
          </w:p>
        </w:tc>
        <w:tc>
          <w:tcPr>
            <w:tcW w:w="14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More than 5</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90"/>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3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Up to 1 Year Ago</w:t>
            </w:r>
          </w:p>
        </w:tc>
        <w:tc>
          <w:tcPr>
            <w:tcW w:w="200" w:type="dxa"/>
            <w:vAlign w:val="bottom"/>
          </w:tcPr>
          <w:p>
            <w:pPr>
              <w:spacing w:after="0"/>
              <w:rPr>
                <w:sz w:val="16"/>
                <w:szCs w:val="16"/>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Years Ago</w:t>
            </w:r>
          </w:p>
        </w:tc>
        <w:tc>
          <w:tcPr>
            <w:tcW w:w="100" w:type="dxa"/>
            <w:vAlign w:val="bottom"/>
          </w:tcPr>
          <w:p>
            <w:pPr>
              <w:spacing w:after="0"/>
              <w:rPr>
                <w:sz w:val="16"/>
                <w:szCs w:val="16"/>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Years Ago</w:t>
            </w:r>
          </w:p>
        </w:tc>
        <w:tc>
          <w:tcPr>
            <w:tcW w:w="120" w:type="dxa"/>
            <w:vAlign w:val="bottom"/>
          </w:tcPr>
          <w:p>
            <w:pPr>
              <w:spacing w:after="0"/>
              <w:rPr>
                <w:sz w:val="16"/>
                <w:szCs w:val="16"/>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Years Ago</w:t>
            </w:r>
          </w:p>
        </w:tc>
        <w:tc>
          <w:tcPr>
            <w:tcW w:w="120" w:type="dxa"/>
            <w:vAlign w:val="bottom"/>
          </w:tcPr>
          <w:p>
            <w:pPr>
              <w:spacing w:after="0"/>
              <w:rPr>
                <w:sz w:val="16"/>
                <w:szCs w:val="16"/>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Years Ago</w:t>
            </w: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Years Ago</w:t>
            </w:r>
          </w:p>
        </w:tc>
        <w:tc>
          <w:tcPr>
            <w:tcW w:w="240" w:type="dxa"/>
            <w:vAlign w:val="bottom"/>
          </w:tcPr>
          <w:p>
            <w:pPr>
              <w:spacing w:after="0"/>
              <w:rPr>
                <w:sz w:val="16"/>
                <w:szCs w:val="16"/>
                <w:color w:val="auto"/>
              </w:rPr>
            </w:pPr>
          </w:p>
        </w:tc>
        <w:tc>
          <w:tcPr>
            <w:tcW w:w="80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216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34"/>
        </w:trPr>
        <w:tc>
          <w:tcPr>
            <w:tcW w:w="2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2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440" w:type="dxa"/>
            <w:vAlign w:val="bottom"/>
            <w:tcBorders>
              <w:bottom w:val="single" w:sz="8" w:color="CCEEFF"/>
            </w:tcBorders>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3,081</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19,118</w:t>
            </w:r>
          </w:p>
        </w:tc>
      </w:tr>
      <w:tr>
        <w:trPr>
          <w:trHeight w:val="243"/>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30 days and under</w:t>
            </w:r>
          </w:p>
        </w:tc>
        <w:tc>
          <w:tcPr>
            <w:tcW w:w="4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r>
      <w:tr>
        <w:trPr>
          <w:trHeight w:val="27"/>
        </w:trPr>
        <w:tc>
          <w:tcPr>
            <w:tcW w:w="2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2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31 - 60 days</w:t>
            </w:r>
          </w:p>
        </w:tc>
        <w:tc>
          <w:tcPr>
            <w:tcW w:w="4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43"/>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61 - 90 days</w:t>
            </w:r>
          </w:p>
        </w:tc>
        <w:tc>
          <w:tcPr>
            <w:tcW w:w="4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r>
      <w:tr>
        <w:trPr>
          <w:trHeight w:val="27"/>
        </w:trPr>
        <w:tc>
          <w:tcPr>
            <w:tcW w:w="2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2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Greater than 90 days</w:t>
            </w:r>
          </w:p>
        </w:tc>
        <w:tc>
          <w:tcPr>
            <w:tcW w:w="4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w:t>
            </w:r>
          </w:p>
        </w:tc>
      </w:tr>
      <w:tr>
        <w:trPr>
          <w:trHeight w:val="263"/>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finance receivables</w:t>
            </w:r>
          </w:p>
        </w:tc>
        <w:tc>
          <w:tcPr>
            <w:tcW w:w="440" w:type="dxa"/>
            <w:vAlign w:val="bottom"/>
            <w:tcBorders>
              <w:top w:val="single" w:sz="8" w:color="auto"/>
              <w:bottom w:val="single" w:sz="8" w:color="auto"/>
            </w:tcBorders>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6,815</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4,157</w:t>
            </w:r>
          </w:p>
        </w:tc>
        <w:tc>
          <w:tcPr>
            <w:tcW w:w="12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4,610</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3,649</w:t>
            </w:r>
          </w:p>
        </w:tc>
        <w:tc>
          <w:tcPr>
            <w:tcW w:w="8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1,434</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20,708</w:t>
            </w:r>
          </w:p>
        </w:tc>
      </w:tr>
      <w:tr>
        <w:trPr>
          <w:trHeight w:val="21"/>
        </w:trPr>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June 30, 2022, credit quality indicators by year of origination consisted of the following:</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40" w:type="dxa"/>
            <w:vAlign w:val="bottom"/>
            <w:gridSpan w:val="5"/>
          </w:tcPr>
          <w:p>
            <w:pPr>
              <w:ind w:left="900"/>
              <w:spacing w:after="0"/>
              <w:rPr>
                <w:sz w:val="20"/>
                <w:szCs w:val="20"/>
                <w:color w:val="auto"/>
              </w:rPr>
            </w:pPr>
            <w:r>
              <w:rPr>
                <w:rFonts w:ascii="Times New Roman" w:cs="Times New Roman" w:eastAsia="Times New Roman" w:hAnsi="Times New Roman"/>
                <w:sz w:val="14"/>
                <w:szCs w:val="14"/>
                <w:b w:val="1"/>
                <w:bCs w:val="1"/>
                <w:color w:val="auto"/>
              </w:rPr>
              <w:t>Leases by Origination</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01"/>
        </w:trPr>
        <w:tc>
          <w:tcPr>
            <w:tcW w:w="2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Between 1 and 2</w:t>
            </w:r>
          </w:p>
        </w:tc>
        <w:tc>
          <w:tcPr>
            <w:tcW w:w="13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Between 2 and 3</w:t>
            </w:r>
          </w:p>
        </w:tc>
        <w:tc>
          <w:tcPr>
            <w:tcW w:w="13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Between 3 and 4</w:t>
            </w:r>
          </w:p>
        </w:tc>
        <w:tc>
          <w:tcPr>
            <w:tcW w:w="100" w:type="dxa"/>
            <w:vAlign w:val="bottom"/>
          </w:tcPr>
          <w:p>
            <w:pPr>
              <w:spacing w:after="0"/>
              <w:rPr>
                <w:sz w:val="17"/>
                <w:szCs w:val="17"/>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Between 4 and 5</w:t>
            </w:r>
          </w:p>
        </w:tc>
        <w:tc>
          <w:tcPr>
            <w:tcW w:w="14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More than 5</w:t>
            </w: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4"/>
        </w:trPr>
        <w:tc>
          <w:tcPr>
            <w:tcW w:w="2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Up to 1 Year Ago</w:t>
            </w:r>
          </w:p>
        </w:tc>
        <w:tc>
          <w:tcPr>
            <w:tcW w:w="120" w:type="dxa"/>
            <w:vAlign w:val="bottom"/>
          </w:tcPr>
          <w:p>
            <w:pPr>
              <w:spacing w:after="0"/>
              <w:rPr>
                <w:sz w:val="17"/>
                <w:szCs w:val="17"/>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Years Ago</w:t>
            </w:r>
          </w:p>
        </w:tc>
        <w:tc>
          <w:tcPr>
            <w:tcW w:w="200" w:type="dxa"/>
            <w:vAlign w:val="bottom"/>
          </w:tcPr>
          <w:p>
            <w:pPr>
              <w:spacing w:after="0"/>
              <w:rPr>
                <w:sz w:val="17"/>
                <w:szCs w:val="17"/>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Years Ago</w:t>
            </w:r>
          </w:p>
        </w:tc>
        <w:tc>
          <w:tcPr>
            <w:tcW w:w="200" w:type="dxa"/>
            <w:vAlign w:val="bottom"/>
          </w:tcPr>
          <w:p>
            <w:pPr>
              <w:spacing w:after="0"/>
              <w:rPr>
                <w:sz w:val="17"/>
                <w:szCs w:val="17"/>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Years Ago</w:t>
            </w:r>
          </w:p>
        </w:tc>
        <w:tc>
          <w:tcPr>
            <w:tcW w:w="100" w:type="dxa"/>
            <w:vAlign w:val="bottom"/>
          </w:tcPr>
          <w:p>
            <w:pPr>
              <w:spacing w:after="0"/>
              <w:rPr>
                <w:sz w:val="17"/>
                <w:szCs w:val="17"/>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Years Ago</w:t>
            </w:r>
          </w:p>
        </w:tc>
        <w:tc>
          <w:tcPr>
            <w:tcW w:w="140" w:type="dxa"/>
            <w:vAlign w:val="bottom"/>
          </w:tcPr>
          <w:p>
            <w:pPr>
              <w:spacing w:after="0"/>
              <w:rPr>
                <w:sz w:val="17"/>
                <w:szCs w:val="17"/>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Years Ago</w:t>
            </w:r>
          </w:p>
        </w:tc>
        <w:tc>
          <w:tcPr>
            <w:tcW w:w="240" w:type="dxa"/>
            <w:vAlign w:val="bottom"/>
          </w:tcPr>
          <w:p>
            <w:pPr>
              <w:spacing w:after="0"/>
              <w:rPr>
                <w:sz w:val="17"/>
                <w:szCs w:val="17"/>
                <w:color w:val="auto"/>
              </w:rPr>
            </w:pPr>
          </w:p>
        </w:tc>
        <w:tc>
          <w:tcPr>
            <w:tcW w:w="82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91"/>
        </w:trPr>
        <w:tc>
          <w:tcPr>
            <w:tcW w:w="2380" w:type="dxa"/>
            <w:vAlign w:val="bottom"/>
            <w:tcBorders>
              <w:bottom w:val="single" w:sz="8" w:color="CCEEFF"/>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r>
      <w:tr>
        <w:trPr>
          <w:trHeight w:val="243"/>
        </w:trPr>
        <w:tc>
          <w:tcPr>
            <w:tcW w:w="2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High ratio customers</w:t>
            </w:r>
          </w:p>
        </w:tc>
        <w:tc>
          <w:tcPr>
            <w:tcW w:w="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20,714</w:t>
            </w:r>
          </w:p>
        </w:tc>
      </w:tr>
      <w:tr>
        <w:trPr>
          <w:trHeight w:val="243"/>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Low ratio customers</w:t>
            </w:r>
          </w:p>
        </w:tc>
        <w:tc>
          <w:tcPr>
            <w:tcW w:w="3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w:t>
            </w:r>
          </w:p>
        </w:tc>
      </w:tr>
      <w:tr>
        <w:trPr>
          <w:trHeight w:val="27"/>
        </w:trPr>
        <w:tc>
          <w:tcPr>
            <w:tcW w:w="23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88"/>
        </w:trPr>
        <w:tc>
          <w:tcPr>
            <w:tcW w:w="2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finance receivables</w:t>
            </w:r>
          </w:p>
        </w:tc>
        <w:tc>
          <w:tcPr>
            <w:tcW w:w="3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7,560</w:t>
            </w:r>
          </w:p>
        </w:tc>
        <w:tc>
          <w:tcPr>
            <w:tcW w:w="10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5,141</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2,933</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2,985</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3,483</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22,208</w:t>
            </w: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June 30, 2021, credit quality indicators by year of origination consisted of the following:</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40" w:type="dxa"/>
            <w:vAlign w:val="bottom"/>
            <w:gridSpan w:val="5"/>
          </w:tcPr>
          <w:p>
            <w:pPr>
              <w:ind w:left="900"/>
              <w:spacing w:after="0"/>
              <w:rPr>
                <w:sz w:val="20"/>
                <w:szCs w:val="20"/>
                <w:color w:val="auto"/>
              </w:rPr>
            </w:pPr>
            <w:r>
              <w:rPr>
                <w:rFonts w:ascii="Times New Roman" w:cs="Times New Roman" w:eastAsia="Times New Roman" w:hAnsi="Times New Roman"/>
                <w:sz w:val="14"/>
                <w:szCs w:val="14"/>
                <w:b w:val="1"/>
                <w:bCs w:val="1"/>
                <w:color w:val="auto"/>
              </w:rPr>
              <w:t>Leases by Origination</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15"/>
        </w:trPr>
        <w:tc>
          <w:tcPr>
            <w:tcW w:w="2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Between 1 and 2</w:t>
            </w:r>
          </w:p>
        </w:tc>
        <w:tc>
          <w:tcPr>
            <w:tcW w:w="13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Between 2 and 3</w:t>
            </w:r>
          </w:p>
        </w:tc>
        <w:tc>
          <w:tcPr>
            <w:tcW w:w="13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Between 3 and 4</w:t>
            </w:r>
          </w:p>
        </w:tc>
        <w:tc>
          <w:tcPr>
            <w:tcW w:w="100" w:type="dxa"/>
            <w:vAlign w:val="bottom"/>
          </w:tcPr>
          <w:p>
            <w:pPr>
              <w:spacing w:after="0"/>
              <w:rPr>
                <w:sz w:val="18"/>
                <w:szCs w:val="18"/>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Between 4 and 5</w:t>
            </w:r>
          </w:p>
        </w:tc>
        <w:tc>
          <w:tcPr>
            <w:tcW w:w="14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More than 5</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190"/>
        </w:trPr>
        <w:tc>
          <w:tcPr>
            <w:tcW w:w="2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Up to 1 Year Ago</w:t>
            </w:r>
          </w:p>
        </w:tc>
        <w:tc>
          <w:tcPr>
            <w:tcW w:w="120" w:type="dxa"/>
            <w:vAlign w:val="bottom"/>
          </w:tcPr>
          <w:p>
            <w:pPr>
              <w:spacing w:after="0"/>
              <w:rPr>
                <w:sz w:val="16"/>
                <w:szCs w:val="16"/>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Years Ago</w:t>
            </w:r>
          </w:p>
        </w:tc>
        <w:tc>
          <w:tcPr>
            <w:tcW w:w="200" w:type="dxa"/>
            <w:vAlign w:val="bottom"/>
          </w:tcPr>
          <w:p>
            <w:pPr>
              <w:spacing w:after="0"/>
              <w:rPr>
                <w:sz w:val="16"/>
                <w:szCs w:val="16"/>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Years Ago</w:t>
            </w:r>
          </w:p>
        </w:tc>
        <w:tc>
          <w:tcPr>
            <w:tcW w:w="200" w:type="dxa"/>
            <w:vAlign w:val="bottom"/>
          </w:tcPr>
          <w:p>
            <w:pPr>
              <w:spacing w:after="0"/>
              <w:rPr>
                <w:sz w:val="16"/>
                <w:szCs w:val="16"/>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Years Ago</w:t>
            </w:r>
          </w:p>
        </w:tc>
        <w:tc>
          <w:tcPr>
            <w:tcW w:w="100" w:type="dxa"/>
            <w:vAlign w:val="bottom"/>
          </w:tcPr>
          <w:p>
            <w:pPr>
              <w:spacing w:after="0"/>
              <w:rPr>
                <w:sz w:val="16"/>
                <w:szCs w:val="16"/>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Years Ago</w:t>
            </w:r>
          </w:p>
        </w:tc>
        <w:tc>
          <w:tcPr>
            <w:tcW w:w="140" w:type="dxa"/>
            <w:vAlign w:val="bottom"/>
          </w:tcPr>
          <w:p>
            <w:pPr>
              <w:spacing w:after="0"/>
              <w:rPr>
                <w:sz w:val="16"/>
                <w:szCs w:val="16"/>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Years Ago</w:t>
            </w:r>
          </w:p>
        </w:tc>
        <w:tc>
          <w:tcPr>
            <w:tcW w:w="240" w:type="dxa"/>
            <w:vAlign w:val="bottom"/>
          </w:tcPr>
          <w:p>
            <w:pPr>
              <w:spacing w:after="0"/>
              <w:rPr>
                <w:sz w:val="16"/>
                <w:szCs w:val="16"/>
                <w:color w:val="auto"/>
              </w:rPr>
            </w:pPr>
          </w:p>
        </w:tc>
        <w:tc>
          <w:tcPr>
            <w:tcW w:w="82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91"/>
        </w:trPr>
        <w:tc>
          <w:tcPr>
            <w:tcW w:w="2380" w:type="dxa"/>
            <w:vAlign w:val="bottom"/>
            <w:tcBorders>
              <w:bottom w:val="single" w:sz="8" w:color="CCEEFF"/>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r>
      <w:tr>
        <w:trPr>
          <w:trHeight w:val="244"/>
        </w:trPr>
        <w:tc>
          <w:tcPr>
            <w:tcW w:w="2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High ratio customers</w:t>
            </w:r>
          </w:p>
        </w:tc>
        <w:tc>
          <w:tcPr>
            <w:tcW w:w="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18,266</w:t>
            </w:r>
          </w:p>
        </w:tc>
      </w:tr>
      <w:tr>
        <w:trPr>
          <w:trHeight w:val="243"/>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Low ratio customers</w:t>
            </w:r>
          </w:p>
        </w:tc>
        <w:tc>
          <w:tcPr>
            <w:tcW w:w="3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2,442</w:t>
            </w:r>
          </w:p>
        </w:tc>
      </w:tr>
      <w:tr>
        <w:trPr>
          <w:trHeight w:val="27"/>
        </w:trPr>
        <w:tc>
          <w:tcPr>
            <w:tcW w:w="23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88"/>
        </w:trPr>
        <w:tc>
          <w:tcPr>
            <w:tcW w:w="2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finance receivables</w:t>
            </w:r>
          </w:p>
        </w:tc>
        <w:tc>
          <w:tcPr>
            <w:tcW w:w="3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6,815</w:t>
            </w:r>
          </w:p>
        </w:tc>
        <w:tc>
          <w:tcPr>
            <w:tcW w:w="10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4,157</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4,610</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3,649</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20,708</w:t>
            </w: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a rollforward of the allowance for finance receivables for the year ending June 30, 2022 and 2021:</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8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June 30, 2022</w:t>
            </w:r>
          </w:p>
        </w:tc>
        <w:tc>
          <w:tcPr>
            <w:tcW w:w="176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Year ended June 30, 2021</w:t>
            </w:r>
          </w:p>
        </w:tc>
      </w:tr>
      <w:tr>
        <w:trPr>
          <w:trHeight w:val="91"/>
        </w:trPr>
        <w:tc>
          <w:tcPr>
            <w:tcW w:w="7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60" w:type="dxa"/>
            <w:vAlign w:val="bottom"/>
          </w:tcPr>
          <w:p>
            <w:pPr>
              <w:spacing w:after="0"/>
              <w:rPr>
                <w:sz w:val="7"/>
                <w:szCs w:val="7"/>
                <w:color w:val="auto"/>
              </w:rPr>
            </w:pPr>
          </w:p>
        </w:tc>
      </w:tr>
      <w:tr>
        <w:trPr>
          <w:trHeight w:val="250"/>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w:t>
            </w:r>
          </w:p>
        </w:tc>
        <w:tc>
          <w:tcPr>
            <w:tcW w:w="680" w:type="dxa"/>
            <w:vAlign w:val="bottom"/>
            <w:tcBorders>
              <w:bottom w:val="single" w:sz="8" w:color="CCEEFF"/>
            </w:tcBorders>
            <w:shd w:val="clear" w:color="auto" w:fill="CCEEFF"/>
          </w:tcPr>
          <w:p>
            <w:pPr>
              <w:jc w:val="right"/>
              <w:ind w:right="496"/>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516"/>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43"/>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Impact of ASC 326*</w:t>
            </w:r>
          </w:p>
        </w:tc>
        <w:tc>
          <w:tcPr>
            <w:tcW w:w="680" w:type="dxa"/>
            <w:vAlign w:val="bottom"/>
          </w:tcPr>
          <w:p>
            <w:pPr>
              <w:spacing w:after="0"/>
              <w:rPr>
                <w:sz w:val="21"/>
                <w:szCs w:val="21"/>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r>
      <w:tr>
        <w:trPr>
          <w:trHeight w:val="27"/>
        </w:trPr>
        <w:tc>
          <w:tcPr>
            <w:tcW w:w="7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expected losses</w:t>
            </w:r>
          </w:p>
        </w:tc>
        <w:tc>
          <w:tcPr>
            <w:tcW w:w="6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r>
      <w:tr>
        <w:trPr>
          <w:trHeight w:val="243"/>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Write-offs</w:t>
            </w:r>
          </w:p>
        </w:tc>
        <w:tc>
          <w:tcPr>
            <w:tcW w:w="6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64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89"/>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June 30</w:t>
            </w:r>
          </w:p>
        </w:tc>
        <w:tc>
          <w:tcPr>
            <w:tcW w:w="680" w:type="dxa"/>
            <w:vAlign w:val="bottom"/>
            <w:tcBorders>
              <w:bottom w:val="single" w:sz="8" w:color="auto"/>
            </w:tcBorders>
            <w:shd w:val="clear" w:color="auto" w:fill="CCEEFF"/>
          </w:tcPr>
          <w:p>
            <w:pPr>
              <w:jc w:val="right"/>
              <w:ind w:right="496"/>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ind w:right="516"/>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The Company adopted ASC 326 on July 1, 2020.</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17"/>
          <w:szCs w:val="17"/>
          <w:color w:val="auto"/>
        </w:rPr>
        <w:t>Cash to be collected on our performing finance receivables due for each of the fiscal years after June 30, 2022 are as follows:</w:t>
      </w:r>
    </w:p>
    <w:p>
      <w:pPr>
        <w:spacing w:after="0" w:line="1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 in thousands)</w:t>
      </w:r>
    </w:p>
    <w:p>
      <w:pPr>
        <w:sectPr>
          <w:pgSz w:w="11900" w:h="16838" w:orient="portrait"/>
          <w:cols w:equalWidth="0" w:num="1">
            <w:col w:w="11240"/>
          </w:cols>
          <w:pgMar w:left="320" w:top="1093" w:right="339" w:bottom="1440" w:gutter="0" w:footer="0" w:header="0"/>
        </w:sectPr>
      </w:pPr>
    </w:p>
    <w:p>
      <w:pPr>
        <w:spacing w:after="0" w:line="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2023</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2024</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2025</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2026</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2027</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Thereafter</w:t>
      </w:r>
    </w:p>
    <w:p>
      <w:pPr>
        <w:spacing w:after="0" w:line="3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Total amounts to be collected</w:t>
      </w:r>
    </w:p>
    <w:p>
      <w:pPr>
        <w:spacing w:after="0" w:line="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Less: interest</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Less: allowance for doubtful accounts</w:t>
      </w:r>
    </w:p>
    <w:p>
      <w:pPr>
        <w:spacing w:after="0" w:line="5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Total finance receivables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PROPERTY AND EQUIPMENT,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Property and equipment consisted of the following:</w:t>
      </w:r>
    </w:p>
    <w:p>
      <w:pPr>
        <w:spacing w:after="0" w:line="200" w:lineRule="exact"/>
        <w:rPr>
          <w:sz w:val="20"/>
          <w:szCs w:val="20"/>
          <w:color w:val="auto"/>
        </w:rPr>
      </w:pPr>
    </w:p>
    <w:p>
      <w:pPr>
        <w:spacing w:after="0" w:line="2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ind w:left="4100"/>
        <w:spacing w:after="0"/>
        <w:tabs>
          <w:tab w:leader="none" w:pos="49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2,937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-3677285</wp:posOffset>
            </wp:positionH>
            <wp:positionV relativeFrom="paragraph">
              <wp:posOffset>-127635</wp:posOffset>
            </wp:positionV>
            <wp:extent cx="7115175" cy="1454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7"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1,841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-3677285</wp:posOffset>
            </wp:positionH>
            <wp:positionV relativeFrom="paragraph">
              <wp:posOffset>14605</wp:posOffset>
            </wp:positionV>
            <wp:extent cx="7115175" cy="1454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3"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3,420</w:t>
      </w:r>
    </w:p>
    <w:p>
      <w:pPr>
        <w:spacing w:after="0" w:line="23"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6,039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-3677285</wp:posOffset>
            </wp:positionH>
            <wp:positionV relativeFrom="paragraph">
              <wp:posOffset>14605</wp:posOffset>
            </wp:positionV>
            <wp:extent cx="7115175" cy="1454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3"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9,368</w:t>
      </w:r>
    </w:p>
    <w:p>
      <w:pPr>
        <w:spacing w:after="0" w:line="23"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1,384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-3677285</wp:posOffset>
            </wp:positionH>
            <wp:positionV relativeFrom="paragraph">
              <wp:posOffset>14605</wp:posOffset>
            </wp:positionV>
            <wp:extent cx="7115175" cy="1543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11"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24,989</w:t>
      </w:r>
    </w:p>
    <w:p>
      <w:pPr>
        <w:spacing w:after="0" w:line="27"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(2,781)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-3677285</wp:posOffset>
            </wp:positionH>
            <wp:positionV relativeFrom="paragraph">
              <wp:posOffset>14605</wp:posOffset>
            </wp:positionV>
            <wp:extent cx="7115175" cy="1460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(760)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2597150</wp:posOffset>
            </wp:positionH>
            <wp:positionV relativeFrom="paragraph">
              <wp:posOffset>14605</wp:posOffset>
            </wp:positionV>
            <wp:extent cx="84010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11" w:lineRule="exact"/>
        <w:rPr>
          <w:sz w:val="20"/>
          <w:szCs w:val="20"/>
          <w:color w:val="auto"/>
        </w:rPr>
      </w:pPr>
    </w:p>
    <w:p>
      <w:pPr>
        <w:ind w:left="4100"/>
        <w:spacing w:after="0"/>
        <w:tabs>
          <w:tab w:leader="none" w:pos="48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21,448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2597150</wp:posOffset>
            </wp:positionH>
            <wp:positionV relativeFrom="paragraph">
              <wp:posOffset>17145</wp:posOffset>
            </wp:positionV>
            <wp:extent cx="84010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40105" cy="8255"/>
                    </a:xfrm>
                    <a:prstGeom prst="rect">
                      <a:avLst/>
                    </a:prstGeom>
                    <a:noFill/>
                  </pic:spPr>
                </pic:pic>
              </a:graphicData>
            </a:graphic>
          </wp:anchor>
        </w:drawing>
        <w:drawing>
          <wp:anchor simplePos="0" relativeHeight="251657728" behindDoc="1" locked="0" layoutInCell="0" allowOverlap="1">
            <wp:simplePos x="0" y="0"/>
            <wp:positionH relativeFrom="column">
              <wp:posOffset>2597150</wp:posOffset>
            </wp:positionH>
            <wp:positionV relativeFrom="paragraph">
              <wp:posOffset>43180</wp:posOffset>
            </wp:positionV>
            <wp:extent cx="84010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 of June 30, 2022</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980" w:type="dxa"/>
            <w:vAlign w:val="bottom"/>
            <w:vMerge w:val="restart"/>
          </w:tcPr>
          <w:p>
            <w:pPr>
              <w:jc w:val="center"/>
              <w:ind w:right="528"/>
              <w:spacing w:after="0"/>
              <w:rPr>
                <w:sz w:val="20"/>
                <w:szCs w:val="20"/>
                <w:color w:val="auto"/>
              </w:rPr>
            </w:pPr>
            <w:r>
              <w:rPr>
                <w:rFonts w:ascii="Times New Roman" w:cs="Times New Roman" w:eastAsia="Times New Roman" w:hAnsi="Times New Roman"/>
                <w:sz w:val="14"/>
                <w:szCs w:val="14"/>
                <w:b w:val="1"/>
                <w:bCs w:val="1"/>
                <w:color w:val="auto"/>
                <w:w w:val="99"/>
              </w:rPr>
              <w:t>Useful</w:t>
            </w:r>
          </w:p>
        </w:tc>
        <w:tc>
          <w:tcPr>
            <w:tcW w:w="12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980" w:type="dxa"/>
            <w:vAlign w:val="bottom"/>
            <w:vMerge w:val="continue"/>
          </w:tcPr>
          <w:p>
            <w:pPr>
              <w:spacing w:after="0"/>
              <w:rPr>
                <w:sz w:val="11"/>
                <w:szCs w:val="11"/>
                <w:color w:val="auto"/>
              </w:rPr>
            </w:pPr>
          </w:p>
        </w:tc>
        <w:tc>
          <w:tcPr>
            <w:tcW w:w="1200" w:type="dxa"/>
            <w:vAlign w:val="bottom"/>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96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180" w:type="dxa"/>
            <w:vAlign w:val="bottom"/>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0"/>
        </w:trPr>
        <w:tc>
          <w:tcPr>
            <w:tcW w:w="980" w:type="dxa"/>
            <w:vAlign w:val="bottom"/>
          </w:tcPr>
          <w:p>
            <w:pPr>
              <w:jc w:val="center"/>
              <w:ind w:right="528"/>
              <w:spacing w:after="0"/>
              <w:rPr>
                <w:sz w:val="20"/>
                <w:szCs w:val="20"/>
                <w:color w:val="auto"/>
              </w:rPr>
            </w:pPr>
            <w:r>
              <w:rPr>
                <w:rFonts w:ascii="Times New Roman" w:cs="Times New Roman" w:eastAsia="Times New Roman" w:hAnsi="Times New Roman"/>
                <w:sz w:val="14"/>
                <w:szCs w:val="14"/>
                <w:b w:val="1"/>
                <w:bCs w:val="1"/>
                <w:color w:val="auto"/>
              </w:rPr>
              <w:t>Lives</w:t>
            </w:r>
          </w:p>
        </w:tc>
        <w:tc>
          <w:tcPr>
            <w:tcW w:w="1200" w:type="dxa"/>
            <w:vAlign w:val="bottom"/>
            <w:vMerge w:val="continue"/>
          </w:tcPr>
          <w:p>
            <w:pPr>
              <w:spacing w:after="0"/>
              <w:rPr>
                <w:sz w:val="16"/>
                <w:szCs w:val="16"/>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5080" w:space="720"/>
            <w:col w:w="5440"/>
          </w:cols>
          <w:pgMar w:left="320" w:top="1093" w:right="339" w:bottom="1440" w:gutter="0" w:footer="0" w:header="0"/>
          <w:type w:val="continuous"/>
        </w:sectPr>
      </w:pPr>
    </w:p>
    <w:tbl>
      <w:tblPr>
        <w:tblLayout w:type="fixed"/>
        <w:tblInd w:w="0" w:type="dxa"/>
        <w:tblCellMar>
          <w:top w:w="0" w:type="dxa"/>
          <w:left w:w="0" w:type="dxa"/>
          <w:bottom w:w="0" w:type="dxa"/>
          <w:right w:w="0" w:type="dxa"/>
        </w:tblCellMar>
      </w:tblPr>
      <w:tr>
        <w:trPr>
          <w:trHeight w:val="233"/>
        </w:trPr>
        <w:tc>
          <w:tcPr>
            <w:tcW w:w="5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1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3-7 years</w:t>
            </w:r>
          </w:p>
        </w:tc>
        <w:tc>
          <w:tcPr>
            <w:tcW w:w="10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6,758</w:t>
            </w:r>
          </w:p>
        </w:tc>
        <w:tc>
          <w:tcPr>
            <w:tcW w:w="1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(6,404)</w:t>
            </w:r>
          </w:p>
        </w:tc>
        <w:tc>
          <w:tcPr>
            <w:tcW w:w="10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0" w:type="dxa"/>
            <w:vAlign w:val="bottom"/>
          </w:tcPr>
          <w:p>
            <w:pPr>
              <w:spacing w:after="0"/>
              <w:rPr>
                <w:sz w:val="1"/>
                <w:szCs w:val="1"/>
                <w:color w:val="auto"/>
              </w:rPr>
            </w:pPr>
          </w:p>
        </w:tc>
      </w:tr>
      <w:tr>
        <w:trPr>
          <w:trHeight w:val="230"/>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Internal-use software</w:t>
            </w: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3-5 years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9,928</w:t>
            </w: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used for rental program</w:t>
            </w:r>
          </w:p>
        </w:tc>
        <w:tc>
          <w:tcPr>
            <w:tcW w:w="14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5 years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25,242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2,328</w:t>
            </w:r>
          </w:p>
        </w:tc>
        <w:tc>
          <w:tcPr>
            <w:tcW w:w="0" w:type="dxa"/>
            <w:vAlign w:val="bottom"/>
          </w:tcPr>
          <w:p>
            <w:pPr>
              <w:spacing w:after="0"/>
              <w:rPr>
                <w:sz w:val="1"/>
                <w:szCs w:val="1"/>
                <w:color w:val="auto"/>
              </w:rPr>
            </w:pPr>
          </w:p>
        </w:tc>
      </w:tr>
      <w:tr>
        <w:trPr>
          <w:trHeight w:val="230"/>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equipment</w:t>
            </w: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3-7 years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4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(a)</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23"/>
        </w:trPr>
        <w:tc>
          <w:tcPr>
            <w:tcW w:w="53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46,602</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(33,818)</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12,784</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32"/>
        </w:trPr>
        <w:tc>
          <w:tcPr>
            <w:tcW w:w="5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As of June 30, 2021</w:t>
            </w: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300" w:type="dxa"/>
            <w:vAlign w:val="bottom"/>
          </w:tcPr>
          <w:p>
            <w:pPr>
              <w:spacing w:after="0"/>
              <w:rPr>
                <w:sz w:val="2"/>
                <w:szCs w:val="2"/>
                <w:color w:val="auto"/>
              </w:rPr>
            </w:pPr>
          </w:p>
        </w:tc>
        <w:tc>
          <w:tcPr>
            <w:tcW w:w="14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Useful</w:t>
            </w: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53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48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80" w:type="dxa"/>
            <w:vAlign w:val="bottom"/>
          </w:tcPr>
          <w:p>
            <w:pPr>
              <w:spacing w:after="0"/>
              <w:rPr>
                <w:sz w:val="11"/>
                <w:szCs w:val="11"/>
                <w:color w:val="auto"/>
              </w:rPr>
            </w:pPr>
          </w:p>
        </w:tc>
        <w:tc>
          <w:tcPr>
            <w:tcW w:w="1280" w:type="dxa"/>
            <w:vAlign w:val="bottom"/>
            <w:gridSpan w:val="2"/>
          </w:tcPr>
          <w:p>
            <w:pPr>
              <w:jc w:val="center"/>
              <w:ind w:right="28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360" w:type="dxa"/>
            <w:vAlign w:val="bottom"/>
          </w:tcPr>
          <w:p>
            <w:pPr>
              <w:spacing w:after="0"/>
              <w:rPr>
                <w:sz w:val="11"/>
                <w:szCs w:val="11"/>
                <w:color w:val="auto"/>
              </w:rPr>
            </w:pPr>
          </w:p>
        </w:tc>
        <w:tc>
          <w:tcPr>
            <w:tcW w:w="1040" w:type="dxa"/>
            <w:vAlign w:val="bottom"/>
            <w:vMerge w:val="restart"/>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6"/>
        </w:trPr>
        <w:tc>
          <w:tcPr>
            <w:tcW w:w="5300" w:type="dxa"/>
            <w:vAlign w:val="bottom"/>
            <w:vMerge w:val="continue"/>
          </w:tcPr>
          <w:p>
            <w:pPr>
              <w:spacing w:after="0"/>
              <w:rPr>
                <w:sz w:val="17"/>
                <w:szCs w:val="17"/>
                <w:color w:val="auto"/>
              </w:rPr>
            </w:pP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Lives</w:t>
            </w:r>
          </w:p>
        </w:tc>
        <w:tc>
          <w:tcPr>
            <w:tcW w:w="32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36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1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3-7 years</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6,497</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(6,212)</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0" w:type="dxa"/>
            <w:vAlign w:val="bottom"/>
          </w:tcPr>
          <w:p>
            <w:pPr>
              <w:spacing w:after="0"/>
              <w:rPr>
                <w:sz w:val="1"/>
                <w:szCs w:val="1"/>
                <w:color w:val="auto"/>
              </w:rPr>
            </w:pPr>
          </w:p>
        </w:tc>
      </w:tr>
      <w:tr>
        <w:trPr>
          <w:trHeight w:val="229"/>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Internal-use software</w:t>
            </w: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3-5 years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2,702</w:t>
            </w: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used for rental program</w:t>
            </w:r>
          </w:p>
        </w:tc>
        <w:tc>
          <w:tcPr>
            <w:tcW w:w="14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5 years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26,753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(24,487)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w:t>
            </w:r>
          </w:p>
        </w:tc>
        <w:tc>
          <w:tcPr>
            <w:tcW w:w="0" w:type="dxa"/>
            <w:vAlign w:val="bottom"/>
          </w:tcPr>
          <w:p>
            <w:pPr>
              <w:spacing w:after="0"/>
              <w:rPr>
                <w:sz w:val="1"/>
                <w:szCs w:val="1"/>
                <w:color w:val="auto"/>
              </w:rPr>
            </w:pPr>
          </w:p>
        </w:tc>
      </w:tr>
      <w:tr>
        <w:trPr>
          <w:trHeight w:val="230"/>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equipment</w:t>
            </w: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3-7 years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4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(a)</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23"/>
        </w:trPr>
        <w:tc>
          <w:tcPr>
            <w:tcW w:w="53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39,436</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(33,866)</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5,570</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 Lesser of lease term or estimated useful life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total depreciation expense is comprised of depreciation included in our cost of sales for rental equipment and depreciation included in our operating expenses. Depreciation expense included within cost of sales for rental equipment was $1.0 million, $1.4 million, and $2.7 million for the years ended June 30, 2022, 2021, and 2020, respectively. Depreciation expense included within operating expenses for the years ended June 30, 2022, 2021, and 2020 was $1.1 million, $1.0 million and $1.2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color w:val="auto"/>
        </w:rPr>
        <w:t>9. GOODWILL AND INTANGIBLE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and intangible asset balances consisted of the following:</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 of June 30, 2022</w:t>
            </w: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6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5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80" w:type="dxa"/>
            <w:vAlign w:val="bottom"/>
          </w:tcPr>
          <w:p>
            <w:pPr>
              <w:spacing w:after="0"/>
              <w:rPr>
                <w:sz w:val="13"/>
                <w:szCs w:val="13"/>
                <w:color w:val="auto"/>
              </w:rPr>
            </w:pPr>
          </w:p>
        </w:tc>
        <w:tc>
          <w:tcPr>
            <w:tcW w:w="11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3"/>
                <w:szCs w:val="13"/>
                <w:color w:val="auto"/>
              </w:rPr>
            </w:pPr>
          </w:p>
        </w:tc>
        <w:tc>
          <w:tcPr>
            <w:tcW w:w="1240" w:type="dxa"/>
            <w:vAlign w:val="bottom"/>
            <w:gridSpan w:val="2"/>
          </w:tcPr>
          <w:p>
            <w:pPr>
              <w:jc w:val="center"/>
              <w:ind w:right="300"/>
              <w:spacing w:after="0" w:line="15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340" w:type="dxa"/>
            <w:vAlign w:val="bottom"/>
          </w:tcPr>
          <w:p>
            <w:pPr>
              <w:spacing w:after="0"/>
              <w:rPr>
                <w:sz w:val="13"/>
                <w:szCs w:val="13"/>
                <w:color w:val="auto"/>
              </w:rPr>
            </w:pPr>
          </w:p>
        </w:tc>
        <w:tc>
          <w:tcPr>
            <w:tcW w:w="980" w:type="dxa"/>
            <w:vAlign w:val="bottom"/>
            <w:vMerge w:val="restart"/>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Net</w:t>
            </w:r>
          </w:p>
        </w:tc>
        <w:tc>
          <w:tcPr>
            <w:tcW w:w="120" w:type="dxa"/>
            <w:vAlign w:val="bottom"/>
          </w:tcPr>
          <w:p>
            <w:pPr>
              <w:spacing w:after="0"/>
              <w:rPr>
                <w:sz w:val="13"/>
                <w:szCs w:val="13"/>
                <w:color w:val="auto"/>
              </w:rPr>
            </w:pPr>
          </w:p>
        </w:tc>
        <w:tc>
          <w:tcPr>
            <w:tcW w:w="132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196"/>
        </w:trPr>
        <w:tc>
          <w:tcPr>
            <w:tcW w:w="56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4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148"/>
        </w:trPr>
        <w:tc>
          <w:tcPr>
            <w:tcW w:w="56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Brand and tradenames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1 - 7 years</w:t>
            </w: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Developed technology</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3,058</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5 - 6 years</w:t>
            </w:r>
          </w:p>
        </w:tc>
        <w:tc>
          <w:tcPr>
            <w:tcW w:w="0" w:type="dxa"/>
            <w:vAlign w:val="bottom"/>
          </w:tcPr>
          <w:p>
            <w:pPr>
              <w:spacing w:after="0"/>
              <w:rPr>
                <w:sz w:val="1"/>
                <w:szCs w:val="1"/>
                <w:color w:val="auto"/>
              </w:rPr>
            </w:pPr>
          </w:p>
        </w:tc>
      </w:tr>
      <w:tr>
        <w:trPr>
          <w:trHeight w:val="230"/>
        </w:trPr>
        <w:tc>
          <w:tcPr>
            <w:tcW w:w="5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Customer relationships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19,339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14,317</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5 - 18 years</w:t>
            </w:r>
          </w:p>
        </w:tc>
        <w:tc>
          <w:tcPr>
            <w:tcW w:w="0" w:type="dxa"/>
            <w:vAlign w:val="bottom"/>
          </w:tcPr>
          <w:p>
            <w:pPr>
              <w:spacing w:after="0"/>
              <w:rPr>
                <w:sz w:val="1"/>
                <w:szCs w:val="1"/>
                <w:color w:val="auto"/>
              </w:rPr>
            </w:pPr>
          </w:p>
        </w:tc>
      </w:tr>
      <w:tr>
        <w:trPr>
          <w:trHeight w:val="248"/>
        </w:trPr>
        <w:tc>
          <w:tcPr>
            <w:tcW w:w="5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32,863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17,947</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66,656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66,656</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Indefinite</w:t>
            </w:r>
          </w:p>
        </w:tc>
        <w:tc>
          <w:tcPr>
            <w:tcW w:w="0" w:type="dxa"/>
            <w:vAlign w:val="bottom"/>
          </w:tcPr>
          <w:p>
            <w:pPr>
              <w:spacing w:after="0"/>
              <w:rPr>
                <w:sz w:val="1"/>
                <w:szCs w:val="1"/>
                <w:color w:val="auto"/>
              </w:rPr>
            </w:pPr>
          </w:p>
        </w:tc>
      </w:tr>
      <w:tr>
        <w:trPr>
          <w:trHeight w:val="301"/>
        </w:trPr>
        <w:tc>
          <w:tcPr>
            <w:tcW w:w="5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 of June 30, 2021</w:t>
            </w: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6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5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80" w:type="dxa"/>
            <w:vAlign w:val="bottom"/>
          </w:tcPr>
          <w:p>
            <w:pPr>
              <w:spacing w:after="0"/>
              <w:rPr>
                <w:sz w:val="13"/>
                <w:szCs w:val="13"/>
                <w:color w:val="auto"/>
              </w:rPr>
            </w:pPr>
          </w:p>
        </w:tc>
        <w:tc>
          <w:tcPr>
            <w:tcW w:w="11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3"/>
                <w:szCs w:val="13"/>
                <w:color w:val="auto"/>
              </w:rPr>
            </w:pPr>
          </w:p>
        </w:tc>
        <w:tc>
          <w:tcPr>
            <w:tcW w:w="1240" w:type="dxa"/>
            <w:vAlign w:val="bottom"/>
            <w:gridSpan w:val="2"/>
          </w:tcPr>
          <w:p>
            <w:pPr>
              <w:jc w:val="center"/>
              <w:ind w:right="300"/>
              <w:spacing w:after="0" w:line="158"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340" w:type="dxa"/>
            <w:vAlign w:val="bottom"/>
          </w:tcPr>
          <w:p>
            <w:pPr>
              <w:spacing w:after="0"/>
              <w:rPr>
                <w:sz w:val="13"/>
                <w:szCs w:val="13"/>
                <w:color w:val="auto"/>
              </w:rPr>
            </w:pPr>
          </w:p>
        </w:tc>
        <w:tc>
          <w:tcPr>
            <w:tcW w:w="980" w:type="dxa"/>
            <w:vAlign w:val="bottom"/>
            <w:vMerge w:val="restart"/>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Net</w:t>
            </w:r>
          </w:p>
        </w:tc>
        <w:tc>
          <w:tcPr>
            <w:tcW w:w="120" w:type="dxa"/>
            <w:vAlign w:val="bottom"/>
          </w:tcPr>
          <w:p>
            <w:pPr>
              <w:spacing w:after="0"/>
              <w:rPr>
                <w:sz w:val="13"/>
                <w:szCs w:val="13"/>
                <w:color w:val="auto"/>
              </w:rPr>
            </w:pPr>
          </w:p>
        </w:tc>
        <w:tc>
          <w:tcPr>
            <w:tcW w:w="132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195"/>
        </w:trPr>
        <w:tc>
          <w:tcPr>
            <w:tcW w:w="56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39"/>
        </w:trPr>
        <w:tc>
          <w:tcPr>
            <w:tcW w:w="5600" w:type="dxa"/>
            <w:vAlign w:val="bottom"/>
          </w:tcPr>
          <w:p>
            <w:pPr>
              <w:spacing w:after="0"/>
              <w:rPr>
                <w:sz w:val="3"/>
                <w:szCs w:val="3"/>
                <w:color w:val="auto"/>
              </w:rPr>
            </w:pPr>
          </w:p>
        </w:tc>
        <w:tc>
          <w:tcPr>
            <w:tcW w:w="280" w:type="dxa"/>
            <w:vAlign w:val="bottom"/>
            <w:tcBorders>
              <w:top w:val="single" w:sz="8" w:color="auto"/>
            </w:tcBorders>
          </w:tcPr>
          <w:p>
            <w:pPr>
              <w:spacing w:after="0"/>
              <w:rPr>
                <w:sz w:val="3"/>
                <w:szCs w:val="3"/>
                <w:color w:val="auto"/>
              </w:rPr>
            </w:pPr>
          </w:p>
        </w:tc>
        <w:tc>
          <w:tcPr>
            <w:tcW w:w="102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11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top w:val="single" w:sz="8" w:color="auto"/>
            </w:tcBorders>
          </w:tcPr>
          <w:p>
            <w:pPr>
              <w:spacing w:after="0"/>
              <w:rPr>
                <w:sz w:val="3"/>
                <w:szCs w:val="3"/>
                <w:color w:val="auto"/>
              </w:rPr>
            </w:pPr>
          </w:p>
        </w:tc>
        <w:tc>
          <w:tcPr>
            <w:tcW w:w="98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32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Brand and tradenames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3 - 7 years</w:t>
            </w: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Developed technology</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4,049</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5 - 6 years</w:t>
            </w:r>
          </w:p>
        </w:tc>
        <w:tc>
          <w:tcPr>
            <w:tcW w:w="0" w:type="dxa"/>
            <w:vAlign w:val="bottom"/>
          </w:tcPr>
          <w:p>
            <w:pPr>
              <w:spacing w:after="0"/>
              <w:rPr>
                <w:sz w:val="1"/>
                <w:szCs w:val="1"/>
                <w:color w:val="auto"/>
              </w:rPr>
            </w:pPr>
          </w:p>
        </w:tc>
      </w:tr>
      <w:tr>
        <w:trPr>
          <w:trHeight w:val="230"/>
        </w:trPr>
        <w:tc>
          <w:tcPr>
            <w:tcW w:w="5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Customer relationships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19,049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15,143</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10 - 18 years</w:t>
            </w:r>
          </w:p>
        </w:tc>
        <w:tc>
          <w:tcPr>
            <w:tcW w:w="0" w:type="dxa"/>
            <w:vAlign w:val="bottom"/>
          </w:tcPr>
          <w:p>
            <w:pPr>
              <w:spacing w:after="0"/>
              <w:rPr>
                <w:sz w:val="1"/>
                <w:szCs w:val="1"/>
                <w:color w:val="auto"/>
              </w:rPr>
            </w:pPr>
          </w:p>
        </w:tc>
      </w:tr>
      <w:tr>
        <w:trPr>
          <w:trHeight w:val="248"/>
        </w:trPr>
        <w:tc>
          <w:tcPr>
            <w:tcW w:w="5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19,992</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6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63,945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63,945</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Indefinite</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years ended June 30, 2022, 2021 and 2020, amortization expense related to intangible assets was $3.3 million, $3.1 million and $3.1 million, respectively. The weighted-average remaining useful life of the finite-lived intangible assets was 10.5 years as of June 30, 2022, of which the weighted-average remaining useful life for the brand and tradenames was 2.3 years, for the developed technology was 2 years, and for the customer relationships was 13.0 years.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80" w:type="dxa"/>
            <w:vAlign w:val="bottom"/>
          </w:tcPr>
          <w:p>
            <w:pPr>
              <w:spacing w:after="0"/>
              <w:rPr>
                <w:sz w:val="20"/>
                <w:szCs w:val="20"/>
                <w:color w:val="auto"/>
              </w:rPr>
            </w:pPr>
            <w:r>
              <w:rPr>
                <w:rFonts w:ascii="Times New Roman" w:cs="Times New Roman" w:eastAsia="Times New Roman" w:hAnsi="Times New Roman"/>
                <w:sz w:val="18"/>
                <w:szCs w:val="18"/>
                <w:color w:val="auto"/>
              </w:rPr>
              <w:t>Estimated annual amortization expense for intangible assets is as follows (in thousands):</w:t>
            </w:r>
          </w:p>
        </w:tc>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121"/>
        </w:trPr>
        <w:tc>
          <w:tcPr>
            <w:tcW w:w="98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00" w:type="dxa"/>
            <w:vAlign w:val="bottom"/>
          </w:tcPr>
          <w:p>
            <w:pPr>
              <w:spacing w:after="0"/>
              <w:rPr>
                <w:sz w:val="10"/>
                <w:szCs w:val="10"/>
                <w:color w:val="auto"/>
              </w:rPr>
            </w:pPr>
          </w:p>
        </w:tc>
      </w:tr>
      <w:tr>
        <w:trPr>
          <w:trHeight w:val="230"/>
        </w:trPr>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3,270</w:t>
            </w:r>
          </w:p>
        </w:tc>
      </w:tr>
      <w:tr>
        <w:trPr>
          <w:trHeight w:val="229"/>
        </w:trPr>
        <w:tc>
          <w:tcPr>
            <w:tcW w:w="9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2,151</w:t>
            </w:r>
          </w:p>
        </w:tc>
      </w:tr>
      <w:tr>
        <w:trPr>
          <w:trHeight w:val="230"/>
        </w:trPr>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w:t>
            </w:r>
          </w:p>
        </w:tc>
      </w:tr>
      <w:tr>
        <w:trPr>
          <w:trHeight w:val="230"/>
        </w:trPr>
        <w:tc>
          <w:tcPr>
            <w:tcW w:w="9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w:t>
            </w:r>
          </w:p>
        </w:tc>
      </w:tr>
      <w:tr>
        <w:trPr>
          <w:trHeight w:val="230"/>
        </w:trPr>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w:t>
            </w:r>
          </w:p>
        </w:tc>
      </w:tr>
      <w:tr>
        <w:trPr>
          <w:trHeight w:val="230"/>
        </w:trPr>
        <w:tc>
          <w:tcPr>
            <w:tcW w:w="9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8,776</w:t>
            </w:r>
          </w:p>
        </w:tc>
      </w:tr>
      <w:tr>
        <w:trPr>
          <w:trHeight w:val="248"/>
        </w:trPr>
        <w:tc>
          <w:tcPr>
            <w:tcW w:w="98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17,947</w:t>
            </w:r>
          </w:p>
        </w:tc>
      </w:tr>
      <w:tr>
        <w:trPr>
          <w:trHeight w:val="20"/>
        </w:trPr>
        <w:tc>
          <w:tcPr>
            <w:tcW w:w="98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color w:val="auto"/>
        </w:rPr>
        <w:t>10. ACCRUED EXPENSES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consisted of the following as of June 30, 2022 and 2021:</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8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4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8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sales tax</w:t>
            </w:r>
          </w:p>
        </w:tc>
        <w:tc>
          <w:tcPr>
            <w:tcW w:w="3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14,694</w:t>
            </w:r>
          </w:p>
        </w:tc>
        <w:tc>
          <w:tcPr>
            <w:tcW w:w="20" w:type="dxa"/>
            <w:vAlign w:val="bottom"/>
            <w:shd w:val="clear" w:color="auto" w:fill="CCEEFF"/>
          </w:tcPr>
          <w:p>
            <w:pPr>
              <w:spacing w:after="0"/>
              <w:rPr>
                <w:sz w:val="19"/>
                <w:szCs w:val="19"/>
                <w:color w:val="auto"/>
              </w:rPr>
            </w:pPr>
          </w:p>
        </w:tc>
        <w:tc>
          <w:tcPr>
            <w:tcW w:w="560" w:type="dxa"/>
            <w:vAlign w:val="bottom"/>
            <w:gridSpan w:val="3"/>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compensation and related sales commissions</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 current</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consideration arrangement for Yoke Acquisition</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other taxes and filing fees</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other</w:t>
            </w:r>
          </w:p>
        </w:tc>
        <w:tc>
          <w:tcPr>
            <w:tcW w:w="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accrued expenses</w:t>
            </w:r>
          </w:p>
        </w:tc>
        <w:tc>
          <w:tcPr>
            <w:tcW w:w="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28,154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26,460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4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11. DEBT AND OTHER FINANCING ARRANGEMENTS</w:t>
            </w: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9"/>
        </w:trPr>
        <w:tc>
          <w:tcPr>
            <w:tcW w:w="84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The Company's debt and other financing arrangements as of June 30, 2022 and 2021 consisted of the following:</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7"/>
        </w:trPr>
        <w:tc>
          <w:tcPr>
            <w:tcW w:w="8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80" w:type="dxa"/>
            <w:vAlign w:val="bottom"/>
            <w:gridSpan w:val="5"/>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8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420" w:type="dxa"/>
            <w:vAlign w:val="bottom"/>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842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8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JPMorgan Credit Facility*</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obligations</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unamortized issuance costs and debt discount</w:t>
            </w: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debt and other financing arrangements, current</w:t>
            </w: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and other financing arrangements, noncurrent</w:t>
            </w:r>
          </w:p>
        </w:tc>
        <w:tc>
          <w:tcPr>
            <w:tcW w:w="32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13,930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Borders>
              <w:bottom w:val="single" w:sz="8" w:color="auto"/>
            </w:tcBorders>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discussion below on amendment to the JPMorgan Credit Facility.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of interest expense presented on the Consolidated Statements of Operations are as follows:</w:t>
      </w:r>
    </w:p>
    <w:p>
      <w:pPr>
        <w:spacing w:after="0" w:line="340"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400" w:type="dxa"/>
            <w:vAlign w:val="bottom"/>
          </w:tcPr>
          <w:p>
            <w:pPr>
              <w:spacing w:after="0"/>
              <w:rPr>
                <w:sz w:val="16"/>
                <w:szCs w:val="16"/>
                <w:color w:val="auto"/>
              </w:rPr>
            </w:pPr>
          </w:p>
        </w:tc>
        <w:tc>
          <w:tcPr>
            <w:tcW w:w="6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960" w:type="dxa"/>
            <w:vAlign w:val="bottom"/>
            <w:tcBorders>
              <w:bottom w:val="single" w:sz="8" w:color="CCEEFF"/>
            </w:tcBorders>
            <w:gridSpan w:val="2"/>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29"/>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2020</w:t>
            </w:r>
          </w:p>
        </w:tc>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Antara Term Facility</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0" w:type="dxa"/>
            <w:vAlign w:val="bottom"/>
          </w:tcPr>
          <w:p>
            <w:pPr>
              <w:spacing w:after="0"/>
              <w:rPr>
                <w:sz w:val="1"/>
                <w:szCs w:val="1"/>
                <w:color w:val="auto"/>
              </w:rPr>
            </w:pPr>
          </w:p>
        </w:tc>
      </w:tr>
      <w:tr>
        <w:trPr>
          <w:trHeight w:val="230"/>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2021</w:t>
            </w:r>
          </w:p>
        </w:tc>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JPMorgan Credit Facility</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related to change in sales tax reserve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0" w:type="dxa"/>
            <w:vAlign w:val="bottom"/>
          </w:tcPr>
          <w:p>
            <w:pPr>
              <w:spacing w:after="0"/>
              <w:rPr>
                <w:sz w:val="1"/>
                <w:szCs w:val="1"/>
                <w:color w:val="auto"/>
              </w:rPr>
            </w:pPr>
          </w:p>
        </w:tc>
      </w:tr>
      <w:tr>
        <w:trPr>
          <w:trHeight w:val="229"/>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2018</w:t>
            </w:r>
          </w:p>
        </w:tc>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JPMorgan Revolving Credit Facility</w:t>
            </w: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0" w:type="dxa"/>
            <w:vAlign w:val="bottom"/>
          </w:tcPr>
          <w:p>
            <w:pPr>
              <w:spacing w:after="0"/>
              <w:rPr>
                <w:sz w:val="1"/>
                <w:szCs w:val="1"/>
                <w:color w:val="auto"/>
              </w:rPr>
            </w:pPr>
          </w:p>
        </w:tc>
      </w:tr>
      <w:tr>
        <w:trPr>
          <w:trHeight w:val="230"/>
        </w:trPr>
        <w:tc>
          <w:tcPr>
            <w:tcW w:w="6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2018 JPMorgan Term Loan</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30"/>
        </w:trPr>
        <w:tc>
          <w:tcPr>
            <w:tcW w:w="69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interest expense</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0" w:type="dxa"/>
            <w:vAlign w:val="bottom"/>
          </w:tcPr>
          <w:p>
            <w:pPr>
              <w:spacing w:after="0"/>
              <w:rPr>
                <w:sz w:val="1"/>
                <w:szCs w:val="1"/>
                <w:color w:val="auto"/>
              </w:rPr>
            </w:pPr>
          </w:p>
        </w:tc>
      </w:tr>
      <w:tr>
        <w:trPr>
          <w:trHeight w:val="248"/>
        </w:trPr>
        <w:tc>
          <w:tcPr>
            <w:tcW w:w="6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interest expense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2,597</w:t>
            </w:r>
          </w:p>
        </w:tc>
        <w:tc>
          <w:tcPr>
            <w:tcW w:w="0" w:type="dxa"/>
            <w:vAlign w:val="bottom"/>
          </w:tcPr>
          <w:p>
            <w:pPr>
              <w:spacing w:after="0"/>
              <w:rPr>
                <w:sz w:val="1"/>
                <w:szCs w:val="1"/>
                <w:color w:val="auto"/>
              </w:rPr>
            </w:pPr>
          </w:p>
        </w:tc>
      </w:tr>
      <w:tr>
        <w:trPr>
          <w:trHeight w:val="20"/>
        </w:trPr>
        <w:tc>
          <w:tcPr>
            <w:tcW w:w="400" w:type="dxa"/>
            <w:vAlign w:val="bottom"/>
            <w:tcBorders>
              <w:top w:val="single" w:sz="8" w:color="CCEEFF"/>
            </w:tcBorders>
          </w:tcPr>
          <w:p>
            <w:pPr>
              <w:spacing w:after="0" w:line="20" w:lineRule="exact"/>
              <w:rPr>
                <w:sz w:val="1"/>
                <w:szCs w:val="1"/>
                <w:color w:val="auto"/>
              </w:rPr>
            </w:pPr>
          </w:p>
        </w:tc>
        <w:tc>
          <w:tcPr>
            <w:tcW w:w="65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JPMorgan Chase Bank Credit Facility</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JPMorgan Credit Agreement dated August 14, 2020 and amendment dated March 2, 2021</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14, 2020, the Company repaid all amounts outstanding under the $30.0 million senior secured term loan facility (“2020 Antara Term Facility”) with Antara Capital Master Fund LP (“Antara”) and entered into a credit agreement with JPMorgan Chase Bank, N.A.(the “2021 JPMorgan Credit Agreement”).</w:t>
      </w:r>
    </w:p>
    <w:p>
      <w:pPr>
        <w:sectPr>
          <w:pgSz w:w="11900" w:h="16838" w:orient="portrait"/>
          <w:cols w:equalWidth="0" w:num="1">
            <w:col w:w="11240"/>
          </w:cols>
          <w:pgMar w:left="320" w:top="110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type w:val="continuous"/>
        </w:sectPr>
      </w:pPr>
    </w:p>
    <w:bookmarkStart w:id="74" w:name="page75"/>
    <w:bookmarkEnd w:id="74"/>
    <w:p>
      <w:pPr>
        <w:jc w:val="both"/>
        <w:spacing w:after="0" w:line="261" w:lineRule="auto"/>
        <w:rPr>
          <w:sz w:val="20"/>
          <w:szCs w:val="20"/>
          <w:color w:val="auto"/>
        </w:rPr>
      </w:pPr>
      <w:r>
        <w:rPr>
          <w:rFonts w:ascii="Times New Roman" w:cs="Times New Roman" w:eastAsia="Times New Roman" w:hAnsi="Times New Roman"/>
          <w:sz w:val="18"/>
          <w:szCs w:val="18"/>
          <w:color w:val="auto"/>
        </w:rPr>
        <w:t>The 2021 JPMorgan Credit Agreement provided for a $5 million secured revolving credit facility (the “2021 JPMorgan Revolving Facility”) and a $15 million secured term facility (the “2021 JPMorgan Secured Term Facility” and together with the 2021 JPMorgan Revolving Facility, as amended, the “2021 JPMorgan Credit Facility”), which included an uncommitted expansion feature that allowed the Company to increase the total revolving commitments and/or add new tranches of term loans in an aggregate amount not to exceed $5 million.</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2021 JPMorgan Credit Facility had a three year maturity, with interest determined, at the Company’s option, on a base rate of LIBOR or Prime Rate plus an applicable spread tied to the Company’s total leverage ratio and having ranges between 2.75% and 3.75% for Prime rate loans and between 3.75% and 4.75% for LIBOR rate loans. In the event of default, the interest rate may be increased by 2.00%. The 2021 JPMorgan Credit Facility carries a commitment fee of 0.50% per annum on the unused portion. From August 14, 2020 through March 2, 2021, the applicable interest rate was Prime Rate plus 3.75%. On March 2, 2021, the Company entered into an amendment (the “First Amendment”) to the 2021 JPMorgan Credit Facility lowering the interest</w:t>
      </w:r>
    </w:p>
    <w:p>
      <w:pPr>
        <w:spacing w:after="0" w:line="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rate charged to the Company. In conjunction with the First Amendment, the Company elected to convert its loans to a Eurodollar borrowing which is subject to a LIBOR based interest rate.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obligations under the 2021 JPMorgan Credit Facility were secured by first priority security interests in substantially all of the assets of the Company. The 2021 JPMorgan Credit Agreement included customary representations, warranties and covenants, and acceleration, indemnity and events of default provisions, including a financial covenant requiring the Company to maintain an adjusted quick ratio of not less than 2.75 to 1.00 beginning January 1, 2021, and not less than 3.00 to 1.00 beginning April 1, 2021, and a financial covenant requiring the Company to maintain, as of the end of each of its fiscal quarters commencing with the fiscal quarter ended December 31, 2021, a total leverage ratio of not greater than 3.00 to 1.00.</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JP Morgan amended and restated Credit Agreement dated March 17, 2022</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17, 2022, the Company entered into an amended and restated credit agreement with JPMorgan Chase Bank, N.A. which provides for a $15 million secured revolving credit facility (the “Amended Revolving Facility”) and a $25 million secured term facility (the “Amended Secured Term Facility” and together with the Amended Revolving Facility, the “Amended JPMorgan Credit Facility”), and fully replaces our previous 2021 JPMorgan Credit Facility. The Amended Secured Term Facility includes a $10 million increase from the 2021 JPMorgan Secured Term Facility which is available for a period of up to twelve months following the Closing Date.</w:t>
      </w:r>
    </w:p>
    <w:p>
      <w:pPr>
        <w:spacing w:after="0" w:line="21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proceeds of the Amended JPMorgan Credit Facility may be used to refinance certain existing indebtedness of the Company and its subsidiaries, to finance the working capital needs, and for general corporate purposes (including permitted acquisitions), of the Company and its subsidiaries.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Amended JPMorgan Credit Facility has a four year maturity. Interest on the Amended JPMorgan Credit Facility will be based, at the Company’s option, on a base rate or SOFR plus an applicable margin tied to the Company’s total leverage ratio and having ranges of between 2.50% and 3.00% for base rate loans and between 3.50% and 4.00% for SOFR loans; provided that until June 30, 2022 the applicable margin shall be 2.75% for base rate loans and 3.75% for SOFR loans. Subject to the occurrence of a material acquisition and the Company’s total leverage ratio exceeding 3.00 to 1.00, the interest rate on the loans may increase by 0.25%. In an event of default, the interest rate may be increased by 2.00%. The Amended JPMorgan Credit Facility will also carry a commitment fee of 0.50% per annum on the unused portion. As of June 30, 2022, the total applicable interest rate for the Amended Secured Term Facility is 4.4%.</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Amended JPMorgan Credit Facility includes customary representations, warranties and covenants, and acceleration, indemnity and events of default provisions, including, among other things, two financial covenants. One financial covenant requires the Company to maintain, at all times, a total leverage ratio of not more than 3.00 to 1.00 on the last day of any fiscal quarter. The other financial covenant is conditional on a material acquisition occurring: if a material acquisition occurs, the Company is required to maintain a total leverage ratio not greater than 4.00 to 1.00 for the next four fiscal quarters following the material acquisition.</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Amended Secured Term Facility was accounted for as a modification of the 2021 JPMorgan Secured Term Facility. The previously unamortized debt issuance costs remain capitalized, the new fees paid to the creditor were capitalized, and allocated third-party costs incurred allocated to the term facility were charged to expense. We have also evaluated that the borrowing capacity of the Amended Revolving Facility is greater than the borrowing capacity of the 2021 JPMorgan Revolving Facility. The previously unamortized debt issuance costs remain capitalized, the new fees paid to the creditor and allocated third-party costs were capitalized. The Company capitalized $0.3 million of issuance costs related to the Amended JPMorgan Credit Facility during the year-ended June 30, 2022.</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color w:val="auto"/>
        </w:rPr>
        <w:t>The Company was in compliance with its financial covenants as of June 30, 2022.</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 Facility with Antara</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October 9, 2019, the Company entered into a commitment letter with Antara Capital Master Fund LP (“Antara”), pursuant to which Antara committed to extend to the Company a $30.0 million senior secured term loan facility (“2020 Antara Term Facility”). On October 31, 2019, the Company entered into a Financing Agreement with Antara to draw $15.0 million on the 2020 Antara Term Facility and agreed to draw an additional $15.0 million at any time between July 31, 2020 and April 30, 2021, subject to the terms of the Financing Agreement. The outstanding amount of the draws under the 2020 Antara Term Facility bore interest at 9.75% per annum, payable monthly in arrears. The proceeds of the initial draw were used to repay the outstanding balance of the 2018 Revolving Credit Facility (as defined below) due to JPMorgan. in the amount of $10.1 million, including accrued interest, and to pay transaction expenses. The Company would also incur a prepayment premium of 5% of the principal balance if prepaid on or prior to December 31, 2020.</w:t>
      </w:r>
    </w:p>
    <w:p>
      <w:pPr>
        <w:spacing w:after="0" w:line="2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October 9, 2019, the Company also sold shares of the Company’s common stock to Antara at a price below market value. Since the 2020 Antara Term Facility and equity issuance were negotiated in contemplation of each other and executed within a short period of time, the Company evaluated the debt and equity financing as a combined arrangement, and estimated the fair values of the debt and equity components to allocate the proceeds, net of the registration rights agreement liability on a relative fair value basis between the debt and equity components. The non-lender fees incurred to establish the debt and equity financing arrangement were allocated to the debt and equity components on a relative fair value basis and capitalized on the Company’s balance sheet of which $0.9 million was allocated to debt issuance costs and $0.1 million was allocated to debt commitment fees. The 2020 Antara Term Facility agreement also contained a mandatory prepayment feature that was determined to be an embedded derivative, requiring bifurcation and fair value recognition for the derivative liability. The allocation of the proceeds to the debt component and the bifurcation of the embedded derivative liability resulted in a $2.1 million debt discount, which was de-recognized during the three months ended September 30, 2020.</w:t>
      </w:r>
    </w:p>
    <w:p>
      <w:pPr>
        <w:spacing w:after="0" w:line="21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14, 2020, the Company repaid all amounts outstanding under the 2020 Antara Term Facility and entered into the 2021 JPMorgan Credit Agreement. The Company recorded a liability for the commitment termination fee and prepayment premium for $1.2 million as of June 30, 2020. As of June 30, 2021, the Company has no outstanding obligations related to the 2020 Antara Term Facility.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Long-Term Borrowings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fourth quarter of fiscal year 2020, we received loan proceeds of approximately $3.1 million (the “PPP Loan”) pursuant to the Paycheck Protection Program under the Coronavirus Aid, Relief, and Economic Security Act (the “CARES Act”) administered by the U.S. Small Business Administration (the “SBA”). We used the PPP Loan in accordance with the provisions of the CARES Act. The loan bore a fixed interest rate of 1% over a two-year term from the approval date of April 28, 2020. The application for these funds required the Company to, in good faith, certify that the economic uncertainty caused by COVID-19 made the loan request necessary to support the ongoing operations of the Company. This certification further required the Company to take into account our current business activity and our ability to access other sources of liquidity sufficient to support ongoing operations in a manner that is not significantly detrimental to the business. The receipt of these funds and the forgiveness of the loan is dependent on the Company having initially qualified for the loan and qualifying for the forgiveness of such loan based on our future adherence to the forgiveness criteria.</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June 8, 2021, the Company received notification from the Small Business Administration that they approved the forgiveness of the full $3.1 million</w:t>
      </w:r>
    </w:p>
    <w:p>
      <w:pPr>
        <w:spacing w:after="0" w:line="27" w:lineRule="exact"/>
        <w:rPr>
          <w:sz w:val="20"/>
          <w:szCs w:val="20"/>
          <w:color w:val="auto"/>
        </w:rPr>
      </w:pPr>
    </w:p>
    <w:p>
      <w:pPr>
        <w:jc w:val="both"/>
        <w:ind w:firstLine="8"/>
        <w:spacing w:after="0" w:line="253" w:lineRule="auto"/>
        <w:tabs>
          <w:tab w:leader="none" w:pos="37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 and related accrued interest. The Company recorded the forgiveness as a gain on debt extinguishment in Other income in our consolidated financial statements. The SBA reserves the right to audit any PPP loan, regardless of size. These audits may occur after forgiveness has been granted. Under the CARES Act, all borrowers are required to maintain their loan documentation for six years after the PPP loan was forgiven or repaid in full and to provide that documentation to the SBA upon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color w:val="auto"/>
        </w:rPr>
        <w:t>The expected maturities associated with the Company’s outstanding debt and other financing arrangements as of June 30, 2022, were as follows:</w:t>
      </w:r>
    </w:p>
    <w:p>
      <w:pPr>
        <w:spacing w:after="0" w:line="365"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9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w:t>
            </w:r>
          </w:p>
        </w:tc>
      </w:tr>
      <w:tr>
        <w:trPr>
          <w:trHeight w:val="230"/>
        </w:trPr>
        <w:tc>
          <w:tcPr>
            <w:tcW w:w="9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w:t>
            </w:r>
          </w:p>
        </w:tc>
      </w:tr>
      <w:tr>
        <w:trPr>
          <w:trHeight w:val="229"/>
        </w:trPr>
        <w:tc>
          <w:tcPr>
            <w:tcW w:w="9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r>
      <w:tr>
        <w:trPr>
          <w:trHeight w:val="230"/>
        </w:trPr>
        <w:tc>
          <w:tcPr>
            <w:tcW w:w="9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11,966</w:t>
            </w:r>
          </w:p>
        </w:tc>
      </w:tr>
      <w:tr>
        <w:trPr>
          <w:trHeight w:val="256"/>
        </w:trPr>
        <w:tc>
          <w:tcPr>
            <w:tcW w:w="9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23"/>
        </w:trPr>
        <w:tc>
          <w:tcPr>
            <w:tcW w:w="9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amounts payable</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14,883</w:t>
            </w:r>
          </w:p>
        </w:tc>
      </w:tr>
      <w:tr>
        <w:trPr>
          <w:trHeight w:val="229"/>
        </w:trPr>
        <w:tc>
          <w:tcPr>
            <w:tcW w:w="9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Unamortized issuance costs</w:t>
            </w:r>
          </w:p>
        </w:tc>
        <w:tc>
          <w:tcPr>
            <w:tcW w:w="4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r>
      <w:tr>
        <w:trPr>
          <w:trHeight w:val="223"/>
        </w:trPr>
        <w:tc>
          <w:tcPr>
            <w:tcW w:w="9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outstanding debt</w:t>
            </w: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14,622</w:t>
            </w:r>
          </w:p>
        </w:tc>
      </w:tr>
      <w:tr>
        <w:trPr>
          <w:trHeight w:val="20"/>
        </w:trPr>
        <w:tc>
          <w:tcPr>
            <w:tcW w:w="98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FAIR VALUE OF FINANCIAL INSTRUMENTS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carrying amounts of certain of the Company’s financial instruments, including cash equivalents, accounts receivable, accounts payable and accrued expenses, are carried at cost which approximates fair value due to their liquid or short-term nature. We have not identified material impacts from COVID-19 on the fair value of our financial assets and liabilities. The Company’s obligations under its long-term debt agreements are carried at amortized cost, which approximates their fair value as of June 30, 2022, as the debt facility was recently amended and expanded in March 2022 and the interest rates applicable are variable in nature. The fair value of the Company’s obligations under its long-term debt agreements with JPMorgan were considered Level 2 liabilities of the fair value hierarchy because these instruments have interest rates that reset frequently.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EQUITY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PRIVATE PLACEMENTS</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February 24, 2021, the Company entered into separate subscription agreements in identical form and substance (the “Subscription Agreements”) with institutional accredited investors (the “Purchasers”) relating to a private placement (the “Private Placement”) with respect to the sale of an aggregate of 5,730,000 shares of the Company’s common stock. The Private</w:t>
      </w:r>
    </w:p>
    <w:p>
      <w:pPr>
        <w:spacing w:after="0" w:line="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Placement closed on March 4, 2021 and the Company received aggregate gross proceeds of approximately $55 million based on the offering price of $9.60 per share (the “Purchase Price”). The Company incurred $2.6 million in direct and incremental issuance costs relating to the Private Placement that were accounted as a reduction in the proceeds of the stock. The syndicate for the Private Placement included affiliates of Hudson Executive, a greater than 10% shareholder and a related party of the Company. Affiliates of Hudson Executive purchased 975,000 of the shares sold in the Private Placement for the same purchase price and on the same terms as the other purchasers.</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Subscription Agreements, the Company agreed to file a registration statement with the U.S. Securities and Exchange Commission covering the resale of the Shares within 45 days following the date of the Subscription Agreements and</w:t>
      </w: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to cause the registration statement to become effective within 60 days following the filing deadline. On April 5, 2021, the Company filed the registration statement with the U.S. Securities and Exchange Commission and, on April 14, 2021, the registration statement was declared effective.</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fiscal year 2021, the Company had 23,978 warrants exercisable at $5 per share outstanding which were exercised and resulted in 12,154 shares issued pursuant to a cashless exercise option election made by the holder. As of June 30, 2022 and June 30, 2021, the Company does not have any warrants outstanding.</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color w:val="auto"/>
        </w:rPr>
        <w:t>14. INCOME TAXES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December 21, 2020, Congress approved the Consolidated Appropriations Act, 2021 (the “Appropriations Act”), which was signed into law by the President on December 27, 2020. The Appropriations Act funds the federal government to the end of the fiscal year and provides further COVID-19 economic relief. Some of the business provisions included in the Appropriations Act are additional Paycheck Protection Program ("PPP") loans, clarification of the deductibility of business expenses that were paid for with PPP funds, expansion of the employee retention credit, and temporary full deduction for business expenses for food and beverages provided by a restaurant. The Appropriations Act did not have a material impact on the Company’s income taxes. The Company will continue to monitor for additional legislation related to COVID-19 and its impact on our results of operations.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significant deferred tax assets, a substantial amount of which result from operating loss carryforwards. The Company routinely evaluates its ability to realize the benefits of these assets to determine whether it is more likely than not that such benefit will be realized. In accordance with the history of losses generated, the Company believes that for the year ended June 30, 2022 and 2021, it is more likely than not that its deferred tax assets will not be realized. Accordingly, the Company re-established a full valuation allowance on its net deferred tax assets.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 for income taxes for the years ended June 30, 2022, 2021 and 2020 is comprised of the following:</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02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23"/>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23"/>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deferred</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48"/>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income tax provision</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reconciliation of the provision for income taxes for the years ended June 30, 2022, 2021 and 2020 to the indicated provision based on income (loss) before the provision for income taxes at the federal statutory rate of 21.0% for the fiscal years ended June 30, 2022, June 30, 2021, and June 30, 2020 is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02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Indicated benefit at federal statutory rate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8,514</w:t>
            </w:r>
          </w:p>
        </w:tc>
        <w:tc>
          <w:tcPr>
            <w:tcW w:w="0" w:type="dxa"/>
            <w:vAlign w:val="bottom"/>
          </w:tcPr>
          <w:p>
            <w:pPr>
              <w:spacing w:after="0"/>
              <w:rPr>
                <w:sz w:val="1"/>
                <w:szCs w:val="1"/>
                <w:color w:val="auto"/>
              </w:rPr>
            </w:pPr>
          </w:p>
        </w:tc>
      </w:tr>
      <w:tr>
        <w:trPr>
          <w:trHeight w:val="229"/>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Effects of permanent differences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 compensation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30"/>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permanent differences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0" w:type="dxa"/>
            <w:vAlign w:val="bottom"/>
          </w:tcPr>
          <w:p>
            <w:pPr>
              <w:spacing w:after="0"/>
              <w:rPr>
                <w:sz w:val="1"/>
                <w:szCs w:val="1"/>
                <w:color w:val="auto"/>
              </w:rPr>
            </w:pPr>
          </w:p>
        </w:tc>
      </w:tr>
      <w:tr>
        <w:trPr>
          <w:trHeight w:val="229"/>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related to prior years</w:t>
            </w: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valuation allowances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(10,139)</w:t>
            </w:r>
          </w:p>
        </w:tc>
        <w:tc>
          <w:tcPr>
            <w:tcW w:w="0" w:type="dxa"/>
            <w:vAlign w:val="bottom"/>
          </w:tcPr>
          <w:p>
            <w:pPr>
              <w:spacing w:after="0"/>
              <w:rPr>
                <w:sz w:val="1"/>
                <w:szCs w:val="1"/>
                <w:color w:val="auto"/>
              </w:rPr>
            </w:pPr>
          </w:p>
        </w:tc>
      </w:tr>
      <w:tr>
        <w:trPr>
          <w:trHeight w:val="230"/>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48"/>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June 30, 2022 the Company had federal and state operating loss carryforwards of approximately $190 million and $222 million, respectively, to offset future taxable income. As of June 30, 2021 the Company had federal and state operating loss carryforwards of approximately $187 million and $221 million, respectively, to offset future taxable income. The timing and extent to which the Company can utilize operating loss carryforwards in any year may be limited because of provisions of the Internal Revenue Code regarding changes in ownership of corporations (i.e. IRS Code Section 382). Federal and state operating loss carryforwards start to expire in 2022 and certain state operating loss carryforwards are currently expiring.</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78" w:name="page79"/>
    <w:bookmarkEnd w:id="78"/>
    <w:p>
      <w:pPr>
        <w:jc w:val="both"/>
        <w:spacing w:after="0" w:line="282" w:lineRule="auto"/>
        <w:rPr>
          <w:sz w:val="20"/>
          <w:szCs w:val="20"/>
          <w:color w:val="auto"/>
        </w:rPr>
      </w:pPr>
      <w:r>
        <w:rPr>
          <w:rFonts w:ascii="Times New Roman" w:cs="Times New Roman" w:eastAsia="Times New Roman" w:hAnsi="Times New Roman"/>
          <w:sz w:val="18"/>
          <w:szCs w:val="18"/>
          <w:color w:val="auto"/>
        </w:rPr>
        <w:t>The net deferred tax assets arose primarily from net operating loss carryforwards, as well as the use of different accounting methods for financial statement and income tax reporting purposes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44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47,984</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46,851</w:t>
            </w: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reserves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7,231</w:t>
            </w:r>
          </w:p>
        </w:tc>
        <w:tc>
          <w:tcPr>
            <w:tcW w:w="0" w:type="dxa"/>
            <w:vAlign w:val="bottom"/>
          </w:tcPr>
          <w:p>
            <w:pPr>
              <w:spacing w:after="0"/>
              <w:rPr>
                <w:sz w:val="1"/>
                <w:szCs w:val="1"/>
                <w:color w:val="auto"/>
              </w:rPr>
            </w:pPr>
          </w:p>
        </w:tc>
      </w:tr>
      <w:tr>
        <w:trPr>
          <w:trHeight w:val="23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research and development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w:t>
            </w: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2,620</w:t>
            </w:r>
          </w:p>
        </w:tc>
        <w:tc>
          <w:tcPr>
            <w:tcW w:w="0" w:type="dxa"/>
            <w:vAlign w:val="bottom"/>
          </w:tcPr>
          <w:p>
            <w:pPr>
              <w:spacing w:after="0"/>
              <w:rPr>
                <w:sz w:val="1"/>
                <w:szCs w:val="1"/>
                <w:color w:val="auto"/>
              </w:rPr>
            </w:pPr>
          </w:p>
        </w:tc>
      </w:tr>
      <w:tr>
        <w:trPr>
          <w:trHeight w:val="229"/>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2,135</w:t>
            </w:r>
          </w:p>
        </w:tc>
        <w:tc>
          <w:tcPr>
            <w:tcW w:w="0" w:type="dxa"/>
            <w:vAlign w:val="bottom"/>
          </w:tcPr>
          <w:p>
            <w:pPr>
              <w:spacing w:after="0"/>
              <w:rPr>
                <w:sz w:val="1"/>
                <w:szCs w:val="1"/>
                <w:color w:val="auto"/>
              </w:rPr>
            </w:pPr>
          </w:p>
        </w:tc>
      </w:tr>
      <w:tr>
        <w:trPr>
          <w:trHeight w:val="223"/>
        </w:trPr>
        <w:tc>
          <w:tcPr>
            <w:tcW w:w="84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59,426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60,257</w:t>
            </w:r>
          </w:p>
        </w:tc>
        <w:tc>
          <w:tcPr>
            <w:tcW w:w="0" w:type="dxa"/>
            <w:vAlign w:val="bottom"/>
          </w:tcPr>
          <w:p>
            <w:pPr>
              <w:spacing w:after="0"/>
              <w:rPr>
                <w:sz w:val="1"/>
                <w:szCs w:val="1"/>
                <w:color w:val="auto"/>
              </w:rPr>
            </w:pPr>
          </w:p>
        </w:tc>
      </w:tr>
      <w:tr>
        <w:trPr>
          <w:trHeight w:val="229"/>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(4,316)</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(4,956)</w:t>
            </w:r>
          </w:p>
        </w:tc>
        <w:tc>
          <w:tcPr>
            <w:tcW w:w="0" w:type="dxa"/>
            <w:vAlign w:val="bottom"/>
          </w:tcPr>
          <w:p>
            <w:pPr>
              <w:spacing w:after="0"/>
              <w:rPr>
                <w:sz w:val="1"/>
                <w:szCs w:val="1"/>
                <w:color w:val="auto"/>
              </w:rPr>
            </w:pPr>
          </w:p>
        </w:tc>
      </w:tr>
      <w:tr>
        <w:trPr>
          <w:trHeight w:val="223"/>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assets, net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55,110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55,301</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(55,296)</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(55,480)</w:t>
            </w:r>
          </w:p>
        </w:tc>
        <w:tc>
          <w:tcPr>
            <w:tcW w:w="0" w:type="dxa"/>
            <w:vAlign w:val="bottom"/>
          </w:tcPr>
          <w:p>
            <w:pPr>
              <w:spacing w:after="0"/>
              <w:rPr>
                <w:sz w:val="1"/>
                <w:szCs w:val="1"/>
                <w:color w:val="auto"/>
              </w:rPr>
            </w:pPr>
          </w:p>
        </w:tc>
      </w:tr>
      <w:tr>
        <w:trPr>
          <w:trHeight w:val="223"/>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1"/>
        </w:trPr>
        <w:tc>
          <w:tcPr>
            <w:tcW w:w="8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June 30, 2022, the Company had total unrecognized income tax benefits of $0.6 million related to its nexus in certain state tax jurisdictions. If recognized in future years, $0.6 million of these currently unrecognized income tax benefits would impact the income tax provision and effective tax rate. The following table summarizes the activity related to unrecognized income tax benefits:</w:t>
      </w:r>
    </w:p>
    <w:p>
      <w:pPr>
        <w:spacing w:after="0" w:line="291"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6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96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29"/>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the beginning of the year</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30"/>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increases and decreases related to current period tax positions</w:t>
            </w: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increases and decreases related to prior period tax positions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the end of the year</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STOCK BASED COMPENSATION PLANS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four active stock based compensation plans at June 30, 2022 as shown in the table below:</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Date Approved</w:t>
            </w:r>
          </w:p>
        </w:tc>
        <w:tc>
          <w:tcPr>
            <w:tcW w:w="400" w:type="dxa"/>
            <w:vAlign w:val="bottom"/>
          </w:tcPr>
          <w:p>
            <w:pPr>
              <w:spacing w:after="0"/>
              <w:rPr>
                <w:sz w:val="13"/>
                <w:szCs w:val="13"/>
                <w:color w:val="auto"/>
              </w:rPr>
            </w:pPr>
          </w:p>
        </w:tc>
        <w:tc>
          <w:tcPr>
            <w:tcW w:w="3500" w:type="dxa"/>
            <w:vAlign w:val="bottom"/>
            <w:gridSpan w:val="2"/>
            <w:vMerge w:val="restart"/>
          </w:tcPr>
          <w:p>
            <w:pPr>
              <w:ind w:left="1080"/>
              <w:spacing w:after="0"/>
              <w:rPr>
                <w:sz w:val="20"/>
                <w:szCs w:val="20"/>
                <w:color w:val="auto"/>
              </w:rPr>
            </w:pPr>
            <w:r>
              <w:rPr>
                <w:rFonts w:ascii="Times New Roman" w:cs="Times New Roman" w:eastAsia="Times New Roman" w:hAnsi="Times New Roman"/>
                <w:sz w:val="14"/>
                <w:szCs w:val="14"/>
                <w:b w:val="1"/>
                <w:bCs w:val="1"/>
                <w:color w:val="auto"/>
              </w:rPr>
              <w:t>Name of Plan</w:t>
            </w:r>
          </w:p>
        </w:tc>
        <w:tc>
          <w:tcPr>
            <w:tcW w:w="3280" w:type="dxa"/>
            <w:vAlign w:val="bottom"/>
            <w:gridSpan w:val="2"/>
            <w:vMerge w:val="restart"/>
          </w:tcPr>
          <w:p>
            <w:pPr>
              <w:ind w:left="1200"/>
              <w:spacing w:after="0"/>
              <w:rPr>
                <w:sz w:val="20"/>
                <w:szCs w:val="20"/>
                <w:color w:val="auto"/>
              </w:rPr>
            </w:pPr>
            <w:r>
              <w:rPr>
                <w:rFonts w:ascii="Times New Roman" w:cs="Times New Roman" w:eastAsia="Times New Roman" w:hAnsi="Times New Roman"/>
                <w:sz w:val="14"/>
                <w:szCs w:val="14"/>
                <w:b w:val="1"/>
                <w:bCs w:val="1"/>
                <w:color w:val="auto"/>
              </w:rPr>
              <w:t>Type of Plan</w:t>
            </w:r>
          </w:p>
        </w:tc>
        <w:tc>
          <w:tcPr>
            <w:tcW w:w="132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Authorized</w:t>
            </w:r>
          </w:p>
        </w:tc>
        <w:tc>
          <w:tcPr>
            <w:tcW w:w="0" w:type="dxa"/>
            <w:vAlign w:val="bottom"/>
          </w:tcPr>
          <w:p>
            <w:pPr>
              <w:spacing w:after="0"/>
              <w:rPr>
                <w:sz w:val="1"/>
                <w:szCs w:val="1"/>
                <w:color w:val="auto"/>
              </w:rPr>
            </w:pPr>
          </w:p>
        </w:tc>
      </w:tr>
      <w:tr>
        <w:trPr>
          <w:trHeight w:val="196"/>
        </w:trPr>
        <w:tc>
          <w:tcPr>
            <w:tcW w:w="2700" w:type="dxa"/>
            <w:vAlign w:val="bottom"/>
            <w:gridSpan w:val="2"/>
            <w:vMerge w:val="continue"/>
          </w:tcPr>
          <w:p>
            <w:pPr>
              <w:spacing w:after="0"/>
              <w:rPr>
                <w:sz w:val="17"/>
                <w:szCs w:val="17"/>
                <w:color w:val="auto"/>
              </w:rPr>
            </w:pPr>
          </w:p>
        </w:tc>
        <w:tc>
          <w:tcPr>
            <w:tcW w:w="400" w:type="dxa"/>
            <w:vAlign w:val="bottom"/>
          </w:tcPr>
          <w:p>
            <w:pPr>
              <w:spacing w:after="0"/>
              <w:rPr>
                <w:sz w:val="17"/>
                <w:szCs w:val="17"/>
                <w:color w:val="auto"/>
              </w:rPr>
            </w:pPr>
          </w:p>
        </w:tc>
        <w:tc>
          <w:tcPr>
            <w:tcW w:w="3500" w:type="dxa"/>
            <w:vAlign w:val="bottom"/>
            <w:gridSpan w:val="2"/>
            <w:vMerge w:val="continue"/>
          </w:tcPr>
          <w:p>
            <w:pPr>
              <w:spacing w:after="0"/>
              <w:rPr>
                <w:sz w:val="17"/>
                <w:szCs w:val="17"/>
                <w:color w:val="auto"/>
              </w:rPr>
            </w:pPr>
          </w:p>
        </w:tc>
        <w:tc>
          <w:tcPr>
            <w:tcW w:w="3280" w:type="dxa"/>
            <w:vAlign w:val="bottom"/>
            <w:gridSpan w:val="2"/>
            <w:vMerge w:val="continue"/>
          </w:tcPr>
          <w:p>
            <w:pPr>
              <w:spacing w:after="0"/>
              <w:rPr>
                <w:sz w:val="17"/>
                <w:szCs w:val="17"/>
                <w:color w:val="auto"/>
              </w:rPr>
            </w:pPr>
          </w:p>
        </w:tc>
        <w:tc>
          <w:tcPr>
            <w:tcW w:w="132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40"/>
        </w:trPr>
        <w:tc>
          <w:tcPr>
            <w:tcW w:w="26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Borders>
              <w:top w:val="single" w:sz="8" w:color="auto"/>
            </w:tcBorders>
          </w:tcPr>
          <w:p>
            <w:pPr>
              <w:spacing w:after="0"/>
              <w:rPr>
                <w:sz w:val="3"/>
                <w:szCs w:val="3"/>
                <w:color w:val="auto"/>
              </w:rPr>
            </w:pPr>
          </w:p>
        </w:tc>
        <w:tc>
          <w:tcPr>
            <w:tcW w:w="338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16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320" w:type="dxa"/>
            <w:vAlign w:val="bottom"/>
            <w:tcBorders>
              <w:top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27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June 2013</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2013</w:t>
            </w:r>
          </w:p>
        </w:tc>
        <w:tc>
          <w:tcPr>
            <w:tcW w:w="35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 Incentive Plan</w:t>
            </w: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0" w:type="dxa"/>
            <w:vAlign w:val="bottom"/>
          </w:tcPr>
          <w:p>
            <w:pPr>
              <w:spacing w:after="0"/>
              <w:rPr>
                <w:sz w:val="1"/>
                <w:szCs w:val="1"/>
                <w:color w:val="auto"/>
              </w:rPr>
            </w:pPr>
          </w:p>
        </w:tc>
      </w:tr>
      <w:tr>
        <w:trPr>
          <w:trHeight w:val="229"/>
        </w:trPr>
        <w:tc>
          <w:tcPr>
            <w:tcW w:w="27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June 2014</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2014</w:t>
            </w:r>
          </w:p>
        </w:tc>
        <w:tc>
          <w:tcPr>
            <w:tcW w:w="3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Stock Option Incentive Plan</w:t>
            </w: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0" w:type="dxa"/>
            <w:vAlign w:val="bottom"/>
          </w:tcPr>
          <w:p>
            <w:pPr>
              <w:spacing w:after="0"/>
              <w:rPr>
                <w:sz w:val="1"/>
                <w:szCs w:val="1"/>
                <w:color w:val="auto"/>
              </w:rPr>
            </w:pPr>
          </w:p>
        </w:tc>
      </w:tr>
      <w:tr>
        <w:trPr>
          <w:trHeight w:val="230"/>
        </w:trPr>
        <w:tc>
          <w:tcPr>
            <w:tcW w:w="27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June 2015</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2015</w:t>
            </w:r>
          </w:p>
        </w:tc>
        <w:tc>
          <w:tcPr>
            <w:tcW w:w="35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 Incentive Plan</w:t>
            </w: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&amp; stock options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1,250,000</w:t>
            </w:r>
          </w:p>
        </w:tc>
        <w:tc>
          <w:tcPr>
            <w:tcW w:w="0" w:type="dxa"/>
            <w:vAlign w:val="bottom"/>
          </w:tcPr>
          <w:p>
            <w:pPr>
              <w:spacing w:after="0"/>
              <w:rPr>
                <w:sz w:val="1"/>
                <w:szCs w:val="1"/>
                <w:color w:val="auto"/>
              </w:rPr>
            </w:pPr>
          </w:p>
        </w:tc>
      </w:tr>
      <w:tr>
        <w:trPr>
          <w:trHeight w:val="230"/>
        </w:trPr>
        <w:tc>
          <w:tcPr>
            <w:tcW w:w="2700" w:type="dxa"/>
            <w:vAlign w:val="bottom"/>
            <w:tcBorders>
              <w:bottom w:val="single" w:sz="8" w:color="CCEEFF"/>
            </w:tcBorders>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April 2018</w:t>
            </w:r>
          </w:p>
        </w:tc>
        <w:tc>
          <w:tcPr>
            <w:tcW w:w="4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99"/>
              </w:rPr>
              <w:t>2018</w:t>
            </w:r>
          </w:p>
        </w:tc>
        <w:tc>
          <w:tcPr>
            <w:tcW w:w="350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8"/>
                <w:szCs w:val="18"/>
                <w:color w:val="auto"/>
              </w:rPr>
              <w:t>Equity Incentive Plan</w:t>
            </w:r>
          </w:p>
        </w:tc>
        <w:tc>
          <w:tcPr>
            <w:tcW w:w="3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Stock &amp; stock options</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4,000,000</w:t>
            </w:r>
          </w:p>
        </w:tc>
        <w:tc>
          <w:tcPr>
            <w:tcW w:w="0" w:type="dxa"/>
            <w:vAlign w:val="bottom"/>
          </w:tcPr>
          <w:p>
            <w:pPr>
              <w:spacing w:after="0"/>
              <w:rPr>
                <w:sz w:val="1"/>
                <w:szCs w:val="1"/>
                <w:color w:val="auto"/>
              </w:rPr>
            </w:pPr>
          </w:p>
        </w:tc>
      </w:tr>
      <w:tr>
        <w:trPr>
          <w:trHeight w:val="248"/>
        </w:trPr>
        <w:tc>
          <w:tcPr>
            <w:tcW w:w="2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3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6,500,000</w:t>
            </w:r>
          </w:p>
        </w:tc>
        <w:tc>
          <w:tcPr>
            <w:tcW w:w="0" w:type="dxa"/>
            <w:vAlign w:val="bottom"/>
          </w:tcPr>
          <w:p>
            <w:pPr>
              <w:spacing w:after="0"/>
              <w:rPr>
                <w:sz w:val="1"/>
                <w:szCs w:val="1"/>
                <w:color w:val="auto"/>
              </w:rPr>
            </w:pP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3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0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18"/>
          <w:szCs w:val="18"/>
          <w:color w:val="auto"/>
        </w:rPr>
        <w:t>As of June 30, 2022, the Company had reserved shares of Common Stock for future issuance for the following:</w:t>
      </w:r>
    </w:p>
    <w:p>
      <w:pPr>
        <w:sectPr>
          <w:pgSz w:w="11900" w:h="16838" w:orient="portrait"/>
          <w:cols w:equalWidth="0" w:num="1">
            <w:col w:w="11240"/>
          </w:cols>
          <w:pgMar w:left="320" w:top="1107" w:right="339" w:bottom="1440" w:gutter="0" w:footer="0" w:header="0"/>
        </w:sectPr>
      </w:pPr>
    </w:p>
    <w:p>
      <w:pPr>
        <w:spacing w:after="0" w:line="1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06285" cy="1543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06285" cy="154305"/>
                    </a:xfrm>
                    <a:prstGeom prst="rect">
                      <a:avLst/>
                    </a:prstGeom>
                    <a:noFill/>
                  </pic:spPr>
                </pic:pic>
              </a:graphicData>
            </a:graphic>
          </wp:anchor>
        </w:drawing>
      </w:r>
    </w:p>
    <w:p>
      <w:pPr>
        <w:spacing w:after="0" w:line="41" w:lineRule="exact"/>
        <w:rPr>
          <w:sz w:val="20"/>
          <w:szCs w:val="20"/>
          <w:color w:val="auto"/>
        </w:rPr>
      </w:pPr>
    </w:p>
    <w:p>
      <w:pPr>
        <w:ind w:left="20" w:right="3940"/>
        <w:spacing w:after="0" w:line="268" w:lineRule="auto"/>
        <w:rPr>
          <w:sz w:val="20"/>
          <w:szCs w:val="20"/>
          <w:color w:val="auto"/>
        </w:rPr>
      </w:pPr>
      <w:r>
        <w:rPr>
          <w:rFonts w:ascii="Times New Roman" w:cs="Times New Roman" w:eastAsia="Times New Roman" w:hAnsi="Times New Roman"/>
          <w:sz w:val="18"/>
          <w:szCs w:val="18"/>
          <w:color w:val="auto"/>
        </w:rPr>
        <w:t>Conversions of Preferred Stock and cumulative Preferred Stock dividends Issuance upon exercise of stock options granted to current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06285" cy="1454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ind w:left="20"/>
        <w:spacing w:after="0" w:line="233" w:lineRule="auto"/>
        <w:rPr>
          <w:sz w:val="20"/>
          <w:szCs w:val="20"/>
          <w:color w:val="auto"/>
        </w:rPr>
      </w:pPr>
      <w:r>
        <w:rPr>
          <w:rFonts w:ascii="Times New Roman" w:cs="Times New Roman" w:eastAsia="Times New Roman" w:hAnsi="Times New Roman"/>
          <w:sz w:val="17"/>
          <w:szCs w:val="17"/>
          <w:color w:val="auto"/>
        </w:rPr>
        <w:t xml:space="preserve">Issuance of shares to former CEO George Jensen upon the occurrence of a Cantaloupe transaction </w:t>
      </w:r>
      <w:r>
        <w:rPr>
          <w:rFonts w:ascii="Times New Roman" w:cs="Times New Roman" w:eastAsia="Times New Roman" w:hAnsi="Times New Roman"/>
          <w:sz w:val="22"/>
          <w:szCs w:val="22"/>
          <w:color w:val="auto"/>
          <w:vertAlign w:val="superscript"/>
        </w:rPr>
        <w:t>(1)</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Issuance under 2014 Stock Option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06285" cy="1454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Issuance under 2015 Equity Incentive Plan</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Issuance under 2018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06285" cy="1714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shares reserved for future issuance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Reserved Shares</w:t>
      </w:r>
    </w:p>
    <w:p>
      <w:pPr>
        <w:spacing w:after="0" w:line="61"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106,141</w:t>
      </w:r>
    </w:p>
    <w:p>
      <w:pPr>
        <w:spacing w:after="0" w:line="27"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1,000,000</w:t>
      </w:r>
    </w:p>
    <w:p>
      <w:pPr>
        <w:spacing w:after="0" w:line="23"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140,000</w:t>
      </w:r>
    </w:p>
    <w:p>
      <w:pPr>
        <w:spacing w:after="0" w:line="23"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115,687</w:t>
      </w:r>
    </w:p>
    <w:p>
      <w:pPr>
        <w:spacing w:after="0" w:line="23"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392,159</w:t>
      </w:r>
    </w:p>
    <w:p>
      <w:pPr>
        <w:spacing w:after="0" w:line="23"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179,843</w:t>
      </w:r>
    </w:p>
    <w:p>
      <w:pPr>
        <w:spacing w:after="0" w:line="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1,933,830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43180</wp:posOffset>
            </wp:positionV>
            <wp:extent cx="84010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409" w:lineRule="exact"/>
        <w:rPr>
          <w:sz w:val="20"/>
          <w:szCs w:val="20"/>
          <w:color w:val="auto"/>
        </w:rPr>
      </w:pPr>
    </w:p>
    <w:p>
      <w:pPr>
        <w:sectPr>
          <w:pgSz w:w="11900" w:h="16838" w:orient="portrait"/>
          <w:cols w:equalWidth="0" w:num="2">
            <w:col w:w="9300" w:space="720"/>
            <w:col w:w="1220"/>
          </w:cols>
          <w:pgMar w:left="320" w:top="1107" w:right="339" w:bottom="1440" w:gutter="0" w:footer="0" w:header="0"/>
          <w:type w:val="continuous"/>
        </w:sectPr>
      </w:pPr>
    </w:p>
    <w:p>
      <w:pPr>
        <w:ind w:left="340" w:hanging="332"/>
        <w:spacing w:after="0" w:line="302" w:lineRule="auto"/>
        <w:tabs>
          <w:tab w:leader="none" w:pos="327" w:val="left"/>
        </w:tabs>
        <w:numPr>
          <w:ilvl w:val="0"/>
          <w:numId w:val="2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Represents 140,000 shares issuable to our former CEO George Jensen upon the occurrence of a "USA Transaction" as such term is defined in the Jensen Stock Agreement dated September 27, 2011 by and between the Company and George R. Jensen.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Stock options are granted at exercise prices equal to the fair market value of the Company's common stock at the date of grant. The options typically vest over a three year period and each option, if not exercised or terminated, expires on the seventh anniversary of the grant date.</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estimates the grant date fair value of the stock options with service conditions (i.e., a condition that requires an employee to render services to the Company for a stated period of time to vest) it grants using a Black-Scholes valuation model. The Company’s assumption for expected volatility is based on its historical volatility data related to market trading of its own common stock. The Company uses the simplified method to determine expected term, as the Company does not have adequate historical exercise and forfeiture behavior on which to base the expected life assumption. The dividend yield assumption is based on dividends expected to be paid over the expected life of the stock option. The risk-free interest rate assumption is determined by using the U.S. Treasury rates of the same period as the expected option term of each stock option.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options granted during the years ended June 30, 2022, 2021, and 2020 was determined using the following assumptions: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100" w:type="dxa"/>
            <w:vAlign w:val="bottom"/>
            <w:gridSpan w:val="8"/>
          </w:tcPr>
          <w:p>
            <w:pPr>
              <w:ind w:left="60"/>
              <w:spacing w:after="0"/>
              <w:rPr>
                <w:sz w:val="20"/>
                <w:szCs w:val="20"/>
                <w:color w:val="auto"/>
              </w:rPr>
            </w:pPr>
            <w:r>
              <w:rPr>
                <w:rFonts w:ascii="Times New Roman" w:cs="Times New Roman" w:eastAsia="Times New Roman" w:hAnsi="Times New Roman"/>
                <w:sz w:val="14"/>
                <w:szCs w:val="14"/>
                <w:b w:val="1"/>
                <w:bCs w:val="1"/>
                <w:color w:val="auto"/>
              </w:rPr>
              <w:t>For the year ended June 30,</w:t>
            </w:r>
          </w:p>
        </w:tc>
        <w:tc>
          <w:tcPr>
            <w:tcW w:w="0" w:type="dxa"/>
            <w:vAlign w:val="bottom"/>
          </w:tcPr>
          <w:p>
            <w:pPr>
              <w:spacing w:after="0"/>
              <w:rPr>
                <w:sz w:val="1"/>
                <w:szCs w:val="1"/>
                <w:color w:val="auto"/>
              </w:rPr>
            </w:pPr>
          </w:p>
        </w:tc>
      </w:tr>
      <w:tr>
        <w:trPr>
          <w:trHeight w:val="23"/>
        </w:trPr>
        <w:tc>
          <w:tcPr>
            <w:tcW w:w="47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7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0" w:type="dxa"/>
            <w:vAlign w:val="bottom"/>
            <w:tcBorders>
              <w:top w:val="single" w:sz="8" w:color="auto"/>
            </w:tcBorders>
          </w:tcPr>
          <w:p>
            <w:pPr>
              <w:jc w:val="center"/>
              <w:ind w:left="362"/>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3"/>
          </w:tcPr>
          <w:p>
            <w:pPr>
              <w:jc w:val="center"/>
              <w:ind w:left="45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jc w:val="center"/>
              <w:ind w:left="54"/>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gridSpan w:val="4"/>
            <w:shd w:val="clear" w:color="auto" w:fill="CCEEFF"/>
          </w:tcPr>
          <w:p>
            <w:pPr>
              <w:jc w:val="center"/>
              <w:ind w:left="493"/>
              <w:spacing w:after="0"/>
              <w:rPr>
                <w:sz w:val="20"/>
                <w:szCs w:val="20"/>
                <w:color w:val="auto"/>
              </w:rPr>
            </w:pPr>
            <w:r>
              <w:rPr>
                <w:rFonts w:ascii="Times New Roman" w:cs="Times New Roman" w:eastAsia="Times New Roman" w:hAnsi="Times New Roman"/>
                <w:sz w:val="18"/>
                <w:szCs w:val="18"/>
                <w:color w:val="auto"/>
                <w:w w:val="98"/>
              </w:rPr>
              <w:t>73.2 - 74.6%</w:t>
            </w:r>
          </w:p>
        </w:tc>
        <w:tc>
          <w:tcPr>
            <w:tcW w:w="1500" w:type="dxa"/>
            <w:vAlign w:val="bottom"/>
            <w:gridSpan w:val="4"/>
            <w:shd w:val="clear" w:color="auto" w:fill="CCEEFF"/>
          </w:tcPr>
          <w:p>
            <w:pPr>
              <w:jc w:val="center"/>
              <w:ind w:left="357"/>
              <w:spacing w:after="0"/>
              <w:rPr>
                <w:sz w:val="20"/>
                <w:szCs w:val="20"/>
                <w:color w:val="auto"/>
              </w:rPr>
            </w:pPr>
            <w:r>
              <w:rPr>
                <w:rFonts w:ascii="Times New Roman" w:cs="Times New Roman" w:eastAsia="Times New Roman" w:hAnsi="Times New Roman"/>
                <w:sz w:val="18"/>
                <w:szCs w:val="18"/>
                <w:color w:val="auto"/>
              </w:rPr>
              <w:t>74.3 - 77.3%</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center"/>
              <w:ind w:left="54"/>
              <w:spacing w:after="0"/>
              <w:rPr>
                <w:sz w:val="20"/>
                <w:szCs w:val="20"/>
                <w:color w:val="auto"/>
              </w:rPr>
            </w:pPr>
            <w:r>
              <w:rPr>
                <w:rFonts w:ascii="Times New Roman" w:cs="Times New Roman" w:eastAsia="Times New Roman" w:hAnsi="Times New Roman"/>
                <w:sz w:val="18"/>
                <w:szCs w:val="18"/>
                <w:color w:val="auto"/>
                <w:w w:val="98"/>
              </w:rPr>
              <w:t>74.6 - 90.1%</w:t>
            </w:r>
          </w:p>
        </w:tc>
        <w:tc>
          <w:tcPr>
            <w:tcW w:w="6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life (years)</w:t>
            </w: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3"/>
          </w:tcPr>
          <w:p>
            <w:pPr>
              <w:jc w:val="center"/>
              <w:ind w:left="633"/>
              <w:spacing w:after="0"/>
              <w:rPr>
                <w:sz w:val="20"/>
                <w:szCs w:val="20"/>
                <w:color w:val="auto"/>
              </w:rPr>
            </w:pPr>
            <w:r>
              <w:rPr>
                <w:rFonts w:ascii="Times New Roman" w:cs="Times New Roman" w:eastAsia="Times New Roman" w:hAnsi="Times New Roman"/>
                <w:sz w:val="18"/>
                <w:szCs w:val="18"/>
                <w:color w:val="auto"/>
                <w:w w:val="99"/>
              </w:rPr>
              <w:t>4.5 - 4.6</w:t>
            </w:r>
          </w:p>
        </w:tc>
        <w:tc>
          <w:tcPr>
            <w:tcW w:w="140" w:type="dxa"/>
            <w:vAlign w:val="bottom"/>
          </w:tcPr>
          <w:p>
            <w:pPr>
              <w:spacing w:after="0"/>
              <w:rPr>
                <w:sz w:val="19"/>
                <w:szCs w:val="19"/>
                <w:color w:val="auto"/>
              </w:rPr>
            </w:pPr>
          </w:p>
        </w:tc>
        <w:tc>
          <w:tcPr>
            <w:tcW w:w="1400" w:type="dxa"/>
            <w:vAlign w:val="bottom"/>
            <w:gridSpan w:val="3"/>
          </w:tcPr>
          <w:p>
            <w:pPr>
              <w:jc w:val="center"/>
              <w:ind w:left="457"/>
              <w:spacing w:after="0"/>
              <w:rPr>
                <w:sz w:val="20"/>
                <w:szCs w:val="20"/>
                <w:color w:val="auto"/>
              </w:rPr>
            </w:pPr>
            <w:r>
              <w:rPr>
                <w:rFonts w:ascii="Times New Roman" w:cs="Times New Roman" w:eastAsia="Times New Roman" w:hAnsi="Times New Roman"/>
                <w:sz w:val="18"/>
                <w:szCs w:val="18"/>
                <w:color w:val="auto"/>
                <w:w w:val="97"/>
              </w:rPr>
              <w:t>4.5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center"/>
              <w:ind w:left="54"/>
              <w:spacing w:after="0"/>
              <w:rPr>
                <w:sz w:val="20"/>
                <w:szCs w:val="20"/>
                <w:color w:val="auto"/>
              </w:rPr>
            </w:pPr>
            <w:r>
              <w:rPr>
                <w:rFonts w:ascii="Times New Roman" w:cs="Times New Roman" w:eastAsia="Times New Roman" w:hAnsi="Times New Roman"/>
                <w:sz w:val="18"/>
                <w:szCs w:val="18"/>
                <w:color w:val="auto"/>
                <w:w w:val="99"/>
              </w:rPr>
              <w:t>3.5 - 4.8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dividends</w:t>
            </w: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center"/>
              <w:ind w:left="713"/>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center"/>
              <w:ind w:left="457"/>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center"/>
              <w:ind w:left="54"/>
              <w:spacing w:after="0"/>
              <w:rPr>
                <w:sz w:val="20"/>
                <w:szCs w:val="20"/>
                <w:color w:val="auto"/>
              </w:rPr>
            </w:pPr>
            <w:r>
              <w:rPr>
                <w:rFonts w:ascii="Times New Roman" w:cs="Times New Roman" w:eastAsia="Times New Roman" w:hAnsi="Times New Roman"/>
                <w:sz w:val="18"/>
                <w:szCs w:val="18"/>
                <w:color w:val="auto"/>
                <w:w w:val="95"/>
              </w:rPr>
              <w:t>0.0%</w:t>
            </w:r>
          </w:p>
        </w:tc>
        <w:tc>
          <w:tcPr>
            <w:tcW w:w="6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3"/>
          </w:tcPr>
          <w:p>
            <w:pPr>
              <w:jc w:val="center"/>
              <w:ind w:left="633"/>
              <w:spacing w:after="0"/>
              <w:rPr>
                <w:sz w:val="20"/>
                <w:szCs w:val="20"/>
                <w:color w:val="auto"/>
              </w:rPr>
            </w:pPr>
            <w:r>
              <w:rPr>
                <w:rFonts w:ascii="Times New Roman" w:cs="Times New Roman" w:eastAsia="Times New Roman" w:hAnsi="Times New Roman"/>
                <w:sz w:val="18"/>
                <w:szCs w:val="18"/>
                <w:color w:val="auto"/>
              </w:rPr>
              <w:t>1.0 - 2.9%</w:t>
            </w:r>
          </w:p>
        </w:tc>
        <w:tc>
          <w:tcPr>
            <w:tcW w:w="140" w:type="dxa"/>
            <w:vAlign w:val="bottom"/>
          </w:tcPr>
          <w:p>
            <w:pPr>
              <w:spacing w:after="0"/>
              <w:rPr>
                <w:sz w:val="20"/>
                <w:szCs w:val="20"/>
                <w:color w:val="auto"/>
              </w:rPr>
            </w:pPr>
          </w:p>
        </w:tc>
        <w:tc>
          <w:tcPr>
            <w:tcW w:w="1400" w:type="dxa"/>
            <w:vAlign w:val="bottom"/>
            <w:gridSpan w:val="3"/>
          </w:tcPr>
          <w:p>
            <w:pPr>
              <w:jc w:val="center"/>
              <w:ind w:left="457"/>
              <w:spacing w:after="0"/>
              <w:rPr>
                <w:sz w:val="20"/>
                <w:szCs w:val="20"/>
                <w:color w:val="auto"/>
              </w:rPr>
            </w:pPr>
            <w:r>
              <w:rPr>
                <w:rFonts w:ascii="Times New Roman" w:cs="Times New Roman" w:eastAsia="Times New Roman" w:hAnsi="Times New Roman"/>
                <w:sz w:val="18"/>
                <w:szCs w:val="18"/>
                <w:color w:val="auto"/>
                <w:w w:val="99"/>
              </w:rPr>
              <w:t>0.2-0.7%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2"/>
          </w:tcPr>
          <w:p>
            <w:pPr>
              <w:jc w:val="center"/>
              <w:ind w:left="34"/>
              <w:spacing w:after="0"/>
              <w:rPr>
                <w:sz w:val="20"/>
                <w:szCs w:val="20"/>
                <w:color w:val="auto"/>
              </w:rPr>
            </w:pPr>
            <w:r>
              <w:rPr>
                <w:rFonts w:ascii="Times New Roman" w:cs="Times New Roman" w:eastAsia="Times New Roman" w:hAnsi="Times New Roman"/>
                <w:sz w:val="18"/>
                <w:szCs w:val="18"/>
                <w:color w:val="auto"/>
                <w:w w:val="99"/>
              </w:rPr>
              <w:t>0.3-1.6%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2"/>
        </w:trPr>
        <w:tc>
          <w:tcPr>
            <w:tcW w:w="96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The following tables provide information about outstanding options for the years ended June 30, 2022, 2021, and 2020: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47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740" w:type="dxa"/>
            <w:vAlign w:val="bottom"/>
            <w:gridSpan w:val="7"/>
          </w:tcPr>
          <w:p>
            <w:pPr>
              <w:ind w:left="40"/>
              <w:spacing w:after="0"/>
              <w:rPr>
                <w:sz w:val="20"/>
                <w:szCs w:val="20"/>
                <w:color w:val="auto"/>
              </w:rPr>
            </w:pPr>
            <w:r>
              <w:rPr>
                <w:rFonts w:ascii="Times New Roman" w:cs="Times New Roman" w:eastAsia="Times New Roman" w:hAnsi="Times New Roman"/>
                <w:sz w:val="14"/>
                <w:szCs w:val="14"/>
                <w:b w:val="1"/>
                <w:bCs w:val="1"/>
                <w:color w:val="auto"/>
              </w:rPr>
              <w:t>For the year ended June 30, 2022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4740" w:type="dxa"/>
            <w:vAlign w:val="bottom"/>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gridSpan w:val="4"/>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gridSpan w:val="2"/>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9"/>
        </w:trPr>
        <w:tc>
          <w:tcPr>
            <w:tcW w:w="47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40" w:type="dxa"/>
            <w:vAlign w:val="bottom"/>
          </w:tcPr>
          <w:p>
            <w:pPr>
              <w:spacing w:after="0"/>
              <w:rPr>
                <w:sz w:val="24"/>
                <w:szCs w:val="24"/>
                <w:color w:val="auto"/>
              </w:rPr>
            </w:pPr>
          </w:p>
        </w:tc>
        <w:tc>
          <w:tcPr>
            <w:tcW w:w="150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20" w:type="dxa"/>
            <w:vAlign w:val="bottom"/>
          </w:tcPr>
          <w:p>
            <w:pPr>
              <w:spacing w:after="0"/>
              <w:rPr>
                <w:sz w:val="24"/>
                <w:szCs w:val="24"/>
                <w:color w:val="auto"/>
              </w:rPr>
            </w:pPr>
          </w:p>
        </w:tc>
        <w:tc>
          <w:tcPr>
            <w:tcW w:w="148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16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160" w:type="dxa"/>
            <w:vAlign w:val="bottom"/>
          </w:tcPr>
          <w:p>
            <w:pPr>
              <w:spacing w:after="0"/>
              <w:rPr>
                <w:sz w:val="12"/>
                <w:szCs w:val="12"/>
                <w:color w:val="auto"/>
              </w:rPr>
            </w:pPr>
          </w:p>
        </w:tc>
        <w:tc>
          <w:tcPr>
            <w:tcW w:w="1480" w:type="dxa"/>
            <w:vAlign w:val="bottom"/>
            <w:gridSpan w:val="3"/>
            <w:vMerge w:val="continue"/>
          </w:tcPr>
          <w:p>
            <w:pPr>
              <w:spacing w:after="0"/>
              <w:rPr>
                <w:sz w:val="12"/>
                <w:szCs w:val="12"/>
                <w:color w:val="auto"/>
              </w:rPr>
            </w:pPr>
          </w:p>
        </w:tc>
        <w:tc>
          <w:tcPr>
            <w:tcW w:w="1640" w:type="dxa"/>
            <w:vAlign w:val="bottom"/>
            <w:gridSpan w:val="5"/>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Remaining Contractual</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95"/>
        </w:trPr>
        <w:tc>
          <w:tcPr>
            <w:tcW w:w="474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40" w:type="dxa"/>
            <w:vAlign w:val="bottom"/>
          </w:tcPr>
          <w:p>
            <w:pPr>
              <w:spacing w:after="0"/>
              <w:rPr>
                <w:sz w:val="16"/>
                <w:szCs w:val="16"/>
                <w:color w:val="auto"/>
              </w:rPr>
            </w:pPr>
          </w:p>
        </w:tc>
        <w:tc>
          <w:tcPr>
            <w:tcW w:w="150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Term (in years)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28"/>
        </w:trPr>
        <w:tc>
          <w:tcPr>
            <w:tcW w:w="4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options, beginning of period</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2,952,092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6.97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14,419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904,500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8.86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52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(121,248)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6.30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52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9"/>
              </w:rPr>
              <w:t>(205,511)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8.09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Expired</w:t>
            </w: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options, end of period</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3,529,833</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7.41</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194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options, end of period</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1,538,302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6.79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183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4740" w:type="dxa"/>
            <w:vAlign w:val="bottom"/>
          </w:tcPr>
          <w:p>
            <w:pPr>
              <w:spacing w:after="0"/>
              <w:rPr>
                <w:sz w:val="24"/>
                <w:szCs w:val="24"/>
                <w:color w:val="auto"/>
              </w:rPr>
            </w:pPr>
          </w:p>
        </w:tc>
        <w:tc>
          <w:tcPr>
            <w:tcW w:w="15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4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type w:val="continuous"/>
        </w:sectPr>
      </w:pPr>
    </w:p>
    <w:bookmarkStart w:id="80" w:name="page81"/>
    <w:bookmarkEnd w:id="80"/>
    <w:tbl>
      <w:tblPr>
        <w:tblLayout w:type="fixed"/>
        <w:tblInd w:w="0" w:type="dxa"/>
        <w:tblCellMar>
          <w:top w:w="0" w:type="dxa"/>
          <w:left w:w="0" w:type="dxa"/>
          <w:bottom w:w="0" w:type="dxa"/>
          <w:right w:w="0" w:type="dxa"/>
        </w:tblCellMar>
      </w:tblPr>
      <w:tr>
        <w:trPr>
          <w:trHeight w:val="190"/>
        </w:trPr>
        <w:tc>
          <w:tcPr>
            <w:tcW w:w="47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120" w:type="dxa"/>
            <w:vAlign w:val="bottom"/>
            <w:gridSpan w:val="4"/>
          </w:tcPr>
          <w:p>
            <w:pPr>
              <w:ind w:left="420"/>
              <w:spacing w:after="0"/>
              <w:rPr>
                <w:sz w:val="20"/>
                <w:szCs w:val="20"/>
                <w:color w:val="auto"/>
              </w:rPr>
            </w:pPr>
            <w:r>
              <w:rPr>
                <w:rFonts w:ascii="Times New Roman" w:cs="Times New Roman" w:eastAsia="Times New Roman" w:hAnsi="Times New Roman"/>
                <w:sz w:val="14"/>
                <w:szCs w:val="14"/>
                <w:b w:val="1"/>
                <w:bCs w:val="1"/>
                <w:color w:val="auto"/>
              </w:rPr>
              <w:t>For the year ended June 30, 2021</w:t>
            </w: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740" w:type="dxa"/>
            <w:vAlign w:val="bottom"/>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9"/>
        </w:trPr>
        <w:tc>
          <w:tcPr>
            <w:tcW w:w="47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40" w:type="dxa"/>
            <w:vAlign w:val="bottom"/>
          </w:tcPr>
          <w:p>
            <w:pPr>
              <w:spacing w:after="0"/>
              <w:rPr>
                <w:sz w:val="24"/>
                <w:szCs w:val="24"/>
                <w:color w:val="auto"/>
              </w:rPr>
            </w:pPr>
          </w:p>
        </w:tc>
        <w:tc>
          <w:tcPr>
            <w:tcW w:w="140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46"/>
        </w:trPr>
        <w:tc>
          <w:tcPr>
            <w:tcW w:w="4740" w:type="dxa"/>
            <w:vAlign w:val="bottom"/>
          </w:tcPr>
          <w:p>
            <w:pPr>
              <w:spacing w:after="0"/>
              <w:rPr>
                <w:sz w:val="12"/>
                <w:szCs w:val="12"/>
                <w:color w:val="auto"/>
              </w:rPr>
            </w:pPr>
          </w:p>
        </w:tc>
        <w:tc>
          <w:tcPr>
            <w:tcW w:w="16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16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64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Remaining Contractual</w:t>
            </w:r>
          </w:p>
        </w:tc>
        <w:tc>
          <w:tcPr>
            <w:tcW w:w="140" w:type="dxa"/>
            <w:vAlign w:val="bottom"/>
          </w:tcPr>
          <w:p>
            <w:pPr>
              <w:spacing w:after="0"/>
              <w:rPr>
                <w:sz w:val="12"/>
                <w:szCs w:val="12"/>
                <w:color w:val="auto"/>
              </w:rPr>
            </w:pPr>
          </w:p>
        </w:tc>
        <w:tc>
          <w:tcPr>
            <w:tcW w:w="1400" w:type="dxa"/>
            <w:vAlign w:val="bottom"/>
          </w:tcPr>
          <w:p>
            <w:pPr>
              <w:jc w:val="center"/>
              <w:ind w:right="58"/>
              <w:spacing w:after="0" w:line="146"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98"/>
        </w:trPr>
        <w:tc>
          <w:tcPr>
            <w:tcW w:w="4740" w:type="dxa"/>
            <w:vAlign w:val="bottom"/>
          </w:tcPr>
          <w:p>
            <w:pPr>
              <w:spacing w:after="0"/>
              <w:rPr>
                <w:sz w:val="17"/>
                <w:szCs w:val="17"/>
                <w:color w:val="auto"/>
              </w:rPr>
            </w:pPr>
          </w:p>
        </w:tc>
        <w:tc>
          <w:tcPr>
            <w:tcW w:w="16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Term (in years)</w:t>
            </w:r>
          </w:p>
        </w:tc>
        <w:tc>
          <w:tcPr>
            <w:tcW w:w="140" w:type="dxa"/>
            <w:vAlign w:val="bottom"/>
          </w:tcPr>
          <w:p>
            <w:pPr>
              <w:spacing w:after="0"/>
              <w:rPr>
                <w:sz w:val="17"/>
                <w:szCs w:val="17"/>
                <w:color w:val="auto"/>
              </w:rPr>
            </w:pPr>
          </w:p>
        </w:tc>
        <w:tc>
          <w:tcPr>
            <w:tcW w:w="140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28"/>
        </w:trPr>
        <w:tc>
          <w:tcPr>
            <w:tcW w:w="4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options, beginning of period</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2,437,425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w:t>
            </w:r>
          </w:p>
        </w:tc>
        <w:tc>
          <w:tcPr>
            <w:tcW w:w="0" w:type="dxa"/>
            <w:vAlign w:val="bottom"/>
          </w:tcPr>
          <w:p>
            <w:pPr>
              <w:spacing w:after="0"/>
              <w:rPr>
                <w:sz w:val="1"/>
                <w:szCs w:val="1"/>
                <w:color w:val="auto"/>
              </w:rPr>
            </w:pPr>
          </w:p>
        </w:tc>
      </w:tr>
      <w:tr>
        <w:trPr>
          <w:trHeight w:val="229"/>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755,000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(74,667)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0" w:type="dxa"/>
            <w:vAlign w:val="bottom"/>
          </w:tcPr>
          <w:p>
            <w:pPr>
              <w:spacing w:after="0"/>
              <w:rPr>
                <w:sz w:val="1"/>
                <w:szCs w:val="1"/>
                <w:color w:val="auto"/>
              </w:rPr>
            </w:pPr>
          </w:p>
        </w:tc>
      </w:tr>
      <w:tr>
        <w:trPr>
          <w:trHeight w:val="23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(165,666)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Expired</w:t>
            </w: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options, end of period</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2,952,092</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100" w:type="dxa"/>
            <w:vAlign w:val="bottom"/>
          </w:tcPr>
          <w:p>
            <w:pPr>
              <w:spacing w:after="0"/>
              <w:rPr>
                <w:sz w:val="19"/>
                <w:szCs w:val="19"/>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14,419</w:t>
            </w: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options, end of period</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1,040,131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5,558</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8"/>
        </w:trPr>
        <w:tc>
          <w:tcPr>
            <w:tcW w:w="47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20" w:type="dxa"/>
            <w:vAlign w:val="bottom"/>
            <w:gridSpan w:val="4"/>
          </w:tcPr>
          <w:p>
            <w:pPr>
              <w:ind w:left="420"/>
              <w:spacing w:after="0"/>
              <w:rPr>
                <w:sz w:val="20"/>
                <w:szCs w:val="20"/>
                <w:color w:val="auto"/>
              </w:rPr>
            </w:pPr>
            <w:r>
              <w:rPr>
                <w:rFonts w:ascii="Times New Roman" w:cs="Times New Roman" w:eastAsia="Times New Roman" w:hAnsi="Times New Roman"/>
                <w:sz w:val="14"/>
                <w:szCs w:val="14"/>
                <w:b w:val="1"/>
                <w:bCs w:val="1"/>
                <w:color w:val="auto"/>
              </w:rPr>
              <w:t>For the year ended June 30, 2020</w:t>
            </w: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74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7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640" w:type="dxa"/>
            <w:vAlign w:val="bottom"/>
            <w:gridSpan w:val="2"/>
          </w:tcPr>
          <w:p>
            <w:pPr>
              <w:jc w:val="center"/>
              <w:ind w:right="120"/>
              <w:spacing w:after="0" w:line="131"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140" w:type="dxa"/>
            <w:vAlign w:val="bottom"/>
          </w:tcPr>
          <w:p>
            <w:pPr>
              <w:spacing w:after="0"/>
              <w:rPr>
                <w:sz w:val="11"/>
                <w:szCs w:val="11"/>
                <w:color w:val="auto"/>
              </w:rPr>
            </w:pPr>
          </w:p>
        </w:tc>
        <w:tc>
          <w:tcPr>
            <w:tcW w:w="1400" w:type="dxa"/>
            <w:vAlign w:val="bottom"/>
          </w:tcPr>
          <w:p>
            <w:pPr>
              <w:jc w:val="center"/>
              <w:ind w:right="58"/>
              <w:spacing w:after="0" w:line="131" w:lineRule="exact"/>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16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16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6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Remaining Contractual</w:t>
            </w:r>
          </w:p>
        </w:tc>
        <w:tc>
          <w:tcPr>
            <w:tcW w:w="140" w:type="dxa"/>
            <w:vAlign w:val="bottom"/>
          </w:tcPr>
          <w:p>
            <w:pPr>
              <w:spacing w:after="0"/>
              <w:rPr>
                <w:sz w:val="12"/>
                <w:szCs w:val="12"/>
                <w:color w:val="auto"/>
              </w:rPr>
            </w:pPr>
          </w:p>
        </w:tc>
        <w:tc>
          <w:tcPr>
            <w:tcW w:w="1400" w:type="dxa"/>
            <w:vAlign w:val="bottom"/>
          </w:tcPr>
          <w:p>
            <w:pPr>
              <w:jc w:val="center"/>
              <w:ind w:right="58"/>
              <w:spacing w:after="0" w:line="149"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95"/>
        </w:trPr>
        <w:tc>
          <w:tcPr>
            <w:tcW w:w="474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Term (in years)</w:t>
            </w:r>
          </w:p>
        </w:tc>
        <w:tc>
          <w:tcPr>
            <w:tcW w:w="140" w:type="dxa"/>
            <w:vAlign w:val="bottom"/>
          </w:tcPr>
          <w:p>
            <w:pPr>
              <w:spacing w:after="0"/>
              <w:rPr>
                <w:sz w:val="16"/>
                <w:szCs w:val="16"/>
                <w:color w:val="auto"/>
              </w:rPr>
            </w:pPr>
          </w:p>
        </w:tc>
        <w:tc>
          <w:tcPr>
            <w:tcW w:w="140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28"/>
        </w:trPr>
        <w:tc>
          <w:tcPr>
            <w:tcW w:w="4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options, beginning of period</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1,127,098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2,917</w:t>
            </w:r>
          </w:p>
        </w:tc>
        <w:tc>
          <w:tcPr>
            <w:tcW w:w="0" w:type="dxa"/>
            <w:vAlign w:val="bottom"/>
          </w:tcPr>
          <w:p>
            <w:pPr>
              <w:spacing w:after="0"/>
              <w:rPr>
                <w:sz w:val="1"/>
                <w:szCs w:val="1"/>
                <w:color w:val="auto"/>
              </w:rPr>
            </w:pPr>
          </w:p>
        </w:tc>
      </w:tr>
      <w:tr>
        <w:trPr>
          <w:trHeight w:val="229"/>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2,075,760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(440,435)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0" w:type="dxa"/>
            <w:vAlign w:val="bottom"/>
          </w:tcPr>
          <w:p>
            <w:pPr>
              <w:spacing w:after="0"/>
              <w:rPr>
                <w:sz w:val="1"/>
                <w:szCs w:val="1"/>
                <w:color w:val="auto"/>
              </w:rPr>
            </w:pPr>
          </w:p>
        </w:tc>
      </w:tr>
      <w:tr>
        <w:trPr>
          <w:trHeight w:val="229"/>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(324,998)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Expired</w:t>
            </w: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options, end of period</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2,437,425</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00" w:type="dxa"/>
            <w:vAlign w:val="bottom"/>
          </w:tcPr>
          <w:p>
            <w:pPr>
              <w:spacing w:after="0"/>
              <w:rPr>
                <w:sz w:val="19"/>
                <w:szCs w:val="19"/>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1,411</w:t>
            </w: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options, end of period</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560,871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weighted average grant date fair value per share for the Company's stock options granted during the years ended June 30, 2022, 2021, and 2020 was $5.12, $4.92, and $3.84, respectively. The total fair value of stock options vested during the years ended June 30, 2022, 2021, and 2020 was $3.0 million, $2.4 million, and $1.7 million,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based awards</w:t>
      </w:r>
    </w:p>
    <w:p>
      <w:pPr>
        <w:spacing w:after="0" w:line="227"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The Company has awarded stock options to certain executives which vest each year over a three to four year period. These stock options are also subject to the achievement of performance goals to be established by the Company's Board for each fiscal year.</w:t>
      </w:r>
    </w:p>
    <w:p>
      <w:pPr>
        <w:spacing w:after="0" w:line="200" w:lineRule="exact"/>
        <w:rPr>
          <w:sz w:val="20"/>
          <w:szCs w:val="20"/>
          <w:color w:val="auto"/>
        </w:rPr>
      </w:pPr>
    </w:p>
    <w:p>
      <w:pPr>
        <w:spacing w:after="0" w:line="2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January 27, 2021, the Compensation Committee of the Board of Directors established the performance metrics as a price target for the trading price of the Company’s common stock in each applicable fiscal year. The price target is achieved if the average closing price of the common stock during any consecutive 30-trading-day period during the applicable fiscal year meets or exceeds: (i) $10.50 in the case of fiscal year 2021; (ii) $13.50 in the case of fiscal year 2022; (iii) $16.50 in the case of fiscal year 2023; and (iv) $19.50 in the case of fiscal year 2024. If at least 80% of the performance goals for an applicable fiscal year are achieved, the Compensation Committee may determine that the portion of the option eligible to vest based on such fiscal year’s performance will vest on a prorated basis. In so determining, the Compensation Committee will consider the Company’s performance relative to its market competitors and any other considerations deemed relevant by the Compensation Committee. The Compensation Committee’s guideline is generally that for every percentage point the achieved price falls below the price target, the percentage of the performance options eligible to vest in respect of the applicable fiscal year should be reduced by 2%, but the Compensation Committee may vary this formula in its sole discretion.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these performance based awards that provide discretion to the Compensation Committee, a mutual understanding of the key</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terms and conditions between the Company and the employees have not yet been met and a grant date has not been established. When the service period begins prior to the grant date, the Company begins recognizing compensation cost before there is a grant date. The Company estimates the award's fair value at each reporting period for these equity classified awards, until the grant date, utilizing a Monte Carlo simulation valuation model. The total expense recognized during the years ended June 30, 2022 and 2021 for these awards was $1.0 million and $2.1 million, respectively.</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5"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i w:val="1"/>
          <w:iCs w:val="1"/>
          <w:color w:val="auto"/>
        </w:rPr>
        <w:t>STOCK GRANTS</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makes annual grants of restricted shares of common stock to executive officers pursuant to long-term stock incentive plans (“LTIPs”) which vest annually, typically over three years.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also grants restricted stock units ("RSU"s) to members of the board of directors as compensation for their service on the board as well as to employees as additional compensation. These stock awards typically vest over a one to three year period.</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Two employees of Hudson Executive, a greater than 10% shareholder and a related party of the Company, entered into consulting agreements with the Company in August and September of 2020, respectively, under which the consultants were to provide financial and strategic analysis and advisory services to the Company's CEO through July 31, 2021. As consideration for the services, in March 2021 the consultants were granted a total of 80,000 restricted stock units. The total expense recognized as of June 30, 2021 for these agreements was $0.8 million. These restricted stock units had fully vested as of June 30, 2021.</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August and September of 2021, the Company extended these consulting agreements to provide advisory services from August 1, 2021 through July 31, 2022. As consideration for the extended agreements the consultants were granted an additional 20,000 restricted stock units. The restricted stock units granted to each consultant vested in equal installments on January 1, 2022 and July 1, 2022. On February 2, 2022, the Board of Directors of the Company appointed one of the above mentioned employees of Hudson Executive as a director of the Company, effective immediately. In connection with the appointment to the Board, the consulting agreement for that individual was terminated, effective February 2, 2022. Total expense recognized for the year ended June 30, 2022 for these consulting agreements was $0.2 million.</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summary of the status of the Company’s nonvested common shares and RSUs as of June 30, 2022, 2021, and 2020, and changes during the years then ended is presented below:</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0" w:type="dxa"/>
            <w:vAlign w:val="bottom"/>
          </w:tcPr>
          <w:p>
            <w:pPr>
              <w:spacing w:after="0"/>
              <w:rPr>
                <w:sz w:val="1"/>
                <w:szCs w:val="1"/>
                <w:color w:val="auto"/>
              </w:rPr>
            </w:pPr>
          </w:p>
        </w:tc>
      </w:tr>
      <w:tr>
        <w:trPr>
          <w:trHeight w:val="137"/>
        </w:trPr>
        <w:tc>
          <w:tcPr>
            <w:tcW w:w="8440" w:type="dxa"/>
            <w:vAlign w:val="bottom"/>
          </w:tcPr>
          <w:p>
            <w:pPr>
              <w:spacing w:after="0"/>
              <w:rPr>
                <w:sz w:val="11"/>
                <w:szCs w:val="11"/>
                <w:color w:val="auto"/>
              </w:rPr>
            </w:pPr>
          </w:p>
        </w:tc>
        <w:tc>
          <w:tcPr>
            <w:tcW w:w="1320" w:type="dxa"/>
            <w:vAlign w:val="bottom"/>
            <w:vMerge w:val="restart"/>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jc w:val="center"/>
              <w:ind w:right="112"/>
              <w:spacing w:after="0" w:line="137"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0" w:type="dxa"/>
            <w:vAlign w:val="bottom"/>
          </w:tcPr>
          <w:p>
            <w:pPr>
              <w:spacing w:after="0"/>
              <w:rPr>
                <w:sz w:val="1"/>
                <w:szCs w:val="1"/>
                <w:color w:val="auto"/>
              </w:rPr>
            </w:pPr>
          </w:p>
        </w:tc>
      </w:tr>
      <w:tr>
        <w:trPr>
          <w:trHeight w:val="190"/>
        </w:trPr>
        <w:tc>
          <w:tcPr>
            <w:tcW w:w="844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3"/>
        </w:trPr>
        <w:tc>
          <w:tcPr>
            <w:tcW w:w="844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June 30, 2019</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38,971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0" w:type="dxa"/>
            <w:vAlign w:val="bottom"/>
          </w:tcPr>
          <w:p>
            <w:pPr>
              <w:spacing w:after="0"/>
              <w:rPr>
                <w:sz w:val="1"/>
                <w:szCs w:val="1"/>
                <w:color w:val="auto"/>
              </w:rPr>
            </w:pPr>
          </w:p>
        </w:tc>
      </w:tr>
      <w:tr>
        <w:trPr>
          <w:trHeight w:val="229"/>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651,715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(109,050)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0" w:type="dxa"/>
            <w:vAlign w:val="bottom"/>
          </w:tcPr>
          <w:p>
            <w:pPr>
              <w:spacing w:after="0"/>
              <w:rPr>
                <w:sz w:val="1"/>
                <w:szCs w:val="1"/>
                <w:color w:val="auto"/>
              </w:rPr>
            </w:pPr>
          </w:p>
        </w:tc>
      </w:tr>
      <w:tr>
        <w:trPr>
          <w:trHeight w:val="230"/>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(368,622)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0" w:type="dxa"/>
            <w:vAlign w:val="bottom"/>
          </w:tcPr>
          <w:p>
            <w:pPr>
              <w:spacing w:after="0"/>
              <w:rPr>
                <w:sz w:val="1"/>
                <w:szCs w:val="1"/>
                <w:color w:val="auto"/>
              </w:rPr>
            </w:pPr>
          </w:p>
        </w:tc>
      </w:tr>
      <w:tr>
        <w:trPr>
          <w:trHeight w:val="223"/>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June 30, 2020</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213,014</w:t>
            </w:r>
          </w:p>
        </w:tc>
        <w:tc>
          <w:tcPr>
            <w:tcW w:w="32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0" w:type="dxa"/>
            <w:vAlign w:val="bottom"/>
          </w:tcPr>
          <w:p>
            <w:pPr>
              <w:spacing w:after="0"/>
              <w:rPr>
                <w:sz w:val="1"/>
                <w:szCs w:val="1"/>
                <w:color w:val="auto"/>
              </w:rPr>
            </w:pPr>
          </w:p>
        </w:tc>
      </w:tr>
      <w:tr>
        <w:trPr>
          <w:trHeight w:val="23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187,848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(248,016)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0" w:type="dxa"/>
            <w:vAlign w:val="bottom"/>
          </w:tcPr>
          <w:p>
            <w:pPr>
              <w:spacing w:after="0"/>
              <w:rPr>
                <w:sz w:val="1"/>
                <w:szCs w:val="1"/>
                <w:color w:val="auto"/>
              </w:rPr>
            </w:pPr>
          </w:p>
        </w:tc>
      </w:tr>
      <w:tr>
        <w:trPr>
          <w:trHeight w:val="229"/>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320" w:type="dxa"/>
            <w:vAlign w:val="bottom"/>
            <w:tcBorders>
              <w:bottom w:val="single" w:sz="8" w:color="CCEEFF"/>
            </w:tcBorders>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0" w:type="dxa"/>
            <w:vAlign w:val="bottom"/>
          </w:tcPr>
          <w:p>
            <w:pPr>
              <w:spacing w:after="0"/>
              <w:rPr>
                <w:sz w:val="1"/>
                <w:szCs w:val="1"/>
                <w:color w:val="auto"/>
              </w:rPr>
            </w:pPr>
          </w:p>
        </w:tc>
      </w:tr>
      <w:tr>
        <w:trPr>
          <w:trHeight w:val="223"/>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June 30, 2021</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137,846</w:t>
            </w:r>
          </w:p>
        </w:tc>
        <w:tc>
          <w:tcPr>
            <w:tcW w:w="32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0" w:type="dxa"/>
            <w:vAlign w:val="bottom"/>
          </w:tcPr>
          <w:p>
            <w:pPr>
              <w:spacing w:after="0"/>
              <w:rPr>
                <w:sz w:val="1"/>
                <w:szCs w:val="1"/>
                <w:color w:val="auto"/>
              </w:rPr>
            </w:pPr>
          </w:p>
        </w:tc>
      </w:tr>
      <w:tr>
        <w:trPr>
          <w:trHeight w:val="229"/>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507,729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(101,515)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0" w:type="dxa"/>
            <w:vAlign w:val="bottom"/>
          </w:tcPr>
          <w:p>
            <w:pPr>
              <w:spacing w:after="0"/>
              <w:rPr>
                <w:sz w:val="1"/>
                <w:szCs w:val="1"/>
                <w:color w:val="auto"/>
              </w:rPr>
            </w:pPr>
          </w:p>
        </w:tc>
      </w:tr>
      <w:tr>
        <w:trPr>
          <w:trHeight w:val="230"/>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(95,152)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0" w:type="dxa"/>
            <w:vAlign w:val="bottom"/>
          </w:tcPr>
          <w:p>
            <w:pPr>
              <w:spacing w:after="0"/>
              <w:rPr>
                <w:sz w:val="1"/>
                <w:szCs w:val="1"/>
                <w:color w:val="auto"/>
              </w:rPr>
            </w:pPr>
          </w:p>
        </w:tc>
      </w:tr>
      <w:tr>
        <w:trPr>
          <w:trHeight w:val="248"/>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June 30, 2022</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448,908</w:t>
            </w:r>
          </w:p>
        </w:tc>
        <w:tc>
          <w:tcPr>
            <w:tcW w:w="3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BASED COMPENSATION EXPENSE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applies the fair value method to recognize compensation expense for stock-based awards. Using this method, the estimated grant-date fair value of the award is recognized over the requisite service period using the accelerated attribution method. The Company accounts for forfeitures as they occur.</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summary of the Company's stock-based compensation expense recognized during the years ended June 30, 2022, 2021, and 2020 is as follows (in thousands):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5" w:right="3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190"/>
        </w:trPr>
        <w:tc>
          <w:tcPr>
            <w:tcW w:w="7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40" w:type="dxa"/>
            <w:vAlign w:val="bottom"/>
            <w:gridSpan w:val="6"/>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For the year ended June 30,</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Award type</w:t>
            </w: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3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29"/>
        </w:trPr>
        <w:tc>
          <w:tcPr>
            <w:tcW w:w="7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4,424</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7,806</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w:t>
            </w:r>
          </w:p>
        </w:tc>
        <w:tc>
          <w:tcPr>
            <w:tcW w:w="0" w:type="dxa"/>
            <w:vAlign w:val="bottom"/>
          </w:tcPr>
          <w:p>
            <w:pPr>
              <w:spacing w:after="0"/>
              <w:rPr>
                <w:sz w:val="1"/>
                <w:szCs w:val="1"/>
                <w:color w:val="auto"/>
              </w:rPr>
            </w:pPr>
          </w:p>
        </w:tc>
      </w:tr>
      <w:tr>
        <w:trPr>
          <w:trHeight w:val="229"/>
        </w:trPr>
        <w:tc>
          <w:tcPr>
            <w:tcW w:w="73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Stock grants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0" w:type="dxa"/>
            <w:vAlign w:val="bottom"/>
          </w:tcPr>
          <w:p>
            <w:pPr>
              <w:spacing w:after="0"/>
              <w:rPr>
                <w:sz w:val="1"/>
                <w:szCs w:val="1"/>
                <w:color w:val="auto"/>
              </w:rPr>
            </w:pPr>
          </w:p>
        </w:tc>
      </w:tr>
      <w:tr>
        <w:trPr>
          <w:trHeight w:val="248"/>
        </w:trPr>
        <w:tc>
          <w:tcPr>
            <w:tcW w:w="73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3,029</w:t>
            </w:r>
          </w:p>
        </w:tc>
        <w:tc>
          <w:tcPr>
            <w:tcW w:w="0" w:type="dxa"/>
            <w:vAlign w:val="bottom"/>
          </w:tcPr>
          <w:p>
            <w:pPr>
              <w:spacing w:after="0"/>
              <w:rPr>
                <w:sz w:val="1"/>
                <w:szCs w:val="1"/>
                <w:color w:val="auto"/>
              </w:rPr>
            </w:pP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3"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Company recognized tax benefits of $0.6 million, $2.4 million, and $0.5 million related to stock compensation expense for the years ended June 30, 2022, 2021, and 2020.</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unrecognized stock-based compensation expense as of June 30, 2022 is as follows:</w:t>
      </w:r>
    </w:p>
    <w:p>
      <w:pPr>
        <w:spacing w:after="0" w:line="354"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8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80" w:type="dxa"/>
            <w:vAlign w:val="bottom"/>
            <w:gridSpan w:val="3"/>
          </w:tcPr>
          <w:p>
            <w:pPr>
              <w:jc w:val="right"/>
              <w:ind w:right="582"/>
              <w:spacing w:after="0"/>
              <w:rPr>
                <w:sz w:val="20"/>
                <w:szCs w:val="20"/>
                <w:color w:val="auto"/>
              </w:rPr>
            </w:pPr>
            <w:r>
              <w:rPr>
                <w:rFonts w:ascii="Times New Roman" w:cs="Times New Roman" w:eastAsia="Times New Roman" w:hAnsi="Times New Roman"/>
                <w:sz w:val="14"/>
                <w:szCs w:val="14"/>
                <w:b w:val="1"/>
                <w:bCs w:val="1"/>
                <w:color w:val="auto"/>
              </w:rPr>
              <w:t>As of June 30, 2022</w:t>
            </w:r>
          </w:p>
        </w:tc>
        <w:tc>
          <w:tcPr>
            <w:tcW w:w="0" w:type="dxa"/>
            <w:vAlign w:val="bottom"/>
          </w:tcPr>
          <w:p>
            <w:pPr>
              <w:spacing w:after="0"/>
              <w:rPr>
                <w:sz w:val="1"/>
                <w:szCs w:val="1"/>
                <w:color w:val="auto"/>
              </w:rPr>
            </w:pPr>
          </w:p>
        </w:tc>
      </w:tr>
      <w:tr>
        <w:trPr>
          <w:trHeight w:val="23"/>
        </w:trPr>
        <w:tc>
          <w:tcPr>
            <w:tcW w:w="8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8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Unrecognized</w:t>
            </w:r>
          </w:p>
        </w:tc>
        <w:tc>
          <w:tcPr>
            <w:tcW w:w="120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8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Recognition</w:t>
            </w:r>
          </w:p>
        </w:tc>
        <w:tc>
          <w:tcPr>
            <w:tcW w:w="0" w:type="dxa"/>
            <w:vAlign w:val="bottom"/>
          </w:tcPr>
          <w:p>
            <w:pPr>
              <w:spacing w:after="0"/>
              <w:rPr>
                <w:sz w:val="1"/>
                <w:szCs w:val="1"/>
                <w:color w:val="auto"/>
              </w:rPr>
            </w:pPr>
          </w:p>
        </w:tc>
      </w:tr>
      <w:tr>
        <w:trPr>
          <w:trHeight w:val="137"/>
        </w:trPr>
        <w:tc>
          <w:tcPr>
            <w:tcW w:w="8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Award type</w:t>
            </w:r>
          </w:p>
        </w:tc>
        <w:tc>
          <w:tcPr>
            <w:tcW w:w="140" w:type="dxa"/>
            <w:vAlign w:val="bottom"/>
          </w:tcPr>
          <w:p>
            <w:pPr>
              <w:spacing w:after="0"/>
              <w:rPr>
                <w:sz w:val="11"/>
                <w:szCs w:val="11"/>
                <w:color w:val="auto"/>
              </w:rPr>
            </w:pPr>
          </w:p>
        </w:tc>
        <w:tc>
          <w:tcPr>
            <w:tcW w:w="1180" w:type="dxa"/>
            <w:vAlign w:val="bottom"/>
            <w:gridSpan w:val="2"/>
          </w:tcPr>
          <w:p>
            <w:pPr>
              <w:jc w:val="center"/>
              <w:ind w:right="260"/>
              <w:spacing w:after="0" w:line="137" w:lineRule="exact"/>
              <w:rPr>
                <w:sz w:val="20"/>
                <w:szCs w:val="20"/>
                <w:color w:val="auto"/>
              </w:rPr>
            </w:pPr>
            <w:r>
              <w:rPr>
                <w:rFonts w:ascii="Times New Roman" w:cs="Times New Roman" w:eastAsia="Times New Roman" w:hAnsi="Times New Roman"/>
                <w:sz w:val="14"/>
                <w:szCs w:val="14"/>
                <w:b w:val="1"/>
                <w:bCs w:val="1"/>
                <w:color w:val="auto"/>
              </w:rPr>
              <w:t>Expense</w:t>
            </w:r>
          </w:p>
        </w:tc>
        <w:tc>
          <w:tcPr>
            <w:tcW w:w="120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190"/>
        </w:trPr>
        <w:tc>
          <w:tcPr>
            <w:tcW w:w="86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0" w:type="dxa"/>
            <w:vAlign w:val="bottom"/>
          </w:tcPr>
          <w:p>
            <w:pPr>
              <w:spacing w:after="0"/>
              <w:rPr>
                <w:sz w:val="1"/>
                <w:szCs w:val="1"/>
                <w:color w:val="auto"/>
              </w:rPr>
            </w:pPr>
          </w:p>
        </w:tc>
      </w:tr>
      <w:tr>
        <w:trPr>
          <w:trHeight w:val="23"/>
        </w:trPr>
        <w:tc>
          <w:tcPr>
            <w:tcW w:w="8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4,223</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4"/>
        </w:trPr>
        <w:tc>
          <w:tcPr>
            <w:tcW w:w="8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 grants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2,131</w:t>
            </w: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bl>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PREFERRED STOCK</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authorized Preferred Stock may be issued from time to time in one or more series, each series with such rights, preferences or restrictions as determined by the Board of Directors. As of June 30, 2022 each share of Series A Convertible Preferred Stock is convertible into 0.1988 of a share of Common Stock and each share of Series A Convertible Preferred Stock is entitled to 0.1988 of a vote on all matters on which the holders of Common Stock are entitled to vote. Series A Convertible Preferred Stock provides for an annual cumulative dividend of $1.50 per share, payable when, and if declared by the Board of Directors, to the shareholders of record in equal parts on February 1 and August 1 of each year. Any and all accumulated and unpaid cash dividends on the Series A Convertible Preferred Stock must be declared and paid prior to the declaration and payment of any dividends on the Common Stock.</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Series A Convertible Preferred Stock may be called for redemption at the option of the Board of Directors for a price of $11.00 per share plus payment of all accrued and unpaid dividends. No such redemption has occurred as of June 30, 2022. In the event of any liquidation as defined in the Company’s Articles of Incorporation, the holders of shares of Series A Convertible Preferred Stock issued shall be entitled to receive $10.00 for each outstanding share plus all cumulative unpaid dividends. If funds are insufficient for this distribution, the assets available will be distributed ratably among the preferred shareholders. The Series A Convertible Preferred Stock liquidation preference as of June 30, 2022 and 2021 is as follows: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60" w:type="dxa"/>
            <w:vAlign w:val="bottom"/>
          </w:tcPr>
          <w:p>
            <w:pPr>
              <w:spacing w:after="0"/>
              <w:rPr>
                <w:sz w:val="13"/>
                <w:szCs w:val="13"/>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60" w:type="dxa"/>
            <w:vAlign w:val="bottom"/>
          </w:tcPr>
          <w:p>
            <w:pPr>
              <w:spacing w:after="0"/>
              <w:rPr>
                <w:sz w:val="13"/>
                <w:szCs w:val="13"/>
                <w:color w:val="auto"/>
              </w:rPr>
            </w:pPr>
          </w:p>
        </w:tc>
        <w:tc>
          <w:tcPr>
            <w:tcW w:w="1060" w:type="dxa"/>
            <w:vAlign w:val="bottom"/>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95"/>
        </w:trPr>
        <w:tc>
          <w:tcPr>
            <w:tcW w:w="844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8"/>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 shares outstanding at $10.00 per share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4,451</w:t>
            </w:r>
          </w:p>
        </w:tc>
        <w:tc>
          <w:tcPr>
            <w:tcW w:w="0" w:type="dxa"/>
            <w:vAlign w:val="bottom"/>
          </w:tcPr>
          <w:p>
            <w:pPr>
              <w:spacing w:after="0"/>
              <w:rPr>
                <w:sz w:val="1"/>
                <w:szCs w:val="1"/>
                <w:color w:val="auto"/>
              </w:rPr>
            </w:pPr>
          </w:p>
        </w:tc>
      </w:tr>
      <w:tr>
        <w:trPr>
          <w:trHeight w:val="230"/>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Cumulative unpaid dividends</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17,662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16,996</w:t>
            </w:r>
          </w:p>
        </w:tc>
        <w:tc>
          <w:tcPr>
            <w:tcW w:w="0" w:type="dxa"/>
            <w:vAlign w:val="bottom"/>
          </w:tcPr>
          <w:p>
            <w:pPr>
              <w:spacing w:after="0"/>
              <w:rPr>
                <w:sz w:val="1"/>
                <w:szCs w:val="1"/>
                <w:color w:val="auto"/>
              </w:rPr>
            </w:pPr>
          </w:p>
        </w:tc>
      </w:tr>
      <w:tr>
        <w:trPr>
          <w:trHeight w:val="248"/>
        </w:trPr>
        <w:tc>
          <w:tcPr>
            <w:tcW w:w="84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21,447</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determined that its Series A Convertible Preferred Stock is contingently redeemable due to the existence of deemed liquidation provisions contained in its certificate of incorporation, and therefore classifies its convertible preferred stock outside of permanent equity. The Company has not made any adjustments to the carrying value of the Series A Convertible Preferred Stock to reflect the liquidation value of the shares because the Company has determined that a deemed liquidation event is not probable of occurring.</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Cumulative unpaid dividends are convertible into common shares at $1,000 per common share at the option of the shareholder. During the years ended June 30, 2022, 2021 and 2020, no shares of Preferred Stock nor cumulative preferred dividends were converted into shares of common stock.</w:t>
      </w:r>
    </w:p>
    <w:p>
      <w:pPr>
        <w:sectPr>
          <w:pgSz w:w="11900" w:h="16838" w:orient="portrait"/>
          <w:cols w:equalWidth="0" w:num="1">
            <w:col w:w="11240"/>
          </w:cols>
          <w:pgMar w:left="320" w:top="12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5" w:right="339" w:bottom="1440"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color w:val="auto"/>
        </w:rPr>
        <w:t>17. RETIREMENT PLAN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401(k) Plan (the “Retirement Plan”) allows employees to make voluntary contributions, beginning on their first day of active employment, up to a maximum of 100% of their annual compensation, as defined in the Retirement Plan. The Company may, in its discretion, make a matching contribution, a profit sharing contribution, a qualified non-elective contribution, and/or a safe harbor 401(k) contribution to the Retirement Plan. The Company must make an annual election, at the beginning of the plan year, as to whether it will make a safe harbor contribution to the plan. In fiscal years 2022, 2021 and 2020, the Company elected and made safe harbor matching contributions of 100% of the participant’s first 3% and 50% of the next 2% of compensation deferred into the Retirement Plan. The Company’s safe harbor contributions for the years ended June 30, 2022, 2021 and 2020 approximated $0.7 million, $0.2 million and $0.5 million, respectively, and are included within general and administrative expenses within our Consolidated Statements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COMMITMENTS AND CONTINGENCIES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 party to litigation and other proceedings that arise in the ordinary course of our business. These types of matters could result in fines, penalties, compensatory or treble damages or non-monetary sanctions or relief. In accordance with the accounting guidance for contingencies, we reserve for litigation claims and assessments asserted or threatened against us when a loss is probable and the amount of the loss can be reasonably estimated. We cannot predict the outcome of legal or other proceedings with certainty.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Department of Justice Subpoena</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previously reported, in the third quarter of fiscal year 2020, the Company responded to a subpoena received from the U.S. Department of Justice (“DOJ”) that sought records regarding Company activities that occurred during prior financial reporting periods, including restatements. During the current fiscal year, the DOJ staff has notified us that they have concluded their investigation and that they do not intend to proceed with any further investigation or enforcement.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and Exchange Commission (“SEC”) Inquiries</w:t>
      </w:r>
    </w:p>
    <w:p>
      <w:pPr>
        <w:spacing w:after="0" w:line="24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Since fiscal year 2019, the Company has received inquiries from the SEC into the facts and circumstances of the 2019 Investigation and has fully cooperated with these inquiries.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Commitments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2022, the Company had firm commitments to purchase inventory of approximately $21.4 million over the next two years.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RELATED PARTY TRANSACTIONS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member of our Board of Directors serves as a strategic advisor to a consulting firm that we utilize for payments analytics and advisory services. These services are utilized by the Company to reduce the cost of our interchange and other processing fees charged by payment processors and credit card networks. As consideration for the services, we pay the consulting firm a success fee based on the savings realized by the Company and a recurring monthly subscription fee for the analytics services. The total expense recognized within Cost of subscription and transaction fees for the year ended June 30, 2022 for these arrangements was $1.1 million. The Company did not recognize an expense related to this arrangement for the ended June 30, 2021.</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Note 15 - Stock-based Compensation</w:t>
      </w:r>
      <w:r>
        <w:rPr>
          <w:rFonts w:ascii="Times New Roman" w:cs="Times New Roman" w:eastAsia="Times New Roman" w:hAnsi="Times New Roman"/>
          <w:sz w:val="18"/>
          <w:szCs w:val="18"/>
          <w:color w:val="auto"/>
        </w:rPr>
        <w:t xml:space="preserve"> for information on transactions relating to Hudson Executive.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Evaluation of Disclosure Controls and Procedures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to ensure that information required to be disclosed by us in the reports that we file or submit under the Securities Exchange Act of 1934, as amended (the “Exchange Act”), is recorded, processed, summarized and reported within the time periods specified in the SEC’s rules and forms, and that such information is accumulated and communicated to our management, including our chief executive officer and chief financial officer, to allow timely decisions regarding required disclosure.</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Chief Executive Officer and Chief Financial Officer, after evaluating the effectiveness of our disclosure controls and procedures (as defined in Exchange Act Rules 13a-15(e) and 15d-15(e)), have concluded that, due to the existence of material weaknesses in our internal controls in the Company’s internal control over financial reporting described below, and based on the evaluation of these controls and procedures required by paragraph (b) of Exchange Act Rules 13a-15 or 15d-15, that the Company’s disclosure controls and procedures were not effective as of June 30, 2022.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Notwithstanding the existence of the material weaknesses described below, management believes that the consolidated financial statements and related financial information included in this Annual Report on Form 10-K fairly present, in all material respects, our financial position, results of operations and cash flows as of and for the periods presented, in conformity with generally accepted accounting principles in the United States of America (“GAAP”). Furthermore, we believe that the audited consolidated financial statements included in this Annual Report on Form 10-K are accurate.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Management’s Report on Internal Control over Financial Reporting</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of the Company is responsible for establishing and maintaining adequate internal control over financial reporting, as such term is defined in Exchange Act Rules 13a-15(f) and 15d-15(f). The Company’s internal control over financial reporting is a process designed by, or under the supervision of, our Chief Executive Officer and Chief Financial Officer, to provide reasonable assurance regarding the reliability of financial reporting and the preparation of financial statements for external purposes in accordance with generally accepted accounting principles.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all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Management, including our Chief Executive Officer and Chief Financial Officer, assessed the effectiveness of the Company’s internal control over financial reporting as of June 30, 2022. In making this assessment, management used the criteria set forth by the Committee of Sponsoring Organizations of the Treadway Commission (COSO) the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This evaluation included review of the documentation of controls, evaluation of the design effectiveness of controls, testing of the operating effectiveness of controls and a conclusion on this evaluation. Based on its assessment, management has concluded that the Company did not maintain effective internal control over financial reporting as of June 30, 2022, due to the following material weaknesses:</w:t>
      </w:r>
    </w:p>
    <w:p>
      <w:pPr>
        <w:spacing w:after="0" w:line="336" w:lineRule="exact"/>
        <w:rPr>
          <w:sz w:val="20"/>
          <w:szCs w:val="20"/>
          <w:color w:val="auto"/>
        </w:rPr>
      </w:pPr>
    </w:p>
    <w:p>
      <w:pPr>
        <w:jc w:val="both"/>
        <w:ind w:left="660" w:hanging="328"/>
        <w:spacing w:after="0" w:line="254" w:lineRule="auto"/>
        <w:tabs>
          <w:tab w:leader="none" w:pos="648"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Management did not maintain appropriately designed entity-level controls impacting the control environment, risk assessment procedures, and monitoring activities to prevent or detect material misstatements to the consolidated financial statements. These deficiencies were attributed to insufficient identification and assessment of risks impacting the design, implementation, and operating effectiveness of internal controls over financial reporting, and insufficient evaluation and determination as to whether components of internal control were present and functioning based upon evidence maintained for activity level controls, including management review controls, across substantially all of the Company’s financial statement areas.</w:t>
      </w:r>
    </w:p>
    <w:p>
      <w:pPr>
        <w:spacing w:after="0" w:line="78" w:lineRule="exact"/>
        <w:rPr>
          <w:rFonts w:ascii="Times New Roman" w:cs="Times New Roman" w:eastAsia="Times New Roman" w:hAnsi="Times New Roman"/>
          <w:sz w:val="20"/>
          <w:szCs w:val="20"/>
          <w:color w:val="auto"/>
        </w:rPr>
      </w:pPr>
    </w:p>
    <w:p>
      <w:pPr>
        <w:jc w:val="both"/>
        <w:ind w:left="660" w:hanging="328"/>
        <w:spacing w:after="0" w:line="261"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did not maintain effective information technology general controls in the areas of user access management, change management, and segregation of duties, within its systems supporting the Company’s accounting and reporting processes. Many of the Company’s manual controls dependent upon the information derived from these information technology systems were also ineffective, as management did not design and implement controls to</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85" w:name="page86"/>
    <w:bookmarkEnd w:id="85"/>
    <w:p>
      <w:pPr>
        <w:ind w:left="660"/>
        <w:spacing w:after="0" w:line="282" w:lineRule="auto"/>
        <w:rPr>
          <w:sz w:val="20"/>
          <w:szCs w:val="20"/>
          <w:color w:val="auto"/>
        </w:rPr>
      </w:pPr>
      <w:r>
        <w:rPr>
          <w:rFonts w:ascii="Times New Roman" w:cs="Times New Roman" w:eastAsia="Times New Roman" w:hAnsi="Times New Roman"/>
          <w:sz w:val="18"/>
          <w:szCs w:val="18"/>
          <w:color w:val="auto"/>
        </w:rPr>
        <w:t>validate the completeness and accuracy of underlying data utilized in the operation of those manual controls (referred to as information provided by the entity or IPE).</w:t>
      </w:r>
    </w:p>
    <w:p>
      <w:pPr>
        <w:spacing w:after="0" w:line="54" w:lineRule="exact"/>
        <w:rPr>
          <w:sz w:val="20"/>
          <w:szCs w:val="20"/>
          <w:color w:val="auto"/>
        </w:rPr>
      </w:pPr>
    </w:p>
    <w:p>
      <w:pPr>
        <w:jc w:val="both"/>
        <w:ind w:left="660" w:hanging="328"/>
        <w:spacing w:after="0" w:line="258"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did not appropriately design and maintain controls over certain aspects of its revenue recognition process and related accounts, including controls over the appropriate identification of performance obligations within customer contracts, allocation of transaction price to those performance obligations, identification of transactions requiring gross presentation, input of executed contract terms into the Company’s information systems that perform revenue recognition, including the completeness and accuracy of reports utilized in the operation of controls over revenue recognition.</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these material weaknesses did not result in any material misstatement of our consolidated financial statements for the periods presented, there is a possibility they could lead to a material misstatement of account balances or disclosures. Accordingly, management has concluded that these control deficiencies constitute material weaknesses.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Management’s Plan for Remediation</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response to the material weaknesses, management, with oversight of the Audit Committee of the Board of Directors, has identified and begun to implement steps to remediate the material weaknesses. Our internal control remediation efforts include the following:</w:t>
      </w:r>
    </w:p>
    <w:p>
      <w:pPr>
        <w:spacing w:after="0" w:line="189" w:lineRule="exact"/>
        <w:rPr>
          <w:sz w:val="20"/>
          <w:szCs w:val="20"/>
          <w:color w:val="auto"/>
        </w:rPr>
      </w:pPr>
    </w:p>
    <w:p>
      <w:pPr>
        <w:jc w:val="both"/>
        <w:ind w:left="660" w:hanging="328"/>
        <w:spacing w:after="0" w:line="266"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policies and procedures to improve our overall control environment and develop proper monitoring controls around timely evaluation and communication of internal control deficiencies to those parties responsible for taking corrective action, including senior management and the board of directors, as appropriate.</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user access provisioning and monitoring controls to enforce appropriate system access and segregation of duties.</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recruited and continue to recruit key positions within our technology, accounting, internal audit and other support functions that will further enhance internal control capabilities, allow for appropriate segregation of duties and change management, and provide appropriate oversight and reviews.</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began improving the completeness and accuracy of underlying data used in the operation of certain controls within its financial reporting process in the fourth quarter of fiscal year 2022 by working with control preparers and reviewers to enhance documentation and properly identifying control attributes. An IPE checklist has also been prepared to assist in this process.</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redesigning existing management review controls including input of executed contract terms into the Company’s information systems that perform revenue recognition.</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committed to ensuring that our internal controls over financial reporting are designed and operating effectively. Management believes the efforts taken to date and the planned remediation will improve the effectiveness of our internal control over financial reporting. While these remediation efforts are ongoing, the controls must be operating effectively for a sufficient period of time and be tested by management in order to consider them remediated and conclude that the design is effective to address the risks of material misstatement. The company anticipates completing the remediation of the controls related to revenue and associated accounts by the third quarter of fiscal year 2023. We also anticipate the remediation of the identified material weakness regarding information technology general controls and management’s design and monitoring activities of entity level controls to be remediated by the end of fiscal year 2023.</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Attestation Report of Independent Registered Public Accounting Firm</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independent registered public accounting firm, BDO USA, LLP, as auditor of our consolidated financial statements included in this Annual Report on Form 10-K, has issued an attestation report on the effectiveness of our internal control over financial reporting as of June 30, 2022.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Changes in Internal Control Over Financial Reporting</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than the material weaknesses and the management remediation plan described above, there were no changes in the Company’s internal controls over financial reporting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9C. Disclosure regarding Foreign Jurisdictions that Prevent Inspections.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887" w:right="1440"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our definitive Proxy Statement for our 2023 Annual Meeting of Stockholders, which will be filed with the SEC no later than 120 days after June 30,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our definitive Proxy Statement for our 2023 Annual Meeting of Stockholders, which will be filed with the SEC no later than 120 days after June 30, 2022.</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Shareholder Matters.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our definitive Proxy Statement for our 2023 Annual Meeting of Stockholders, which will be filed with the SEC no later than 120 days after June 30,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our definitive Proxy Statement for our 2023 Annual Meeting of Stockholders, which will be filed with the SEC no later than 120 days after June 30,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our definitive Proxy Statement for our 2023 Annual Meeting of Stockholders, which will be filed with the SEC no later than 120 days after June 30, 2022.</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shd w:val="clear" w:color="auto" w:fill="CCEEFF"/>
          </w:tcPr>
          <w:p>
            <w:pPr>
              <w:spacing w:after="0"/>
              <w:rPr>
                <w:sz w:val="13"/>
                <w:szCs w:val="13"/>
                <w:color w:val="auto"/>
              </w:rPr>
            </w:pPr>
          </w:p>
        </w:tc>
        <w:tc>
          <w:tcPr>
            <w:tcW w:w="10020" w:type="dxa"/>
            <w:vAlign w:val="bottom"/>
            <w:gridSpan w:val="20"/>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203"/>
        </w:trPr>
        <w:tc>
          <w:tcPr>
            <w:tcW w:w="1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shd w:val="clear" w:color="auto" w:fill="CCEEFF"/>
          </w:tcPr>
          <w:p>
            <w:pPr>
              <w:spacing w:after="0"/>
              <w:rPr>
                <w:sz w:val="17"/>
                <w:szCs w:val="17"/>
                <w:color w:val="auto"/>
              </w:rPr>
            </w:pPr>
          </w:p>
        </w:tc>
        <w:tc>
          <w:tcPr>
            <w:tcW w:w="10020" w:type="dxa"/>
            <w:vAlign w:val="bottom"/>
            <w:gridSpan w:val="20"/>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10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840" w:type="dxa"/>
            <w:vAlign w:val="bottom"/>
            <w:tcBorders>
              <w:top w:val="single" w:sz="8" w:color="auto"/>
            </w:tcBorders>
          </w:tcPr>
          <w:p>
            <w:pPr>
              <w:spacing w:after="0"/>
              <w:rPr>
                <w:sz w:val="2"/>
                <w:szCs w:val="2"/>
                <w:color w:val="auto"/>
              </w:rPr>
            </w:pPr>
          </w:p>
        </w:tc>
        <w:tc>
          <w:tcPr>
            <w:tcW w:w="1580" w:type="dxa"/>
            <w:vAlign w:val="bottom"/>
            <w:tcBorders>
              <w:top w:val="single" w:sz="8" w:color="auto"/>
            </w:tcBorders>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1460" w:type="dxa"/>
            <w:vAlign w:val="bottom"/>
            <w:tcBorders>
              <w:top w:val="single" w:sz="8" w:color="auto"/>
            </w:tcBorders>
          </w:tcPr>
          <w:p>
            <w:pPr>
              <w:spacing w:after="0"/>
              <w:rPr>
                <w:sz w:val="2"/>
                <w:szCs w:val="2"/>
                <w:color w:val="auto"/>
              </w:rPr>
            </w:pPr>
          </w:p>
        </w:tc>
        <w:tc>
          <w:tcPr>
            <w:tcW w:w="1160" w:type="dxa"/>
            <w:vAlign w:val="bottom"/>
            <w:tcBorders>
              <w:top w:val="single" w:sz="8" w:color="auto"/>
            </w:tcBorders>
          </w:tcPr>
          <w:p>
            <w:pPr>
              <w:spacing w:after="0"/>
              <w:rPr>
                <w:sz w:val="2"/>
                <w:szCs w:val="2"/>
                <w:color w:val="auto"/>
              </w:rPr>
            </w:pPr>
          </w:p>
        </w:tc>
        <w:tc>
          <w:tcPr>
            <w:tcW w:w="168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10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20" w:type="dxa"/>
            <w:vAlign w:val="bottom"/>
            <w:gridSpan w:val="20"/>
            <w:shd w:val="clear" w:color="auto" w:fill="CCEEFF"/>
          </w:tcPr>
          <w:p>
            <w:pPr>
              <w:spacing w:after="0" w:line="189"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Amended and Restated Articles of Incorporation, (incorporated by reference to Exhibit 3.1 to Form 10-Q filed on February 4, 2022).</w:t>
              </w:r>
            </w:hyperlink>
          </w:p>
        </w:tc>
        <w:tc>
          <w:tcPr>
            <w:tcW w:w="0" w:type="dxa"/>
            <w:vAlign w:val="bottom"/>
          </w:tcPr>
          <w:p>
            <w:pPr>
              <w:spacing w:after="0"/>
              <w:rPr>
                <w:sz w:val="1"/>
                <w:szCs w:val="1"/>
                <w:color w:val="auto"/>
              </w:rPr>
            </w:pPr>
          </w:p>
        </w:tc>
      </w:tr>
      <w:tr>
        <w:trPr>
          <w:trHeight w:val="54"/>
        </w:trPr>
        <w:tc>
          <w:tcPr>
            <w:tcW w:w="10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840" w:type="dxa"/>
            <w:vAlign w:val="bottom"/>
            <w:tcBorders>
              <w:top w:val="single" w:sz="8" w:color="0000FF"/>
            </w:tcBorders>
          </w:tcPr>
          <w:p>
            <w:pPr>
              <w:spacing w:after="0"/>
              <w:rPr>
                <w:sz w:val="4"/>
                <w:szCs w:val="4"/>
                <w:color w:val="auto"/>
              </w:rPr>
            </w:pPr>
          </w:p>
        </w:tc>
        <w:tc>
          <w:tcPr>
            <w:tcW w:w="158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1460" w:type="dxa"/>
            <w:vAlign w:val="bottom"/>
            <w:tcBorders>
              <w:top w:val="single" w:sz="8" w:color="0000FF"/>
            </w:tcBorders>
          </w:tcPr>
          <w:p>
            <w:pPr>
              <w:spacing w:after="0"/>
              <w:rPr>
                <w:sz w:val="4"/>
                <w:szCs w:val="4"/>
                <w:color w:val="auto"/>
              </w:rPr>
            </w:pPr>
          </w:p>
        </w:tc>
        <w:tc>
          <w:tcPr>
            <w:tcW w:w="1160" w:type="dxa"/>
            <w:vAlign w:val="bottom"/>
            <w:tcBorders>
              <w:top w:val="single" w:sz="8" w:color="0000FF"/>
            </w:tcBorders>
          </w:tcPr>
          <w:p>
            <w:pPr>
              <w:spacing w:after="0"/>
              <w:rPr>
                <w:sz w:val="4"/>
                <w:szCs w:val="4"/>
                <w:color w:val="auto"/>
              </w:rPr>
            </w:pPr>
          </w:p>
        </w:tc>
        <w:tc>
          <w:tcPr>
            <w:tcW w:w="168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10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20" w:type="dxa"/>
            <w:vAlign w:val="bottom"/>
            <w:gridSpan w:val="20"/>
            <w:shd w:val="clear" w:color="auto" w:fill="CCEEFF"/>
          </w:tcPr>
          <w:p>
            <w:pPr>
              <w:spacing w:after="0" w:line="189"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Second Amended and Restated Bylaws (incorporated by reference to Exhibit 3.1 to Form 8-K filed on August 10, 2021).</w:t>
              </w:r>
            </w:hyperlink>
          </w:p>
        </w:tc>
        <w:tc>
          <w:tcPr>
            <w:tcW w:w="0" w:type="dxa"/>
            <w:vAlign w:val="bottom"/>
          </w:tcPr>
          <w:p>
            <w:pPr>
              <w:spacing w:after="0"/>
              <w:rPr>
                <w:sz w:val="1"/>
                <w:szCs w:val="1"/>
                <w:color w:val="auto"/>
              </w:rPr>
            </w:pPr>
          </w:p>
        </w:tc>
      </w:tr>
      <w:tr>
        <w:trPr>
          <w:trHeight w:val="54"/>
        </w:trPr>
        <w:tc>
          <w:tcPr>
            <w:tcW w:w="10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840" w:type="dxa"/>
            <w:vAlign w:val="bottom"/>
            <w:tcBorders>
              <w:top w:val="single" w:sz="8" w:color="0000FF"/>
            </w:tcBorders>
          </w:tcPr>
          <w:p>
            <w:pPr>
              <w:spacing w:after="0"/>
              <w:rPr>
                <w:sz w:val="4"/>
                <w:szCs w:val="4"/>
                <w:color w:val="auto"/>
              </w:rPr>
            </w:pPr>
          </w:p>
        </w:tc>
        <w:tc>
          <w:tcPr>
            <w:tcW w:w="158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1460" w:type="dxa"/>
            <w:vAlign w:val="bottom"/>
            <w:tcBorders>
              <w:top w:val="single" w:sz="8" w:color="0000FF"/>
            </w:tcBorders>
          </w:tcPr>
          <w:p>
            <w:pPr>
              <w:spacing w:after="0"/>
              <w:rPr>
                <w:sz w:val="4"/>
                <w:szCs w:val="4"/>
                <w:color w:val="auto"/>
              </w:rPr>
            </w:pPr>
          </w:p>
        </w:tc>
        <w:tc>
          <w:tcPr>
            <w:tcW w:w="1160" w:type="dxa"/>
            <w:vAlign w:val="bottom"/>
            <w:tcBorders>
              <w:top w:val="single" w:sz="8" w:color="0000FF"/>
            </w:tcBorders>
          </w:tcPr>
          <w:p>
            <w:pPr>
              <w:spacing w:after="0"/>
              <w:rPr>
                <w:sz w:val="4"/>
                <w:szCs w:val="4"/>
                <w:color w:val="auto"/>
              </w:rPr>
            </w:pPr>
          </w:p>
        </w:tc>
        <w:tc>
          <w:tcPr>
            <w:tcW w:w="1680" w:type="dxa"/>
            <w:vAlign w:val="bottom"/>
            <w:tcBorders>
              <w:top w:val="single" w:sz="8" w:color="0000FF"/>
            </w:tcBorders>
          </w:tcPr>
          <w:p>
            <w:pPr>
              <w:spacing w:after="0"/>
              <w:rPr>
                <w:sz w:val="4"/>
                <w:szCs w:val="4"/>
                <w:color w:val="auto"/>
              </w:rPr>
            </w:pPr>
          </w:p>
        </w:tc>
        <w:tc>
          <w:tcPr>
            <w:tcW w:w="48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10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20" w:type="dxa"/>
            <w:vAlign w:val="bottom"/>
            <w:gridSpan w:val="2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Description of Securities.</w:t>
            </w:r>
          </w:p>
        </w:tc>
        <w:tc>
          <w:tcPr>
            <w:tcW w:w="0" w:type="dxa"/>
            <w:vAlign w:val="bottom"/>
          </w:tcPr>
          <w:p>
            <w:pPr>
              <w:spacing w:after="0"/>
              <w:rPr>
                <w:sz w:val="1"/>
                <w:szCs w:val="1"/>
                <w:color w:val="auto"/>
              </w:rPr>
            </w:pPr>
          </w:p>
        </w:tc>
      </w:tr>
      <w:tr>
        <w:trPr>
          <w:trHeight w:val="54"/>
        </w:trPr>
        <w:tc>
          <w:tcPr>
            <w:tcW w:w="10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840" w:type="dxa"/>
            <w:vAlign w:val="bottom"/>
            <w:tcBorders>
              <w:top w:val="single" w:sz="8" w:color="0000FF"/>
            </w:tcBorders>
          </w:tcPr>
          <w:p>
            <w:pPr>
              <w:spacing w:after="0"/>
              <w:rPr>
                <w:sz w:val="4"/>
                <w:szCs w:val="4"/>
                <w:color w:val="auto"/>
              </w:rPr>
            </w:pPr>
          </w:p>
        </w:tc>
        <w:tc>
          <w:tcPr>
            <w:tcW w:w="1580" w:type="dxa"/>
            <w:vAlign w:val="bottom"/>
            <w:tcBorders>
              <w:top w:val="single" w:sz="8" w:color="CCEEFF"/>
            </w:tcBorders>
          </w:tcPr>
          <w:p>
            <w:pPr>
              <w:spacing w:after="0"/>
              <w:rPr>
                <w:sz w:val="4"/>
                <w:szCs w:val="4"/>
                <w:color w:val="auto"/>
              </w:rPr>
            </w:pPr>
          </w:p>
        </w:tc>
        <w:tc>
          <w:tcPr>
            <w:tcW w:w="580" w:type="dxa"/>
            <w:vAlign w:val="bottom"/>
            <w:tcBorders>
              <w:top w:val="single" w:sz="8" w:color="CCEEFF"/>
            </w:tcBorders>
          </w:tcPr>
          <w:p>
            <w:pPr>
              <w:spacing w:after="0"/>
              <w:rPr>
                <w:sz w:val="4"/>
                <w:szCs w:val="4"/>
                <w:color w:val="auto"/>
              </w:rPr>
            </w:pPr>
          </w:p>
        </w:tc>
        <w:tc>
          <w:tcPr>
            <w:tcW w:w="400" w:type="dxa"/>
            <w:vAlign w:val="bottom"/>
            <w:tcBorders>
              <w:top w:val="single" w:sz="8" w:color="CCEEFF"/>
            </w:tcBorders>
          </w:tcPr>
          <w:p>
            <w:pPr>
              <w:spacing w:after="0"/>
              <w:rPr>
                <w:sz w:val="4"/>
                <w:szCs w:val="4"/>
                <w:color w:val="auto"/>
              </w:rPr>
            </w:pPr>
          </w:p>
        </w:tc>
        <w:tc>
          <w:tcPr>
            <w:tcW w:w="1460" w:type="dxa"/>
            <w:vAlign w:val="bottom"/>
            <w:tcBorders>
              <w:top w:val="single" w:sz="8" w:color="CCEEFF"/>
            </w:tcBorders>
          </w:tcPr>
          <w:p>
            <w:pPr>
              <w:spacing w:after="0"/>
              <w:rPr>
                <w:sz w:val="4"/>
                <w:szCs w:val="4"/>
                <w:color w:val="auto"/>
              </w:rPr>
            </w:pPr>
          </w:p>
        </w:tc>
        <w:tc>
          <w:tcPr>
            <w:tcW w:w="1160" w:type="dxa"/>
            <w:vAlign w:val="bottom"/>
            <w:tcBorders>
              <w:top w:val="single" w:sz="8" w:color="CCEEFF"/>
            </w:tcBorders>
          </w:tcPr>
          <w:p>
            <w:pPr>
              <w:spacing w:after="0"/>
              <w:rPr>
                <w:sz w:val="4"/>
                <w:szCs w:val="4"/>
                <w:color w:val="auto"/>
              </w:rPr>
            </w:pPr>
          </w:p>
        </w:tc>
        <w:tc>
          <w:tcPr>
            <w:tcW w:w="1680" w:type="dxa"/>
            <w:vAlign w:val="bottom"/>
            <w:tcBorders>
              <w:top w:val="single" w:sz="8" w:color="CCEEFF"/>
            </w:tcBorders>
          </w:tcPr>
          <w:p>
            <w:pPr>
              <w:spacing w:after="0"/>
              <w:rPr>
                <w:sz w:val="4"/>
                <w:szCs w:val="4"/>
                <w:color w:val="auto"/>
              </w:rPr>
            </w:pPr>
          </w:p>
        </w:tc>
        <w:tc>
          <w:tcPr>
            <w:tcW w:w="48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0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20" w:type="dxa"/>
            <w:vAlign w:val="bottom"/>
            <w:gridSpan w:val="20"/>
            <w:shd w:val="clear" w:color="auto" w:fill="CCEEFF"/>
          </w:tcPr>
          <w:p>
            <w:pPr>
              <w:spacing w:after="0" w:line="189"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Mastercard Acceptance Agreement by and between the Company and Mastercard International Incorporated (Portions of this exhibit were</w:t>
              </w:r>
            </w:hyperlink>
          </w:p>
        </w:tc>
        <w:tc>
          <w:tcPr>
            <w:tcW w:w="0" w:type="dxa"/>
            <w:vAlign w:val="bottom"/>
          </w:tcPr>
          <w:p>
            <w:pPr>
              <w:spacing w:after="0"/>
              <w:rPr>
                <w:sz w:val="1"/>
                <w:szCs w:val="1"/>
                <w:color w:val="auto"/>
              </w:rPr>
            </w:pPr>
          </w:p>
        </w:tc>
      </w:tr>
      <w:tr>
        <w:trPr>
          <w:trHeight w:val="189"/>
        </w:trPr>
        <w:tc>
          <w:tcPr>
            <w:tcW w:w="10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9960" w:type="dxa"/>
            <w:vAlign w:val="bottom"/>
            <w:tcBorders>
              <w:top w:val="single" w:sz="8" w:color="0000FF"/>
            </w:tcBorders>
            <w:gridSpan w:val="19"/>
            <w:shd w:val="clear" w:color="auto" w:fill="CCEEFF"/>
          </w:tcPr>
          <w:p>
            <w:pPr>
              <w:spacing w:after="0" w:line="156"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redacted pursuant to a confidential treatment request) (incorporated by reference to Exhibit 10.2 to Form 10</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Q filed May 15, 2015).</w:t>
              </w:r>
            </w:hyperlink>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0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840" w:type="dxa"/>
            <w:vAlign w:val="bottom"/>
            <w:tcBorders>
              <w:top w:val="single" w:sz="8" w:color="0000FF"/>
            </w:tcBorders>
          </w:tcPr>
          <w:p>
            <w:pPr>
              <w:spacing w:after="0"/>
              <w:rPr>
                <w:sz w:val="4"/>
                <w:szCs w:val="4"/>
                <w:color w:val="auto"/>
              </w:rPr>
            </w:pPr>
          </w:p>
        </w:tc>
        <w:tc>
          <w:tcPr>
            <w:tcW w:w="158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1460" w:type="dxa"/>
            <w:vAlign w:val="bottom"/>
            <w:tcBorders>
              <w:top w:val="single" w:sz="8" w:color="0000FF"/>
            </w:tcBorders>
          </w:tcPr>
          <w:p>
            <w:pPr>
              <w:spacing w:after="0"/>
              <w:rPr>
                <w:sz w:val="4"/>
                <w:szCs w:val="4"/>
                <w:color w:val="auto"/>
              </w:rPr>
            </w:pPr>
          </w:p>
        </w:tc>
        <w:tc>
          <w:tcPr>
            <w:tcW w:w="1160" w:type="dxa"/>
            <w:vAlign w:val="bottom"/>
            <w:tcBorders>
              <w:top w:val="single" w:sz="8" w:color="0000FF"/>
            </w:tcBorders>
          </w:tcPr>
          <w:p>
            <w:pPr>
              <w:spacing w:after="0"/>
              <w:rPr>
                <w:sz w:val="4"/>
                <w:szCs w:val="4"/>
                <w:color w:val="auto"/>
              </w:rPr>
            </w:pPr>
          </w:p>
        </w:tc>
        <w:tc>
          <w:tcPr>
            <w:tcW w:w="168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20" w:type="dxa"/>
            <w:vAlign w:val="bottom"/>
            <w:gridSpan w:val="20"/>
            <w:shd w:val="clear" w:color="auto" w:fill="CCEEFF"/>
          </w:tcPr>
          <w:p>
            <w:pPr>
              <w:spacing w:after="0" w:line="189"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First Amendment to Mastercard Acceptance Agreement by and between the Company and Mastercard International Incorporated dated</w:t>
              </w:r>
            </w:hyperlink>
          </w:p>
        </w:tc>
        <w:tc>
          <w:tcPr>
            <w:tcW w:w="0" w:type="dxa"/>
            <w:vAlign w:val="bottom"/>
          </w:tcPr>
          <w:p>
            <w:pPr>
              <w:spacing w:after="0"/>
              <w:rPr>
                <w:sz w:val="1"/>
                <w:szCs w:val="1"/>
                <w:color w:val="auto"/>
              </w:rPr>
            </w:pPr>
          </w:p>
        </w:tc>
      </w:tr>
      <w:tr>
        <w:trPr>
          <w:trHeight w:val="155"/>
        </w:trPr>
        <w:tc>
          <w:tcPr>
            <w:tcW w:w="1060" w:type="dxa"/>
            <w:vAlign w:val="bottom"/>
            <w:tcBorders>
              <w:top w:val="single" w:sz="8" w:color="CCEEFF"/>
              <w:bottom w:val="single" w:sz="8" w:color="CCEEFF"/>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10.1.1</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9740" w:type="dxa"/>
            <w:vAlign w:val="bottom"/>
            <w:tcBorders>
              <w:top w:val="single" w:sz="8" w:color="0000FF"/>
              <w:bottom w:val="single" w:sz="8" w:color="0000FF"/>
            </w:tcBorders>
            <w:gridSpan w:val="13"/>
            <w:shd w:val="clear" w:color="auto" w:fill="CCEEFF"/>
          </w:tcPr>
          <w:p>
            <w:pPr>
              <w:spacing w:after="0" w:line="156" w:lineRule="exact"/>
              <w:rPr>
                <w:rFonts w:ascii="Times New Roman" w:cs="Times New Roman" w:eastAsia="Times New Roman" w:hAnsi="Times New Roman"/>
                <w:sz w:val="18"/>
                <w:szCs w:val="18"/>
                <w:color w:val="0000FF"/>
                <w:w w:val="99"/>
              </w:rPr>
            </w:pPr>
            <w:hyperlink r:id="rId137">
              <w:r>
                <w:rPr>
                  <w:rFonts w:ascii="Times New Roman" w:cs="Times New Roman" w:eastAsia="Times New Roman" w:hAnsi="Times New Roman"/>
                  <w:sz w:val="18"/>
                  <w:szCs w:val="18"/>
                  <w:color w:val="0000FF"/>
                  <w:w w:val="99"/>
                </w:rPr>
                <w:t>April 27, 2015 (Portions of this exhibit were redacted pursuant to a confidential treatment request) (incorporated by reference to Exhibit</w:t>
              </w:r>
            </w:hyperlink>
          </w:p>
        </w:tc>
        <w:tc>
          <w:tcPr>
            <w:tcW w:w="4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106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3420" w:type="dxa"/>
            <w:vAlign w:val="bottom"/>
            <w:tcBorders>
              <w:bottom w:val="single" w:sz="8" w:color="0000FF"/>
            </w:tcBorders>
            <w:gridSpan w:val="2"/>
            <w:shd w:val="clear" w:color="auto" w:fill="CCEEFF"/>
          </w:tcPr>
          <w:p>
            <w:pPr>
              <w:spacing w:after="0" w:line="142" w:lineRule="exact"/>
              <w:rPr>
                <w:rFonts w:ascii="Times New Roman" w:cs="Times New Roman" w:eastAsia="Times New Roman" w:hAnsi="Times New Roman"/>
                <w:sz w:val="16"/>
                <w:szCs w:val="16"/>
                <w:color w:val="0000FF"/>
              </w:rPr>
            </w:pPr>
            <w:hyperlink r:id="rId137">
              <w:r>
                <w:rPr>
                  <w:rFonts w:ascii="Times New Roman" w:cs="Times New Roman" w:eastAsia="Times New Roman" w:hAnsi="Times New Roman"/>
                  <w:sz w:val="16"/>
                  <w:szCs w:val="16"/>
                  <w:color w:val="0000FF"/>
                </w:rPr>
                <w:t>10.</w:t>
              </w:r>
              <w:r>
                <w:rPr>
                  <w:rFonts w:ascii="Times New Roman" w:cs="Times New Roman" w:eastAsia="Times New Roman" w:hAnsi="Times New Roman"/>
                  <w:sz w:val="16"/>
                  <w:szCs w:val="16"/>
                  <w:u w:val="single" w:color="auto"/>
                  <w:color w:val="0000FF"/>
                </w:rPr>
                <w:t>45</w:t>
              </w:r>
              <w:r>
                <w:rPr>
                  <w:rFonts w:ascii="Times New Roman" w:cs="Times New Roman" w:eastAsia="Times New Roman" w:hAnsi="Times New Roman"/>
                  <w:sz w:val="16"/>
                  <w:szCs w:val="16"/>
                  <w:color w:val="0000FF"/>
                </w:rPr>
                <w:t xml:space="preserve"> to Form 10</w:t>
              </w:r>
              <w:r>
                <w:rPr>
                  <w:rFonts w:ascii="MS PGothic" w:cs="MS PGothic" w:eastAsia="MS PGothic" w:hAnsi="MS PGothic"/>
                  <w:sz w:val="16"/>
                  <w:szCs w:val="16"/>
                  <w:color w:val="0000FF"/>
                </w:rPr>
                <w:t>‑</w:t>
              </w:r>
              <w:r>
                <w:rPr>
                  <w:rFonts w:ascii="Times New Roman" w:cs="Times New Roman" w:eastAsia="Times New Roman" w:hAnsi="Times New Roman"/>
                  <w:sz w:val="16"/>
                  <w:szCs w:val="16"/>
                  <w:color w:val="0000FF"/>
                </w:rPr>
                <w:t>K filed September 30, 2015).</w:t>
              </w:r>
            </w:hyperlink>
          </w:p>
        </w:tc>
        <w:tc>
          <w:tcPr>
            <w:tcW w:w="5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2160" w:type="dxa"/>
            <w:vAlign w:val="bottom"/>
            <w:tcBorders>
              <w:bottom w:val="single" w:sz="8" w:color="CCEEFF"/>
            </w:tcBorders>
            <w:gridSpan w:val="2"/>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gridSpan w:val="3"/>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gridSpan w:val="2"/>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0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840" w:type="dxa"/>
            <w:vAlign w:val="bottom"/>
            <w:tcBorders>
              <w:top w:val="single" w:sz="8" w:color="CCEEFF"/>
            </w:tcBorders>
          </w:tcPr>
          <w:p>
            <w:pPr>
              <w:spacing w:after="0"/>
              <w:rPr>
                <w:sz w:val="4"/>
                <w:szCs w:val="4"/>
                <w:color w:val="auto"/>
              </w:rPr>
            </w:pPr>
          </w:p>
        </w:tc>
        <w:tc>
          <w:tcPr>
            <w:tcW w:w="1580" w:type="dxa"/>
            <w:vAlign w:val="bottom"/>
            <w:tcBorders>
              <w:top w:val="single" w:sz="8" w:color="CCEEFF"/>
            </w:tcBorders>
          </w:tcPr>
          <w:p>
            <w:pPr>
              <w:spacing w:after="0"/>
              <w:rPr>
                <w:sz w:val="4"/>
                <w:szCs w:val="4"/>
                <w:color w:val="auto"/>
              </w:rPr>
            </w:pPr>
          </w:p>
        </w:tc>
        <w:tc>
          <w:tcPr>
            <w:tcW w:w="580" w:type="dxa"/>
            <w:vAlign w:val="bottom"/>
            <w:tcBorders>
              <w:top w:val="single" w:sz="8" w:color="CCEEFF"/>
            </w:tcBorders>
          </w:tcPr>
          <w:p>
            <w:pPr>
              <w:spacing w:after="0"/>
              <w:rPr>
                <w:sz w:val="4"/>
                <w:szCs w:val="4"/>
                <w:color w:val="auto"/>
              </w:rPr>
            </w:pPr>
          </w:p>
        </w:tc>
        <w:tc>
          <w:tcPr>
            <w:tcW w:w="400" w:type="dxa"/>
            <w:vAlign w:val="bottom"/>
            <w:tcBorders>
              <w:top w:val="single" w:sz="8" w:color="CCEEFF"/>
            </w:tcBorders>
          </w:tcPr>
          <w:p>
            <w:pPr>
              <w:spacing w:after="0"/>
              <w:rPr>
                <w:sz w:val="4"/>
                <w:szCs w:val="4"/>
                <w:color w:val="auto"/>
              </w:rPr>
            </w:pPr>
          </w:p>
        </w:tc>
        <w:tc>
          <w:tcPr>
            <w:tcW w:w="1460" w:type="dxa"/>
            <w:vAlign w:val="bottom"/>
            <w:tcBorders>
              <w:top w:val="single" w:sz="8" w:color="CCEEFF"/>
            </w:tcBorders>
          </w:tcPr>
          <w:p>
            <w:pPr>
              <w:spacing w:after="0"/>
              <w:rPr>
                <w:sz w:val="4"/>
                <w:szCs w:val="4"/>
                <w:color w:val="auto"/>
              </w:rPr>
            </w:pPr>
          </w:p>
        </w:tc>
        <w:tc>
          <w:tcPr>
            <w:tcW w:w="1160" w:type="dxa"/>
            <w:vAlign w:val="bottom"/>
            <w:tcBorders>
              <w:top w:val="single" w:sz="8" w:color="CCEEFF"/>
            </w:tcBorders>
          </w:tcPr>
          <w:p>
            <w:pPr>
              <w:spacing w:after="0"/>
              <w:rPr>
                <w:sz w:val="4"/>
                <w:szCs w:val="4"/>
                <w:color w:val="auto"/>
              </w:rPr>
            </w:pPr>
          </w:p>
        </w:tc>
        <w:tc>
          <w:tcPr>
            <w:tcW w:w="1680" w:type="dxa"/>
            <w:vAlign w:val="bottom"/>
            <w:tcBorders>
              <w:top w:val="single" w:sz="8" w:color="CCEEFF"/>
            </w:tcBorders>
          </w:tcPr>
          <w:p>
            <w:pPr>
              <w:spacing w:after="0"/>
              <w:rPr>
                <w:sz w:val="4"/>
                <w:szCs w:val="4"/>
                <w:color w:val="auto"/>
              </w:rPr>
            </w:pPr>
          </w:p>
        </w:tc>
        <w:tc>
          <w:tcPr>
            <w:tcW w:w="48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0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10.1.2</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20" w:type="dxa"/>
            <w:vAlign w:val="bottom"/>
            <w:gridSpan w:val="20"/>
            <w:shd w:val="clear" w:color="auto" w:fill="CCEEFF"/>
          </w:tcPr>
          <w:p>
            <w:pPr>
              <w:spacing w:after="0" w:line="189"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Second Amendment to Mastercard Acceptance Agreement by and between the Company and Mastercard International Incorporated dated</w:t>
              </w:r>
            </w:hyperlink>
          </w:p>
        </w:tc>
        <w:tc>
          <w:tcPr>
            <w:tcW w:w="0" w:type="dxa"/>
            <w:vAlign w:val="bottom"/>
          </w:tcPr>
          <w:p>
            <w:pPr>
              <w:spacing w:after="0"/>
              <w:rPr>
                <w:sz w:val="1"/>
                <w:szCs w:val="1"/>
                <w:color w:val="auto"/>
              </w:rPr>
            </w:pPr>
          </w:p>
        </w:tc>
      </w:tr>
      <w:tr>
        <w:trPr>
          <w:trHeight w:val="190"/>
        </w:trPr>
        <w:tc>
          <w:tcPr>
            <w:tcW w:w="1060" w:type="dxa"/>
            <w:vAlign w:val="bottom"/>
            <w:tcBorders>
              <w:top w:val="single" w:sz="8" w:color="CCEEFF"/>
              <w:bottom w:val="single" w:sz="8" w:color="CCEEFF"/>
            </w:tcBorders>
            <w:vMerge w:val="continue"/>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7020" w:type="dxa"/>
            <w:vAlign w:val="bottom"/>
            <w:tcBorders>
              <w:top w:val="single" w:sz="8" w:color="0000FF"/>
              <w:bottom w:val="single" w:sz="8" w:color="0000FF"/>
            </w:tcBorders>
            <w:gridSpan w:val="6"/>
            <w:shd w:val="clear" w:color="auto" w:fill="CCEEFF"/>
          </w:tcPr>
          <w:p>
            <w:pPr>
              <w:spacing w:after="0" w:line="142" w:lineRule="exact"/>
              <w:rPr>
                <w:rFonts w:ascii="Times New Roman" w:cs="Times New Roman" w:eastAsia="Times New Roman" w:hAnsi="Times New Roman"/>
                <w:sz w:val="16"/>
                <w:szCs w:val="16"/>
                <w:color w:val="0000FF"/>
              </w:rPr>
            </w:pPr>
            <w:hyperlink r:id="rId138">
              <w:r>
                <w:rPr>
                  <w:rFonts w:ascii="Times New Roman" w:cs="Times New Roman" w:eastAsia="Times New Roman" w:hAnsi="Times New Roman"/>
                  <w:sz w:val="16"/>
                  <w:szCs w:val="16"/>
                  <w:color w:val="0000FF"/>
                </w:rPr>
                <w:t>July 13, 2015 (incorporated by reference to Exhibit 10.14.2 to Form 10</w:t>
              </w:r>
              <w:r>
                <w:rPr>
                  <w:rFonts w:ascii="MS PGothic" w:cs="MS PGothic" w:eastAsia="MS PGothic" w:hAnsi="MS PGothic"/>
                  <w:sz w:val="16"/>
                  <w:szCs w:val="16"/>
                  <w:color w:val="0000FF"/>
                </w:rPr>
                <w:t>‑</w:t>
              </w:r>
              <w:r>
                <w:rPr>
                  <w:rFonts w:ascii="Times New Roman" w:cs="Times New Roman" w:eastAsia="Times New Roman" w:hAnsi="Times New Roman"/>
                  <w:sz w:val="16"/>
                  <w:szCs w:val="16"/>
                  <w:color w:val="0000FF"/>
                </w:rPr>
                <w:t>K filed October 9, 2019).</w:t>
              </w:r>
            </w:hyperlink>
          </w:p>
        </w:tc>
        <w:tc>
          <w:tcPr>
            <w:tcW w:w="2160" w:type="dxa"/>
            <w:vAlign w:val="bottom"/>
            <w:tcBorders>
              <w:top w:val="single" w:sz="8" w:color="0000FF"/>
              <w:bottom w:val="single" w:sz="8" w:color="CCEEFF"/>
            </w:tcBorders>
            <w:gridSpan w:val="2"/>
            <w:shd w:val="clear" w:color="auto" w:fill="CCEEFF"/>
          </w:tcPr>
          <w:p>
            <w:pPr>
              <w:spacing w:after="0"/>
              <w:rPr>
                <w:sz w:val="16"/>
                <w:szCs w:val="16"/>
                <w:color w:val="auto"/>
              </w:rPr>
            </w:pPr>
          </w:p>
        </w:tc>
        <w:tc>
          <w:tcPr>
            <w:tcW w:w="160" w:type="dxa"/>
            <w:vAlign w:val="bottom"/>
            <w:tcBorders>
              <w:top w:val="single" w:sz="8" w:color="0000FF"/>
              <w:bottom w:val="single" w:sz="8" w:color="CCEEFF"/>
            </w:tcBorders>
            <w:shd w:val="clear" w:color="auto" w:fill="CCEEFF"/>
          </w:tcPr>
          <w:p>
            <w:pPr>
              <w:spacing w:after="0"/>
              <w:rPr>
                <w:sz w:val="16"/>
                <w:szCs w:val="16"/>
                <w:color w:val="auto"/>
              </w:rPr>
            </w:pPr>
          </w:p>
        </w:tc>
        <w:tc>
          <w:tcPr>
            <w:tcW w:w="14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0000FF"/>
              <w:bottom w:val="single" w:sz="8" w:color="CCEEFF"/>
            </w:tcBorders>
            <w:shd w:val="clear" w:color="auto" w:fill="CCEEFF"/>
          </w:tcPr>
          <w:p>
            <w:pPr>
              <w:spacing w:after="0"/>
              <w:rPr>
                <w:sz w:val="16"/>
                <w:szCs w:val="16"/>
                <w:color w:val="auto"/>
              </w:rPr>
            </w:pPr>
          </w:p>
        </w:tc>
        <w:tc>
          <w:tcPr>
            <w:tcW w:w="280" w:type="dxa"/>
            <w:vAlign w:val="bottom"/>
            <w:tcBorders>
              <w:top w:val="single" w:sz="8" w:color="0000FF"/>
              <w:bottom w:val="single" w:sz="8" w:color="CCEEFF"/>
            </w:tcBorders>
            <w:gridSpan w:val="3"/>
            <w:shd w:val="clear" w:color="auto" w:fill="CCEEFF"/>
          </w:tcPr>
          <w:p>
            <w:pPr>
              <w:spacing w:after="0"/>
              <w:rPr>
                <w:sz w:val="16"/>
                <w:szCs w:val="16"/>
                <w:color w:val="auto"/>
              </w:rPr>
            </w:pPr>
          </w:p>
        </w:tc>
        <w:tc>
          <w:tcPr>
            <w:tcW w:w="40" w:type="dxa"/>
            <w:vAlign w:val="bottom"/>
            <w:tcBorders>
              <w:top w:val="single" w:sz="8" w:color="0000FF"/>
              <w:bottom w:val="single" w:sz="8" w:color="CCEEFF"/>
            </w:tcBorders>
            <w:gridSpan w:val="2"/>
            <w:shd w:val="clear" w:color="auto" w:fill="CCEEFF"/>
          </w:tcPr>
          <w:p>
            <w:pPr>
              <w:spacing w:after="0"/>
              <w:rPr>
                <w:sz w:val="16"/>
                <w:szCs w:val="16"/>
                <w:color w:val="auto"/>
              </w:rPr>
            </w:pPr>
          </w:p>
        </w:tc>
        <w:tc>
          <w:tcPr>
            <w:tcW w:w="80" w:type="dxa"/>
            <w:vAlign w:val="bottom"/>
            <w:tcBorders>
              <w:top w:val="single" w:sz="8" w:color="0000FF"/>
              <w:bottom w:val="single" w:sz="8" w:color="CCEEFF"/>
            </w:tcBorders>
            <w:shd w:val="clear" w:color="auto" w:fill="CCEEFF"/>
          </w:tcPr>
          <w:p>
            <w:pPr>
              <w:spacing w:after="0"/>
              <w:rPr>
                <w:sz w:val="16"/>
                <w:szCs w:val="16"/>
                <w:color w:val="auto"/>
              </w:rPr>
            </w:pPr>
          </w:p>
        </w:tc>
        <w:tc>
          <w:tcPr>
            <w:tcW w:w="40" w:type="dxa"/>
            <w:vAlign w:val="bottom"/>
            <w:tcBorders>
              <w:top w:val="single" w:sz="8" w:color="0000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0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840" w:type="dxa"/>
            <w:vAlign w:val="bottom"/>
            <w:tcBorders>
              <w:top w:val="single" w:sz="8" w:color="CCEEFF"/>
            </w:tcBorders>
          </w:tcPr>
          <w:p>
            <w:pPr>
              <w:spacing w:after="0"/>
              <w:rPr>
                <w:sz w:val="4"/>
                <w:szCs w:val="4"/>
                <w:color w:val="auto"/>
              </w:rPr>
            </w:pPr>
          </w:p>
        </w:tc>
        <w:tc>
          <w:tcPr>
            <w:tcW w:w="1580" w:type="dxa"/>
            <w:vAlign w:val="bottom"/>
            <w:tcBorders>
              <w:top w:val="single" w:sz="8" w:color="CCEEFF"/>
            </w:tcBorders>
          </w:tcPr>
          <w:p>
            <w:pPr>
              <w:spacing w:after="0"/>
              <w:rPr>
                <w:sz w:val="4"/>
                <w:szCs w:val="4"/>
                <w:color w:val="auto"/>
              </w:rPr>
            </w:pPr>
          </w:p>
        </w:tc>
        <w:tc>
          <w:tcPr>
            <w:tcW w:w="580" w:type="dxa"/>
            <w:vAlign w:val="bottom"/>
            <w:tcBorders>
              <w:top w:val="single" w:sz="8" w:color="CCEEFF"/>
            </w:tcBorders>
          </w:tcPr>
          <w:p>
            <w:pPr>
              <w:spacing w:after="0"/>
              <w:rPr>
                <w:sz w:val="4"/>
                <w:szCs w:val="4"/>
                <w:color w:val="auto"/>
              </w:rPr>
            </w:pPr>
          </w:p>
        </w:tc>
        <w:tc>
          <w:tcPr>
            <w:tcW w:w="400" w:type="dxa"/>
            <w:vAlign w:val="bottom"/>
            <w:tcBorders>
              <w:top w:val="single" w:sz="8" w:color="CCEEFF"/>
            </w:tcBorders>
          </w:tcPr>
          <w:p>
            <w:pPr>
              <w:spacing w:after="0"/>
              <w:rPr>
                <w:sz w:val="4"/>
                <w:szCs w:val="4"/>
                <w:color w:val="auto"/>
              </w:rPr>
            </w:pPr>
          </w:p>
        </w:tc>
        <w:tc>
          <w:tcPr>
            <w:tcW w:w="1460" w:type="dxa"/>
            <w:vAlign w:val="bottom"/>
            <w:tcBorders>
              <w:top w:val="single" w:sz="8" w:color="CCEEFF"/>
            </w:tcBorders>
          </w:tcPr>
          <w:p>
            <w:pPr>
              <w:spacing w:after="0"/>
              <w:rPr>
                <w:sz w:val="4"/>
                <w:szCs w:val="4"/>
                <w:color w:val="auto"/>
              </w:rPr>
            </w:pPr>
          </w:p>
        </w:tc>
        <w:tc>
          <w:tcPr>
            <w:tcW w:w="1160" w:type="dxa"/>
            <w:vAlign w:val="bottom"/>
            <w:tcBorders>
              <w:top w:val="single" w:sz="8" w:color="CCEEFF"/>
            </w:tcBorders>
          </w:tcPr>
          <w:p>
            <w:pPr>
              <w:spacing w:after="0"/>
              <w:rPr>
                <w:sz w:val="4"/>
                <w:szCs w:val="4"/>
                <w:color w:val="auto"/>
              </w:rPr>
            </w:pPr>
          </w:p>
        </w:tc>
        <w:tc>
          <w:tcPr>
            <w:tcW w:w="1680" w:type="dxa"/>
            <w:vAlign w:val="bottom"/>
            <w:tcBorders>
              <w:top w:val="single" w:sz="8" w:color="CCEEFF"/>
            </w:tcBorders>
          </w:tcPr>
          <w:p>
            <w:pPr>
              <w:spacing w:after="0"/>
              <w:rPr>
                <w:sz w:val="4"/>
                <w:szCs w:val="4"/>
                <w:color w:val="auto"/>
              </w:rPr>
            </w:pPr>
          </w:p>
        </w:tc>
        <w:tc>
          <w:tcPr>
            <w:tcW w:w="48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0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10.1.3</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20" w:type="dxa"/>
            <w:vAlign w:val="bottom"/>
            <w:gridSpan w:val="20"/>
            <w:shd w:val="clear" w:color="auto" w:fill="CCEEFF"/>
          </w:tcPr>
          <w:p>
            <w:pPr>
              <w:spacing w:after="0" w:line="189"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Third Amendment to Mastercard Acceptance Agreement by and between the Company and Mastercard International Incorporated dated</w:t>
              </w:r>
            </w:hyperlink>
          </w:p>
        </w:tc>
        <w:tc>
          <w:tcPr>
            <w:tcW w:w="0" w:type="dxa"/>
            <w:vAlign w:val="bottom"/>
          </w:tcPr>
          <w:p>
            <w:pPr>
              <w:spacing w:after="0"/>
              <w:rPr>
                <w:sz w:val="1"/>
                <w:szCs w:val="1"/>
                <w:color w:val="auto"/>
              </w:rPr>
            </w:pPr>
          </w:p>
        </w:tc>
      </w:tr>
      <w:tr>
        <w:trPr>
          <w:trHeight w:val="190"/>
        </w:trPr>
        <w:tc>
          <w:tcPr>
            <w:tcW w:w="1060" w:type="dxa"/>
            <w:vAlign w:val="bottom"/>
            <w:tcBorders>
              <w:top w:val="single" w:sz="8" w:color="CCEEFF"/>
              <w:bottom w:val="single" w:sz="8" w:color="CCEEFF"/>
            </w:tcBorders>
            <w:vMerge w:val="continue"/>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7020" w:type="dxa"/>
            <w:vAlign w:val="bottom"/>
            <w:tcBorders>
              <w:top w:val="single" w:sz="8" w:color="0000FF"/>
              <w:bottom w:val="single" w:sz="8" w:color="0000FF"/>
            </w:tcBorders>
            <w:gridSpan w:val="6"/>
            <w:shd w:val="clear" w:color="auto" w:fill="CCEEFF"/>
          </w:tcPr>
          <w:p>
            <w:pPr>
              <w:spacing w:after="0" w:line="142" w:lineRule="exact"/>
              <w:rPr>
                <w:rFonts w:ascii="Times New Roman" w:cs="Times New Roman" w:eastAsia="Times New Roman" w:hAnsi="Times New Roman"/>
                <w:sz w:val="16"/>
                <w:szCs w:val="16"/>
                <w:color w:val="0000FF"/>
              </w:rPr>
            </w:pPr>
            <w:hyperlink r:id="rId139">
              <w:r>
                <w:rPr>
                  <w:rFonts w:ascii="Times New Roman" w:cs="Times New Roman" w:eastAsia="Times New Roman" w:hAnsi="Times New Roman"/>
                  <w:sz w:val="16"/>
                  <w:szCs w:val="16"/>
                  <w:color w:val="0000FF"/>
                </w:rPr>
                <w:t>July 17, 2018 (incorporated by reference to Exhibit 10.14.3 to Form 10</w:t>
              </w:r>
              <w:r>
                <w:rPr>
                  <w:rFonts w:ascii="MS PGothic" w:cs="MS PGothic" w:eastAsia="MS PGothic" w:hAnsi="MS PGothic"/>
                  <w:sz w:val="16"/>
                  <w:szCs w:val="16"/>
                  <w:color w:val="0000FF"/>
                </w:rPr>
                <w:t>‑</w:t>
              </w:r>
              <w:r>
                <w:rPr>
                  <w:rFonts w:ascii="Times New Roman" w:cs="Times New Roman" w:eastAsia="Times New Roman" w:hAnsi="Times New Roman"/>
                  <w:sz w:val="16"/>
                  <w:szCs w:val="16"/>
                  <w:color w:val="0000FF"/>
                </w:rPr>
                <w:t>K filed October 9, 2019).</w:t>
              </w:r>
            </w:hyperlink>
          </w:p>
        </w:tc>
        <w:tc>
          <w:tcPr>
            <w:tcW w:w="2160" w:type="dxa"/>
            <w:vAlign w:val="bottom"/>
            <w:tcBorders>
              <w:top w:val="single" w:sz="8" w:color="0000FF"/>
              <w:bottom w:val="single" w:sz="8" w:color="CCEEFF"/>
            </w:tcBorders>
            <w:gridSpan w:val="2"/>
            <w:shd w:val="clear" w:color="auto" w:fill="CCEEFF"/>
          </w:tcPr>
          <w:p>
            <w:pPr>
              <w:spacing w:after="0"/>
              <w:rPr>
                <w:sz w:val="16"/>
                <w:szCs w:val="16"/>
                <w:color w:val="auto"/>
              </w:rPr>
            </w:pPr>
          </w:p>
        </w:tc>
        <w:tc>
          <w:tcPr>
            <w:tcW w:w="160" w:type="dxa"/>
            <w:vAlign w:val="bottom"/>
            <w:tcBorders>
              <w:top w:val="single" w:sz="8" w:color="0000FF"/>
              <w:bottom w:val="single" w:sz="8" w:color="CCEEFF"/>
            </w:tcBorders>
            <w:shd w:val="clear" w:color="auto" w:fill="CCEEFF"/>
          </w:tcPr>
          <w:p>
            <w:pPr>
              <w:spacing w:after="0"/>
              <w:rPr>
                <w:sz w:val="16"/>
                <w:szCs w:val="16"/>
                <w:color w:val="auto"/>
              </w:rPr>
            </w:pPr>
          </w:p>
        </w:tc>
        <w:tc>
          <w:tcPr>
            <w:tcW w:w="14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0000FF"/>
              <w:bottom w:val="single" w:sz="8" w:color="CCEEFF"/>
            </w:tcBorders>
            <w:shd w:val="clear" w:color="auto" w:fill="CCEEFF"/>
          </w:tcPr>
          <w:p>
            <w:pPr>
              <w:spacing w:after="0"/>
              <w:rPr>
                <w:sz w:val="16"/>
                <w:szCs w:val="16"/>
                <w:color w:val="auto"/>
              </w:rPr>
            </w:pPr>
          </w:p>
        </w:tc>
        <w:tc>
          <w:tcPr>
            <w:tcW w:w="280" w:type="dxa"/>
            <w:vAlign w:val="bottom"/>
            <w:tcBorders>
              <w:top w:val="single" w:sz="8" w:color="0000FF"/>
              <w:bottom w:val="single" w:sz="8" w:color="CCEEFF"/>
            </w:tcBorders>
            <w:gridSpan w:val="3"/>
            <w:shd w:val="clear" w:color="auto" w:fill="CCEEFF"/>
          </w:tcPr>
          <w:p>
            <w:pPr>
              <w:spacing w:after="0"/>
              <w:rPr>
                <w:sz w:val="16"/>
                <w:szCs w:val="16"/>
                <w:color w:val="auto"/>
              </w:rPr>
            </w:pPr>
          </w:p>
        </w:tc>
        <w:tc>
          <w:tcPr>
            <w:tcW w:w="40" w:type="dxa"/>
            <w:vAlign w:val="bottom"/>
            <w:tcBorders>
              <w:top w:val="single" w:sz="8" w:color="0000FF"/>
              <w:bottom w:val="single" w:sz="8" w:color="CCEEFF"/>
            </w:tcBorders>
            <w:gridSpan w:val="2"/>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gridSpan w:val="3"/>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0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840" w:type="dxa"/>
            <w:vAlign w:val="bottom"/>
            <w:tcBorders>
              <w:top w:val="single" w:sz="8" w:color="CCEEFF"/>
            </w:tcBorders>
          </w:tcPr>
          <w:p>
            <w:pPr>
              <w:spacing w:after="0"/>
              <w:rPr>
                <w:sz w:val="4"/>
                <w:szCs w:val="4"/>
                <w:color w:val="auto"/>
              </w:rPr>
            </w:pPr>
          </w:p>
        </w:tc>
        <w:tc>
          <w:tcPr>
            <w:tcW w:w="1580" w:type="dxa"/>
            <w:vAlign w:val="bottom"/>
            <w:tcBorders>
              <w:top w:val="single" w:sz="8" w:color="CCEEFF"/>
            </w:tcBorders>
          </w:tcPr>
          <w:p>
            <w:pPr>
              <w:spacing w:after="0"/>
              <w:rPr>
                <w:sz w:val="4"/>
                <w:szCs w:val="4"/>
                <w:color w:val="auto"/>
              </w:rPr>
            </w:pPr>
          </w:p>
        </w:tc>
        <w:tc>
          <w:tcPr>
            <w:tcW w:w="580" w:type="dxa"/>
            <w:vAlign w:val="bottom"/>
            <w:tcBorders>
              <w:top w:val="single" w:sz="8" w:color="CCEEFF"/>
            </w:tcBorders>
          </w:tcPr>
          <w:p>
            <w:pPr>
              <w:spacing w:after="0"/>
              <w:rPr>
                <w:sz w:val="4"/>
                <w:szCs w:val="4"/>
                <w:color w:val="auto"/>
              </w:rPr>
            </w:pPr>
          </w:p>
        </w:tc>
        <w:tc>
          <w:tcPr>
            <w:tcW w:w="400" w:type="dxa"/>
            <w:vAlign w:val="bottom"/>
            <w:tcBorders>
              <w:top w:val="single" w:sz="8" w:color="CCEEFF"/>
            </w:tcBorders>
          </w:tcPr>
          <w:p>
            <w:pPr>
              <w:spacing w:after="0"/>
              <w:rPr>
                <w:sz w:val="4"/>
                <w:szCs w:val="4"/>
                <w:color w:val="auto"/>
              </w:rPr>
            </w:pPr>
          </w:p>
        </w:tc>
        <w:tc>
          <w:tcPr>
            <w:tcW w:w="1460" w:type="dxa"/>
            <w:vAlign w:val="bottom"/>
            <w:tcBorders>
              <w:top w:val="single" w:sz="8" w:color="CCEEFF"/>
            </w:tcBorders>
          </w:tcPr>
          <w:p>
            <w:pPr>
              <w:spacing w:after="0"/>
              <w:rPr>
                <w:sz w:val="4"/>
                <w:szCs w:val="4"/>
                <w:color w:val="auto"/>
              </w:rPr>
            </w:pPr>
          </w:p>
        </w:tc>
        <w:tc>
          <w:tcPr>
            <w:tcW w:w="1160" w:type="dxa"/>
            <w:vAlign w:val="bottom"/>
            <w:tcBorders>
              <w:top w:val="single" w:sz="8" w:color="CCEEFF"/>
            </w:tcBorders>
          </w:tcPr>
          <w:p>
            <w:pPr>
              <w:spacing w:after="0"/>
              <w:rPr>
                <w:sz w:val="4"/>
                <w:szCs w:val="4"/>
                <w:color w:val="auto"/>
              </w:rPr>
            </w:pPr>
          </w:p>
        </w:tc>
        <w:tc>
          <w:tcPr>
            <w:tcW w:w="1680" w:type="dxa"/>
            <w:vAlign w:val="bottom"/>
            <w:tcBorders>
              <w:top w:val="single" w:sz="8" w:color="CCEEFF"/>
            </w:tcBorders>
          </w:tcPr>
          <w:p>
            <w:pPr>
              <w:spacing w:after="0"/>
              <w:rPr>
                <w:sz w:val="4"/>
                <w:szCs w:val="4"/>
                <w:color w:val="auto"/>
              </w:rPr>
            </w:pPr>
          </w:p>
        </w:tc>
        <w:tc>
          <w:tcPr>
            <w:tcW w:w="48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20" w:type="dxa"/>
            <w:vAlign w:val="bottom"/>
            <w:gridSpan w:val="20"/>
            <w:shd w:val="clear" w:color="auto" w:fill="CCEEFF"/>
          </w:tcPr>
          <w:p>
            <w:pPr>
              <w:spacing w:after="0" w:line="189"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Third Party Payment Processor Agreement dated April 24, 2015 by and among the Company, JPMorgan Chase Bank, N.A. and</w:t>
              </w:r>
            </w:hyperlink>
          </w:p>
        </w:tc>
        <w:tc>
          <w:tcPr>
            <w:tcW w:w="0" w:type="dxa"/>
            <w:vAlign w:val="bottom"/>
          </w:tcPr>
          <w:p>
            <w:pPr>
              <w:spacing w:after="0"/>
              <w:rPr>
                <w:sz w:val="1"/>
                <w:szCs w:val="1"/>
                <w:color w:val="auto"/>
              </w:rPr>
            </w:pPr>
          </w:p>
        </w:tc>
      </w:tr>
      <w:tr>
        <w:trPr>
          <w:trHeight w:val="156"/>
        </w:trPr>
        <w:tc>
          <w:tcPr>
            <w:tcW w:w="1060" w:type="dxa"/>
            <w:vAlign w:val="bottom"/>
            <w:tcBorders>
              <w:top w:val="single" w:sz="8" w:color="CCEEFF"/>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9180" w:type="dxa"/>
            <w:vAlign w:val="bottom"/>
            <w:tcBorders>
              <w:top w:val="single" w:sz="8" w:color="0000FF"/>
            </w:tcBorders>
            <w:gridSpan w:val="8"/>
            <w:shd w:val="clear" w:color="auto" w:fill="CCEEFF"/>
          </w:tcPr>
          <w:p>
            <w:pPr>
              <w:spacing w:after="0" w:line="156" w:lineRule="exact"/>
              <w:rPr>
                <w:rFonts w:ascii="Times New Roman" w:cs="Times New Roman" w:eastAsia="Times New Roman" w:hAnsi="Times New Roman"/>
                <w:sz w:val="18"/>
                <w:szCs w:val="18"/>
                <w:color w:val="0000FF"/>
                <w:w w:val="98"/>
              </w:rPr>
            </w:pPr>
            <w:hyperlink r:id="rId140">
              <w:r>
                <w:rPr>
                  <w:rFonts w:ascii="Times New Roman" w:cs="Times New Roman" w:eastAsia="Times New Roman" w:hAnsi="Times New Roman"/>
                  <w:sz w:val="18"/>
                  <w:szCs w:val="18"/>
                  <w:color w:val="0000FF"/>
                  <w:w w:val="98"/>
                </w:rPr>
                <w:t>Paymentech, LLC (Portions of this exhibit were redacted pursuant to a confidential treatment request) (incorporated by reference</w:t>
              </w:r>
            </w:hyperlink>
          </w:p>
        </w:tc>
        <w:tc>
          <w:tcPr>
            <w:tcW w:w="16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CCEEFF"/>
            </w:tcBorders>
            <w:gridSpan w:val="11"/>
            <w:shd w:val="clear" w:color="auto" w:fill="CCEEFF"/>
          </w:tcPr>
          <w:p>
            <w:pPr>
              <w:spacing w:after="0" w:line="156"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to</w:t>
              </w:r>
            </w:hyperlink>
          </w:p>
        </w:tc>
        <w:tc>
          <w:tcPr>
            <w:tcW w:w="0" w:type="dxa"/>
            <w:vAlign w:val="bottom"/>
          </w:tcPr>
          <w:p>
            <w:pPr>
              <w:spacing w:after="0"/>
              <w:rPr>
                <w:sz w:val="1"/>
                <w:szCs w:val="1"/>
                <w:color w:val="auto"/>
              </w:rPr>
            </w:pPr>
          </w:p>
        </w:tc>
      </w:tr>
      <w:tr>
        <w:trPr>
          <w:trHeight w:val="190"/>
        </w:trPr>
        <w:tc>
          <w:tcPr>
            <w:tcW w:w="1060" w:type="dxa"/>
            <w:vAlign w:val="bottom"/>
            <w:tcBorders>
              <w:top w:val="single" w:sz="8" w:color="CCEEFF"/>
            </w:tcBorders>
            <w:vMerge w:val="continue"/>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9480" w:type="dxa"/>
            <w:vAlign w:val="bottom"/>
            <w:tcBorders>
              <w:top w:val="single" w:sz="8" w:color="0000FF"/>
            </w:tcBorders>
            <w:gridSpan w:val="10"/>
            <w:shd w:val="clear" w:color="auto" w:fill="CCEEFF"/>
          </w:tcPr>
          <w:p>
            <w:pPr>
              <w:spacing w:after="0" w:line="142" w:lineRule="exact"/>
              <w:rPr>
                <w:rFonts w:ascii="Times New Roman" w:cs="Times New Roman" w:eastAsia="Times New Roman" w:hAnsi="Times New Roman"/>
                <w:sz w:val="16"/>
                <w:szCs w:val="16"/>
                <w:color w:val="0000FF"/>
              </w:rPr>
            </w:pPr>
            <w:hyperlink r:id="rId140">
              <w:r>
                <w:rPr>
                  <w:rFonts w:ascii="Times New Roman" w:cs="Times New Roman" w:eastAsia="Times New Roman" w:hAnsi="Times New Roman"/>
                  <w:sz w:val="16"/>
                  <w:szCs w:val="16"/>
                  <w:color w:val="0000FF"/>
                </w:rPr>
                <w:t>Exhibit 10.46 to Form 10</w:t>
              </w:r>
              <w:r>
                <w:rPr>
                  <w:rFonts w:ascii="MS PGothic" w:cs="MS PGothic" w:eastAsia="MS PGothic" w:hAnsi="MS PGothic"/>
                  <w:sz w:val="16"/>
                  <w:szCs w:val="16"/>
                  <w:color w:val="0000FF"/>
                </w:rPr>
                <w:t>‑</w:t>
              </w:r>
              <w:r>
                <w:rPr>
                  <w:rFonts w:ascii="Times New Roman" w:cs="Times New Roman" w:eastAsia="Times New Roman" w:hAnsi="Times New Roman"/>
                  <w:sz w:val="16"/>
                  <w:szCs w:val="16"/>
                  <w:color w:val="0000FF"/>
                </w:rPr>
                <w:t>K filed September 30, 2015).</w:t>
              </w:r>
            </w:hyperlink>
          </w:p>
        </w:tc>
        <w:tc>
          <w:tcPr>
            <w:tcW w:w="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gridSpan w:val="3"/>
            <w:shd w:val="clear" w:color="auto" w:fill="CCEEFF"/>
          </w:tcPr>
          <w:p>
            <w:pPr>
              <w:spacing w:after="0"/>
              <w:rPr>
                <w:sz w:val="16"/>
                <w:szCs w:val="16"/>
                <w:color w:val="auto"/>
              </w:rPr>
            </w:pPr>
          </w:p>
        </w:tc>
        <w:tc>
          <w:tcPr>
            <w:tcW w:w="120" w:type="dxa"/>
            <w:vAlign w:val="bottom"/>
            <w:tcBorders>
              <w:top w:val="single" w:sz="8" w:color="CCEEFF"/>
            </w:tcBorders>
            <w:gridSpan w:val="3"/>
            <w:shd w:val="clear" w:color="auto" w:fill="CCEEFF"/>
          </w:tcPr>
          <w:p>
            <w:pPr>
              <w:spacing w:after="0"/>
              <w:rPr>
                <w:sz w:val="16"/>
                <w:szCs w:val="16"/>
                <w:color w:val="auto"/>
              </w:rPr>
            </w:pPr>
          </w:p>
        </w:tc>
        <w:tc>
          <w:tcPr>
            <w:tcW w:w="120" w:type="dxa"/>
            <w:vAlign w:val="bottom"/>
            <w:tcBorders>
              <w:top w:val="single" w:sz="8" w:color="CCEEFF"/>
            </w:tcBorders>
            <w:gridSpan w:val="3"/>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0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840" w:type="dxa"/>
            <w:vAlign w:val="bottom"/>
            <w:tcBorders>
              <w:top w:val="single" w:sz="8" w:color="0000FF"/>
            </w:tcBorders>
          </w:tcPr>
          <w:p>
            <w:pPr>
              <w:spacing w:after="0"/>
              <w:rPr>
                <w:sz w:val="4"/>
                <w:szCs w:val="4"/>
                <w:color w:val="auto"/>
              </w:rPr>
            </w:pPr>
          </w:p>
        </w:tc>
        <w:tc>
          <w:tcPr>
            <w:tcW w:w="158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400" w:type="dxa"/>
            <w:vAlign w:val="bottom"/>
            <w:tcBorders>
              <w:top w:val="single" w:sz="8" w:color="CCEEFF"/>
            </w:tcBorders>
          </w:tcPr>
          <w:p>
            <w:pPr>
              <w:spacing w:after="0"/>
              <w:rPr>
                <w:sz w:val="4"/>
                <w:szCs w:val="4"/>
                <w:color w:val="auto"/>
              </w:rPr>
            </w:pPr>
          </w:p>
        </w:tc>
        <w:tc>
          <w:tcPr>
            <w:tcW w:w="1460" w:type="dxa"/>
            <w:vAlign w:val="bottom"/>
            <w:tcBorders>
              <w:top w:val="single" w:sz="8" w:color="CCEEFF"/>
            </w:tcBorders>
          </w:tcPr>
          <w:p>
            <w:pPr>
              <w:spacing w:after="0"/>
              <w:rPr>
                <w:sz w:val="4"/>
                <w:szCs w:val="4"/>
                <w:color w:val="auto"/>
              </w:rPr>
            </w:pPr>
          </w:p>
        </w:tc>
        <w:tc>
          <w:tcPr>
            <w:tcW w:w="1160" w:type="dxa"/>
            <w:vAlign w:val="bottom"/>
            <w:tcBorders>
              <w:top w:val="single" w:sz="8" w:color="CCEEFF"/>
            </w:tcBorders>
          </w:tcPr>
          <w:p>
            <w:pPr>
              <w:spacing w:after="0"/>
              <w:rPr>
                <w:sz w:val="4"/>
                <w:szCs w:val="4"/>
                <w:color w:val="auto"/>
              </w:rPr>
            </w:pPr>
          </w:p>
        </w:tc>
        <w:tc>
          <w:tcPr>
            <w:tcW w:w="1680" w:type="dxa"/>
            <w:vAlign w:val="bottom"/>
            <w:tcBorders>
              <w:top w:val="single" w:sz="8" w:color="CCEEFF"/>
            </w:tcBorders>
          </w:tcPr>
          <w:p>
            <w:pPr>
              <w:spacing w:after="0"/>
              <w:rPr>
                <w:sz w:val="4"/>
                <w:szCs w:val="4"/>
                <w:color w:val="auto"/>
              </w:rPr>
            </w:pPr>
          </w:p>
        </w:tc>
        <w:tc>
          <w:tcPr>
            <w:tcW w:w="48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20" w:type="dxa"/>
            <w:vAlign w:val="bottom"/>
            <w:gridSpan w:val="20"/>
            <w:shd w:val="clear" w:color="auto" w:fill="CCEEFF"/>
          </w:tcPr>
          <w:p>
            <w:pPr>
              <w:spacing w:after="0" w:line="189"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Integrator Amendment (2018) to Third Party Payment Processor Agreement dated October 22, 2018 by and among the Company,</w:t>
              </w:r>
            </w:hyperlink>
          </w:p>
        </w:tc>
        <w:tc>
          <w:tcPr>
            <w:tcW w:w="0" w:type="dxa"/>
            <w:vAlign w:val="bottom"/>
          </w:tcPr>
          <w:p>
            <w:pPr>
              <w:spacing w:after="0"/>
              <w:rPr>
                <w:sz w:val="1"/>
                <w:szCs w:val="1"/>
                <w:color w:val="auto"/>
              </w:rPr>
            </w:pPr>
          </w:p>
        </w:tc>
      </w:tr>
      <w:tr>
        <w:trPr>
          <w:trHeight w:val="190"/>
        </w:trPr>
        <w:tc>
          <w:tcPr>
            <w:tcW w:w="1060" w:type="dxa"/>
            <w:vAlign w:val="bottom"/>
            <w:tcBorders>
              <w:top w:val="single" w:sz="8" w:color="CCEEFF"/>
            </w:tcBorders>
            <w:shd w:val="clear" w:color="auto" w:fill="CCEEFF"/>
          </w:tcPr>
          <w:p>
            <w:pPr>
              <w:ind w:left="20"/>
              <w:spacing w:after="0" w:line="136" w:lineRule="exact"/>
              <w:rPr>
                <w:sz w:val="20"/>
                <w:szCs w:val="20"/>
                <w:color w:val="auto"/>
              </w:rPr>
            </w:pPr>
            <w:r>
              <w:rPr>
                <w:rFonts w:ascii="Times New Roman" w:cs="Times New Roman" w:eastAsia="Times New Roman" w:hAnsi="Times New Roman"/>
                <w:sz w:val="15"/>
                <w:szCs w:val="15"/>
                <w:color w:val="auto"/>
              </w:rPr>
              <w:t>10.2.1</w:t>
            </w: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9340" w:type="dxa"/>
            <w:vAlign w:val="bottom"/>
            <w:tcBorders>
              <w:top w:val="single" w:sz="8" w:color="0000FF"/>
            </w:tcBorders>
            <w:gridSpan w:val="9"/>
            <w:shd w:val="clear" w:color="auto" w:fill="CCEEFF"/>
          </w:tcPr>
          <w:p>
            <w:pPr>
              <w:spacing w:after="0" w:line="142" w:lineRule="exact"/>
              <w:rPr>
                <w:rFonts w:ascii="Times New Roman" w:cs="Times New Roman" w:eastAsia="Times New Roman" w:hAnsi="Times New Roman"/>
                <w:sz w:val="16"/>
                <w:szCs w:val="16"/>
                <w:color w:val="0000FF"/>
              </w:rPr>
            </w:pPr>
            <w:hyperlink r:id="rId141">
              <w:r>
                <w:rPr>
                  <w:rFonts w:ascii="Times New Roman" w:cs="Times New Roman" w:eastAsia="Times New Roman" w:hAnsi="Times New Roman"/>
                  <w:sz w:val="16"/>
                  <w:szCs w:val="16"/>
                  <w:color w:val="0000FF"/>
                </w:rPr>
                <w:t>JPMorgan Chase Bank, N.A. and Paymentech, LLC (incorporated by reference to Exhibit 10.15.1 to Form 10</w:t>
              </w:r>
              <w:r>
                <w:rPr>
                  <w:rFonts w:ascii="MS PGothic" w:cs="MS PGothic" w:eastAsia="MS PGothic" w:hAnsi="MS PGothic"/>
                  <w:sz w:val="16"/>
                  <w:szCs w:val="16"/>
                  <w:color w:val="0000FF"/>
                </w:rPr>
                <w:t>‑</w:t>
              </w:r>
              <w:r>
                <w:rPr>
                  <w:rFonts w:ascii="Times New Roman" w:cs="Times New Roman" w:eastAsia="Times New Roman" w:hAnsi="Times New Roman"/>
                  <w:sz w:val="16"/>
                  <w:szCs w:val="16"/>
                  <w:color w:val="0000FF"/>
                </w:rPr>
                <w:t>K filed October 9,</w:t>
              </w:r>
            </w:hyperlink>
          </w:p>
        </w:tc>
        <w:tc>
          <w:tcPr>
            <w:tcW w:w="560" w:type="dxa"/>
            <w:vAlign w:val="bottom"/>
            <w:tcBorders>
              <w:top w:val="single" w:sz="8" w:color="CCEEFF"/>
            </w:tcBorders>
            <w:gridSpan w:val="8"/>
            <w:shd w:val="clear" w:color="auto" w:fill="CCEEFF"/>
          </w:tcPr>
          <w:p>
            <w:pPr>
              <w:spacing w:after="0" w:line="136" w:lineRule="exact"/>
              <w:rPr>
                <w:rFonts w:ascii="Times New Roman" w:cs="Times New Roman" w:eastAsia="Times New Roman" w:hAnsi="Times New Roman"/>
                <w:sz w:val="15"/>
                <w:szCs w:val="15"/>
                <w:color w:val="0000FF"/>
              </w:rPr>
            </w:pPr>
            <w:hyperlink r:id="rId141">
              <w:r>
                <w:rPr>
                  <w:rFonts w:ascii="Times New Roman" w:cs="Times New Roman" w:eastAsia="Times New Roman" w:hAnsi="Times New Roman"/>
                  <w:sz w:val="15"/>
                  <w:szCs w:val="15"/>
                  <w:color w:val="0000FF"/>
                </w:rPr>
                <w:t>2019).</w:t>
              </w:r>
            </w:hyperlink>
          </w:p>
        </w:tc>
        <w:tc>
          <w:tcPr>
            <w:tcW w:w="120" w:type="dxa"/>
            <w:vAlign w:val="bottom"/>
            <w:tcBorders>
              <w:top w:val="single" w:sz="8" w:color="CCEEFF"/>
            </w:tcBorders>
            <w:gridSpan w:val="3"/>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0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840" w:type="dxa"/>
            <w:vAlign w:val="bottom"/>
            <w:tcBorders>
              <w:top w:val="single" w:sz="8" w:color="0000FF"/>
            </w:tcBorders>
          </w:tcPr>
          <w:p>
            <w:pPr>
              <w:spacing w:after="0"/>
              <w:rPr>
                <w:sz w:val="4"/>
                <w:szCs w:val="4"/>
                <w:color w:val="auto"/>
              </w:rPr>
            </w:pPr>
          </w:p>
        </w:tc>
        <w:tc>
          <w:tcPr>
            <w:tcW w:w="158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1460" w:type="dxa"/>
            <w:vAlign w:val="bottom"/>
            <w:tcBorders>
              <w:top w:val="single" w:sz="8" w:color="0000FF"/>
            </w:tcBorders>
          </w:tcPr>
          <w:p>
            <w:pPr>
              <w:spacing w:after="0"/>
              <w:rPr>
                <w:sz w:val="4"/>
                <w:szCs w:val="4"/>
                <w:color w:val="auto"/>
              </w:rPr>
            </w:pPr>
          </w:p>
        </w:tc>
        <w:tc>
          <w:tcPr>
            <w:tcW w:w="1160" w:type="dxa"/>
            <w:vAlign w:val="bottom"/>
            <w:tcBorders>
              <w:top w:val="single" w:sz="8" w:color="0000FF"/>
            </w:tcBorders>
          </w:tcPr>
          <w:p>
            <w:pPr>
              <w:spacing w:after="0"/>
              <w:rPr>
                <w:sz w:val="4"/>
                <w:szCs w:val="4"/>
                <w:color w:val="auto"/>
              </w:rPr>
            </w:pPr>
          </w:p>
        </w:tc>
        <w:tc>
          <w:tcPr>
            <w:tcW w:w="168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0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20" w:type="dxa"/>
            <w:vAlign w:val="bottom"/>
            <w:gridSpan w:val="20"/>
            <w:shd w:val="clear" w:color="auto" w:fill="CCEEFF"/>
          </w:tcPr>
          <w:p>
            <w:pPr>
              <w:spacing w:after="0" w:line="189"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Merchant Processing Agreement dated April 6, 2018 by and among Cantaloupe Systems, Inc., and Heartland Payment Systems, Inc</w:t>
              </w:r>
            </w:hyperlink>
          </w:p>
        </w:tc>
        <w:tc>
          <w:tcPr>
            <w:tcW w:w="0" w:type="dxa"/>
            <w:vAlign w:val="bottom"/>
          </w:tcPr>
          <w:p>
            <w:pPr>
              <w:spacing w:after="0"/>
              <w:rPr>
                <w:sz w:val="1"/>
                <w:szCs w:val="1"/>
                <w:color w:val="auto"/>
              </w:rPr>
            </w:pPr>
          </w:p>
        </w:tc>
      </w:tr>
      <w:tr>
        <w:trPr>
          <w:trHeight w:val="190"/>
        </w:trPr>
        <w:tc>
          <w:tcPr>
            <w:tcW w:w="1060" w:type="dxa"/>
            <w:vAlign w:val="bottom"/>
            <w:tcBorders>
              <w:top w:val="single" w:sz="8" w:color="CCEEFF"/>
            </w:tcBorders>
            <w:vMerge w:val="continue"/>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9500" w:type="dxa"/>
            <w:vAlign w:val="bottom"/>
            <w:tcBorders>
              <w:top w:val="single" w:sz="8" w:color="0000FF"/>
            </w:tcBorders>
            <w:gridSpan w:val="11"/>
            <w:shd w:val="clear" w:color="auto" w:fill="CCEEFF"/>
          </w:tcPr>
          <w:p>
            <w:pPr>
              <w:spacing w:after="0" w:line="142" w:lineRule="exact"/>
              <w:rPr>
                <w:rFonts w:ascii="Times New Roman" w:cs="Times New Roman" w:eastAsia="Times New Roman" w:hAnsi="Times New Roman"/>
                <w:sz w:val="16"/>
                <w:szCs w:val="16"/>
                <w:color w:val="0000FF"/>
              </w:rPr>
            </w:pPr>
            <w:hyperlink r:id="rId142">
              <w:r>
                <w:rPr>
                  <w:rFonts w:ascii="Times New Roman" w:cs="Times New Roman" w:eastAsia="Times New Roman" w:hAnsi="Times New Roman"/>
                  <w:sz w:val="16"/>
                  <w:szCs w:val="16"/>
                  <w:color w:val="0000FF"/>
                </w:rPr>
                <w:t>(incorporated by reference to Exhibit 10.16 to Form 10</w:t>
              </w:r>
              <w:r>
                <w:rPr>
                  <w:rFonts w:ascii="MS PGothic" w:cs="MS PGothic" w:eastAsia="MS PGothic" w:hAnsi="MS PGothic"/>
                  <w:sz w:val="16"/>
                  <w:szCs w:val="16"/>
                  <w:color w:val="0000FF"/>
                </w:rPr>
                <w:t>‑</w:t>
              </w:r>
              <w:r>
                <w:rPr>
                  <w:rFonts w:ascii="Times New Roman" w:cs="Times New Roman" w:eastAsia="Times New Roman" w:hAnsi="Times New Roman"/>
                  <w:sz w:val="16"/>
                  <w:szCs w:val="16"/>
                  <w:color w:val="0000FF"/>
                </w:rPr>
                <w:t>K filed October 9, 2019).</w:t>
              </w:r>
            </w:hyperlink>
          </w:p>
        </w:tc>
        <w:tc>
          <w:tcPr>
            <w:tcW w:w="400" w:type="dxa"/>
            <w:vAlign w:val="bottom"/>
            <w:tcBorders>
              <w:top w:val="single" w:sz="8" w:color="CCEEFF"/>
            </w:tcBorders>
            <w:gridSpan w:val="6"/>
            <w:shd w:val="clear" w:color="auto" w:fill="CCEEFF"/>
          </w:tcPr>
          <w:p>
            <w:pPr>
              <w:spacing w:after="0"/>
              <w:rPr>
                <w:sz w:val="16"/>
                <w:szCs w:val="16"/>
                <w:color w:val="auto"/>
              </w:rPr>
            </w:pPr>
          </w:p>
        </w:tc>
        <w:tc>
          <w:tcPr>
            <w:tcW w:w="120" w:type="dxa"/>
            <w:vAlign w:val="bottom"/>
            <w:tcBorders>
              <w:top w:val="single" w:sz="8" w:color="CCEEFF"/>
            </w:tcBorders>
            <w:gridSpan w:val="3"/>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1060" w:type="dxa"/>
            <w:vAlign w:val="bottom"/>
            <w:tcBorders>
              <w:top w:val="single" w:sz="8" w:color="CCEEFF"/>
            </w:tcBorders>
          </w:tcPr>
          <w:p>
            <w:pPr>
              <w:spacing w:after="0"/>
              <w:rPr>
                <w:sz w:val="8"/>
                <w:szCs w:val="8"/>
                <w:color w:val="auto"/>
              </w:rPr>
            </w:pPr>
          </w:p>
        </w:tc>
        <w:tc>
          <w:tcPr>
            <w:tcW w:w="10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1840" w:type="dxa"/>
            <w:vAlign w:val="bottom"/>
            <w:tcBorders>
              <w:top w:val="single" w:sz="8" w:color="0000FF"/>
            </w:tcBorders>
          </w:tcPr>
          <w:p>
            <w:pPr>
              <w:spacing w:after="0"/>
              <w:rPr>
                <w:sz w:val="8"/>
                <w:szCs w:val="8"/>
                <w:color w:val="auto"/>
              </w:rPr>
            </w:pPr>
          </w:p>
        </w:tc>
        <w:tc>
          <w:tcPr>
            <w:tcW w:w="1580" w:type="dxa"/>
            <w:vAlign w:val="bottom"/>
            <w:tcBorders>
              <w:top w:val="single" w:sz="8" w:color="0000FF"/>
            </w:tcBorders>
          </w:tcPr>
          <w:p>
            <w:pPr>
              <w:spacing w:after="0"/>
              <w:rPr>
                <w:sz w:val="8"/>
                <w:szCs w:val="8"/>
                <w:color w:val="auto"/>
              </w:rPr>
            </w:pPr>
          </w:p>
        </w:tc>
        <w:tc>
          <w:tcPr>
            <w:tcW w:w="580" w:type="dxa"/>
            <w:vAlign w:val="bottom"/>
            <w:tcBorders>
              <w:top w:val="single" w:sz="8" w:color="0000FF"/>
            </w:tcBorders>
          </w:tcPr>
          <w:p>
            <w:pPr>
              <w:spacing w:after="0"/>
              <w:rPr>
                <w:sz w:val="8"/>
                <w:szCs w:val="8"/>
                <w:color w:val="auto"/>
              </w:rPr>
            </w:pPr>
          </w:p>
        </w:tc>
        <w:tc>
          <w:tcPr>
            <w:tcW w:w="400" w:type="dxa"/>
            <w:vAlign w:val="bottom"/>
            <w:tcBorders>
              <w:top w:val="single" w:sz="8" w:color="0000FF"/>
            </w:tcBorders>
          </w:tcPr>
          <w:p>
            <w:pPr>
              <w:spacing w:after="0"/>
              <w:rPr>
                <w:sz w:val="8"/>
                <w:szCs w:val="8"/>
                <w:color w:val="auto"/>
              </w:rPr>
            </w:pPr>
          </w:p>
        </w:tc>
        <w:tc>
          <w:tcPr>
            <w:tcW w:w="1460" w:type="dxa"/>
            <w:vAlign w:val="bottom"/>
            <w:tcBorders>
              <w:top w:val="single" w:sz="8" w:color="0000FF"/>
            </w:tcBorders>
          </w:tcPr>
          <w:p>
            <w:pPr>
              <w:spacing w:after="0"/>
              <w:rPr>
                <w:sz w:val="8"/>
                <w:szCs w:val="8"/>
                <w:color w:val="auto"/>
              </w:rPr>
            </w:pPr>
          </w:p>
        </w:tc>
        <w:tc>
          <w:tcPr>
            <w:tcW w:w="1160" w:type="dxa"/>
            <w:vAlign w:val="bottom"/>
            <w:tcBorders>
              <w:top w:val="single" w:sz="8" w:color="CCEEFF"/>
            </w:tcBorders>
          </w:tcPr>
          <w:p>
            <w:pPr>
              <w:spacing w:after="0"/>
              <w:rPr>
                <w:sz w:val="8"/>
                <w:szCs w:val="8"/>
                <w:color w:val="auto"/>
              </w:rPr>
            </w:pPr>
          </w:p>
        </w:tc>
        <w:tc>
          <w:tcPr>
            <w:tcW w:w="1680" w:type="dxa"/>
            <w:vAlign w:val="bottom"/>
            <w:tcBorders>
              <w:top w:val="single" w:sz="8" w:color="CCEEFF"/>
            </w:tcBorders>
          </w:tcPr>
          <w:p>
            <w:pPr>
              <w:spacing w:after="0"/>
              <w:rPr>
                <w:sz w:val="8"/>
                <w:szCs w:val="8"/>
                <w:color w:val="auto"/>
              </w:rPr>
            </w:pPr>
          </w:p>
        </w:tc>
        <w:tc>
          <w:tcPr>
            <w:tcW w:w="480" w:type="dxa"/>
            <w:vAlign w:val="bottom"/>
            <w:tcBorders>
              <w:top w:val="single" w:sz="8" w:color="CCEEFF"/>
            </w:tcBorders>
          </w:tcPr>
          <w:p>
            <w:pPr>
              <w:spacing w:after="0"/>
              <w:rPr>
                <w:sz w:val="8"/>
                <w:szCs w:val="8"/>
                <w:color w:val="auto"/>
              </w:rPr>
            </w:pPr>
          </w:p>
        </w:tc>
        <w:tc>
          <w:tcPr>
            <w:tcW w:w="160" w:type="dxa"/>
            <w:vAlign w:val="bottom"/>
            <w:tcBorders>
              <w:top w:val="single" w:sz="8" w:color="CCEEFF"/>
            </w:tcBorders>
          </w:tcPr>
          <w:p>
            <w:pPr>
              <w:spacing w:after="0"/>
              <w:rPr>
                <w:sz w:val="8"/>
                <w:szCs w:val="8"/>
                <w:color w:val="auto"/>
              </w:rPr>
            </w:pPr>
          </w:p>
        </w:tc>
        <w:tc>
          <w:tcPr>
            <w:tcW w:w="14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60" w:type="dxa"/>
            <w:vAlign w:val="bottom"/>
            <w:tcBorders>
              <w:top w:val="single" w:sz="8" w:color="CCEEFF"/>
            </w:tcBorders>
          </w:tcPr>
          <w:p>
            <w:pPr>
              <w:spacing w:after="0"/>
              <w:rPr>
                <w:sz w:val="8"/>
                <w:szCs w:val="8"/>
                <w:color w:val="auto"/>
              </w:rPr>
            </w:pPr>
          </w:p>
        </w:tc>
        <w:tc>
          <w:tcPr>
            <w:tcW w:w="180" w:type="dxa"/>
            <w:vAlign w:val="bottom"/>
            <w:tcBorders>
              <w:top w:val="single" w:sz="8" w:color="CCEE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80" w:type="dxa"/>
            <w:vAlign w:val="bottom"/>
            <w:tcBorders>
              <w:top w:val="single" w:sz="8" w:color="CCEE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60" w:type="dxa"/>
            <w:vAlign w:val="bottom"/>
            <w:tcBorders>
              <w:top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20" w:type="dxa"/>
            <w:vAlign w:val="bottom"/>
            <w:gridSpan w:val="20"/>
            <w:shd w:val="clear" w:color="auto" w:fill="CCEEFF"/>
          </w:tcPr>
          <w:p>
            <w:pPr>
              <w:spacing w:after="0" w:line="189"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Credit Agreement by and among the Company, its subsidiaries, and JPMorgan Chase Bank, N.A., dated March 17, 2022 (incorporated by</w:t>
              </w:r>
            </w:hyperlink>
          </w:p>
        </w:tc>
        <w:tc>
          <w:tcPr>
            <w:tcW w:w="0" w:type="dxa"/>
            <w:vAlign w:val="bottom"/>
          </w:tcPr>
          <w:p>
            <w:pPr>
              <w:spacing w:after="0"/>
              <w:rPr>
                <w:sz w:val="1"/>
                <w:szCs w:val="1"/>
                <w:color w:val="auto"/>
              </w:rPr>
            </w:pPr>
          </w:p>
        </w:tc>
      </w:tr>
      <w:tr>
        <w:trPr>
          <w:trHeight w:val="183"/>
        </w:trPr>
        <w:tc>
          <w:tcPr>
            <w:tcW w:w="1060" w:type="dxa"/>
            <w:vAlign w:val="bottom"/>
            <w:tcBorders>
              <w:top w:val="single" w:sz="8" w:color="CCEEFF"/>
              <w:bottom w:val="single" w:sz="8" w:color="CCEEFF"/>
            </w:tcBorders>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10.4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400" w:type="dxa"/>
            <w:vAlign w:val="bottom"/>
            <w:tcBorders>
              <w:top w:val="single" w:sz="8" w:color="0000FF"/>
              <w:bottom w:val="single" w:sz="8" w:color="0000FF"/>
            </w:tcBorders>
            <w:gridSpan w:val="4"/>
            <w:shd w:val="clear" w:color="auto" w:fill="CCEEFF"/>
          </w:tcPr>
          <w:p>
            <w:pPr>
              <w:spacing w:after="0" w:line="169" w:lineRule="exact"/>
              <w:rPr>
                <w:rFonts w:ascii="Times New Roman" w:cs="Times New Roman" w:eastAsia="Times New Roman" w:hAnsi="Times New Roman"/>
                <w:sz w:val="18"/>
                <w:szCs w:val="18"/>
                <w:color w:val="0000FF"/>
                <w:w w:val="99"/>
              </w:rPr>
            </w:pPr>
            <w:hyperlink r:id="rId143">
              <w:r>
                <w:rPr>
                  <w:rFonts w:ascii="Times New Roman" w:cs="Times New Roman" w:eastAsia="Times New Roman" w:hAnsi="Times New Roman"/>
                  <w:sz w:val="18"/>
                  <w:szCs w:val="18"/>
                  <w:color w:val="0000FF"/>
                  <w:w w:val="99"/>
                </w:rPr>
                <w:t>reference to Exhibit 10.1 to Form 8-K filed March 24, 2022).</w:t>
              </w:r>
            </w:hyperlink>
          </w:p>
        </w:tc>
        <w:tc>
          <w:tcPr>
            <w:tcW w:w="5500" w:type="dxa"/>
            <w:vAlign w:val="bottom"/>
            <w:tcBorders>
              <w:top w:val="single" w:sz="8" w:color="0000FF"/>
              <w:bottom w:val="single" w:sz="8" w:color="0000FF"/>
            </w:tcBorders>
            <w:gridSpan w:val="13"/>
            <w:shd w:val="clear" w:color="auto" w:fill="CCEEFF"/>
          </w:tcPr>
          <w:p>
            <w:pPr>
              <w:spacing w:after="0"/>
              <w:rPr>
                <w:sz w:val="15"/>
                <w:szCs w:val="15"/>
                <w:color w:val="auto"/>
              </w:rPr>
            </w:pPr>
          </w:p>
        </w:tc>
        <w:tc>
          <w:tcPr>
            <w:tcW w:w="12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10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1840" w:type="dxa"/>
            <w:vAlign w:val="bottom"/>
            <w:shd w:val="clear" w:color="auto" w:fill="CCEEFF"/>
          </w:tcPr>
          <w:p>
            <w:pPr>
              <w:spacing w:after="0"/>
              <w:rPr>
                <w:sz w:val="4"/>
                <w:szCs w:val="4"/>
                <w:color w:val="auto"/>
              </w:rPr>
            </w:pPr>
          </w:p>
        </w:tc>
        <w:tc>
          <w:tcPr>
            <w:tcW w:w="1580" w:type="dxa"/>
            <w:vAlign w:val="bottom"/>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400" w:type="dxa"/>
            <w:vAlign w:val="bottom"/>
            <w:shd w:val="clear" w:color="auto" w:fill="CCEEFF"/>
          </w:tcPr>
          <w:p>
            <w:pPr>
              <w:spacing w:after="0"/>
              <w:rPr>
                <w:sz w:val="4"/>
                <w:szCs w:val="4"/>
                <w:color w:val="auto"/>
              </w:rPr>
            </w:pPr>
          </w:p>
        </w:tc>
        <w:tc>
          <w:tcPr>
            <w:tcW w:w="1460" w:type="dxa"/>
            <w:vAlign w:val="bottom"/>
            <w:shd w:val="clear" w:color="auto" w:fill="CCEEFF"/>
          </w:tcPr>
          <w:p>
            <w:pPr>
              <w:spacing w:after="0"/>
              <w:rPr>
                <w:sz w:val="4"/>
                <w:szCs w:val="4"/>
                <w:color w:val="auto"/>
              </w:rPr>
            </w:pPr>
          </w:p>
        </w:tc>
        <w:tc>
          <w:tcPr>
            <w:tcW w:w="1160" w:type="dxa"/>
            <w:vAlign w:val="bottom"/>
            <w:shd w:val="clear" w:color="auto" w:fill="CCEEFF"/>
          </w:tcPr>
          <w:p>
            <w:pPr>
              <w:spacing w:after="0"/>
              <w:rPr>
                <w:sz w:val="4"/>
                <w:szCs w:val="4"/>
                <w:color w:val="auto"/>
              </w:rPr>
            </w:pPr>
          </w:p>
        </w:tc>
        <w:tc>
          <w:tcPr>
            <w:tcW w:w="1680" w:type="dxa"/>
            <w:vAlign w:val="bottom"/>
            <w:shd w:val="clear" w:color="auto" w:fill="CCEEFF"/>
          </w:tcPr>
          <w:p>
            <w:pPr>
              <w:spacing w:after="0"/>
              <w:rPr>
                <w:sz w:val="4"/>
                <w:szCs w:val="4"/>
                <w:color w:val="auto"/>
              </w:rPr>
            </w:pPr>
          </w:p>
        </w:tc>
        <w:tc>
          <w:tcPr>
            <w:tcW w:w="48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1" w:lineRule="exact"/>
        <w:rPr>
          <w:sz w:val="20"/>
          <w:szCs w:val="20"/>
          <w:color w:val="auto"/>
        </w:rPr>
      </w:pPr>
    </w:p>
    <w:p>
      <w:pPr>
        <w:sectPr>
          <w:pgSz w:w="11900" w:h="16838" w:orient="portrait"/>
          <w:cols w:equalWidth="0" w:num="1">
            <w:col w:w="11200"/>
          </w:cols>
          <w:pgMar w:left="320" w:top="1103" w:right="379" w:bottom="1440" w:gutter="0" w:footer="0" w:header="0"/>
        </w:sectPr>
      </w:pP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10.5†</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10.6†</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10.7†</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10.8†</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10.8.1†</w:t>
      </w:r>
    </w:p>
    <w:p>
      <w:pPr>
        <w:spacing w:after="0" w:line="3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10.8.2†*</w:t>
      </w:r>
    </w:p>
    <w:p>
      <w:pPr>
        <w:spacing w:after="0" w:line="1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10.8.3†*</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10.9†</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10.10†</w:t>
      </w:r>
    </w:p>
    <w:p>
      <w:pPr>
        <w:spacing w:after="0" w:line="20" w:lineRule="exact"/>
        <w:rPr>
          <w:sz w:val="20"/>
          <w:szCs w:val="20"/>
          <w:color w:val="auto"/>
        </w:rPr>
      </w:pPr>
      <w:r>
        <w:rPr>
          <w:sz w:val="20"/>
          <w:szCs w:val="20"/>
          <w:color w:val="auto"/>
        </w:rPr>
        <w:br w:type="column"/>
      </w:r>
    </w:p>
    <w:p>
      <w:pPr>
        <w:spacing w:after="0" w:line="187" w:lineRule="exact"/>
        <w:rPr>
          <w:rFonts w:ascii="Times New Roman" w:cs="Times New Roman" w:eastAsia="Times New Roman" w:hAnsi="Times New Roman"/>
          <w:sz w:val="18"/>
          <w:szCs w:val="18"/>
          <w:u w:val="single" w:color="auto"/>
          <w:color w:val="0000FF"/>
        </w:rPr>
      </w:pPr>
      <w:hyperlink r:id="rId144">
        <w:r>
          <w:rPr>
            <w:rFonts w:ascii="Times New Roman" w:cs="Times New Roman" w:eastAsia="Times New Roman" w:hAnsi="Times New Roman"/>
            <w:sz w:val="18"/>
            <w:szCs w:val="18"/>
            <w:u w:val="single" w:color="auto"/>
            <w:color w:val="0000FF"/>
          </w:rPr>
          <w:t>USA Technologies, Inc. 2013 Stock Incentive Plan (incorporated by reference to Exhibit 10.6 to Form 10</w:t>
        </w:r>
        <w:r>
          <w:rPr>
            <w:rFonts w:ascii="MS PGothic" w:cs="MS PGothic" w:eastAsia="MS PGothic" w:hAnsi="MS PGothic"/>
            <w:sz w:val="18"/>
            <w:szCs w:val="18"/>
            <w:u w:val="single" w:color="auto"/>
            <w:color w:val="0000FF"/>
          </w:rPr>
          <w:t>‑</w:t>
        </w:r>
        <w:r>
          <w:rPr>
            <w:rFonts w:ascii="Times New Roman" w:cs="Times New Roman" w:eastAsia="Times New Roman" w:hAnsi="Times New Roman"/>
            <w:sz w:val="18"/>
            <w:szCs w:val="18"/>
            <w:u w:val="single" w:color="auto"/>
            <w:color w:val="0000FF"/>
          </w:rPr>
          <w:t>K filed on September 30, 2013).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-109220</wp:posOffset>
            </wp:positionV>
            <wp:extent cx="7106285" cy="1454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5">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85" w:lineRule="exact"/>
        <w:rPr>
          <w:sz w:val="20"/>
          <w:szCs w:val="20"/>
          <w:color w:val="auto"/>
        </w:rPr>
      </w:pPr>
    </w:p>
    <w:p>
      <w:pPr>
        <w:ind w:right="180"/>
        <w:spacing w:after="0" w:line="237" w:lineRule="auto"/>
        <w:rPr>
          <w:rFonts w:ascii="Times New Roman" w:cs="Times New Roman" w:eastAsia="Times New Roman" w:hAnsi="Times New Roman"/>
          <w:sz w:val="18"/>
          <w:szCs w:val="18"/>
          <w:u w:val="single" w:color="auto"/>
          <w:color w:val="0000FF"/>
        </w:rPr>
      </w:pPr>
      <w:hyperlink r:id="rId146">
        <w:r>
          <w:rPr>
            <w:rFonts w:ascii="Times New Roman" w:cs="Times New Roman" w:eastAsia="Times New Roman" w:hAnsi="Times New Roman"/>
            <w:sz w:val="18"/>
            <w:szCs w:val="18"/>
            <w:u w:val="single" w:color="auto"/>
            <w:color w:val="0000FF"/>
          </w:rPr>
          <w:t>USA Technologies, Inc. 2014 Stock Option Incentive Plan (incorporated by reference to Appendix A to the Company’s Definitive Proxy</w:t>
        </w:r>
      </w:hyperlink>
      <w:r>
        <w:rPr>
          <w:rFonts w:ascii="Times New Roman" w:cs="Times New Roman" w:eastAsia="Times New Roman" w:hAnsi="Times New Roman"/>
          <w:sz w:val="18"/>
          <w:szCs w:val="18"/>
          <w:u w:val="single" w:color="auto"/>
          <w:color w:val="0000FF"/>
        </w:rPr>
        <w:t xml:space="preserve"> </w:t>
      </w:r>
      <w:hyperlink r:id="rId146">
        <w:r>
          <w:rPr>
            <w:rFonts w:ascii="Times New Roman" w:cs="Times New Roman" w:eastAsia="Times New Roman" w:hAnsi="Times New Roman"/>
            <w:sz w:val="18"/>
            <w:szCs w:val="18"/>
            <w:u w:val="single" w:color="auto"/>
            <w:color w:val="0000FF"/>
          </w:rPr>
          <w:t>Statement on form DEF 14A filed on May 15, 2014).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-255905</wp:posOffset>
            </wp:positionV>
            <wp:extent cx="7106285" cy="2654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7">
                      <a:extLst>
                        <a:ext uri="{28A0092B-C50C-407E-A947-70E740481C1C}"/>
                      </a:extLst>
                    </a:blip>
                    <a:srcRect/>
                    <a:stretch>
                      <a:fillRect/>
                    </a:stretch>
                  </pic:blipFill>
                  <pic:spPr bwMode="auto">
                    <a:xfrm>
                      <a:off x="0" y="0"/>
                      <a:ext cx="7106285" cy="265430"/>
                    </a:xfrm>
                    <a:prstGeom prst="rect">
                      <a:avLst/>
                    </a:prstGeom>
                    <a:noFill/>
                  </pic:spPr>
                </pic:pic>
              </a:graphicData>
            </a:graphic>
          </wp:anchor>
        </w:drawing>
      </w:r>
    </w:p>
    <w:p>
      <w:pPr>
        <w:spacing w:after="0" w:line="44" w:lineRule="exact"/>
        <w:rPr>
          <w:sz w:val="20"/>
          <w:szCs w:val="20"/>
          <w:color w:val="auto"/>
        </w:rPr>
      </w:pPr>
    </w:p>
    <w:p>
      <w:pPr>
        <w:ind w:right="640"/>
        <w:spacing w:after="0" w:line="237" w:lineRule="auto"/>
        <w:rPr>
          <w:rFonts w:ascii="Times New Roman" w:cs="Times New Roman" w:eastAsia="Times New Roman" w:hAnsi="Times New Roman"/>
          <w:sz w:val="18"/>
          <w:szCs w:val="18"/>
          <w:u w:val="single" w:color="auto"/>
          <w:color w:val="0000FF"/>
        </w:rPr>
      </w:pPr>
      <w:hyperlink r:id="rId148">
        <w:r>
          <w:rPr>
            <w:rFonts w:ascii="Times New Roman" w:cs="Times New Roman" w:eastAsia="Times New Roman" w:hAnsi="Times New Roman"/>
            <w:sz w:val="18"/>
            <w:szCs w:val="18"/>
            <w:u w:val="single" w:color="auto"/>
            <w:color w:val="0000FF"/>
          </w:rPr>
          <w:t>USA Technologies, Inc. 2015 Equity Incentive Plan (incorporated by reference to Appendix A to the Company’s Definitive Proxy</w:t>
        </w:r>
      </w:hyperlink>
      <w:r>
        <w:rPr>
          <w:rFonts w:ascii="Times New Roman" w:cs="Times New Roman" w:eastAsia="Times New Roman" w:hAnsi="Times New Roman"/>
          <w:sz w:val="18"/>
          <w:szCs w:val="18"/>
          <w:u w:val="single" w:color="auto"/>
          <w:color w:val="0000FF"/>
        </w:rPr>
        <w:t xml:space="preserve"> </w:t>
      </w:r>
      <w:hyperlink r:id="rId148">
        <w:r>
          <w:rPr>
            <w:rFonts w:ascii="Times New Roman" w:cs="Times New Roman" w:eastAsia="Times New Roman" w:hAnsi="Times New Roman"/>
            <w:sz w:val="18"/>
            <w:szCs w:val="18"/>
            <w:u w:val="single" w:color="auto"/>
            <w:color w:val="0000FF"/>
          </w:rPr>
          <w:t>Statement filed on May 15, 2015).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-255905</wp:posOffset>
            </wp:positionV>
            <wp:extent cx="7106285" cy="26543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9">
                      <a:extLst>
                        <a:ext uri="{28A0092B-C50C-407E-A947-70E740481C1C}"/>
                      </a:extLst>
                    </a:blip>
                    <a:srcRect/>
                    <a:stretch>
                      <a:fillRect/>
                    </a:stretch>
                  </pic:blipFill>
                  <pic:spPr bwMode="auto">
                    <a:xfrm>
                      <a:off x="0" y="0"/>
                      <a:ext cx="7106285" cy="265430"/>
                    </a:xfrm>
                    <a:prstGeom prst="rect">
                      <a:avLst/>
                    </a:prstGeom>
                    <a:noFill/>
                  </pic:spPr>
                </pic:pic>
              </a:graphicData>
            </a:graphic>
          </wp:anchor>
        </w:drawing>
      </w:r>
    </w:p>
    <w:p>
      <w:pPr>
        <w:spacing w:after="0" w:line="44" w:lineRule="exact"/>
        <w:rPr>
          <w:sz w:val="20"/>
          <w:szCs w:val="20"/>
          <w:color w:val="auto"/>
        </w:rPr>
      </w:pPr>
    </w:p>
    <w:p>
      <w:pPr>
        <w:ind w:right="640"/>
        <w:spacing w:after="0" w:line="237" w:lineRule="auto"/>
        <w:rPr>
          <w:rFonts w:ascii="Times New Roman" w:cs="Times New Roman" w:eastAsia="Times New Roman" w:hAnsi="Times New Roman"/>
          <w:sz w:val="18"/>
          <w:szCs w:val="18"/>
          <w:u w:val="single" w:color="auto"/>
          <w:color w:val="0000FF"/>
        </w:rPr>
      </w:pPr>
      <w:hyperlink r:id="rId150">
        <w:r>
          <w:rPr>
            <w:rFonts w:ascii="Times New Roman" w:cs="Times New Roman" w:eastAsia="Times New Roman" w:hAnsi="Times New Roman"/>
            <w:sz w:val="18"/>
            <w:szCs w:val="18"/>
            <w:u w:val="single" w:color="auto"/>
            <w:color w:val="0000FF"/>
          </w:rPr>
          <w:t>USA Technologies, Inc. 2018 Equity Incentive Plan (incorporated by reference to Appendix A to the Company’s Definitive Proxy</w:t>
        </w:r>
      </w:hyperlink>
      <w:r>
        <w:rPr>
          <w:rFonts w:ascii="Times New Roman" w:cs="Times New Roman" w:eastAsia="Times New Roman" w:hAnsi="Times New Roman"/>
          <w:sz w:val="18"/>
          <w:szCs w:val="18"/>
          <w:u w:val="single" w:color="auto"/>
          <w:color w:val="0000FF"/>
        </w:rPr>
        <w:t xml:space="preserve"> </w:t>
      </w:r>
      <w:hyperlink r:id="rId150">
        <w:r>
          <w:rPr>
            <w:rFonts w:ascii="Times New Roman" w:cs="Times New Roman" w:eastAsia="Times New Roman" w:hAnsi="Times New Roman"/>
            <w:sz w:val="18"/>
            <w:szCs w:val="18"/>
            <w:u w:val="single" w:color="auto"/>
            <w:color w:val="0000FF"/>
          </w:rPr>
          <w:t>Statement filed on April 2,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-255905</wp:posOffset>
            </wp:positionV>
            <wp:extent cx="7106285" cy="26543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1">
                      <a:extLst>
                        <a:ext uri="{28A0092B-C50C-407E-A947-70E740481C1C}"/>
                      </a:extLst>
                    </a:blip>
                    <a:srcRect/>
                    <a:stretch>
                      <a:fillRect/>
                    </a:stretch>
                  </pic:blipFill>
                  <pic:spPr bwMode="auto">
                    <a:xfrm>
                      <a:off x="0" y="0"/>
                      <a:ext cx="7106285" cy="265430"/>
                    </a:xfrm>
                    <a:prstGeom prst="rect">
                      <a:avLst/>
                    </a:prstGeom>
                    <a:noFill/>
                  </pic:spPr>
                </pic:pic>
              </a:graphicData>
            </a:graphic>
          </wp:anchor>
        </w:drawing>
      </w:r>
    </w:p>
    <w:p>
      <w:pPr>
        <w:spacing w:after="0" w:line="44" w:lineRule="exact"/>
        <w:rPr>
          <w:sz w:val="20"/>
          <w:szCs w:val="20"/>
          <w:color w:val="auto"/>
        </w:rPr>
      </w:pPr>
    </w:p>
    <w:p>
      <w:pPr>
        <w:ind w:right="120"/>
        <w:spacing w:after="0" w:line="237" w:lineRule="auto"/>
        <w:rPr>
          <w:rFonts w:ascii="Times New Roman" w:cs="Times New Roman" w:eastAsia="Times New Roman" w:hAnsi="Times New Roman"/>
          <w:sz w:val="18"/>
          <w:szCs w:val="18"/>
          <w:u w:val="single" w:color="auto"/>
          <w:color w:val="0000FF"/>
        </w:rPr>
      </w:pPr>
      <w:hyperlink r:id="rId152">
        <w:r>
          <w:rPr>
            <w:rFonts w:ascii="Times New Roman" w:cs="Times New Roman" w:eastAsia="Times New Roman" w:hAnsi="Times New Roman"/>
            <w:sz w:val="18"/>
            <w:szCs w:val="18"/>
            <w:u w:val="single" w:color="auto"/>
            <w:color w:val="0000FF"/>
          </w:rPr>
          <w:t>First Amendment to the USA Technologies, Inc. 2018 Equity Incentive Plan (incorporated by reference to Exhibit 10.1 to Form 8-K filed</w:t>
        </w:r>
      </w:hyperlink>
      <w:r>
        <w:rPr>
          <w:rFonts w:ascii="Times New Roman" w:cs="Times New Roman" w:eastAsia="Times New Roman" w:hAnsi="Times New Roman"/>
          <w:sz w:val="18"/>
          <w:szCs w:val="18"/>
          <w:u w:val="single" w:color="auto"/>
          <w:color w:val="0000FF"/>
        </w:rPr>
        <w:t xml:space="preserve"> </w:t>
      </w:r>
      <w:hyperlink r:id="rId152">
        <w:r>
          <w:rPr>
            <w:rFonts w:ascii="Times New Roman" w:cs="Times New Roman" w:eastAsia="Times New Roman" w:hAnsi="Times New Roman"/>
            <w:sz w:val="18"/>
            <w:szCs w:val="18"/>
            <w:u w:val="single" w:color="auto"/>
            <w:color w:val="0000FF"/>
          </w:rPr>
          <w:t>on May 26,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-255905</wp:posOffset>
            </wp:positionV>
            <wp:extent cx="7106285" cy="26543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3">
                      <a:extLst>
                        <a:ext uri="{28A0092B-C50C-407E-A947-70E740481C1C}"/>
                      </a:extLst>
                    </a:blip>
                    <a:srcRect/>
                    <a:stretch>
                      <a:fillRect/>
                    </a:stretch>
                  </pic:blipFill>
                  <pic:spPr bwMode="auto">
                    <a:xfrm>
                      <a:off x="0" y="0"/>
                      <a:ext cx="7106285" cy="265430"/>
                    </a:xfrm>
                    <a:prstGeom prst="rect">
                      <a:avLst/>
                    </a:prstGeom>
                    <a:noFill/>
                  </pic:spPr>
                </pic:pic>
              </a:graphicData>
            </a:graphic>
          </wp:anchor>
        </w:drawing>
      </w:r>
    </w:p>
    <w:p>
      <w:pPr>
        <w:spacing w:after="0" w:line="44"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u w:val="single" w:color="auto"/>
          <w:color w:val="0000FF"/>
        </w:rPr>
        <w:t>Form of Nonqualified Stock Option Award Agreement under the Cantaloupe, Inc. (f/k/a USA Technologies, Inc.) 2018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-287655</wp:posOffset>
            </wp:positionV>
            <wp:extent cx="7106285" cy="29146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4">
                      <a:extLst>
                        <a:ext uri="{28A0092B-C50C-407E-A947-70E740481C1C}"/>
                      </a:extLst>
                    </a:blip>
                    <a:srcRect/>
                    <a:stretch>
                      <a:fillRect/>
                    </a:stretch>
                  </pic:blipFill>
                  <pic:spPr bwMode="auto">
                    <a:xfrm>
                      <a:off x="0" y="0"/>
                      <a:ext cx="7106285" cy="291465"/>
                    </a:xfrm>
                    <a:prstGeom prst="rect">
                      <a:avLst/>
                    </a:prstGeom>
                    <a:noFill/>
                  </pic:spPr>
                </pic:pic>
              </a:graphicData>
            </a:graphic>
          </wp:anchor>
        </w:drawing>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Form of Restricted Stock Unit Award Agreement under the Cantaloupe, Inc. (f/k/a USA Technologies, Inc.) 2018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-127635</wp:posOffset>
            </wp:positionV>
            <wp:extent cx="7106285" cy="1625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5">
                      <a:extLst>
                        <a:ext uri="{28A0092B-C50C-407E-A947-70E740481C1C}"/>
                      </a:extLst>
                    </a:blip>
                    <a:srcRect/>
                    <a:stretch>
                      <a:fillRect/>
                    </a:stretch>
                  </pic:blipFill>
                  <pic:spPr bwMode="auto">
                    <a:xfrm>
                      <a:off x="0" y="0"/>
                      <a:ext cx="7106285" cy="162560"/>
                    </a:xfrm>
                    <a:prstGeom prst="rect">
                      <a:avLst/>
                    </a:prstGeom>
                    <a:noFill/>
                  </pic:spPr>
                </pic:pic>
              </a:graphicData>
            </a:graphic>
          </wp:anchor>
        </w:drawing>
      </w:r>
    </w:p>
    <w:p>
      <w:pPr>
        <w:spacing w:after="0" w:line="84" w:lineRule="exact"/>
        <w:rPr>
          <w:sz w:val="20"/>
          <w:szCs w:val="20"/>
          <w:color w:val="auto"/>
        </w:rPr>
      </w:pPr>
    </w:p>
    <w:p>
      <w:pPr>
        <w:ind w:right="360"/>
        <w:spacing w:after="0" w:line="237" w:lineRule="auto"/>
        <w:rPr>
          <w:rFonts w:ascii="Times New Roman" w:cs="Times New Roman" w:eastAsia="Times New Roman" w:hAnsi="Times New Roman"/>
          <w:sz w:val="18"/>
          <w:szCs w:val="18"/>
          <w:u w:val="single" w:color="auto"/>
          <w:color w:val="0000FF"/>
        </w:rPr>
      </w:pPr>
      <w:hyperlink r:id="rId156">
        <w:r>
          <w:rPr>
            <w:rFonts w:ascii="Times New Roman" w:cs="Times New Roman" w:eastAsia="Times New Roman" w:hAnsi="Times New Roman"/>
            <w:sz w:val="18"/>
            <w:szCs w:val="18"/>
            <w:u w:val="single" w:color="auto"/>
            <w:color w:val="0000FF"/>
          </w:rPr>
          <w:t>Employment Agreement, dated May 8, 2020, between USA Technologies, Inc. and Sean Feeney (incorporated by reference to Exhibit</w:t>
        </w:r>
      </w:hyperlink>
      <w:r>
        <w:rPr>
          <w:rFonts w:ascii="Times New Roman" w:cs="Times New Roman" w:eastAsia="Times New Roman" w:hAnsi="Times New Roman"/>
          <w:sz w:val="18"/>
          <w:szCs w:val="18"/>
          <w:u w:val="single" w:color="auto"/>
          <w:color w:val="0000FF"/>
        </w:rPr>
        <w:t xml:space="preserve"> </w:t>
      </w:r>
      <w:hyperlink r:id="rId156">
        <w:r>
          <w:rPr>
            <w:rFonts w:ascii="Times New Roman" w:cs="Times New Roman" w:eastAsia="Times New Roman" w:hAnsi="Times New Roman"/>
            <w:sz w:val="18"/>
            <w:szCs w:val="18"/>
            <w:u w:val="single" w:color="auto"/>
            <w:color w:val="0000FF"/>
          </w:rPr>
          <w:t>10.2 to Form 8-K filed on May 13,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-255905</wp:posOffset>
            </wp:positionV>
            <wp:extent cx="7106285" cy="26543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7">
                      <a:extLst>
                        <a:ext uri="{28A0092B-C50C-407E-A947-70E740481C1C}"/>
                      </a:extLst>
                    </a:blip>
                    <a:srcRect/>
                    <a:stretch>
                      <a:fillRect/>
                    </a:stretch>
                  </pic:blipFill>
                  <pic:spPr bwMode="auto">
                    <a:xfrm>
                      <a:off x="0" y="0"/>
                      <a:ext cx="7106285" cy="265430"/>
                    </a:xfrm>
                    <a:prstGeom prst="rect">
                      <a:avLst/>
                    </a:prstGeom>
                    <a:noFill/>
                  </pic:spPr>
                </pic:pic>
              </a:graphicData>
            </a:graphic>
          </wp:anchor>
        </w:drawing>
      </w:r>
    </w:p>
    <w:p>
      <w:pPr>
        <w:spacing w:after="0" w:line="44" w:lineRule="exact"/>
        <w:rPr>
          <w:sz w:val="20"/>
          <w:szCs w:val="20"/>
          <w:color w:val="auto"/>
        </w:rPr>
      </w:pPr>
    </w:p>
    <w:p>
      <w:pPr>
        <w:ind w:right="720"/>
        <w:spacing w:after="0" w:line="237" w:lineRule="auto"/>
        <w:rPr>
          <w:rFonts w:ascii="Times New Roman" w:cs="Times New Roman" w:eastAsia="Times New Roman" w:hAnsi="Times New Roman"/>
          <w:sz w:val="18"/>
          <w:szCs w:val="18"/>
          <w:u w:val="single" w:color="auto"/>
          <w:color w:val="0000FF"/>
        </w:rPr>
      </w:pPr>
      <w:hyperlink r:id="rId158">
        <w:r>
          <w:rPr>
            <w:rFonts w:ascii="Times New Roman" w:cs="Times New Roman" w:eastAsia="Times New Roman" w:hAnsi="Times New Roman"/>
            <w:sz w:val="18"/>
            <w:szCs w:val="18"/>
            <w:u w:val="single" w:color="auto"/>
            <w:color w:val="0000FF"/>
          </w:rPr>
          <w:t>Non-Qualified Stock Option Agreement, dated May 8, 2020, between USA Technologies, Inc. and Sean Feeney (incorporated by</w:t>
        </w:r>
      </w:hyperlink>
      <w:r>
        <w:rPr>
          <w:rFonts w:ascii="Times New Roman" w:cs="Times New Roman" w:eastAsia="Times New Roman" w:hAnsi="Times New Roman"/>
          <w:sz w:val="18"/>
          <w:szCs w:val="18"/>
          <w:u w:val="single" w:color="auto"/>
          <w:color w:val="0000FF"/>
        </w:rPr>
        <w:t xml:space="preserve"> </w:t>
      </w:r>
      <w:hyperlink r:id="rId158">
        <w:r>
          <w:rPr>
            <w:rFonts w:ascii="Times New Roman" w:cs="Times New Roman" w:eastAsia="Times New Roman" w:hAnsi="Times New Roman"/>
            <w:sz w:val="18"/>
            <w:szCs w:val="18"/>
            <w:u w:val="single" w:color="auto"/>
            <w:color w:val="0000FF"/>
          </w:rPr>
          <w:t>reference to Exhibit 10.3 to Form 8-K filed on May 13,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-255905</wp:posOffset>
            </wp:positionV>
            <wp:extent cx="7106285" cy="26543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9">
                      <a:extLst>
                        <a:ext uri="{28A0092B-C50C-407E-A947-70E740481C1C}"/>
                      </a:extLst>
                    </a:blip>
                    <a:srcRect/>
                    <a:stretch>
                      <a:fillRect/>
                    </a:stretch>
                  </pic:blipFill>
                  <pic:spPr bwMode="auto">
                    <a:xfrm>
                      <a:off x="0" y="0"/>
                      <a:ext cx="7106285" cy="2654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60" w:space="520"/>
            <w:col w:w="10020"/>
          </w:cols>
          <w:pgMar w:left="320" w:top="1103" w:right="379" w:bottom="1440" w:gutter="0" w:footer="0" w:header="0"/>
          <w:type w:val="continuous"/>
        </w:sectPr>
      </w:pPr>
    </w:p>
    <w:p>
      <w:pPr>
        <w:spacing w:after="0" w:line="200" w:lineRule="exact"/>
        <w:rPr>
          <w:sz w:val="20"/>
          <w:szCs w:val="20"/>
          <w:color w:val="auto"/>
        </w:rPr>
      </w:pPr>
    </w:p>
    <w:p>
      <w:pPr>
        <w:spacing w:after="0" w:line="2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03" w:right="379" w:bottom="1440" w:gutter="0" w:footer="0" w:header="0"/>
          <w:type w:val="continuous"/>
        </w:sectPr>
      </w:pPr>
    </w:p>
    <w:bookmarkStart w:id="89" w:name="page90"/>
    <w:bookmarkEnd w:id="89"/>
    <w:p>
      <w:pPr>
        <w:spacing w:after="0" w:line="1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10.11†</w:t>
      </w: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10.11.1†</w:t>
      </w:r>
    </w:p>
    <w:p>
      <w:pPr>
        <w:spacing w:after="0" w:line="200" w:lineRule="exact"/>
        <w:rPr>
          <w:sz w:val="20"/>
          <w:szCs w:val="20"/>
          <w:color w:val="auto"/>
        </w:rPr>
      </w:pPr>
    </w:p>
    <w:p>
      <w:pPr>
        <w:spacing w:after="0" w:line="2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10.11.2†</w:t>
      </w:r>
    </w:p>
    <w:p>
      <w:pPr>
        <w:spacing w:after="0" w:line="2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10.12†</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10.13†</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10.14†</w:t>
      </w:r>
    </w:p>
    <w:p>
      <w:pPr>
        <w:spacing w:after="0" w:line="20" w:lineRule="exact"/>
        <w:rPr>
          <w:sz w:val="20"/>
          <w:szCs w:val="20"/>
          <w:color w:val="auto"/>
        </w:rPr>
      </w:pPr>
      <w:r>
        <w:rPr>
          <w:sz w:val="20"/>
          <w:szCs w:val="20"/>
          <w:color w:val="auto"/>
        </w:rPr>
        <w:br w:type="column"/>
      </w:r>
    </w:p>
    <w:p>
      <w:pPr>
        <w:ind w:right="140"/>
        <w:spacing w:after="0" w:line="237" w:lineRule="auto"/>
        <w:rPr>
          <w:rFonts w:ascii="Times New Roman" w:cs="Times New Roman" w:eastAsia="Times New Roman" w:hAnsi="Times New Roman"/>
          <w:sz w:val="18"/>
          <w:szCs w:val="18"/>
          <w:u w:val="single" w:color="auto"/>
          <w:color w:val="0000FF"/>
        </w:rPr>
      </w:pPr>
      <w:hyperlink r:id="rId161">
        <w:r>
          <w:rPr>
            <w:rFonts w:ascii="Times New Roman" w:cs="Times New Roman" w:eastAsia="Times New Roman" w:hAnsi="Times New Roman"/>
            <w:sz w:val="18"/>
            <w:szCs w:val="18"/>
            <w:u w:val="single" w:color="auto"/>
            <w:color w:val="0000FF"/>
          </w:rPr>
          <w:t>Employment, Non-Interference, Non-Solicitation, Non-Competition and Invention Assignment Agreement by and between the Company</w:t>
        </w:r>
      </w:hyperlink>
      <w:r>
        <w:rPr>
          <w:rFonts w:ascii="Times New Roman" w:cs="Times New Roman" w:eastAsia="Times New Roman" w:hAnsi="Times New Roman"/>
          <w:sz w:val="18"/>
          <w:szCs w:val="18"/>
          <w:u w:val="single" w:color="auto"/>
          <w:color w:val="0000FF"/>
        </w:rPr>
        <w:t xml:space="preserve"> </w:t>
      </w:r>
      <w:hyperlink r:id="rId161">
        <w:r>
          <w:rPr>
            <w:rFonts w:ascii="Times New Roman" w:cs="Times New Roman" w:eastAsia="Times New Roman" w:hAnsi="Times New Roman"/>
            <w:sz w:val="18"/>
            <w:szCs w:val="18"/>
            <w:u w:val="single" w:color="auto"/>
            <w:color w:val="0000FF"/>
          </w:rPr>
          <w:t>and Anant Agrawal dated November 9, 2017 (incorporated by reference to Exhibit 10.9 to Form 10-K filed October 9,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-255905</wp:posOffset>
            </wp:positionV>
            <wp:extent cx="7106285" cy="26543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2">
                      <a:extLst>
                        <a:ext uri="{28A0092B-C50C-407E-A947-70E740481C1C}"/>
                      </a:extLst>
                    </a:blip>
                    <a:srcRect/>
                    <a:stretch>
                      <a:fillRect/>
                    </a:stretch>
                  </pic:blipFill>
                  <pic:spPr bwMode="auto">
                    <a:xfrm>
                      <a:off x="0" y="0"/>
                      <a:ext cx="7106285" cy="265430"/>
                    </a:xfrm>
                    <a:prstGeom prst="rect">
                      <a:avLst/>
                    </a:prstGeom>
                    <a:noFill/>
                  </pic:spPr>
                </pic:pic>
              </a:graphicData>
            </a:graphic>
          </wp:anchor>
        </w:drawing>
      </w:r>
    </w:p>
    <w:p>
      <w:pPr>
        <w:spacing w:after="0" w:line="44" w:lineRule="exact"/>
        <w:rPr>
          <w:sz w:val="20"/>
          <w:szCs w:val="20"/>
          <w:color w:val="auto"/>
        </w:rPr>
      </w:pPr>
    </w:p>
    <w:p>
      <w:pPr>
        <w:ind w:right="300"/>
        <w:spacing w:after="0" w:line="226" w:lineRule="auto"/>
        <w:rPr>
          <w:rFonts w:ascii="Times New Roman" w:cs="Times New Roman" w:eastAsia="Times New Roman" w:hAnsi="Times New Roman"/>
          <w:sz w:val="18"/>
          <w:szCs w:val="18"/>
          <w:u w:val="single" w:color="auto"/>
          <w:color w:val="0000FF"/>
        </w:rPr>
      </w:pPr>
      <w:hyperlink r:id="rId163">
        <w:r>
          <w:rPr>
            <w:rFonts w:ascii="Times New Roman" w:cs="Times New Roman" w:eastAsia="Times New Roman" w:hAnsi="Times New Roman"/>
            <w:sz w:val="18"/>
            <w:szCs w:val="18"/>
            <w:u w:val="single" w:color="auto"/>
            <w:color w:val="0000FF"/>
          </w:rPr>
          <w:t>First Amendment to Employment, Non-Interference, Non-Solicitation, Non-Competition and Invention Assignment Agreement by and</w:t>
        </w:r>
      </w:hyperlink>
      <w:r>
        <w:rPr>
          <w:rFonts w:ascii="Times New Roman" w:cs="Times New Roman" w:eastAsia="Times New Roman" w:hAnsi="Times New Roman"/>
          <w:sz w:val="18"/>
          <w:szCs w:val="18"/>
          <w:u w:val="single" w:color="auto"/>
          <w:color w:val="0000FF"/>
        </w:rPr>
        <w:t xml:space="preserve"> </w:t>
      </w:r>
      <w:hyperlink r:id="rId163">
        <w:r>
          <w:rPr>
            <w:rFonts w:ascii="Times New Roman" w:cs="Times New Roman" w:eastAsia="Times New Roman" w:hAnsi="Times New Roman"/>
            <w:sz w:val="18"/>
            <w:szCs w:val="18"/>
            <w:u w:val="single" w:color="auto"/>
            <w:color w:val="0000FF"/>
          </w:rPr>
          <w:t>between the Company and Anant Agrawal dated February 25, 2018 (incorporated by reference to Exhibit 10.9.1 to Form 10-K filed</w:t>
        </w:r>
      </w:hyperlink>
      <w:r>
        <w:rPr>
          <w:rFonts w:ascii="Times New Roman" w:cs="Times New Roman" w:eastAsia="Times New Roman" w:hAnsi="Times New Roman"/>
          <w:sz w:val="18"/>
          <w:szCs w:val="18"/>
          <w:u w:val="single" w:color="auto"/>
          <w:color w:val="0000FF"/>
        </w:rPr>
        <w:t xml:space="preserve"> </w:t>
      </w:r>
      <w:hyperlink r:id="rId163">
        <w:r>
          <w:rPr>
            <w:rFonts w:ascii="Times New Roman" w:cs="Times New Roman" w:eastAsia="Times New Roman" w:hAnsi="Times New Roman"/>
            <w:sz w:val="18"/>
            <w:szCs w:val="18"/>
            <w:u w:val="single" w:color="auto"/>
            <w:color w:val="0000FF"/>
          </w:rPr>
          <w:t>October 9, 2019).</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-743585</wp:posOffset>
            </wp:positionH>
            <wp:positionV relativeFrom="paragraph">
              <wp:posOffset>-367665</wp:posOffset>
            </wp:positionV>
            <wp:extent cx="7106285" cy="3771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4">
                      <a:extLst>
                        <a:ext uri="{28A0092B-C50C-407E-A947-70E740481C1C}"/>
                      </a:extLst>
                    </a:blip>
                    <a:srcRect/>
                    <a:stretch>
                      <a:fillRect/>
                    </a:stretch>
                  </pic:blipFill>
                  <pic:spPr bwMode="auto">
                    <a:xfrm>
                      <a:off x="0" y="0"/>
                      <a:ext cx="7106285" cy="377190"/>
                    </a:xfrm>
                    <a:prstGeom prst="rect">
                      <a:avLst/>
                    </a:prstGeom>
                    <a:noFill/>
                  </pic:spPr>
                </pic:pic>
              </a:graphicData>
            </a:graphic>
          </wp:anchor>
        </w:drawing>
      </w:r>
    </w:p>
    <w:p>
      <w:pPr>
        <w:spacing w:after="0" w:line="43" w:lineRule="exact"/>
        <w:rPr>
          <w:rFonts w:ascii="Times New Roman" w:cs="Times New Roman" w:eastAsia="Times New Roman" w:hAnsi="Times New Roman"/>
          <w:sz w:val="18"/>
          <w:szCs w:val="18"/>
          <w:u w:val="single" w:color="auto"/>
          <w:color w:val="0000FF"/>
        </w:rPr>
      </w:pPr>
    </w:p>
    <w:p>
      <w:pPr>
        <w:jc w:val="both"/>
        <w:ind w:right="100"/>
        <w:spacing w:after="0" w:line="226" w:lineRule="auto"/>
        <w:rPr>
          <w:rFonts w:ascii="Times New Roman" w:cs="Times New Roman" w:eastAsia="Times New Roman" w:hAnsi="Times New Roman"/>
          <w:sz w:val="18"/>
          <w:szCs w:val="18"/>
          <w:u w:val="single" w:color="auto"/>
          <w:color w:val="0000FF"/>
        </w:rPr>
      </w:pPr>
      <w:hyperlink r:id="rId165">
        <w:r>
          <w:rPr>
            <w:rFonts w:ascii="Times New Roman" w:cs="Times New Roman" w:eastAsia="Times New Roman" w:hAnsi="Times New Roman"/>
            <w:sz w:val="18"/>
            <w:szCs w:val="18"/>
            <w:u w:val="single" w:color="auto"/>
            <w:color w:val="0000FF"/>
          </w:rPr>
          <w:t>Second Amendment to Employment, Non-Interference, Non-Solicitation, Non-Competition and Invention Assignment Agreement by and</w:t>
        </w:r>
      </w:hyperlink>
      <w:r>
        <w:rPr>
          <w:rFonts w:ascii="Times New Roman" w:cs="Times New Roman" w:eastAsia="Times New Roman" w:hAnsi="Times New Roman"/>
          <w:sz w:val="18"/>
          <w:szCs w:val="18"/>
          <w:u w:val="single" w:color="auto"/>
          <w:color w:val="0000FF"/>
        </w:rPr>
        <w:t xml:space="preserve"> </w:t>
      </w:r>
      <w:hyperlink r:id="rId165">
        <w:r>
          <w:rPr>
            <w:rFonts w:ascii="Times New Roman" w:cs="Times New Roman" w:eastAsia="Times New Roman" w:hAnsi="Times New Roman"/>
            <w:sz w:val="18"/>
            <w:szCs w:val="18"/>
            <w:u w:val="single" w:color="auto"/>
            <w:color w:val="0000FF"/>
          </w:rPr>
          <w:t>between the Company and Anant Agrawal dated August 7, 2019 (incorporated by reference to Exhibit 10.9.2 to Form 10-K filed October</w:t>
        </w:r>
      </w:hyperlink>
      <w:r>
        <w:rPr>
          <w:rFonts w:ascii="Times New Roman" w:cs="Times New Roman" w:eastAsia="Times New Roman" w:hAnsi="Times New Roman"/>
          <w:sz w:val="18"/>
          <w:szCs w:val="18"/>
          <w:u w:val="single" w:color="auto"/>
          <w:color w:val="0000FF"/>
        </w:rPr>
        <w:t xml:space="preserve"> </w:t>
      </w:r>
      <w:hyperlink r:id="rId165">
        <w:r>
          <w:rPr>
            <w:rFonts w:ascii="Times New Roman" w:cs="Times New Roman" w:eastAsia="Times New Roman" w:hAnsi="Times New Roman"/>
            <w:sz w:val="18"/>
            <w:szCs w:val="18"/>
            <w:u w:val="single" w:color="auto"/>
            <w:color w:val="0000FF"/>
          </w:rPr>
          <w:t>9, 2019).</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-743585</wp:posOffset>
            </wp:positionH>
            <wp:positionV relativeFrom="paragraph">
              <wp:posOffset>-367665</wp:posOffset>
            </wp:positionV>
            <wp:extent cx="7106285" cy="3771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6">
                      <a:extLst>
                        <a:ext uri="{28A0092B-C50C-407E-A947-70E740481C1C}"/>
                      </a:extLst>
                    </a:blip>
                    <a:srcRect/>
                    <a:stretch>
                      <a:fillRect/>
                    </a:stretch>
                  </pic:blipFill>
                  <pic:spPr bwMode="auto">
                    <a:xfrm>
                      <a:off x="0" y="0"/>
                      <a:ext cx="7106285" cy="377190"/>
                    </a:xfrm>
                    <a:prstGeom prst="rect">
                      <a:avLst/>
                    </a:prstGeom>
                    <a:noFill/>
                  </pic:spPr>
                </pic:pic>
              </a:graphicData>
            </a:graphic>
          </wp:anchor>
        </w:drawing>
      </w:r>
    </w:p>
    <w:p>
      <w:pPr>
        <w:spacing w:after="0" w:line="43" w:lineRule="exact"/>
        <w:rPr>
          <w:rFonts w:ascii="Times New Roman" w:cs="Times New Roman" w:eastAsia="Times New Roman" w:hAnsi="Times New Roman"/>
          <w:sz w:val="18"/>
          <w:szCs w:val="18"/>
          <w:u w:val="single" w:color="auto"/>
          <w:color w:val="0000FF"/>
        </w:rPr>
      </w:pPr>
    </w:p>
    <w:p>
      <w:pPr>
        <w:ind w:right="420"/>
        <w:spacing w:after="0" w:line="237" w:lineRule="auto"/>
        <w:rPr>
          <w:rFonts w:ascii="Times New Roman" w:cs="Times New Roman" w:eastAsia="Times New Roman" w:hAnsi="Times New Roman"/>
          <w:sz w:val="18"/>
          <w:szCs w:val="18"/>
          <w:u w:val="single" w:color="auto"/>
          <w:color w:val="0000FF"/>
        </w:rPr>
      </w:pPr>
      <w:hyperlink r:id="rId167">
        <w:r>
          <w:rPr>
            <w:rFonts w:ascii="Times New Roman" w:cs="Times New Roman" w:eastAsia="Times New Roman" w:hAnsi="Times New Roman"/>
            <w:sz w:val="18"/>
            <w:szCs w:val="18"/>
            <w:u w:val="single" w:color="auto"/>
            <w:color w:val="0000FF"/>
          </w:rPr>
          <w:t>Restricted Stock Unit Award Agreement, dated May 29, 2020, between USA Technologies, Inc. and Anant Agrawal (incorporated by</w:t>
        </w:r>
      </w:hyperlink>
      <w:r>
        <w:rPr>
          <w:rFonts w:ascii="Times New Roman" w:cs="Times New Roman" w:eastAsia="Times New Roman" w:hAnsi="Times New Roman"/>
          <w:sz w:val="18"/>
          <w:szCs w:val="18"/>
          <w:u w:val="single" w:color="auto"/>
          <w:color w:val="0000FF"/>
        </w:rPr>
        <w:t xml:space="preserve"> </w:t>
      </w:r>
      <w:hyperlink r:id="rId167">
        <w:r>
          <w:rPr>
            <w:rFonts w:ascii="Times New Roman" w:cs="Times New Roman" w:eastAsia="Times New Roman" w:hAnsi="Times New Roman"/>
            <w:sz w:val="18"/>
            <w:szCs w:val="18"/>
            <w:u w:val="single" w:color="auto"/>
            <w:color w:val="0000FF"/>
          </w:rPr>
          <w:t>reference to Exhibit 10.1 to Form 8-K filed on June 3,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-255905</wp:posOffset>
            </wp:positionV>
            <wp:extent cx="7106285" cy="2654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8">
                      <a:extLst>
                        <a:ext uri="{28A0092B-C50C-407E-A947-70E740481C1C}"/>
                      </a:extLst>
                    </a:blip>
                    <a:srcRect/>
                    <a:stretch>
                      <a:fillRect/>
                    </a:stretch>
                  </pic:blipFill>
                  <pic:spPr bwMode="auto">
                    <a:xfrm>
                      <a:off x="0" y="0"/>
                      <a:ext cx="7106285" cy="265430"/>
                    </a:xfrm>
                    <a:prstGeom prst="rect">
                      <a:avLst/>
                    </a:prstGeom>
                    <a:noFill/>
                  </pic:spPr>
                </pic:pic>
              </a:graphicData>
            </a:graphic>
          </wp:anchor>
        </w:drawing>
      </w:r>
    </w:p>
    <w:p>
      <w:pPr>
        <w:spacing w:after="0" w:line="44" w:lineRule="exact"/>
        <w:rPr>
          <w:sz w:val="20"/>
          <w:szCs w:val="20"/>
          <w:color w:val="auto"/>
        </w:rPr>
      </w:pPr>
    </w:p>
    <w:p>
      <w:pPr>
        <w:ind w:right="40"/>
        <w:spacing w:after="0" w:line="237" w:lineRule="auto"/>
        <w:rPr>
          <w:rFonts w:ascii="Times New Roman" w:cs="Times New Roman" w:eastAsia="Times New Roman" w:hAnsi="Times New Roman"/>
          <w:sz w:val="18"/>
          <w:szCs w:val="18"/>
          <w:u w:val="single" w:color="auto"/>
          <w:color w:val="0000FF"/>
        </w:rPr>
      </w:pPr>
      <w:hyperlink r:id="rId169">
        <w:r>
          <w:rPr>
            <w:rFonts w:ascii="Times New Roman" w:cs="Times New Roman" w:eastAsia="Times New Roman" w:hAnsi="Times New Roman"/>
            <w:sz w:val="18"/>
            <w:szCs w:val="18"/>
            <w:u w:val="single" w:color="auto"/>
            <w:color w:val="0000FF"/>
          </w:rPr>
          <w:t>Employment Agreement, by and between R. Wayne Jackson and USA Technologies, Inc., effective as of August 10, 2020 (incorporated</w:t>
        </w:r>
      </w:hyperlink>
      <w:r>
        <w:rPr>
          <w:rFonts w:ascii="Times New Roman" w:cs="Times New Roman" w:eastAsia="Times New Roman" w:hAnsi="Times New Roman"/>
          <w:sz w:val="18"/>
          <w:szCs w:val="18"/>
          <w:u w:val="single" w:color="auto"/>
          <w:color w:val="0000FF"/>
        </w:rPr>
        <w:t xml:space="preserve"> </w:t>
      </w:r>
      <w:hyperlink r:id="rId169">
        <w:r>
          <w:rPr>
            <w:rFonts w:ascii="Times New Roman" w:cs="Times New Roman" w:eastAsia="Times New Roman" w:hAnsi="Times New Roman"/>
            <w:sz w:val="18"/>
            <w:szCs w:val="18"/>
            <w:u w:val="single" w:color="auto"/>
            <w:color w:val="0000FF"/>
          </w:rPr>
          <w:t>by reference to Exhibit 10.1 to Form 8-K filed August 14,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-255905</wp:posOffset>
            </wp:positionV>
            <wp:extent cx="7106285" cy="2654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0">
                      <a:extLst>
                        <a:ext uri="{28A0092B-C50C-407E-A947-70E740481C1C}"/>
                      </a:extLst>
                    </a:blip>
                    <a:srcRect/>
                    <a:stretch>
                      <a:fillRect/>
                    </a:stretch>
                  </pic:blipFill>
                  <pic:spPr bwMode="auto">
                    <a:xfrm>
                      <a:off x="0" y="0"/>
                      <a:ext cx="7106285" cy="265430"/>
                    </a:xfrm>
                    <a:prstGeom prst="rect">
                      <a:avLst/>
                    </a:prstGeom>
                    <a:noFill/>
                  </pic:spPr>
                </pic:pic>
              </a:graphicData>
            </a:graphic>
          </wp:anchor>
        </w:drawing>
      </w:r>
    </w:p>
    <w:p>
      <w:pPr>
        <w:spacing w:after="0" w:line="44" w:lineRule="exact"/>
        <w:rPr>
          <w:sz w:val="20"/>
          <w:szCs w:val="20"/>
          <w:color w:val="auto"/>
        </w:rPr>
      </w:pPr>
    </w:p>
    <w:p>
      <w:pPr>
        <w:ind w:right="20"/>
        <w:spacing w:after="0" w:line="237" w:lineRule="auto"/>
        <w:rPr>
          <w:rFonts w:ascii="Times New Roman" w:cs="Times New Roman" w:eastAsia="Times New Roman" w:hAnsi="Times New Roman"/>
          <w:sz w:val="18"/>
          <w:szCs w:val="18"/>
          <w:u w:val="single" w:color="auto"/>
          <w:color w:val="0000FF"/>
        </w:rPr>
      </w:pPr>
      <w:hyperlink r:id="rId171">
        <w:r>
          <w:rPr>
            <w:rFonts w:ascii="Times New Roman" w:cs="Times New Roman" w:eastAsia="Times New Roman" w:hAnsi="Times New Roman"/>
            <w:sz w:val="18"/>
            <w:szCs w:val="18"/>
            <w:u w:val="single" w:color="auto"/>
            <w:color w:val="0000FF"/>
          </w:rPr>
          <w:t>Non-Qualified Stock Option Agreement, by and between R. Wayne Jackson and USA Technologies, Inc., dated as of August 10, 2020</w:t>
        </w:r>
      </w:hyperlink>
      <w:r>
        <w:rPr>
          <w:rFonts w:ascii="Times New Roman" w:cs="Times New Roman" w:eastAsia="Times New Roman" w:hAnsi="Times New Roman"/>
          <w:sz w:val="18"/>
          <w:szCs w:val="18"/>
          <w:u w:val="single" w:color="auto"/>
          <w:color w:val="0000FF"/>
        </w:rPr>
        <w:t xml:space="preserve"> </w:t>
      </w:r>
      <w:hyperlink r:id="rId171">
        <w:r>
          <w:rPr>
            <w:rFonts w:ascii="Times New Roman" w:cs="Times New Roman" w:eastAsia="Times New Roman" w:hAnsi="Times New Roman"/>
            <w:sz w:val="18"/>
            <w:szCs w:val="18"/>
            <w:u w:val="single" w:color="auto"/>
            <w:color w:val="0000FF"/>
          </w:rPr>
          <w:t>(incorporated by reference to Exhibit 10.2 to Form 8-K filed August 14,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-255905</wp:posOffset>
            </wp:positionV>
            <wp:extent cx="7106285" cy="26543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2">
                      <a:extLst>
                        <a:ext uri="{28A0092B-C50C-407E-A947-70E740481C1C}"/>
                      </a:extLst>
                    </a:blip>
                    <a:srcRect/>
                    <a:stretch>
                      <a:fillRect/>
                    </a:stretch>
                  </pic:blipFill>
                  <pic:spPr bwMode="auto">
                    <a:xfrm>
                      <a:off x="0" y="0"/>
                      <a:ext cx="7106285" cy="265430"/>
                    </a:xfrm>
                    <a:prstGeom prst="rect">
                      <a:avLst/>
                    </a:prstGeom>
                    <a:noFill/>
                  </pic:spPr>
                </pic:pic>
              </a:graphicData>
            </a:graphic>
          </wp:anchor>
        </w:drawing>
      </w:r>
    </w:p>
    <w:p>
      <w:pPr>
        <w:spacing w:after="0" w:line="51" w:lineRule="exact"/>
        <w:rPr>
          <w:sz w:val="20"/>
          <w:szCs w:val="20"/>
          <w:color w:val="auto"/>
        </w:rPr>
      </w:pPr>
    </w:p>
    <w:p>
      <w:pPr>
        <w:sectPr>
          <w:pgSz w:w="11900" w:h="16838" w:orient="portrait"/>
          <w:cols w:equalWidth="0" w:num="2">
            <w:col w:w="640" w:space="540"/>
            <w:col w:w="10020"/>
          </w:cols>
          <w:pgMar w:left="320" w:top="1026" w:right="379" w:bottom="1440" w:gutter="0" w:footer="0" w:header="0"/>
        </w:sectPr>
      </w:pPr>
    </w:p>
    <w:tbl>
      <w:tblPr>
        <w:tblLayout w:type="fixed"/>
        <w:tblInd w:w="0" w:type="dxa"/>
        <w:tblCellMar>
          <w:top w:w="0" w:type="dxa"/>
          <w:left w:w="0" w:type="dxa"/>
          <w:bottom w:w="0" w:type="dxa"/>
          <w:right w:w="0" w:type="dxa"/>
        </w:tblCellMar>
      </w:tblPr>
      <w:tr>
        <w:trPr>
          <w:trHeight w:val="207"/>
        </w:trPr>
        <w:tc>
          <w:tcPr>
            <w:tcW w:w="1180" w:type="dxa"/>
            <w:vAlign w:val="bottom"/>
            <w:shd w:val="clear" w:color="auto" w:fill="CCEEFF"/>
          </w:tcPr>
          <w:p>
            <w:pPr>
              <w:spacing w:after="0"/>
              <w:rPr>
                <w:sz w:val="17"/>
                <w:szCs w:val="17"/>
                <w:color w:val="auto"/>
              </w:rPr>
            </w:pPr>
          </w:p>
        </w:tc>
        <w:tc>
          <w:tcPr>
            <w:tcW w:w="10020" w:type="dxa"/>
            <w:vAlign w:val="bottom"/>
            <w:gridSpan w:val="4"/>
            <w:shd w:val="clear" w:color="auto" w:fill="CCEEFF"/>
          </w:tcPr>
          <w:p>
            <w:pPr>
              <w:spacing w:after="0"/>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Payment Solutions Agreement between the Company, First Data Merchant Services LLC and Wells Fargo Bank, N.A., dated March 20,</w:t>
              </w:r>
            </w:hyperlink>
          </w:p>
        </w:tc>
        <w:tc>
          <w:tcPr>
            <w:tcW w:w="0" w:type="dxa"/>
            <w:vAlign w:val="bottom"/>
          </w:tcPr>
          <w:p>
            <w:pPr>
              <w:spacing w:after="0"/>
              <w:rPr>
                <w:sz w:val="1"/>
                <w:szCs w:val="1"/>
                <w:color w:val="auto"/>
              </w:rPr>
            </w:pPr>
          </w:p>
        </w:tc>
      </w:tr>
      <w:tr>
        <w:trPr>
          <w:trHeight w:val="155"/>
        </w:trPr>
        <w:tc>
          <w:tcPr>
            <w:tcW w:w="1180" w:type="dxa"/>
            <w:vAlign w:val="bottom"/>
            <w:tcBorders>
              <w:top w:val="single" w:sz="8" w:color="CCEEFF"/>
            </w:tcBorders>
            <w:vMerge w:val="restart"/>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10.15</w:t>
            </w:r>
          </w:p>
        </w:tc>
        <w:tc>
          <w:tcPr>
            <w:tcW w:w="9780" w:type="dxa"/>
            <w:vAlign w:val="bottom"/>
            <w:tcBorders>
              <w:top w:val="single" w:sz="8" w:color="0000FF"/>
            </w:tcBorders>
            <w:gridSpan w:val="3"/>
            <w:shd w:val="clear" w:color="auto" w:fill="CCEEFF"/>
          </w:tcPr>
          <w:p>
            <w:pPr>
              <w:spacing w:after="0" w:line="156" w:lineRule="exact"/>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2020 (portions of this exhibit were redacted pursuant to a confidential treatment request)(incorporated by reference to Exhibit 10.1 to</w:t>
              </w:r>
            </w:hyperlink>
          </w:p>
        </w:tc>
        <w:tc>
          <w:tcPr>
            <w:tcW w:w="2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80" w:type="dxa"/>
            <w:vAlign w:val="bottom"/>
            <w:tcBorders>
              <w:top w:val="single" w:sz="8" w:color="CCEEFF"/>
              <w:bottom w:val="single" w:sz="8" w:color="CCEEFF"/>
            </w:tcBorders>
            <w:vMerge w:val="continue"/>
            <w:shd w:val="clear" w:color="auto" w:fill="CCEEFF"/>
          </w:tcPr>
          <w:p>
            <w:pPr>
              <w:spacing w:after="0"/>
              <w:rPr>
                <w:sz w:val="13"/>
                <w:szCs w:val="13"/>
                <w:color w:val="auto"/>
              </w:rPr>
            </w:pPr>
          </w:p>
        </w:tc>
        <w:tc>
          <w:tcPr>
            <w:tcW w:w="2560" w:type="dxa"/>
            <w:vAlign w:val="bottom"/>
            <w:tcBorders>
              <w:top w:val="single" w:sz="8" w:color="0000FF"/>
              <w:bottom w:val="single" w:sz="8" w:color="0000FF"/>
            </w:tcBorders>
            <w:shd w:val="clear" w:color="auto" w:fill="CCEEFF"/>
          </w:tcPr>
          <w:p>
            <w:pPr>
              <w:spacing w:after="0" w:line="142" w:lineRule="exact"/>
              <w:rPr>
                <w:rFonts w:ascii="Times New Roman" w:cs="Times New Roman" w:eastAsia="Times New Roman" w:hAnsi="Times New Roman"/>
                <w:sz w:val="16"/>
                <w:szCs w:val="16"/>
                <w:color w:val="0000FF"/>
              </w:rPr>
            </w:pPr>
            <w:hyperlink r:id="rId173">
              <w:r>
                <w:rPr>
                  <w:rFonts w:ascii="Times New Roman" w:cs="Times New Roman" w:eastAsia="Times New Roman" w:hAnsi="Times New Roman"/>
                  <w:sz w:val="16"/>
                  <w:szCs w:val="16"/>
                  <w:color w:val="0000FF"/>
                </w:rPr>
                <w:t>Form 10-Q filed on June 24, 2020).</w:t>
              </w:r>
            </w:hyperlink>
          </w:p>
        </w:tc>
        <w:tc>
          <w:tcPr>
            <w:tcW w:w="7040" w:type="dxa"/>
            <w:vAlign w:val="bottom"/>
            <w:tcBorders>
              <w:top w:val="single" w:sz="8" w:color="0000FF"/>
              <w:bottom w:val="single" w:sz="8" w:color="CCEEFF"/>
            </w:tcBorders>
            <w:shd w:val="clear" w:color="auto" w:fill="CCEEFF"/>
          </w:tcPr>
          <w:p>
            <w:pPr>
              <w:spacing w:after="0"/>
              <w:rPr>
                <w:sz w:val="13"/>
                <w:szCs w:val="13"/>
                <w:color w:val="auto"/>
              </w:rPr>
            </w:pPr>
          </w:p>
        </w:tc>
        <w:tc>
          <w:tcPr>
            <w:tcW w:w="42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180" w:type="dxa"/>
            <w:vAlign w:val="bottom"/>
            <w:shd w:val="clear" w:color="auto" w:fill="CCEEFF"/>
          </w:tcPr>
          <w:p>
            <w:pPr>
              <w:spacing w:after="0"/>
              <w:rPr>
                <w:sz w:val="2"/>
                <w:szCs w:val="2"/>
                <w:color w:val="auto"/>
              </w:rPr>
            </w:pPr>
          </w:p>
        </w:tc>
        <w:tc>
          <w:tcPr>
            <w:tcW w:w="2560" w:type="dxa"/>
            <w:vAlign w:val="bottom"/>
            <w:shd w:val="clear" w:color="auto" w:fill="CCEEFF"/>
          </w:tcPr>
          <w:p>
            <w:pPr>
              <w:spacing w:after="0"/>
              <w:rPr>
                <w:sz w:val="2"/>
                <w:szCs w:val="2"/>
                <w:color w:val="auto"/>
              </w:rPr>
            </w:pPr>
          </w:p>
        </w:tc>
        <w:tc>
          <w:tcPr>
            <w:tcW w:w="70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49" w:lineRule="exact"/>
        <w:rPr>
          <w:sz w:val="20"/>
          <w:szCs w:val="20"/>
          <w:color w:val="auto"/>
        </w:rPr>
      </w:pPr>
    </w:p>
    <w:p>
      <w:pPr>
        <w:sectPr>
          <w:pgSz w:w="11900" w:h="16838" w:orient="portrait"/>
          <w:cols w:equalWidth="0" w:num="1">
            <w:col w:w="11200"/>
          </w:cols>
          <w:pgMar w:left="320" w:top="1026" w:right="379" w:bottom="1440" w:gutter="0" w:footer="0" w:header="0"/>
          <w:type w:val="continuous"/>
        </w:sectPr>
      </w:pPr>
    </w:p>
    <w:p>
      <w:pPr>
        <w:spacing w:after="0" w:line="1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10.16†</w:t>
      </w:r>
    </w:p>
    <w:p>
      <w:pPr>
        <w:spacing w:after="0" w:line="1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10.17</w:t>
      </w:r>
    </w:p>
    <w:p>
      <w:pPr>
        <w:spacing w:after="0" w:line="3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10.18†</w:t>
      </w:r>
    </w:p>
    <w:p>
      <w:pPr>
        <w:spacing w:after="0" w:line="3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10.19†</w:t>
      </w:r>
    </w:p>
    <w:p>
      <w:pPr>
        <w:spacing w:after="0" w:line="3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10.20†</w:t>
      </w:r>
    </w:p>
    <w:p>
      <w:pPr>
        <w:spacing w:after="0" w:line="3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10.21†</w:t>
      </w:r>
    </w:p>
    <w:p>
      <w:pPr>
        <w:spacing w:after="0" w:line="3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10.22†</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21.1*</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23.1*</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31.1*</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31.2*</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32.1**</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32.2**</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101.INS*</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101.SCH*</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101.CAL*</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101.DEF*</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101.LAB*</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101.PRE*</w:t>
      </w:r>
    </w:p>
    <w:p>
      <w:pPr>
        <w:spacing w:after="0" w:line="20" w:lineRule="exact"/>
        <w:rPr>
          <w:sz w:val="20"/>
          <w:szCs w:val="20"/>
          <w:color w:val="auto"/>
        </w:rPr>
      </w:pPr>
      <w:r>
        <w:rPr>
          <w:sz w:val="20"/>
          <w:szCs w:val="20"/>
          <w:color w:val="auto"/>
        </w:rPr>
        <w:br w:type="column"/>
      </w:r>
    </w:p>
    <w:p>
      <w:pPr>
        <w:ind w:right="120"/>
        <w:spacing w:after="0" w:line="237" w:lineRule="auto"/>
        <w:rPr>
          <w:rFonts w:ascii="Times New Roman" w:cs="Times New Roman" w:eastAsia="Times New Roman" w:hAnsi="Times New Roman"/>
          <w:sz w:val="18"/>
          <w:szCs w:val="18"/>
          <w:u w:val="single" w:color="auto"/>
          <w:color w:val="0000FF"/>
        </w:rPr>
      </w:pPr>
      <w:hyperlink r:id="rId174">
        <w:r>
          <w:rPr>
            <w:rFonts w:ascii="Times New Roman" w:cs="Times New Roman" w:eastAsia="Times New Roman" w:hAnsi="Times New Roman"/>
            <w:sz w:val="18"/>
            <w:szCs w:val="18"/>
            <w:u w:val="single" w:color="auto"/>
            <w:color w:val="0000FF"/>
          </w:rPr>
          <w:t>Offer Letter, by and between Scott Stewart and USA Technologies, Inc., dated as of August 6, 2020 (incorporated by reference to Exhibit</w:t>
        </w:r>
      </w:hyperlink>
      <w:r>
        <w:rPr>
          <w:rFonts w:ascii="Times New Roman" w:cs="Times New Roman" w:eastAsia="Times New Roman" w:hAnsi="Times New Roman"/>
          <w:sz w:val="18"/>
          <w:szCs w:val="18"/>
          <w:u w:val="single" w:color="auto"/>
          <w:color w:val="0000FF"/>
        </w:rPr>
        <w:t xml:space="preserve"> </w:t>
      </w:r>
      <w:hyperlink r:id="rId174">
        <w:r>
          <w:rPr>
            <w:rFonts w:ascii="Times New Roman" w:cs="Times New Roman" w:eastAsia="Times New Roman" w:hAnsi="Times New Roman"/>
            <w:sz w:val="18"/>
            <w:szCs w:val="18"/>
            <w:u w:val="single" w:color="auto"/>
            <w:color w:val="0000FF"/>
          </w:rPr>
          <w:t>10.1 to Form 8-K filed on September 18,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-255905</wp:posOffset>
            </wp:positionV>
            <wp:extent cx="7106285" cy="26606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5">
                      <a:extLst>
                        <a:ext uri="{28A0092B-C50C-407E-A947-70E740481C1C}"/>
                      </a:extLst>
                    </a:blip>
                    <a:srcRect/>
                    <a:stretch>
                      <a:fillRect/>
                    </a:stretch>
                  </pic:blipFill>
                  <pic:spPr bwMode="auto">
                    <a:xfrm>
                      <a:off x="0" y="0"/>
                      <a:ext cx="7106285" cy="266065"/>
                    </a:xfrm>
                    <a:prstGeom prst="rect">
                      <a:avLst/>
                    </a:prstGeom>
                    <a:noFill/>
                  </pic:spPr>
                </pic:pic>
              </a:graphicData>
            </a:graphic>
          </wp:anchor>
        </w:drawing>
      </w:r>
    </w:p>
    <w:p>
      <w:pPr>
        <w:spacing w:after="0" w:line="44"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76">
        <w:r>
          <w:rPr>
            <w:rFonts w:ascii="Times New Roman" w:cs="Times New Roman" w:eastAsia="Times New Roman" w:hAnsi="Times New Roman"/>
            <w:sz w:val="18"/>
            <w:szCs w:val="18"/>
            <w:u w:val="single" w:color="auto"/>
            <w:color w:val="0000FF"/>
          </w:rPr>
          <w:t>Form of Subscription Agreement (incorporated by reference to Exhibit 10.1 to Form 8-K filed February 25,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-127635</wp:posOffset>
            </wp:positionV>
            <wp:extent cx="7106285" cy="16319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7">
                      <a:extLst>
                        <a:ext uri="{28A0092B-C50C-407E-A947-70E740481C1C}"/>
                      </a:extLst>
                    </a:blip>
                    <a:srcRect/>
                    <a:stretch>
                      <a:fillRect/>
                    </a:stretch>
                  </pic:blipFill>
                  <pic:spPr bwMode="auto">
                    <a:xfrm>
                      <a:off x="0" y="0"/>
                      <a:ext cx="7106285" cy="163195"/>
                    </a:xfrm>
                    <a:prstGeom prst="rect">
                      <a:avLst/>
                    </a:prstGeom>
                    <a:noFill/>
                  </pic:spPr>
                </pic:pic>
              </a:graphicData>
            </a:graphic>
          </wp:anchor>
        </w:drawing>
      </w:r>
    </w:p>
    <w:p>
      <w:pPr>
        <w:spacing w:after="0" w:line="84" w:lineRule="exact"/>
        <w:rPr>
          <w:sz w:val="20"/>
          <w:szCs w:val="20"/>
          <w:color w:val="auto"/>
        </w:rPr>
      </w:pPr>
    </w:p>
    <w:p>
      <w:pPr>
        <w:ind w:right="120"/>
        <w:spacing w:after="0" w:line="266" w:lineRule="auto"/>
        <w:rPr>
          <w:rFonts w:ascii="Times New Roman" w:cs="Times New Roman" w:eastAsia="Times New Roman" w:hAnsi="Times New Roman"/>
          <w:sz w:val="18"/>
          <w:szCs w:val="18"/>
          <w:u w:val="single" w:color="auto"/>
          <w:color w:val="0000FF"/>
        </w:rPr>
      </w:pPr>
      <w:hyperlink r:id="rId178">
        <w:r>
          <w:rPr>
            <w:rFonts w:ascii="Times New Roman" w:cs="Times New Roman" w:eastAsia="Times New Roman" w:hAnsi="Times New Roman"/>
            <w:sz w:val="18"/>
            <w:szCs w:val="18"/>
            <w:u w:val="single" w:color="auto"/>
            <w:color w:val="0000FF"/>
          </w:rPr>
          <w:t>Separation and Transition Agreement, by and between Cantaloupe, Inc. and R. Wayne Jackson (incorporated by reference to Exhibit 10.3</w:t>
        </w:r>
      </w:hyperlink>
      <w:r>
        <w:rPr>
          <w:rFonts w:ascii="Times New Roman" w:cs="Times New Roman" w:eastAsia="Times New Roman" w:hAnsi="Times New Roman"/>
          <w:sz w:val="18"/>
          <w:szCs w:val="18"/>
          <w:u w:val="single" w:color="auto"/>
          <w:color w:val="0000FF"/>
        </w:rPr>
        <w:t xml:space="preserve"> </w:t>
      </w:r>
      <w:hyperlink r:id="rId178">
        <w:r>
          <w:rPr>
            <w:rFonts w:ascii="Times New Roman" w:cs="Times New Roman" w:eastAsia="Times New Roman" w:hAnsi="Times New Roman"/>
            <w:sz w:val="18"/>
            <w:szCs w:val="18"/>
            <w:u w:val="single" w:color="auto"/>
            <w:color w:val="0000FF"/>
          </w:rPr>
          <w:t>to Form 8-K filed February 3,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-287655</wp:posOffset>
            </wp:positionV>
            <wp:extent cx="7106285" cy="29146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9">
                      <a:extLst>
                        <a:ext uri="{28A0092B-C50C-407E-A947-70E740481C1C}"/>
                      </a:extLst>
                    </a:blip>
                    <a:srcRect/>
                    <a:stretch>
                      <a:fillRect/>
                    </a:stretch>
                  </pic:blipFill>
                  <pic:spPr bwMode="auto">
                    <a:xfrm>
                      <a:off x="0" y="0"/>
                      <a:ext cx="7106285" cy="291465"/>
                    </a:xfrm>
                    <a:prstGeom prst="rect">
                      <a:avLst/>
                    </a:prstGeom>
                    <a:noFill/>
                  </pic:spPr>
                </pic:pic>
              </a:graphicData>
            </a:graphic>
          </wp:anchor>
        </w:drawing>
      </w:r>
    </w:p>
    <w:p>
      <w:pPr>
        <w:spacing w:after="0" w:line="75" w:lineRule="exact"/>
        <w:rPr>
          <w:sz w:val="20"/>
          <w:szCs w:val="20"/>
          <w:color w:val="auto"/>
        </w:rPr>
      </w:pPr>
    </w:p>
    <w:p>
      <w:pPr>
        <w:ind w:right="620"/>
        <w:spacing w:after="0" w:line="237" w:lineRule="auto"/>
        <w:rPr>
          <w:rFonts w:ascii="Times New Roman" w:cs="Times New Roman" w:eastAsia="Times New Roman" w:hAnsi="Times New Roman"/>
          <w:sz w:val="18"/>
          <w:szCs w:val="18"/>
          <w:u w:val="single" w:color="auto"/>
          <w:color w:val="0000FF"/>
        </w:rPr>
      </w:pPr>
      <w:hyperlink r:id="rId180">
        <w:r>
          <w:rPr>
            <w:rFonts w:ascii="Times New Roman" w:cs="Times New Roman" w:eastAsia="Times New Roman" w:hAnsi="Times New Roman"/>
            <w:sz w:val="18"/>
            <w:szCs w:val="18"/>
            <w:u w:val="single" w:color="auto"/>
            <w:color w:val="0000FF"/>
          </w:rPr>
          <w:t>Employment Agreement, between Cantaloupe, Inc. and Scott Stewart (incorporated by reference to Exhibit 10.4 to Form 8-K filed</w:t>
        </w:r>
      </w:hyperlink>
      <w:r>
        <w:rPr>
          <w:rFonts w:ascii="Times New Roman" w:cs="Times New Roman" w:eastAsia="Times New Roman" w:hAnsi="Times New Roman"/>
          <w:sz w:val="18"/>
          <w:szCs w:val="18"/>
          <w:u w:val="single" w:color="auto"/>
          <w:color w:val="0000FF"/>
        </w:rPr>
        <w:t xml:space="preserve"> </w:t>
      </w:r>
      <w:hyperlink r:id="rId180">
        <w:r>
          <w:rPr>
            <w:rFonts w:ascii="Times New Roman" w:cs="Times New Roman" w:eastAsia="Times New Roman" w:hAnsi="Times New Roman"/>
            <w:sz w:val="18"/>
            <w:szCs w:val="18"/>
            <w:u w:val="single" w:color="auto"/>
            <w:color w:val="0000FF"/>
          </w:rPr>
          <w:t>February 3,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-255905</wp:posOffset>
            </wp:positionV>
            <wp:extent cx="7106285" cy="26543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1">
                      <a:extLst>
                        <a:ext uri="{28A0092B-C50C-407E-A947-70E740481C1C}"/>
                      </a:extLst>
                    </a:blip>
                    <a:srcRect/>
                    <a:stretch>
                      <a:fillRect/>
                    </a:stretch>
                  </pic:blipFill>
                  <pic:spPr bwMode="auto">
                    <a:xfrm>
                      <a:off x="0" y="0"/>
                      <a:ext cx="7106285" cy="265430"/>
                    </a:xfrm>
                    <a:prstGeom prst="rect">
                      <a:avLst/>
                    </a:prstGeom>
                    <a:noFill/>
                  </pic:spPr>
                </pic:pic>
              </a:graphicData>
            </a:graphic>
          </wp:anchor>
        </w:drawing>
      </w:r>
    </w:p>
    <w:p>
      <w:pPr>
        <w:spacing w:after="0" w:line="84" w:lineRule="exact"/>
        <w:rPr>
          <w:sz w:val="20"/>
          <w:szCs w:val="20"/>
          <w:color w:val="auto"/>
        </w:rPr>
      </w:pPr>
    </w:p>
    <w:p>
      <w:pPr>
        <w:ind w:right="380"/>
        <w:spacing w:after="0" w:line="237" w:lineRule="auto"/>
        <w:rPr>
          <w:rFonts w:ascii="Times New Roman" w:cs="Times New Roman" w:eastAsia="Times New Roman" w:hAnsi="Times New Roman"/>
          <w:sz w:val="18"/>
          <w:szCs w:val="18"/>
          <w:u w:val="single" w:color="auto"/>
          <w:color w:val="0000FF"/>
        </w:rPr>
      </w:pPr>
      <w:hyperlink r:id="rId182">
        <w:r>
          <w:rPr>
            <w:rFonts w:ascii="Times New Roman" w:cs="Times New Roman" w:eastAsia="Times New Roman" w:hAnsi="Times New Roman"/>
            <w:sz w:val="18"/>
            <w:szCs w:val="18"/>
            <w:u w:val="single" w:color="auto"/>
            <w:color w:val="0000FF"/>
          </w:rPr>
          <w:t>Employment Agreement, between Cantaloupe, Inc. and Ravi Venkatesan (incorporated by reference to Exhibit 10.5 to Form 8-K filed</w:t>
        </w:r>
      </w:hyperlink>
      <w:r>
        <w:rPr>
          <w:rFonts w:ascii="Times New Roman" w:cs="Times New Roman" w:eastAsia="Times New Roman" w:hAnsi="Times New Roman"/>
          <w:sz w:val="18"/>
          <w:szCs w:val="18"/>
          <w:u w:val="single" w:color="auto"/>
          <w:color w:val="0000FF"/>
        </w:rPr>
        <w:t xml:space="preserve"> </w:t>
      </w:r>
      <w:hyperlink r:id="rId182">
        <w:r>
          <w:rPr>
            <w:rFonts w:ascii="Times New Roman" w:cs="Times New Roman" w:eastAsia="Times New Roman" w:hAnsi="Times New Roman"/>
            <w:sz w:val="18"/>
            <w:szCs w:val="18"/>
            <w:u w:val="single" w:color="auto"/>
            <w:color w:val="0000FF"/>
          </w:rPr>
          <w:t>February 3,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-255905</wp:posOffset>
            </wp:positionV>
            <wp:extent cx="7106285" cy="26606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3">
                      <a:extLst>
                        <a:ext uri="{28A0092B-C50C-407E-A947-70E740481C1C}"/>
                      </a:extLst>
                    </a:blip>
                    <a:srcRect/>
                    <a:stretch>
                      <a:fillRect/>
                    </a:stretch>
                  </pic:blipFill>
                  <pic:spPr bwMode="auto">
                    <a:xfrm>
                      <a:off x="0" y="0"/>
                      <a:ext cx="7106285" cy="266065"/>
                    </a:xfrm>
                    <a:prstGeom prst="rect">
                      <a:avLst/>
                    </a:prstGeom>
                    <a:noFill/>
                  </pic:spPr>
                </pic:pic>
              </a:graphicData>
            </a:graphic>
          </wp:anchor>
        </w:drawing>
      </w:r>
    </w:p>
    <w:p>
      <w:pPr>
        <w:spacing w:after="0" w:line="84" w:lineRule="exact"/>
        <w:rPr>
          <w:sz w:val="20"/>
          <w:szCs w:val="20"/>
          <w:color w:val="auto"/>
        </w:rPr>
      </w:pPr>
    </w:p>
    <w:p>
      <w:pPr>
        <w:ind w:right="80"/>
        <w:spacing w:after="0" w:line="237" w:lineRule="auto"/>
        <w:rPr>
          <w:rFonts w:ascii="Times New Roman" w:cs="Times New Roman" w:eastAsia="Times New Roman" w:hAnsi="Times New Roman"/>
          <w:sz w:val="18"/>
          <w:szCs w:val="18"/>
          <w:u w:val="single" w:color="auto"/>
          <w:color w:val="0000FF"/>
        </w:rPr>
      </w:pPr>
      <w:hyperlink r:id="rId184">
        <w:r>
          <w:rPr>
            <w:rFonts w:ascii="Times New Roman" w:cs="Times New Roman" w:eastAsia="Times New Roman" w:hAnsi="Times New Roman"/>
            <w:sz w:val="18"/>
            <w:szCs w:val="18"/>
            <w:u w:val="single" w:color="auto"/>
            <w:color w:val="0000FF"/>
          </w:rPr>
          <w:t>Separation and Transition Agreement, by and between Cantaloupe, Inc. and Sean Feeney (incorporated by reference to Exhibit 10.1 to the</w:t>
        </w:r>
      </w:hyperlink>
      <w:r>
        <w:rPr>
          <w:rFonts w:ascii="Times New Roman" w:cs="Times New Roman" w:eastAsia="Times New Roman" w:hAnsi="Times New Roman"/>
          <w:sz w:val="18"/>
          <w:szCs w:val="18"/>
          <w:u w:val="single" w:color="auto"/>
          <w:color w:val="0000FF"/>
        </w:rPr>
        <w:t xml:space="preserve"> </w:t>
      </w:r>
      <w:hyperlink r:id="rId184">
        <w:r>
          <w:rPr>
            <w:rFonts w:ascii="Times New Roman" w:cs="Times New Roman" w:eastAsia="Times New Roman" w:hAnsi="Times New Roman"/>
            <w:sz w:val="18"/>
            <w:szCs w:val="18"/>
            <w:u w:val="single" w:color="auto"/>
            <w:color w:val="0000FF"/>
          </w:rPr>
          <w:t>Form 8-K filed September 8,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-255905</wp:posOffset>
            </wp:positionV>
            <wp:extent cx="7106285" cy="26606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5">
                      <a:extLst>
                        <a:ext uri="{28A0092B-C50C-407E-A947-70E740481C1C}"/>
                      </a:extLst>
                    </a:blip>
                    <a:srcRect/>
                    <a:stretch>
                      <a:fillRect/>
                    </a:stretch>
                  </pic:blipFill>
                  <pic:spPr bwMode="auto">
                    <a:xfrm>
                      <a:off x="0" y="0"/>
                      <a:ext cx="7106285" cy="266065"/>
                    </a:xfrm>
                    <a:prstGeom prst="rect">
                      <a:avLst/>
                    </a:prstGeom>
                    <a:noFill/>
                  </pic:spPr>
                </pic:pic>
              </a:graphicData>
            </a:graphic>
          </wp:anchor>
        </w:drawing>
      </w:r>
    </w:p>
    <w:p>
      <w:pPr>
        <w:spacing w:after="0" w:line="84" w:lineRule="exact"/>
        <w:rPr>
          <w:sz w:val="20"/>
          <w:szCs w:val="20"/>
          <w:color w:val="auto"/>
        </w:rPr>
      </w:pPr>
    </w:p>
    <w:p>
      <w:pPr>
        <w:ind w:right="660"/>
        <w:spacing w:after="0" w:line="237" w:lineRule="auto"/>
        <w:rPr>
          <w:rFonts w:ascii="Times New Roman" w:cs="Times New Roman" w:eastAsia="Times New Roman" w:hAnsi="Times New Roman"/>
          <w:sz w:val="18"/>
          <w:szCs w:val="18"/>
          <w:u w:val="single" w:color="auto"/>
          <w:color w:val="0000FF"/>
        </w:rPr>
      </w:pPr>
      <w:hyperlink r:id="rId186">
        <w:r>
          <w:rPr>
            <w:rFonts w:ascii="Times New Roman" w:cs="Times New Roman" w:eastAsia="Times New Roman" w:hAnsi="Times New Roman"/>
            <w:sz w:val="18"/>
            <w:szCs w:val="18"/>
            <w:u w:val="single" w:color="auto"/>
            <w:color w:val="0000FF"/>
          </w:rPr>
          <w:t>Promotion Letter, between Cantaloupe, Inc. and Ravi Venkatesan (incorporated by reference to Exhibit 10.2 to the Form 8-K filed</w:t>
        </w:r>
      </w:hyperlink>
      <w:r>
        <w:rPr>
          <w:rFonts w:ascii="Times New Roman" w:cs="Times New Roman" w:eastAsia="Times New Roman" w:hAnsi="Times New Roman"/>
          <w:sz w:val="18"/>
          <w:szCs w:val="18"/>
          <w:u w:val="single" w:color="auto"/>
          <w:color w:val="0000FF"/>
        </w:rPr>
        <w:t xml:space="preserve"> </w:t>
      </w:r>
      <w:hyperlink r:id="rId186">
        <w:r>
          <w:rPr>
            <w:rFonts w:ascii="Times New Roman" w:cs="Times New Roman" w:eastAsia="Times New Roman" w:hAnsi="Times New Roman"/>
            <w:sz w:val="18"/>
            <w:szCs w:val="18"/>
            <w:u w:val="single" w:color="auto"/>
            <w:color w:val="0000FF"/>
          </w:rPr>
          <w:t>September 8,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-255905</wp:posOffset>
            </wp:positionV>
            <wp:extent cx="7106285" cy="26606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7">
                      <a:extLst>
                        <a:ext uri="{28A0092B-C50C-407E-A947-70E740481C1C}"/>
                      </a:extLst>
                    </a:blip>
                    <a:srcRect/>
                    <a:stretch>
                      <a:fillRect/>
                    </a:stretch>
                  </pic:blipFill>
                  <pic:spPr bwMode="auto">
                    <a:xfrm>
                      <a:off x="0" y="0"/>
                      <a:ext cx="7106285" cy="266065"/>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List of significant subsidiaries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-127635</wp:posOffset>
            </wp:positionV>
            <wp:extent cx="7106285" cy="1454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8">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Consent of BDO USA, LLP,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-127635</wp:posOffset>
            </wp:positionV>
            <wp:extent cx="7106285" cy="1460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9">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28"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u w:val="single" w:color="auto"/>
          <w:color w:val="0000FF"/>
        </w:rPr>
        <w:t>Certifications of Chief Executive Officer pursuant to Rule 13a</w:t>
      </w:r>
      <w:r>
        <w:rPr>
          <w:rFonts w:ascii="MS PGothic" w:cs="MS PGothic" w:eastAsia="MS PGothic" w:hAnsi="MS PGothic"/>
          <w:sz w:val="18"/>
          <w:szCs w:val="18"/>
          <w:u w:val="single" w:color="auto"/>
          <w:color w:val="0000FF"/>
        </w:rPr>
        <w:t>‑</w:t>
      </w:r>
      <w:r>
        <w:rPr>
          <w:rFonts w:ascii="Times New Roman" w:cs="Times New Roman" w:eastAsia="Times New Roman" w:hAnsi="Times New Roman"/>
          <w:sz w:val="18"/>
          <w:szCs w:val="18"/>
          <w:u w:val="single" w:color="auto"/>
          <w:color w:val="0000FF"/>
        </w:rPr>
        <w:t>14(a) under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-109220</wp:posOffset>
            </wp:positionV>
            <wp:extent cx="7106285" cy="1460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0">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57"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u w:val="single" w:color="auto"/>
          <w:color w:val="0000FF"/>
        </w:rPr>
        <w:t>Certifications of Chief Financial Officer pursuant to Rule 13a</w:t>
      </w:r>
      <w:r>
        <w:rPr>
          <w:rFonts w:ascii="MS PGothic" w:cs="MS PGothic" w:eastAsia="MS PGothic" w:hAnsi="MS PGothic"/>
          <w:sz w:val="18"/>
          <w:szCs w:val="18"/>
          <w:u w:val="single" w:color="auto"/>
          <w:color w:val="0000FF"/>
        </w:rPr>
        <w:t>‑</w:t>
      </w:r>
      <w:r>
        <w:rPr>
          <w:rFonts w:ascii="Times New Roman" w:cs="Times New Roman" w:eastAsia="Times New Roman" w:hAnsi="Times New Roman"/>
          <w:sz w:val="18"/>
          <w:szCs w:val="18"/>
          <w:u w:val="single" w:color="auto"/>
          <w:color w:val="0000FF"/>
        </w:rPr>
        <w:t>14(a) under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-109220</wp:posOffset>
            </wp:positionV>
            <wp:extent cx="7106285" cy="1454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1">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85" w:lineRule="exact"/>
        <w:rPr>
          <w:sz w:val="20"/>
          <w:szCs w:val="20"/>
          <w:color w:val="auto"/>
        </w:rPr>
      </w:pPr>
    </w:p>
    <w:p>
      <w:pPr>
        <w:ind w:right="120"/>
        <w:spacing w:after="0" w:line="237" w:lineRule="auto"/>
        <w:rPr>
          <w:sz w:val="20"/>
          <w:szCs w:val="20"/>
          <w:color w:val="auto"/>
        </w:rPr>
      </w:pPr>
      <w:r>
        <w:rPr>
          <w:rFonts w:ascii="Times New Roman" w:cs="Times New Roman" w:eastAsia="Times New Roman" w:hAnsi="Times New Roman"/>
          <w:sz w:val="18"/>
          <w:szCs w:val="18"/>
          <w:u w:val="single" w:color="auto"/>
          <w:color w:val="0000FF"/>
        </w:rPr>
        <w:t>Certification by the Chief Executive Officer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-255905</wp:posOffset>
            </wp:positionV>
            <wp:extent cx="7106285" cy="26543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2">
                      <a:extLst>
                        <a:ext uri="{28A0092B-C50C-407E-A947-70E740481C1C}"/>
                      </a:extLst>
                    </a:blip>
                    <a:srcRect/>
                    <a:stretch>
                      <a:fillRect/>
                    </a:stretch>
                  </pic:blipFill>
                  <pic:spPr bwMode="auto">
                    <a:xfrm>
                      <a:off x="0" y="0"/>
                      <a:ext cx="7106285" cy="265430"/>
                    </a:xfrm>
                    <a:prstGeom prst="rect">
                      <a:avLst/>
                    </a:prstGeom>
                    <a:noFill/>
                  </pic:spPr>
                </pic:pic>
              </a:graphicData>
            </a:graphic>
          </wp:anchor>
        </w:drawing>
      </w:r>
    </w:p>
    <w:p>
      <w:pPr>
        <w:spacing w:after="0" w:line="44" w:lineRule="exact"/>
        <w:rPr>
          <w:sz w:val="20"/>
          <w:szCs w:val="20"/>
          <w:color w:val="auto"/>
        </w:rPr>
      </w:pPr>
    </w:p>
    <w:p>
      <w:pPr>
        <w:ind w:right="180"/>
        <w:spacing w:after="0" w:line="237" w:lineRule="auto"/>
        <w:rPr>
          <w:sz w:val="20"/>
          <w:szCs w:val="20"/>
          <w:color w:val="auto"/>
        </w:rPr>
      </w:pPr>
      <w:r>
        <w:rPr>
          <w:rFonts w:ascii="Times New Roman" w:cs="Times New Roman" w:eastAsia="Times New Roman" w:hAnsi="Times New Roman"/>
          <w:sz w:val="18"/>
          <w:szCs w:val="18"/>
          <w:u w:val="single" w:color="auto"/>
          <w:color w:val="0000FF"/>
        </w:rPr>
        <w:t>Certification by the Chief Financial Officer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-255905</wp:posOffset>
            </wp:positionV>
            <wp:extent cx="7106285" cy="26543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3">
                      <a:extLst>
                        <a:ext uri="{28A0092B-C50C-407E-A947-70E740481C1C}"/>
                      </a:extLst>
                    </a:blip>
                    <a:srcRect/>
                    <a:stretch>
                      <a:fillRect/>
                    </a:stretch>
                  </pic:blipFill>
                  <pic:spPr bwMode="auto">
                    <a:xfrm>
                      <a:off x="0" y="0"/>
                      <a:ext cx="7106285" cy="265430"/>
                    </a:xfrm>
                    <a:prstGeom prst="rect">
                      <a:avLst/>
                    </a:prstGeom>
                    <a:noFill/>
                  </pic:spPr>
                </pic:pic>
              </a:graphicData>
            </a:graphic>
          </wp:anchor>
        </w:drawing>
      </w:r>
    </w:p>
    <w:p>
      <w:pPr>
        <w:spacing w:after="0" w:line="44" w:lineRule="exact"/>
        <w:rPr>
          <w:sz w:val="20"/>
          <w:szCs w:val="20"/>
          <w:color w:val="auto"/>
        </w:rPr>
      </w:pPr>
    </w:p>
    <w:p>
      <w:pPr>
        <w:ind w:right="760"/>
        <w:spacing w:after="0" w:line="237" w:lineRule="auto"/>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-255905</wp:posOffset>
            </wp:positionV>
            <wp:extent cx="7106285" cy="26543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4">
                      <a:extLst>
                        <a:ext uri="{28A0092B-C50C-407E-A947-70E740481C1C}"/>
                      </a:extLst>
                    </a:blip>
                    <a:srcRect/>
                    <a:stretch>
                      <a:fillRect/>
                    </a:stretch>
                  </pic:blipFill>
                  <pic:spPr bwMode="auto">
                    <a:xfrm>
                      <a:off x="0" y="0"/>
                      <a:ext cx="7106285" cy="265430"/>
                    </a:xfrm>
                    <a:prstGeom prst="rect">
                      <a:avLst/>
                    </a:prstGeom>
                    <a:noFill/>
                  </pic:spPr>
                </pic:pic>
              </a:graphicData>
            </a:graphic>
          </wp:anchor>
        </w:drawing>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Schema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-127635</wp:posOffset>
            </wp:positionV>
            <wp:extent cx="7106285" cy="1454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5">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-127635</wp:posOffset>
            </wp:positionV>
            <wp:extent cx="7106285" cy="1460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6">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-127635</wp:posOffset>
            </wp:positionV>
            <wp:extent cx="7106285" cy="1460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7">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Label Linkbase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-127635</wp:posOffset>
            </wp:positionV>
            <wp:extent cx="7106285" cy="1454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8">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-127635</wp:posOffset>
            </wp:positionV>
            <wp:extent cx="7106285" cy="1460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9">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00" w:space="380"/>
            <w:col w:w="10020"/>
          </w:cols>
          <w:pgMar w:left="320" w:top="1026" w:right="379" w:bottom="1440" w:gutter="0" w:footer="0" w:header="0"/>
          <w:type w:val="continuous"/>
        </w:sectPr>
      </w:pPr>
    </w:p>
    <w:p>
      <w:pPr>
        <w:spacing w:after="0" w:line="200" w:lineRule="exact"/>
        <w:rPr>
          <w:sz w:val="20"/>
          <w:szCs w:val="20"/>
          <w:color w:val="auto"/>
        </w:rPr>
      </w:pPr>
    </w:p>
    <w:p>
      <w:pPr>
        <w:spacing w:after="0" w:line="2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26" w:right="379" w:bottom="1440" w:gutter="0" w:footer="0" w:header="0"/>
          <w:type w:val="continuous"/>
        </w:sectPr>
      </w:pPr>
    </w:p>
    <w:bookmarkStart w:id="90" w:name="page91"/>
    <w:bookmarkEnd w:id="90"/>
    <w:tbl>
      <w:tblPr>
        <w:tblLayout w:type="fixed"/>
        <w:tblInd w:w="0" w:type="dxa"/>
        <w:tblCellMar>
          <w:top w:w="0" w:type="dxa"/>
          <w:left w:w="0" w:type="dxa"/>
          <w:bottom w:w="0" w:type="dxa"/>
          <w:right w:w="0" w:type="dxa"/>
        </w:tblCellMar>
      </w:tblPr>
      <w:tr>
        <w:trPr>
          <w:trHeight w:val="229"/>
        </w:trPr>
        <w:tc>
          <w:tcPr>
            <w:tcW w:w="780" w:type="dxa"/>
            <w:vAlign w:val="bottom"/>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99"/>
              </w:rPr>
              <w:t>104*</w:t>
            </w:r>
          </w:p>
        </w:tc>
        <w:tc>
          <w:tcPr>
            <w:tcW w:w="104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r>
        <w:trPr>
          <w:trHeight w:val="279"/>
        </w:trPr>
        <w:tc>
          <w:tcPr>
            <w:tcW w:w="11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______________________________________</w:t>
            </w:r>
          </w:p>
        </w:tc>
      </w:tr>
      <w:tr>
        <w:trPr>
          <w:trHeight w:val="216"/>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9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34"/>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Furnished herewith.</w:t>
            </w:r>
          </w:p>
        </w:tc>
      </w:tr>
    </w:tbl>
    <w:p>
      <w:pPr>
        <w:spacing w:after="0"/>
        <w:rPr>
          <w:sz w:val="20"/>
          <w:szCs w:val="20"/>
          <w:color w:val="auto"/>
        </w:rPr>
      </w:pPr>
      <w:r>
        <w:rPr>
          <w:rFonts w:ascii="Times New Roman" w:cs="Times New Roman" w:eastAsia="Times New Roman" w:hAnsi="Times New Roman"/>
          <w:sz w:val="18"/>
          <w:szCs w:val="18"/>
          <w:color w:val="auto"/>
        </w:rPr>
        <w:t>† Management contract or compensatory plan or arrangement.</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5" w:right="37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accordance with Section 13 or 15(d) of the Exchange Act, the registrant has duly caused this report to be signed on its behalf by the undersigned, thereunto duly authorized.</w:t>
      </w:r>
    </w:p>
    <w:p>
      <w:pPr>
        <w:spacing w:after="0" w:line="8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Cantaloupe, Inc.</w:t>
      </w:r>
    </w:p>
    <w:p>
      <w:pPr>
        <w:spacing w:after="0" w:line="7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Ravi Venkatesan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17145</wp:posOffset>
            </wp:positionV>
            <wp:extent cx="355727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2">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Ravi Venkatesan, Chief Executive Officer</w:t>
      </w:r>
    </w:p>
    <w:p>
      <w:pPr>
        <w:spacing w:after="0" w:line="33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40" w:type="dxa"/>
            <w:vAlign w:val="bottom"/>
          </w:tcPr>
          <w:p>
            <w:pPr>
              <w:ind w:left="1360"/>
              <w:spacing w:after="0"/>
              <w:rPr>
                <w:sz w:val="20"/>
                <w:szCs w:val="20"/>
                <w:color w:val="auto"/>
              </w:rPr>
            </w:pPr>
            <w:r>
              <w:rPr>
                <w:rFonts w:ascii="Times New Roman" w:cs="Times New Roman" w:eastAsia="Times New Roman" w:hAnsi="Times New Roman"/>
                <w:sz w:val="14"/>
                <w:szCs w:val="14"/>
                <w:b w:val="1"/>
                <w:bCs w:val="1"/>
                <w:color w:val="auto"/>
              </w:rPr>
              <w:t>SIGNATURES</w:t>
            </w:r>
          </w:p>
        </w:tc>
        <w:tc>
          <w:tcPr>
            <w:tcW w:w="280" w:type="dxa"/>
            <w:vAlign w:val="bottom"/>
          </w:tcPr>
          <w:p>
            <w:pPr>
              <w:spacing w:after="0"/>
              <w:rPr>
                <w:sz w:val="16"/>
                <w:szCs w:val="16"/>
                <w:color w:val="auto"/>
              </w:rPr>
            </w:pPr>
          </w:p>
        </w:tc>
        <w:tc>
          <w:tcPr>
            <w:tcW w:w="4720" w:type="dxa"/>
            <w:vAlign w:val="bottom"/>
            <w:gridSpan w:val="2"/>
          </w:tcPr>
          <w:p>
            <w:pPr>
              <w:ind w:left="188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580" w:type="dxa"/>
            <w:vAlign w:val="bottom"/>
          </w:tcPr>
          <w:p>
            <w:pPr>
              <w:ind w:left="1100"/>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37"/>
        </w:trPr>
        <w:tc>
          <w:tcPr>
            <w:tcW w:w="364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4220" w:type="dxa"/>
            <w:vAlign w:val="bottom"/>
            <w:tcBorders>
              <w:bottom w:val="single" w:sz="8" w:color="auto"/>
            </w:tcBorders>
          </w:tcPr>
          <w:p>
            <w:pPr>
              <w:spacing w:after="0"/>
              <w:rPr>
                <w:sz w:val="3"/>
                <w:szCs w:val="3"/>
                <w:color w:val="auto"/>
              </w:rPr>
            </w:pPr>
          </w:p>
        </w:tc>
        <w:tc>
          <w:tcPr>
            <w:tcW w:w="500" w:type="dxa"/>
            <w:vAlign w:val="bottom"/>
          </w:tcPr>
          <w:p>
            <w:pPr>
              <w:spacing w:after="0"/>
              <w:rPr>
                <w:sz w:val="3"/>
                <w:szCs w:val="3"/>
                <w:color w:val="auto"/>
              </w:rPr>
            </w:pPr>
          </w:p>
        </w:tc>
        <w:tc>
          <w:tcPr>
            <w:tcW w:w="25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61"/>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Ravi Venkatesan</w:t>
            </w:r>
          </w:p>
        </w:tc>
        <w:tc>
          <w:tcPr>
            <w:tcW w:w="280" w:type="dxa"/>
            <w:vAlign w:val="bottom"/>
          </w:tcPr>
          <w:p>
            <w:pPr>
              <w:spacing w:after="0"/>
              <w:rPr>
                <w:sz w:val="24"/>
                <w:szCs w:val="24"/>
                <w:color w:val="auto"/>
              </w:rPr>
            </w:pPr>
          </w:p>
        </w:tc>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October 19, 2022</w:t>
            </w:r>
          </w:p>
        </w:tc>
        <w:tc>
          <w:tcPr>
            <w:tcW w:w="0" w:type="dxa"/>
            <w:vAlign w:val="bottom"/>
          </w:tcPr>
          <w:p>
            <w:pPr>
              <w:spacing w:after="0"/>
              <w:rPr>
                <w:sz w:val="1"/>
                <w:szCs w:val="1"/>
                <w:color w:val="auto"/>
              </w:rPr>
            </w:pPr>
          </w:p>
        </w:tc>
      </w:tr>
      <w:tr>
        <w:trPr>
          <w:trHeight w:val="45"/>
        </w:trPr>
        <w:tc>
          <w:tcPr>
            <w:tcW w:w="3640" w:type="dxa"/>
            <w:vAlign w:val="bottom"/>
            <w:tcBorders>
              <w:bottom w:val="single" w:sz="8" w:color="auto"/>
            </w:tcBorders>
          </w:tcPr>
          <w:p>
            <w:pPr>
              <w:spacing w:after="0"/>
              <w:rPr>
                <w:sz w:val="3"/>
                <w:szCs w:val="3"/>
                <w:color w:val="auto"/>
              </w:rPr>
            </w:pPr>
          </w:p>
        </w:tc>
        <w:tc>
          <w:tcPr>
            <w:tcW w:w="280" w:type="dxa"/>
            <w:vAlign w:val="bottom"/>
            <w:vMerge w:val="restart"/>
          </w:tcPr>
          <w:p>
            <w:pPr>
              <w:spacing w:after="0"/>
              <w:rPr>
                <w:sz w:val="3"/>
                <w:szCs w:val="3"/>
                <w:color w:val="auto"/>
              </w:rPr>
            </w:pPr>
          </w:p>
        </w:tc>
        <w:tc>
          <w:tcPr>
            <w:tcW w:w="4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36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Ravi Venkatesan</w:t>
            </w:r>
          </w:p>
        </w:tc>
        <w:tc>
          <w:tcPr>
            <w:tcW w:w="280" w:type="dxa"/>
            <w:vAlign w:val="bottom"/>
            <w:vMerge w:val="continue"/>
          </w:tcPr>
          <w:p>
            <w:pPr>
              <w:spacing w:after="0"/>
              <w:rPr>
                <w:sz w:val="14"/>
                <w:szCs w:val="14"/>
                <w:color w:val="auto"/>
              </w:rPr>
            </w:pPr>
          </w:p>
        </w:tc>
        <w:tc>
          <w:tcPr>
            <w:tcW w:w="4720" w:type="dxa"/>
            <w:vAlign w:val="bottom"/>
            <w:gridSpan w:val="2"/>
            <w:vMerge w:val="continue"/>
          </w:tcPr>
          <w:p>
            <w:pPr>
              <w:spacing w:after="0"/>
              <w:rPr>
                <w:sz w:val="14"/>
                <w:szCs w:val="14"/>
                <w:color w:val="auto"/>
              </w:rPr>
            </w:pPr>
          </w:p>
        </w:tc>
        <w:tc>
          <w:tcPr>
            <w:tcW w:w="2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3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4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6"/>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Scott Stewart</w:t>
            </w:r>
          </w:p>
        </w:tc>
        <w:tc>
          <w:tcPr>
            <w:tcW w:w="280" w:type="dxa"/>
            <w:vAlign w:val="bottom"/>
          </w:tcPr>
          <w:p>
            <w:pPr>
              <w:spacing w:after="0"/>
              <w:rPr>
                <w:sz w:val="24"/>
                <w:szCs w:val="24"/>
                <w:color w:val="auto"/>
              </w:rPr>
            </w:pPr>
          </w:p>
        </w:tc>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October 19, 2022</w:t>
            </w:r>
          </w:p>
        </w:tc>
        <w:tc>
          <w:tcPr>
            <w:tcW w:w="0" w:type="dxa"/>
            <w:vAlign w:val="bottom"/>
          </w:tcPr>
          <w:p>
            <w:pPr>
              <w:spacing w:after="0"/>
              <w:rPr>
                <w:sz w:val="1"/>
                <w:szCs w:val="1"/>
                <w:color w:val="auto"/>
              </w:rPr>
            </w:pPr>
          </w:p>
        </w:tc>
      </w:tr>
      <w:tr>
        <w:trPr>
          <w:trHeight w:val="45"/>
        </w:trPr>
        <w:tc>
          <w:tcPr>
            <w:tcW w:w="3640" w:type="dxa"/>
            <w:vAlign w:val="bottom"/>
            <w:tcBorders>
              <w:bottom w:val="single" w:sz="8" w:color="auto"/>
            </w:tcBorders>
          </w:tcPr>
          <w:p>
            <w:pPr>
              <w:spacing w:after="0"/>
              <w:rPr>
                <w:sz w:val="3"/>
                <w:szCs w:val="3"/>
                <w:color w:val="auto"/>
              </w:rPr>
            </w:pPr>
          </w:p>
        </w:tc>
        <w:tc>
          <w:tcPr>
            <w:tcW w:w="280" w:type="dxa"/>
            <w:vAlign w:val="bottom"/>
            <w:vMerge w:val="restart"/>
          </w:tcPr>
          <w:p>
            <w:pPr>
              <w:spacing w:after="0"/>
              <w:rPr>
                <w:sz w:val="3"/>
                <w:szCs w:val="3"/>
                <w:color w:val="auto"/>
              </w:rPr>
            </w:pPr>
          </w:p>
        </w:tc>
        <w:tc>
          <w:tcPr>
            <w:tcW w:w="4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2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36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Scott Stewart</w:t>
            </w:r>
          </w:p>
        </w:tc>
        <w:tc>
          <w:tcPr>
            <w:tcW w:w="280" w:type="dxa"/>
            <w:vAlign w:val="bottom"/>
            <w:vMerge w:val="continue"/>
          </w:tcPr>
          <w:p>
            <w:pPr>
              <w:spacing w:after="0"/>
              <w:rPr>
                <w:sz w:val="14"/>
                <w:szCs w:val="14"/>
                <w:color w:val="auto"/>
              </w:rPr>
            </w:pPr>
          </w:p>
        </w:tc>
        <w:tc>
          <w:tcPr>
            <w:tcW w:w="4720" w:type="dxa"/>
            <w:vAlign w:val="bottom"/>
            <w:gridSpan w:val="2"/>
            <w:vMerge w:val="continue"/>
          </w:tcPr>
          <w:p>
            <w:pPr>
              <w:spacing w:after="0"/>
              <w:rPr>
                <w:sz w:val="14"/>
                <w:szCs w:val="14"/>
                <w:color w:val="auto"/>
              </w:rPr>
            </w:pPr>
          </w:p>
        </w:tc>
        <w:tc>
          <w:tcPr>
            <w:tcW w:w="2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3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4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6"/>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Ankit Varia</w:t>
            </w:r>
          </w:p>
        </w:tc>
        <w:tc>
          <w:tcPr>
            <w:tcW w:w="280" w:type="dxa"/>
            <w:vAlign w:val="bottom"/>
          </w:tcPr>
          <w:p>
            <w:pPr>
              <w:spacing w:after="0"/>
              <w:rPr>
                <w:sz w:val="24"/>
                <w:szCs w:val="24"/>
                <w:color w:val="auto"/>
              </w:rPr>
            </w:pPr>
          </w:p>
        </w:tc>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Accounting Officer</w:t>
            </w:r>
          </w:p>
        </w:tc>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October 19, 2022</w:t>
            </w:r>
          </w:p>
        </w:tc>
        <w:tc>
          <w:tcPr>
            <w:tcW w:w="0" w:type="dxa"/>
            <w:vAlign w:val="bottom"/>
          </w:tcPr>
          <w:p>
            <w:pPr>
              <w:spacing w:after="0"/>
              <w:rPr>
                <w:sz w:val="1"/>
                <w:szCs w:val="1"/>
                <w:color w:val="auto"/>
              </w:rPr>
            </w:pPr>
          </w:p>
        </w:tc>
      </w:tr>
      <w:tr>
        <w:trPr>
          <w:trHeight w:val="45"/>
        </w:trPr>
        <w:tc>
          <w:tcPr>
            <w:tcW w:w="3640" w:type="dxa"/>
            <w:vAlign w:val="bottom"/>
            <w:tcBorders>
              <w:bottom w:val="single" w:sz="8" w:color="auto"/>
            </w:tcBorders>
          </w:tcPr>
          <w:p>
            <w:pPr>
              <w:spacing w:after="0"/>
              <w:rPr>
                <w:sz w:val="3"/>
                <w:szCs w:val="3"/>
                <w:color w:val="auto"/>
              </w:rPr>
            </w:pPr>
          </w:p>
        </w:tc>
        <w:tc>
          <w:tcPr>
            <w:tcW w:w="280" w:type="dxa"/>
            <w:vAlign w:val="bottom"/>
            <w:vMerge w:val="restart"/>
          </w:tcPr>
          <w:p>
            <w:pPr>
              <w:spacing w:after="0"/>
              <w:rPr>
                <w:sz w:val="3"/>
                <w:szCs w:val="3"/>
                <w:color w:val="auto"/>
              </w:rPr>
            </w:pPr>
          </w:p>
        </w:tc>
        <w:tc>
          <w:tcPr>
            <w:tcW w:w="4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2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36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Ankit Varia</w:t>
            </w:r>
          </w:p>
        </w:tc>
        <w:tc>
          <w:tcPr>
            <w:tcW w:w="280" w:type="dxa"/>
            <w:vAlign w:val="bottom"/>
            <w:vMerge w:val="continue"/>
          </w:tcPr>
          <w:p>
            <w:pPr>
              <w:spacing w:after="0"/>
              <w:rPr>
                <w:sz w:val="14"/>
                <w:szCs w:val="14"/>
                <w:color w:val="auto"/>
              </w:rPr>
            </w:pPr>
          </w:p>
        </w:tc>
        <w:tc>
          <w:tcPr>
            <w:tcW w:w="4720" w:type="dxa"/>
            <w:vAlign w:val="bottom"/>
            <w:gridSpan w:val="2"/>
            <w:vMerge w:val="continue"/>
          </w:tcPr>
          <w:p>
            <w:pPr>
              <w:spacing w:after="0"/>
              <w:rPr>
                <w:sz w:val="14"/>
                <w:szCs w:val="14"/>
                <w:color w:val="auto"/>
              </w:rPr>
            </w:pPr>
          </w:p>
        </w:tc>
        <w:tc>
          <w:tcPr>
            <w:tcW w:w="2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3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4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4"/>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Lisa P. Baird</w:t>
            </w:r>
          </w:p>
        </w:tc>
        <w:tc>
          <w:tcPr>
            <w:tcW w:w="280" w:type="dxa"/>
            <w:vAlign w:val="bottom"/>
          </w:tcPr>
          <w:p>
            <w:pPr>
              <w:spacing w:after="0"/>
              <w:rPr>
                <w:sz w:val="24"/>
                <w:szCs w:val="24"/>
                <w:color w:val="auto"/>
              </w:rPr>
            </w:pPr>
          </w:p>
        </w:tc>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October 19, 2022</w:t>
            </w:r>
          </w:p>
        </w:tc>
        <w:tc>
          <w:tcPr>
            <w:tcW w:w="0" w:type="dxa"/>
            <w:vAlign w:val="bottom"/>
          </w:tcPr>
          <w:p>
            <w:pPr>
              <w:spacing w:after="0"/>
              <w:rPr>
                <w:sz w:val="1"/>
                <w:szCs w:val="1"/>
                <w:color w:val="auto"/>
              </w:rPr>
            </w:pPr>
          </w:p>
        </w:tc>
      </w:tr>
      <w:tr>
        <w:trPr>
          <w:trHeight w:val="27"/>
        </w:trPr>
        <w:tc>
          <w:tcPr>
            <w:tcW w:w="36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4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Lisa P. Baird</w:t>
            </w:r>
          </w:p>
        </w:tc>
        <w:tc>
          <w:tcPr>
            <w:tcW w:w="28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Douglas G. Bergeron</w:t>
            </w:r>
          </w:p>
        </w:tc>
        <w:tc>
          <w:tcPr>
            <w:tcW w:w="280" w:type="dxa"/>
            <w:vAlign w:val="bottom"/>
          </w:tcPr>
          <w:p>
            <w:pPr>
              <w:spacing w:after="0"/>
              <w:rPr>
                <w:sz w:val="24"/>
                <w:szCs w:val="24"/>
                <w:color w:val="auto"/>
              </w:rPr>
            </w:pPr>
          </w:p>
        </w:tc>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Chairman of the Board of Directors</w:t>
            </w:r>
          </w:p>
        </w:tc>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October 19, 2022</w:t>
            </w:r>
          </w:p>
        </w:tc>
        <w:tc>
          <w:tcPr>
            <w:tcW w:w="0" w:type="dxa"/>
            <w:vAlign w:val="bottom"/>
          </w:tcPr>
          <w:p>
            <w:pPr>
              <w:spacing w:after="0"/>
              <w:rPr>
                <w:sz w:val="1"/>
                <w:szCs w:val="1"/>
                <w:color w:val="auto"/>
              </w:rPr>
            </w:pPr>
          </w:p>
        </w:tc>
      </w:tr>
      <w:tr>
        <w:trPr>
          <w:trHeight w:val="27"/>
        </w:trPr>
        <w:tc>
          <w:tcPr>
            <w:tcW w:w="36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4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Douglas G. Bergeron</w:t>
            </w:r>
          </w:p>
        </w:tc>
        <w:tc>
          <w:tcPr>
            <w:tcW w:w="28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Ian Harris</w:t>
            </w:r>
          </w:p>
        </w:tc>
        <w:tc>
          <w:tcPr>
            <w:tcW w:w="280" w:type="dxa"/>
            <w:vAlign w:val="bottom"/>
          </w:tcPr>
          <w:p>
            <w:pPr>
              <w:spacing w:after="0"/>
              <w:rPr>
                <w:sz w:val="24"/>
                <w:szCs w:val="24"/>
                <w:color w:val="auto"/>
              </w:rPr>
            </w:pPr>
          </w:p>
        </w:tc>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October 19, 2022</w:t>
            </w:r>
          </w:p>
        </w:tc>
        <w:tc>
          <w:tcPr>
            <w:tcW w:w="0" w:type="dxa"/>
            <w:vAlign w:val="bottom"/>
          </w:tcPr>
          <w:p>
            <w:pPr>
              <w:spacing w:after="0"/>
              <w:rPr>
                <w:sz w:val="1"/>
                <w:szCs w:val="1"/>
                <w:color w:val="auto"/>
              </w:rPr>
            </w:pPr>
          </w:p>
        </w:tc>
      </w:tr>
      <w:tr>
        <w:trPr>
          <w:trHeight w:val="27"/>
        </w:trPr>
        <w:tc>
          <w:tcPr>
            <w:tcW w:w="36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4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Ian Harris</w:t>
            </w:r>
          </w:p>
        </w:tc>
        <w:tc>
          <w:tcPr>
            <w:tcW w:w="28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Jacob Lamm</w:t>
            </w:r>
          </w:p>
        </w:tc>
        <w:tc>
          <w:tcPr>
            <w:tcW w:w="280" w:type="dxa"/>
            <w:vAlign w:val="bottom"/>
          </w:tcPr>
          <w:p>
            <w:pPr>
              <w:spacing w:after="0"/>
              <w:rPr>
                <w:sz w:val="24"/>
                <w:szCs w:val="24"/>
                <w:color w:val="auto"/>
              </w:rPr>
            </w:pPr>
          </w:p>
        </w:tc>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October 19, 2022</w:t>
            </w:r>
          </w:p>
        </w:tc>
        <w:tc>
          <w:tcPr>
            <w:tcW w:w="0" w:type="dxa"/>
            <w:vAlign w:val="bottom"/>
          </w:tcPr>
          <w:p>
            <w:pPr>
              <w:spacing w:after="0"/>
              <w:rPr>
                <w:sz w:val="1"/>
                <w:szCs w:val="1"/>
                <w:color w:val="auto"/>
              </w:rPr>
            </w:pPr>
          </w:p>
        </w:tc>
      </w:tr>
      <w:tr>
        <w:trPr>
          <w:trHeight w:val="27"/>
        </w:trPr>
        <w:tc>
          <w:tcPr>
            <w:tcW w:w="36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4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Jacob Lamm</w:t>
            </w:r>
          </w:p>
        </w:tc>
        <w:tc>
          <w:tcPr>
            <w:tcW w:w="28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Michael K. Passilla</w:t>
            </w:r>
          </w:p>
        </w:tc>
        <w:tc>
          <w:tcPr>
            <w:tcW w:w="280" w:type="dxa"/>
            <w:vAlign w:val="bottom"/>
          </w:tcPr>
          <w:p>
            <w:pPr>
              <w:spacing w:after="0"/>
              <w:rPr>
                <w:sz w:val="24"/>
                <w:szCs w:val="24"/>
                <w:color w:val="auto"/>
              </w:rPr>
            </w:pPr>
          </w:p>
        </w:tc>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October 19, 2022</w:t>
            </w:r>
          </w:p>
        </w:tc>
        <w:tc>
          <w:tcPr>
            <w:tcW w:w="0" w:type="dxa"/>
            <w:vAlign w:val="bottom"/>
          </w:tcPr>
          <w:p>
            <w:pPr>
              <w:spacing w:after="0"/>
              <w:rPr>
                <w:sz w:val="1"/>
                <w:szCs w:val="1"/>
                <w:color w:val="auto"/>
              </w:rPr>
            </w:pPr>
          </w:p>
        </w:tc>
      </w:tr>
      <w:tr>
        <w:trPr>
          <w:trHeight w:val="27"/>
        </w:trPr>
        <w:tc>
          <w:tcPr>
            <w:tcW w:w="36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4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K. Passilla</w:t>
            </w:r>
          </w:p>
        </w:tc>
        <w:tc>
          <w:tcPr>
            <w:tcW w:w="28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Ellen Richey</w:t>
            </w:r>
          </w:p>
        </w:tc>
        <w:tc>
          <w:tcPr>
            <w:tcW w:w="280" w:type="dxa"/>
            <w:vAlign w:val="bottom"/>
          </w:tcPr>
          <w:p>
            <w:pPr>
              <w:spacing w:after="0"/>
              <w:rPr>
                <w:sz w:val="24"/>
                <w:szCs w:val="24"/>
                <w:color w:val="auto"/>
              </w:rPr>
            </w:pPr>
          </w:p>
        </w:tc>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October 19, 2022</w:t>
            </w:r>
          </w:p>
        </w:tc>
        <w:tc>
          <w:tcPr>
            <w:tcW w:w="0" w:type="dxa"/>
            <w:vAlign w:val="bottom"/>
          </w:tcPr>
          <w:p>
            <w:pPr>
              <w:spacing w:after="0"/>
              <w:rPr>
                <w:sz w:val="1"/>
                <w:szCs w:val="1"/>
                <w:color w:val="auto"/>
              </w:rPr>
            </w:pPr>
          </w:p>
        </w:tc>
      </w:tr>
      <w:tr>
        <w:trPr>
          <w:trHeight w:val="27"/>
        </w:trPr>
        <w:tc>
          <w:tcPr>
            <w:tcW w:w="36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4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Ellen Richey</w:t>
            </w:r>
          </w:p>
        </w:tc>
        <w:tc>
          <w:tcPr>
            <w:tcW w:w="28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Anne M. Smalling</w:t>
            </w:r>
          </w:p>
        </w:tc>
        <w:tc>
          <w:tcPr>
            <w:tcW w:w="280" w:type="dxa"/>
            <w:vAlign w:val="bottom"/>
          </w:tcPr>
          <w:p>
            <w:pPr>
              <w:spacing w:after="0"/>
              <w:rPr>
                <w:sz w:val="24"/>
                <w:szCs w:val="24"/>
                <w:color w:val="auto"/>
              </w:rPr>
            </w:pPr>
          </w:p>
        </w:tc>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October 19, 2022</w:t>
            </w:r>
          </w:p>
        </w:tc>
        <w:tc>
          <w:tcPr>
            <w:tcW w:w="0" w:type="dxa"/>
            <w:vAlign w:val="bottom"/>
          </w:tcPr>
          <w:p>
            <w:pPr>
              <w:spacing w:after="0"/>
              <w:rPr>
                <w:sz w:val="1"/>
                <w:szCs w:val="1"/>
                <w:color w:val="auto"/>
              </w:rPr>
            </w:pPr>
          </w:p>
        </w:tc>
      </w:tr>
      <w:tr>
        <w:trPr>
          <w:trHeight w:val="27"/>
        </w:trPr>
        <w:tc>
          <w:tcPr>
            <w:tcW w:w="36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4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Anne M. Smalling</w:t>
            </w:r>
          </w:p>
        </w:tc>
        <w:tc>
          <w:tcPr>
            <w:tcW w:w="28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Shannon S. Warren</w:t>
            </w:r>
          </w:p>
        </w:tc>
        <w:tc>
          <w:tcPr>
            <w:tcW w:w="280" w:type="dxa"/>
            <w:vAlign w:val="bottom"/>
          </w:tcPr>
          <w:p>
            <w:pPr>
              <w:spacing w:after="0"/>
              <w:rPr>
                <w:sz w:val="24"/>
                <w:szCs w:val="24"/>
                <w:color w:val="auto"/>
              </w:rPr>
            </w:pPr>
          </w:p>
        </w:tc>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October 19, 2022</w:t>
            </w:r>
          </w:p>
        </w:tc>
        <w:tc>
          <w:tcPr>
            <w:tcW w:w="0" w:type="dxa"/>
            <w:vAlign w:val="bottom"/>
          </w:tcPr>
          <w:p>
            <w:pPr>
              <w:spacing w:after="0"/>
              <w:rPr>
                <w:sz w:val="1"/>
                <w:szCs w:val="1"/>
                <w:color w:val="auto"/>
              </w:rPr>
            </w:pPr>
          </w:p>
        </w:tc>
      </w:tr>
      <w:tr>
        <w:trPr>
          <w:trHeight w:val="27"/>
        </w:trPr>
        <w:tc>
          <w:tcPr>
            <w:tcW w:w="36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4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Shannon S. Warren</w:t>
            </w:r>
          </w:p>
        </w:tc>
        <w:tc>
          <w:tcPr>
            <w:tcW w:w="28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240"/>
          </w:cols>
          <w:pgMar w:left="320" w:top="1103" w:right="33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20"/>
          <w:szCs w:val="20"/>
          <w:b w:val="1"/>
          <w:bCs w:val="1"/>
          <w:color w:val="auto"/>
        </w:rPr>
        <w:t>Exhibit 4.1</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DESCRIPTION OF SECURITIES REGISTERED PURSUANT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SECTION 12 OF SECURITIES EXCHANGE ACT OF 1934</w:t>
      </w:r>
    </w:p>
    <w:p>
      <w:pPr>
        <w:spacing w:after="0" w:line="268"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auto"/>
        </w:rPr>
        <w:t>As of June 30, 2022, Cantaloupe, Inc. has two classes of securities registered under Section 12 of the Securities Exchange Act of 1934, as amended (the “Exchange Act”): (1) our Common Stock; (2) our Preferred Stock.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Authorized Capital Shares</w:t>
      </w:r>
    </w:p>
    <w:p>
      <w:pPr>
        <w:spacing w:after="0" w:line="274"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0"/>
          <w:szCs w:val="20"/>
          <w:color w:val="auto"/>
        </w:rPr>
        <w:t>Our authorized capital shares consist of 640,000,000 shares of common stock, no par value (“Common Stock”), and 1,800,000 shares of undesignated preferred stock. As of the date hereof, 900,000 preferred shares have been designated as series A convertible preferred stock, no par value (“Preferred Stock”). The outstanding shares of our Common Stock are fully paid and nonassessable.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Description of Common Stock</w:t>
      </w:r>
    </w:p>
    <w:p>
      <w:pPr>
        <w:spacing w:after="0" w:line="274" w:lineRule="exact"/>
        <w:rPr>
          <w:sz w:val="20"/>
          <w:szCs w:val="20"/>
          <w:color w:val="auto"/>
        </w:rPr>
      </w:pPr>
    </w:p>
    <w:p>
      <w:pPr>
        <w:ind w:right="300"/>
        <w:spacing w:after="0" w:line="277" w:lineRule="auto"/>
        <w:rPr>
          <w:sz w:val="20"/>
          <w:szCs w:val="20"/>
          <w:color w:val="auto"/>
        </w:rPr>
      </w:pPr>
      <w:r>
        <w:rPr>
          <w:rFonts w:ascii="Times New Roman" w:cs="Times New Roman" w:eastAsia="Times New Roman" w:hAnsi="Times New Roman"/>
          <w:sz w:val="20"/>
          <w:szCs w:val="20"/>
          <w:color w:val="auto"/>
        </w:rPr>
        <w:t>The following description of our Common Stock sets forth certain general terms and provisions of our Common Stock to which any prospectus supplement may relate, including a prospectus supplement providing that Common Stock will be issuable upon conversion or exchange of our debt securities or Preferred Stock or upon the exercise of warrants or rights to purchase our Common Stock. All shares of our Common Stock covered by this prospectus will be duly authorized, fully paid and nonassessable</w:t>
      </w:r>
      <w:r>
        <w:rPr>
          <w:rFonts w:ascii="Times New Roman" w:cs="Times New Roman" w:eastAsia="Times New Roman" w:hAnsi="Times New Roman"/>
          <w:sz w:val="20"/>
          <w:szCs w:val="20"/>
          <w:b w:val="1"/>
          <w:bCs w:val="1"/>
          <w:color w:val="auto"/>
        </w:rPr>
        <w: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Voting Rights</w:t>
      </w:r>
    </w:p>
    <w:p>
      <w:pPr>
        <w:spacing w:after="0" w:line="274"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auto"/>
        </w:rPr>
        <w:t>The holder of each share of Common Stock is entitled to one vote on all matters submitted to a vote of the shareholders, including the election of directors. There is no cumulative voting for directors.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Dividend Rights</w:t>
      </w:r>
    </w:p>
    <w:p>
      <w:pPr>
        <w:spacing w:after="0" w:line="27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20"/>
          <w:szCs w:val="20"/>
          <w:color w:val="auto"/>
        </w:rPr>
        <w:t>No dividend may be paid on the Common Stock until all accumulated and unpaid dividends on the Preferred Stock have been paid. Each holder of our Common Stock is entitled to receive such dividends as the Board of Directors may from time to time declare out of funds legally available for payment of dividends.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Liquidation Rights</w:t>
      </w:r>
    </w:p>
    <w:p>
      <w:pPr>
        <w:spacing w:after="0" w:line="27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0"/>
          <w:szCs w:val="20"/>
          <w:color w:val="auto"/>
        </w:rPr>
        <w:t xml:space="preserve">Subject to any preferential rights of outstanding shares of Preferred Stock, holders of Common Stock will share ratably in all assets legally available for distribution to our shareholders in the event of dissolution. Upon any liquidation, dissolution or winding up of the Company, holders of our Common Stock are entitled to receive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all of the assets of the Company available for distribution, subject to the liquidation preference of the Preferred Stock of $10 per share, and any unpaid and accumulated dividends on the Preferred Stock.</w:t>
      </w:r>
    </w:p>
    <w:p>
      <w:pPr>
        <w:sectPr>
          <w:pgSz w:w="11900" w:h="16838" w:orient="portrait"/>
          <w:cols w:equalWidth="0" w:num="1">
            <w:col w:w="11240"/>
          </w:cols>
          <w:pgMar w:left="320" w:top="1422"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20"/>
          <w:szCs w:val="20"/>
          <w:b w:val="1"/>
          <w:bCs w:val="1"/>
          <w:color w:val="auto"/>
        </w:rPr>
        <w:t>Other Rights and Preferences</w:t>
      </w:r>
    </w:p>
    <w:p>
      <w:pPr>
        <w:spacing w:after="0" w:line="274"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auto"/>
        </w:rPr>
        <w:t>Our Common Stock has no sinking fund or redemption provisions or preemptive, conversion or exchange rights. Holders of our Common Stock may act by unanimous written consent.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Listing</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Common Stock is quoted on the Nasdaq Global Select Market under the trading symbol, “CLTP”.</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Description of Preferred Stock</w:t>
      </w:r>
    </w:p>
    <w:p>
      <w:pPr>
        <w:spacing w:after="0" w:line="274"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9"/>
          <w:szCs w:val="19"/>
          <w:color w:val="auto"/>
        </w:rPr>
        <w:t>Our charter authorizes our board of directors to classify any unissued shares of Preferred Stock and to reclassify any previously classified but unissued shares of any series. Prior to issuance of shares of each series, our board of directors is required by the PBCL and our charter to set the preferences, voting powers, designations, restrictions, limitations and relative rights for each such series. Thus, our board of directors could authorize the issuance of shares of Preferred Stock with terms and conditions that could have the effect of delaying, deferring or preventing a transaction or a change of control of our company that might involve a premium price for holders of our Common Stock or that stockholders believe may be in their best interests. As of the date hereof, 445,063 shares of our Series A Preferred Stock are outstanding. Our Preferred Stock will, when issued, be fully paid and nonassessable and will not have, or be subject to, any preemptive or similar rights.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Voting Rights</w:t>
      </w:r>
    </w:p>
    <w:p>
      <w:pPr>
        <w:spacing w:after="0" w:line="27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0"/>
          <w:szCs w:val="20"/>
          <w:color w:val="auto"/>
        </w:rPr>
        <w:t>The holders of our Preferred Stock have the number of votes per share equal to the number of shares of Common Stock into which each such share is convertible, and are entitled to vote on all matters submitted to the vote of the shareholders of the Company, including the election of directors.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Dividend Rights</w:t>
      </w:r>
    </w:p>
    <w:p>
      <w:pPr>
        <w:spacing w:after="0" w:line="27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color w:val="auto"/>
        </w:rPr>
        <w:t>The holders of our Preferred Stock are entitled to an annual cumulative cash dividend of $1.50 per annum, payable when, as and if declared by the Board of Directors. No dividend may be paid on the Common Stock until all accumulated and unpaid dividends on the Preferred Stock have been paid. The record dates for payment of dividends on the Preferred Stock are February 1 ($0.75) and August 1 ($0.75) of each year. Any and all accumulated and unpaid cash dividends on the Preferred Stock must be declared and paid prior to the declaration and payment of any dividends on the Common Stock. Any unpaid and accumulated dividends will not bear interest.</w:t>
      </w:r>
    </w:p>
    <w:p>
      <w:pPr>
        <w:sectPr>
          <w:pgSz w:w="11900" w:h="16838" w:orient="portrait"/>
          <w:cols w:equalWidth="0" w:num="1">
            <w:col w:w="11240"/>
          </w:cols>
          <w:pgMar w:left="320" w:top="1422"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20"/>
          <w:szCs w:val="20"/>
          <w:b w:val="1"/>
          <w:bCs w:val="1"/>
          <w:color w:val="auto"/>
        </w:rPr>
        <w:t>Liquidation Rights</w:t>
      </w:r>
    </w:p>
    <w:p>
      <w:pPr>
        <w:spacing w:after="0" w:line="27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0"/>
          <w:szCs w:val="20"/>
          <w:color w:val="auto"/>
        </w:rPr>
        <w:t>Upon any liquidation, dissolution, or winding-up of the Company, the holders of our Preferred Stock are entitled to receive a distribution in preference to the Common Stock in the amount of $10 per share plus any accumulated and unpaid dividends. As more fully described in our Articles of Incorporation, the holders of at least 60% of the outstanding shares of our Preferred Stock could elect to treat the occurrence of any of the following events as a liquidation: (i) consolidation or merger of the Company with another corporation; (ii) sale of substantially all of the Company’s assets, or (iii) disposition by the Company of more than 50% of voting power of the Company.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Rights and Preferences</w:t>
      </w:r>
    </w:p>
    <w:p>
      <w:pPr>
        <w:spacing w:after="0" w:line="27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0"/>
          <w:szCs w:val="20"/>
          <w:color w:val="auto"/>
        </w:rPr>
        <w:t>Shares of our Preferred Stock are convertible at any time into shares of fully issued and non-assessable Common Stock as provided in our Articles of Incorporation. Accrued and unpaid dividends earned on shares of Preferred Stock being converted into Common Stock are also convertible into Common Stock at the rate of $1,000 per share of Common Stock at the time of conversion, and whether or not such dividends have then been declared by the Company.</w:t>
      </w:r>
    </w:p>
    <w:p>
      <w:pPr>
        <w:spacing w:after="0" w:line="20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0"/>
          <w:szCs w:val="20"/>
          <w:color w:val="auto"/>
        </w:rPr>
        <w:t>We have the right, at any time, to redeem all or any part of the issued and outstanding Preferred Stock for the sum of $11 per share plus any and all unpaid and accumulated dividends thereon. Upon notice by the Company of such call, the holders of the Preferred Stock so called will have the opportunity to convert their shares and any unpaid and accumulated dividends thereon into shares of Common Stock. There is no restriction on our right to repurchase or redeem our Common Stock while there is an arrearage in the payment of dividends to the holders of our Preferred Stock.</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Listing</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Preferred Stock is quoted on the OTC Markets' Pink Open Market under the trading symbol, “CLTPP”.</w:t>
      </w:r>
    </w:p>
    <w:p>
      <w:pPr>
        <w:sectPr>
          <w:pgSz w:w="11900" w:h="16838" w:orient="portrait"/>
          <w:cols w:equalWidth="0" w:num="1">
            <w:col w:w="11240"/>
          </w:cols>
          <w:pgMar w:left="320" w:top="1422" w:right="33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22"/>
          <w:szCs w:val="22"/>
          <w:b w:val="1"/>
          <w:bCs w:val="1"/>
          <w:color w:val="auto"/>
        </w:rPr>
        <w:t>Exhibit 10.8.2</w:t>
      </w:r>
    </w:p>
    <w:p>
      <w:pPr>
        <w:spacing w:after="0" w:line="32"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2"/>
          <w:szCs w:val="22"/>
          <w:b w:val="1"/>
          <w:bCs w:val="1"/>
          <w:color w:val="auto"/>
        </w:rPr>
        <w:t>CANTALOUPE, INC.</w:t>
      </w:r>
    </w:p>
    <w:p>
      <w:pPr>
        <w:spacing w:after="0" w:line="4"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2"/>
          <w:szCs w:val="22"/>
          <w:b w:val="1"/>
          <w:bCs w:val="1"/>
          <w:color w:val="auto"/>
        </w:rPr>
        <w:t>2018 EQUITY INCENTIVE PLAN</w:t>
      </w:r>
    </w:p>
    <w:p>
      <w:pPr>
        <w:spacing w:after="0" w:line="5"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2"/>
          <w:szCs w:val="22"/>
          <w:b w:val="1"/>
          <w:bCs w:val="1"/>
          <w:color w:val="auto"/>
        </w:rPr>
        <w:t>NOTICE OF NON-QUALIFIED STOCK OPTION GRANT AND</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NON-QUALIFIED STOCK OPTION AGREEMENT</w:t>
      </w:r>
    </w:p>
    <w:p>
      <w:pPr>
        <w:spacing w:after="0" w:line="223" w:lineRule="exact"/>
        <w:rPr>
          <w:sz w:val="20"/>
          <w:szCs w:val="20"/>
          <w:color w:val="auto"/>
        </w:rPr>
      </w:pPr>
    </w:p>
    <w:p>
      <w:pPr>
        <w:jc w:val="both"/>
        <w:ind w:firstLine="321"/>
        <w:spacing w:after="0" w:line="250" w:lineRule="auto"/>
        <w:rPr>
          <w:sz w:val="20"/>
          <w:szCs w:val="20"/>
          <w:color w:val="auto"/>
        </w:rPr>
      </w:pPr>
      <w:r>
        <w:rPr>
          <w:rFonts w:ascii="Times New Roman" w:cs="Times New Roman" w:eastAsia="Times New Roman" w:hAnsi="Times New Roman"/>
          <w:sz w:val="22"/>
          <w:szCs w:val="22"/>
          <w:color w:val="auto"/>
        </w:rPr>
        <w:t>Cantaloupe, Inc., a Pennsylvania corporation, f/k/a USA Technologies, Inc. (the “Company”), pursuant to its 2018 Equity Incentive Plan (as amended from time to time, the “Plan”) hereby grants to the holder listed below (the “Participant”) a non-qualified stock option (the “Option”) to purchase the number of shares of common stock, no par value, of the Company (the “Shares”) set forth below. The Option is subject to the terms and conditions set forth herein, including in the Notice of Non-Qualified Stock Option Grant attached at the end of this document (the “Notice”) and the following Non-Qualified Stock Option Agreement (together with the Notice, the “Agreement”), and in the Plan, each of which is incorporated herein by reference. Capitalized terms used but not defined in this document shall have the meanings given to them in the Plan.</w:t>
      </w:r>
    </w:p>
    <w:p>
      <w:pPr>
        <w:spacing w:after="0" w:line="207" w:lineRule="exact"/>
        <w:rPr>
          <w:sz w:val="20"/>
          <w:szCs w:val="20"/>
          <w:color w:val="auto"/>
        </w:rPr>
      </w:pPr>
    </w:p>
    <w:p>
      <w:pPr>
        <w:jc w:val="both"/>
        <w:ind w:firstLine="250"/>
        <w:spacing w:after="0" w:line="251" w:lineRule="auto"/>
        <w:rPr>
          <w:sz w:val="20"/>
          <w:szCs w:val="20"/>
          <w:color w:val="auto"/>
        </w:rPr>
      </w:pPr>
      <w:r>
        <w:rPr>
          <w:rFonts w:ascii="Times New Roman" w:cs="Times New Roman" w:eastAsia="Times New Roman" w:hAnsi="Times New Roman"/>
          <w:sz w:val="22"/>
          <w:szCs w:val="22"/>
          <w:color w:val="auto"/>
        </w:rPr>
        <w:t>By Participant’s electronic acceptance on this site, Participant agrees to be bound by the terms and conditions of the Plan and the Agreement (including, without limitation, the Notice). Participant has reviewed the Plan and the Agreement (including, without limitation, the Notice) in their entirety, has had an opportunity to obtain the advice of counsel prior to executing the Agreement, and fully understands all provisions of the Plan and the Agreement (including, without limitation, the Notice). Participant hereby accepts as binding, conclusive, and final all decisions or interpretations of the Committee upon any questions arising under the Plan or the Agreement (including, without limitation, the Notice).</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Your detailed award information can be found in the Notice, which is attached at the end of this document</w:t>
      </w:r>
      <w:r>
        <w:rPr>
          <w:rFonts w:ascii="Times New Roman" w:cs="Times New Roman" w:eastAsia="Times New Roman" w:hAnsi="Times New Roman"/>
          <w:sz w:val="22"/>
          <w:szCs w:val="22"/>
          <w:color w:val="auto"/>
        </w:rPr>
        <w:t>.</w:t>
      </w:r>
    </w:p>
    <w:p>
      <w:pPr>
        <w:sectPr>
          <w:pgSz w:w="11900" w:h="16838" w:orient="portrait"/>
          <w:cols w:equalWidth="0" w:num="1">
            <w:col w:w="11240"/>
          </w:cols>
          <w:pgMar w:left="320" w:top="1418" w:right="339"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22"/>
          <w:szCs w:val="22"/>
          <w:b w:val="1"/>
          <w:bCs w:val="1"/>
          <w:color w:val="auto"/>
        </w:rPr>
        <w:t>CANTALOUPE, INC.</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NON-QUALIFIED STOCK OPTION AGREEMENT</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2018 EQUITY INCENTIVE PLAN</w:t>
      </w:r>
    </w:p>
    <w:p>
      <w:pPr>
        <w:spacing w:after="0" w:line="33"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This Non-Qualified Stock Option Agreement (together with the Notice of Non-Qualified Stock Option Grant (“Notice”) attached hereto , the “Agreement”) made as of the Grant Date set forth in the Notice, by and between the Participant set forth in the Notice (the “Original Grantee,” or together with any permitted assignee or transferee of this option under Section 9 hereof, the “Grantee”) and CANTALOUPE, INC., a Pennsylvania corporation, f/k/a USA Technologies, Inc. (the “Company”).</w:t>
      </w: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BACKGROUND</w:t>
      </w:r>
    </w:p>
    <w:p>
      <w:pPr>
        <w:spacing w:after="0" w:line="5" w:lineRule="exact"/>
        <w:rPr>
          <w:sz w:val="20"/>
          <w:szCs w:val="20"/>
          <w:color w:val="auto"/>
        </w:rPr>
      </w:pPr>
    </w:p>
    <w:p>
      <w:pPr>
        <w:jc w:val="both"/>
        <w:ind w:firstLine="238"/>
        <w:spacing w:after="0" w:line="246" w:lineRule="auto"/>
        <w:rPr>
          <w:sz w:val="20"/>
          <w:szCs w:val="20"/>
          <w:color w:val="auto"/>
        </w:rPr>
      </w:pPr>
      <w:r>
        <w:rPr>
          <w:rFonts w:ascii="Times New Roman" w:cs="Times New Roman" w:eastAsia="Times New Roman" w:hAnsi="Times New Roman"/>
          <w:sz w:val="22"/>
          <w:szCs w:val="22"/>
          <w:color w:val="auto"/>
        </w:rPr>
        <w:t>Original Grantee is providing services to the Company. The Company’s 2018 Equity Incentive Plan (as amended from time to time, the “Plan”) provides for Awards based upon the Common Stock of the Company. The Company has determined to make an award to Original Grantee of an Option to purchase Shares, as further set forth below. Capitalized terms used but not defined herein shall have the meanings given to such terms in the Plan.</w:t>
      </w: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AGREEMENT</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NOW, THEREFORE, in consideration of the covenants set forth herein, and intending to be legally bound hereby, the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Company and Original Grantee agree as follows:</w:t>
      </w:r>
    </w:p>
    <w:p>
      <w:pPr>
        <w:spacing w:after="0" w:line="15" w:lineRule="exact"/>
        <w:rPr>
          <w:sz w:val="20"/>
          <w:szCs w:val="20"/>
          <w:color w:val="auto"/>
        </w:rPr>
      </w:pPr>
    </w:p>
    <w:p>
      <w:pPr>
        <w:jc w:val="both"/>
        <w:ind w:firstLine="8"/>
        <w:spacing w:after="0" w:line="245" w:lineRule="auto"/>
        <w:tabs>
          <w:tab w:leader="none" w:pos="216"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Grant of Option</w:t>
      </w:r>
      <w:r>
        <w:rPr>
          <w:rFonts w:ascii="Times New Roman" w:cs="Times New Roman" w:eastAsia="Times New Roman" w:hAnsi="Times New Roman"/>
          <w:sz w:val="22"/>
          <w:szCs w:val="22"/>
          <w:color w:val="auto"/>
        </w:rPr>
        <w:t>. Subject to the terms hereof, the Company hereby grants to the Original Grantee an Option to purchase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number of Shares set forth in the Notice, at an exercise price per Share set forth in the Notice, pursuant to the Plan. The Option is not currently vested or exercisable and is subject to vesting and forfeiture as more fully described in Section 2 below. The number of Shares subject to, and the exercise price of, the Option shall be subject to adjustment as provided in the Plan.</w:t>
      </w:r>
    </w:p>
    <w:p>
      <w:pPr>
        <w:spacing w:after="0" w:line="221" w:lineRule="exact"/>
        <w:rPr>
          <w:rFonts w:ascii="Times New Roman" w:cs="Times New Roman" w:eastAsia="Times New Roman" w:hAnsi="Times New Roman"/>
          <w:sz w:val="22"/>
          <w:szCs w:val="22"/>
          <w:color w:val="auto"/>
        </w:rPr>
      </w:pPr>
    </w:p>
    <w:p>
      <w:pPr>
        <w:ind w:left="220" w:hanging="212"/>
        <w:spacing w:after="0"/>
        <w:tabs>
          <w:tab w:leader="none" w:pos="22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Exercisability of Option</w:t>
      </w:r>
      <w:r>
        <w:rPr>
          <w:rFonts w:ascii="Times New Roman" w:cs="Times New Roman" w:eastAsia="Times New Roman" w:hAnsi="Times New Roman"/>
          <w:sz w:val="22"/>
          <w:szCs w:val="22"/>
          <w:color w:val="auto"/>
        </w:rPr>
        <w:t>.</w:t>
      </w:r>
    </w:p>
    <w:p>
      <w:pPr>
        <w:spacing w:after="0" w:line="264" w:lineRule="exact"/>
        <w:rPr>
          <w:sz w:val="20"/>
          <w:szCs w:val="20"/>
          <w:color w:val="auto"/>
        </w:rPr>
      </w:pPr>
    </w:p>
    <w:p>
      <w:pPr>
        <w:jc w:val="both"/>
        <w:ind w:firstLine="8"/>
        <w:spacing w:after="0" w:line="256" w:lineRule="auto"/>
        <w:tabs>
          <w:tab w:leader="none" w:pos="321"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provided in the Plan, the Option shall vest and become exercisable as provided in the Notice. Any portion of the Option that is not vested pursuant to the preceding sentence on the date of Original Grantee’s termination of Service for any reason shall be immediately forfeited on the date of such termination for no consideration. Upon a Change of Control that occurs after the Grant Date, Section 9 of the Plan shall apply.</w:t>
      </w:r>
    </w:p>
    <w:p>
      <w:pPr>
        <w:spacing w:after="0" w:line="203" w:lineRule="exact"/>
        <w:rPr>
          <w:rFonts w:ascii="Times New Roman" w:cs="Times New Roman" w:eastAsia="Times New Roman" w:hAnsi="Times New Roman"/>
          <w:sz w:val="22"/>
          <w:szCs w:val="22"/>
          <w:color w:val="auto"/>
        </w:rPr>
      </w:pPr>
    </w:p>
    <w:p>
      <w:pPr>
        <w:jc w:val="both"/>
        <w:ind w:firstLine="8"/>
        <w:spacing w:after="0" w:line="257" w:lineRule="auto"/>
        <w:tabs>
          <w:tab w:leader="none" w:pos="319"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in this Agreement, if Original Grantee’s Service is terminated for Cause (as defined below), the Option shall immediately terminate and be forfeited for no consideration (regardless of whether the Option, or any portion thereof, is then vested or unvested).</w:t>
      </w:r>
    </w:p>
    <w:p>
      <w:pPr>
        <w:sectPr>
          <w:pgSz w:w="11900" w:h="16838" w:orient="portrait"/>
          <w:cols w:equalWidth="0" w:num="1">
            <w:col w:w="11240"/>
          </w:cols>
          <w:pgMar w:left="320" w:top="1418" w:right="339" w:bottom="1440" w:gutter="0" w:footer="0" w:header="0"/>
        </w:sectPr>
      </w:pPr>
    </w:p>
    <w:bookmarkStart w:id="97" w:name="page98"/>
    <w:bookmarkEnd w:id="97"/>
    <w:p>
      <w:pPr>
        <w:spacing w:after="0" w:line="22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If Original Grantee is party to an employment or severance agreement with the Company that contains a definition of “cause” for termination of employment, for the purposes of this Agreement, “Cause” shall have the meaning ascribed to such term in such agreement. Otherwise, for the purposes of this Agreement, the term “Cause” shall mean, with respect to the termination of Original Grantee’s employment, termination of such employment by the Company for any of the following reasons, as determined by the Committee: (i) any material act or omission by Original Grantee involving malfeasance or gross negligence in the performance of Original Grantee’s duties to, or material deviation from, any of the provisions of the Employee Handbook or Code of Business Conduct and Ethics, or policies or directives of, the Company; (ii) the conviction of Original Grantee of, or plea of guilty or nolo contendere to, any felony or any other crime involving moral turpitude, whether or not relating to Original Grantee’s employment; (iii) fraud, embezzlement, theft or dishonesty by Original Grantee against the Company; or (iv) violation of any applicable written proprietary information, confidentiality, non-competition and/or non-solicitation agreements with the Company.</w:t>
      </w:r>
    </w:p>
    <w:p>
      <w:pPr>
        <w:spacing w:after="0" w:line="212" w:lineRule="exact"/>
        <w:rPr>
          <w:sz w:val="20"/>
          <w:szCs w:val="20"/>
          <w:color w:val="auto"/>
        </w:rPr>
      </w:pPr>
    </w:p>
    <w:p>
      <w:pPr>
        <w:ind w:left="220" w:hanging="212"/>
        <w:spacing w:after="0"/>
        <w:tabs>
          <w:tab w:leader="none" w:pos="22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Term of Option</w:t>
      </w:r>
      <w:r>
        <w:rPr>
          <w:rFonts w:ascii="Times New Roman" w:cs="Times New Roman" w:eastAsia="Times New Roman" w:hAnsi="Times New Roman"/>
          <w:sz w:val="22"/>
          <w:szCs w:val="22"/>
          <w:color w:val="auto"/>
        </w:rPr>
        <w:t>.</w:t>
      </w:r>
    </w:p>
    <w:p>
      <w:pPr>
        <w:spacing w:after="0" w:line="32" w:lineRule="exact"/>
        <w:rPr>
          <w:sz w:val="20"/>
          <w:szCs w:val="20"/>
          <w:color w:val="auto"/>
        </w:rPr>
      </w:pPr>
    </w:p>
    <w:p>
      <w:pPr>
        <w:jc w:val="both"/>
        <w:ind w:firstLine="287"/>
        <w:spacing w:after="0" w:line="246" w:lineRule="auto"/>
        <w:rPr>
          <w:sz w:val="20"/>
          <w:szCs w:val="20"/>
          <w:color w:val="auto"/>
        </w:rPr>
      </w:pPr>
      <w:r>
        <w:rPr>
          <w:rFonts w:ascii="Times New Roman" w:cs="Times New Roman" w:eastAsia="Times New Roman" w:hAnsi="Times New Roman"/>
          <w:sz w:val="22"/>
          <w:szCs w:val="22"/>
          <w:color w:val="auto"/>
        </w:rPr>
        <w:t>Unless the Option is terminated at an earlier date pursuant to the provisions of the Agreement or the Plan, the Option shall expire on the Expiration Date set forth in the Notice. In no event may the Option be exercised after the Expiration Date. Notwithstanding the foregoing, the Option shall automatically terminate prior to the Expiration Date upon the happening of any of the following events:</w:t>
      </w:r>
    </w:p>
    <w:p>
      <w:pPr>
        <w:spacing w:after="0" w:line="2" w:lineRule="exact"/>
        <w:rPr>
          <w:sz w:val="20"/>
          <w:szCs w:val="20"/>
          <w:color w:val="auto"/>
        </w:rPr>
      </w:pPr>
    </w:p>
    <w:p>
      <w:pPr>
        <w:ind w:firstLine="8"/>
        <w:spacing w:after="0" w:line="248" w:lineRule="auto"/>
        <w:tabs>
          <w:tab w:leader="none" w:pos="321"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expiration of the three (3)-month period following the Original Grantee’s termination of Service, if the termination of Service is for any reason whatsoever other than death or disability (as defined in Section 22(e)(3) of the Code), or</w:t>
      </w:r>
    </w:p>
    <w:p>
      <w:pPr>
        <w:spacing w:after="0" w:line="209" w:lineRule="exact"/>
        <w:rPr>
          <w:rFonts w:ascii="Times New Roman" w:cs="Times New Roman" w:eastAsia="Times New Roman" w:hAnsi="Times New Roman"/>
          <w:sz w:val="22"/>
          <w:szCs w:val="22"/>
          <w:color w:val="auto"/>
        </w:rPr>
      </w:pPr>
    </w:p>
    <w:p>
      <w:pPr>
        <w:ind w:firstLine="8"/>
        <w:spacing w:after="0" w:line="284" w:lineRule="auto"/>
        <w:tabs>
          <w:tab w:leader="none" w:pos="319"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expiration of the twelve (12)-month period after the Original Grantee’s termination of Service on account of the Grantee’s death or disability (as defined in Section 22(e)(3) of the Code).</w:t>
      </w:r>
    </w:p>
    <w:p>
      <w:pPr>
        <w:spacing w:after="0" w:line="167" w:lineRule="exact"/>
        <w:rPr>
          <w:sz w:val="20"/>
          <w:szCs w:val="20"/>
          <w:color w:val="auto"/>
        </w:rPr>
      </w:pPr>
    </w:p>
    <w:p>
      <w:pPr>
        <w:ind w:left="220" w:hanging="212"/>
        <w:spacing w:after="0"/>
        <w:tabs>
          <w:tab w:leader="none" w:pos="22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Exercise Procedures</w:t>
      </w:r>
      <w:r>
        <w:rPr>
          <w:rFonts w:ascii="Times New Roman" w:cs="Times New Roman" w:eastAsia="Times New Roman" w:hAnsi="Times New Roman"/>
          <w:sz w:val="22"/>
          <w:szCs w:val="22"/>
          <w:color w:val="auto"/>
        </w:rPr>
        <w:t>.</w:t>
      </w:r>
    </w:p>
    <w:p>
      <w:pPr>
        <w:spacing w:after="0" w:line="250" w:lineRule="exact"/>
        <w:rPr>
          <w:rFonts w:ascii="Times New Roman" w:cs="Times New Roman" w:eastAsia="Times New Roman" w:hAnsi="Times New Roman"/>
          <w:sz w:val="22"/>
          <w:szCs w:val="22"/>
          <w:color w:val="auto"/>
        </w:rPr>
      </w:pPr>
    </w:p>
    <w:p>
      <w:pPr>
        <w:jc w:val="both"/>
        <w:ind w:firstLine="290"/>
        <w:spacing w:after="0" w:line="256" w:lineRule="auto"/>
        <w:tabs>
          <w:tab w:leader="none" w:pos="593" w:val="left"/>
        </w:tabs>
        <w:numPr>
          <w:ilvl w:val="2"/>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Grantee may exercise the vested portion of the Option only in the following manner: from time to time prior to the Expiration Date of the Option, the Grantee may give written notice (or notice in another form approved by the Committee, including electronic notice) to the Company of Grantee’s election to purchase some or all of the Shares purchasable at the time of such notice. This notice shall specify the number of Shares to be purchased.</w:t>
      </w:r>
    </w:p>
    <w:p>
      <w:pPr>
        <w:spacing w:after="0" w:line="203" w:lineRule="exact"/>
        <w:rPr>
          <w:rFonts w:ascii="Times New Roman" w:cs="Times New Roman" w:eastAsia="Times New Roman" w:hAnsi="Times New Roman"/>
          <w:sz w:val="22"/>
          <w:szCs w:val="22"/>
          <w:color w:val="auto"/>
        </w:rPr>
      </w:pPr>
    </w:p>
    <w:p>
      <w:pPr>
        <w:jc w:val="both"/>
        <w:ind w:firstLine="264"/>
        <w:spacing w:after="0" w:line="252" w:lineRule="auto"/>
        <w:tabs>
          <w:tab w:leader="none" w:pos="572"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exercise price of the Option may be payable: (i) in cash by personal check, bank draft or money order payable to the order of the Company, by money transfers or direct account debits; (ii) through the delivery or deemed delivery based on attestation to the ownership of previously acquired Shares with a Fair Market Value equal to the total payment due from the Grantee; (iii) authorizing the Company to withhold whole Shares, which would otherwise be</w:t>
      </w:r>
    </w:p>
    <w:p>
      <w:pPr>
        <w:sectPr>
          <w:pgSz w:w="11900" w:h="16838" w:orient="portrait"/>
          <w:cols w:equalWidth="0" w:num="1">
            <w:col w:w="11240"/>
          </w:cols>
          <w:pgMar w:left="320" w:top="1440" w:right="339" w:bottom="1440" w:gutter="0" w:footer="0" w:header="0"/>
        </w:sectPr>
      </w:pPr>
    </w:p>
    <w:bookmarkStart w:id="98" w:name="page99"/>
    <w:bookmarkEnd w:id="98"/>
    <w:p>
      <w:pPr>
        <w:jc w:val="both"/>
        <w:spacing w:after="0" w:line="256" w:lineRule="auto"/>
        <w:rPr>
          <w:sz w:val="20"/>
          <w:szCs w:val="20"/>
          <w:color w:val="auto"/>
        </w:rPr>
      </w:pPr>
      <w:r>
        <w:rPr>
          <w:rFonts w:ascii="Times New Roman" w:cs="Times New Roman" w:eastAsia="Times New Roman" w:hAnsi="Times New Roman"/>
          <w:sz w:val="22"/>
          <w:szCs w:val="22"/>
          <w:color w:val="auto"/>
        </w:rPr>
        <w:t>delivered, having an aggregate Fair Market Value, determined as of the date of exercise, equal to the amount necessary to satisfy such obligation; (iv) by a combination of the methods described in (i), (ii) and (iii) above; (v) except as may be prohibited by applicable law, in cash by a broker-dealer acceptable to the Company to whom the Grantee has submitted an irrevocable notice of exercise; or (vi) by such other methods as the Committee may deem appropriate.</w:t>
      </w:r>
    </w:p>
    <w:p>
      <w:pPr>
        <w:spacing w:after="0" w:line="203" w:lineRule="exact"/>
        <w:rPr>
          <w:sz w:val="20"/>
          <w:szCs w:val="20"/>
          <w:color w:val="auto"/>
        </w:rPr>
      </w:pPr>
    </w:p>
    <w:p>
      <w:pPr>
        <w:jc w:val="both"/>
        <w:ind w:firstLine="239"/>
        <w:spacing w:after="0" w:line="249" w:lineRule="auto"/>
        <w:tabs>
          <w:tab w:leader="none" w:pos="529" w:val="left"/>
        </w:tabs>
        <w:numPr>
          <w:ilvl w:val="2"/>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transfer to the Grantee on the records of the Company or of the transfer agent of the Shares will be contingent upon (i) the Company’s receipt from the Grantee of the full purchase price for the Shares, as set forth above, (ii) the fulfillment of any other requirements contained herein or in the Plan or in any other agreement or provision of laws, and (iii) the receipt by the Company of any agreement, statement or other evidence that the Company may require to satisfy itself that the issuance of Shares to be purchased pursuant to the exercise of the Option under the Plan and any subsequent resale of the Shares will be in compliance with applicable laws and regulations. In the event the Grantee chooses to pay the purchase price by previously-owned Shares through the attestation method, the number of Shares transferred to the Grantee upon the exercise of the Option shall be net of the Shares attested to.</w:t>
      </w:r>
    </w:p>
    <w:p>
      <w:pPr>
        <w:spacing w:after="0" w:line="208" w:lineRule="exact"/>
        <w:rPr>
          <w:rFonts w:ascii="Times New Roman" w:cs="Times New Roman" w:eastAsia="Times New Roman" w:hAnsi="Times New Roman"/>
          <w:sz w:val="22"/>
          <w:szCs w:val="22"/>
          <w:color w:val="auto"/>
        </w:rPr>
      </w:pPr>
    </w:p>
    <w:p>
      <w:pPr>
        <w:jc w:val="both"/>
        <w:ind w:firstLine="280"/>
        <w:spacing w:after="0" w:line="253" w:lineRule="auto"/>
        <w:tabs>
          <w:tab w:leader="none" w:pos="592" w:val="left"/>
        </w:tabs>
        <w:numPr>
          <w:ilvl w:val="3"/>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Grantee shall not be deemed to be the holder of, or to have any of the rights of a holder with respect to, any Shares subject to the Option unless and until the Option shall have been exercised pursuant to the terms hereof, the Company or the transfer agent shall have transferred the shares to the Grantee, and the Grantee’s name shall have been entered as the shareholder of record on the books of the Company. Thereupon, the Grantee shall have full voting and other ownership rights with respect to such Shares.</w:t>
      </w:r>
    </w:p>
    <w:p>
      <w:pPr>
        <w:spacing w:after="0" w:line="219" w:lineRule="exact"/>
        <w:rPr>
          <w:rFonts w:ascii="Times New Roman" w:cs="Times New Roman" w:eastAsia="Times New Roman" w:hAnsi="Times New Roman"/>
          <w:sz w:val="22"/>
          <w:szCs w:val="22"/>
          <w:color w:val="auto"/>
        </w:rPr>
      </w:pPr>
    </w:p>
    <w:p>
      <w:pPr>
        <w:ind w:firstLine="228"/>
        <w:spacing w:after="0" w:line="284" w:lineRule="auto"/>
        <w:tabs>
          <w:tab w:leader="none" w:pos="515"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other provision hereof or of the Plan, no portion of the Option shall be exercisable after the Expiration Date hereof.</w:t>
      </w:r>
    </w:p>
    <w:p>
      <w:pPr>
        <w:spacing w:after="0" w:line="166" w:lineRule="exact"/>
        <w:rPr>
          <w:rFonts w:ascii="Times New Roman" w:cs="Times New Roman" w:eastAsia="Times New Roman" w:hAnsi="Times New Roman"/>
          <w:sz w:val="22"/>
          <w:szCs w:val="22"/>
          <w:color w:val="auto"/>
        </w:rPr>
      </w:pPr>
    </w:p>
    <w:p>
      <w:pPr>
        <w:ind w:right="20" w:firstLine="8"/>
        <w:spacing w:after="0" w:line="275" w:lineRule="auto"/>
        <w:tabs>
          <w:tab w:leader="none" w:pos="229"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Nature of the Option</w:t>
      </w:r>
      <w:r>
        <w:rPr>
          <w:rFonts w:ascii="Times New Roman" w:cs="Times New Roman" w:eastAsia="Times New Roman" w:hAnsi="Times New Roman"/>
          <w:sz w:val="22"/>
          <w:szCs w:val="22"/>
          <w:color w:val="auto"/>
        </w:rPr>
        <w:t>. The Option is not intended to constitute, and shall not be treated at any time by the Grantee or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as, an incentive stock option, as defined under Section 422(b) of the Code.</w:t>
      </w:r>
    </w:p>
    <w:p>
      <w:pPr>
        <w:spacing w:after="0" w:line="176" w:lineRule="exact"/>
        <w:rPr>
          <w:rFonts w:ascii="Times New Roman" w:cs="Times New Roman" w:eastAsia="Times New Roman" w:hAnsi="Times New Roman"/>
          <w:sz w:val="22"/>
          <w:szCs w:val="22"/>
          <w:color w:val="auto"/>
        </w:rPr>
      </w:pPr>
    </w:p>
    <w:p>
      <w:pPr>
        <w:ind w:left="220" w:hanging="212"/>
        <w:spacing w:after="0"/>
        <w:tabs>
          <w:tab w:leader="none" w:pos="22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Tax Withholding</w:t>
      </w:r>
      <w:r>
        <w:rPr>
          <w:rFonts w:ascii="Times New Roman" w:cs="Times New Roman" w:eastAsia="Times New Roman" w:hAnsi="Times New Roman"/>
          <w:sz w:val="22"/>
          <w:szCs w:val="22"/>
          <w:color w:val="auto"/>
        </w:rPr>
        <w:t>.</w:t>
      </w:r>
    </w:p>
    <w:p>
      <w:pPr>
        <w:spacing w:after="0" w:line="250" w:lineRule="exact"/>
        <w:rPr>
          <w:rFonts w:ascii="Times New Roman" w:cs="Times New Roman" w:eastAsia="Times New Roman" w:hAnsi="Times New Roman"/>
          <w:sz w:val="22"/>
          <w:szCs w:val="22"/>
          <w:color w:val="auto"/>
        </w:rPr>
      </w:pPr>
    </w:p>
    <w:p>
      <w:pPr>
        <w:jc w:val="both"/>
        <w:ind w:firstLine="656"/>
        <w:spacing w:after="0" w:line="253" w:lineRule="auto"/>
        <w:tabs>
          <w:tab w:leader="none" w:pos="949" w:val="left"/>
        </w:tabs>
        <w:numPr>
          <w:ilvl w:val="4"/>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does not represent or warrant that the Option (or the purchase or sale of the Shares subject hereto) will be subject to any particular tax treatment. The Grantee acknowledges that the Grantee: (i) has reviewed, or has had the opportunity to review, the tax treatment of the Option (including the purchase and sale of Shares subject hereto) with the Grantee’s own tax advisors; and (ii) is relying solely on those advisors in that regard. The Grantee understands that the Grantee (and not the Company) will be responsible for the Grantee’s own tax liabilities arising in connection with the Option.</w:t>
      </w:r>
    </w:p>
    <w:p>
      <w:pPr>
        <w:spacing w:after="0" w:line="205" w:lineRule="exact"/>
        <w:rPr>
          <w:rFonts w:ascii="Times New Roman" w:cs="Times New Roman" w:eastAsia="Times New Roman" w:hAnsi="Times New Roman"/>
          <w:sz w:val="22"/>
          <w:szCs w:val="22"/>
          <w:color w:val="auto"/>
        </w:rPr>
      </w:pPr>
    </w:p>
    <w:p>
      <w:pPr>
        <w:jc w:val="both"/>
        <w:ind w:firstLine="656"/>
        <w:spacing w:after="0" w:line="263" w:lineRule="auto"/>
        <w:tabs>
          <w:tab w:leader="none" w:pos="966" w:val="left"/>
        </w:tabs>
        <w:numPr>
          <w:ilvl w:val="4"/>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Grantee shall, not later than the date as of which the exercise of the Option becomes a taxable event for Federal income tax purposes, pay to the Company or make arrangements satisfactory to the Company for payment of any Federal, state, and local taxes</w:t>
      </w:r>
    </w:p>
    <w:p>
      <w:pPr>
        <w:sectPr>
          <w:pgSz w:w="11900" w:h="16838" w:orient="portrait"/>
          <w:cols w:equalWidth="0" w:num="1">
            <w:col w:w="11240"/>
          </w:cols>
          <w:pgMar w:left="320" w:top="1422" w:right="339" w:bottom="1440" w:gutter="0" w:footer="0" w:header="0"/>
        </w:sectPr>
      </w:pPr>
    </w:p>
    <w:bookmarkStart w:id="99" w:name="page100"/>
    <w:bookmarkEnd w:id="99"/>
    <w:p>
      <w:pPr>
        <w:spacing w:after="0" w:line="254" w:lineRule="auto"/>
        <w:rPr>
          <w:sz w:val="20"/>
          <w:szCs w:val="20"/>
          <w:color w:val="auto"/>
        </w:rPr>
      </w:pPr>
      <w:r>
        <w:rPr>
          <w:rFonts w:ascii="Times New Roman" w:cs="Times New Roman" w:eastAsia="Times New Roman" w:hAnsi="Times New Roman"/>
          <w:sz w:val="22"/>
          <w:szCs w:val="22"/>
          <w:color w:val="auto"/>
        </w:rPr>
        <w:t>required by law to be withheld on account of such taxable event in accordance with procedures described in Section 10 of the Plan.</w:t>
      </w:r>
    </w:p>
    <w:p>
      <w:pPr>
        <w:spacing w:after="0" w:line="2" w:lineRule="exact"/>
        <w:rPr>
          <w:sz w:val="20"/>
          <w:szCs w:val="20"/>
          <w:color w:val="auto"/>
        </w:rPr>
      </w:pPr>
    </w:p>
    <w:p>
      <w:pPr>
        <w:jc w:val="both"/>
        <w:ind w:firstLine="8"/>
        <w:spacing w:after="0" w:line="247" w:lineRule="auto"/>
        <w:tabs>
          <w:tab w:leader="none" w:pos="229"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Grant Subject to Plan Provisions</w:t>
      </w:r>
      <w:r>
        <w:rPr>
          <w:rFonts w:ascii="Times New Roman" w:cs="Times New Roman" w:eastAsia="Times New Roman" w:hAnsi="Times New Roman"/>
          <w:sz w:val="22"/>
          <w:szCs w:val="22"/>
          <w:color w:val="auto"/>
        </w:rPr>
        <w:t>. This grant is made pursuant to the Plan, the terms of which are incorporated herein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reference, and in all respects shall be interpreted in accordance with the Plan. The grant and exercise of the Option are subject to interpretations, regulations, and determinations concerning the Plan established from time to time by the Committee in accordance with the provisions of the Plan. The Committee shall have the authority to interpret and construe the Option pursuant to the terms of the Plan, and its decisions shall be conclusive as to any questions arising hereunder.</w:t>
      </w:r>
    </w:p>
    <w:p>
      <w:pPr>
        <w:spacing w:after="0" w:line="209" w:lineRule="exact"/>
        <w:rPr>
          <w:rFonts w:ascii="Times New Roman" w:cs="Times New Roman" w:eastAsia="Times New Roman" w:hAnsi="Times New Roman"/>
          <w:sz w:val="22"/>
          <w:szCs w:val="22"/>
          <w:color w:val="auto"/>
        </w:rPr>
      </w:pPr>
    </w:p>
    <w:p>
      <w:pPr>
        <w:jc w:val="both"/>
        <w:ind w:firstLine="8"/>
        <w:spacing w:after="0" w:line="254" w:lineRule="auto"/>
        <w:tabs>
          <w:tab w:leader="none" w:pos="243"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 Right to Continued Service; No Rights as Shareholder</w:t>
      </w:r>
      <w:r>
        <w:rPr>
          <w:rFonts w:ascii="Times New Roman" w:cs="Times New Roman" w:eastAsia="Times New Roman" w:hAnsi="Times New Roman"/>
          <w:sz w:val="22"/>
          <w:szCs w:val="22"/>
          <w:color w:val="auto"/>
        </w:rPr>
        <w:t>. Neither the Plan nor this Agreement shall confer upon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Grantee any right to be retained in any capacity as a service provider to the Company or any of its affiliates. The Grantee shall not have any rights as a shareholder with respect to any Shares subject to the Option unless and until certificates representing the Shares have been issued by the Company following exercise of the Option to the holder of such Shares, or the Shares have otherwise been recorded on the books of the Company or of a duly authorized transfer agent as owned by such holder.</w:t>
      </w:r>
    </w:p>
    <w:p>
      <w:pPr>
        <w:spacing w:after="0" w:line="200" w:lineRule="exact"/>
        <w:rPr>
          <w:rFonts w:ascii="Times New Roman" w:cs="Times New Roman" w:eastAsia="Times New Roman" w:hAnsi="Times New Roman"/>
          <w:sz w:val="22"/>
          <w:szCs w:val="22"/>
          <w:color w:val="auto"/>
        </w:rPr>
      </w:pPr>
    </w:p>
    <w:p>
      <w:pPr>
        <w:ind w:left="220" w:hanging="212"/>
        <w:spacing w:after="0"/>
        <w:tabs>
          <w:tab w:leader="none" w:pos="22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Assignment and Transfers</w:t>
      </w:r>
      <w:r>
        <w:rPr>
          <w:rFonts w:ascii="Times New Roman" w:cs="Times New Roman" w:eastAsia="Times New Roman" w:hAnsi="Times New Roman"/>
          <w:sz w:val="22"/>
          <w:szCs w:val="22"/>
          <w:color w:val="auto"/>
        </w:rPr>
        <w:t>.</w:t>
      </w:r>
    </w:p>
    <w:p>
      <w:pPr>
        <w:spacing w:after="0" w:line="250" w:lineRule="exact"/>
        <w:rPr>
          <w:rFonts w:ascii="Times New Roman" w:cs="Times New Roman" w:eastAsia="Times New Roman" w:hAnsi="Times New Roman"/>
          <w:sz w:val="22"/>
          <w:szCs w:val="22"/>
          <w:color w:val="auto"/>
        </w:rPr>
      </w:pPr>
    </w:p>
    <w:p>
      <w:pPr>
        <w:jc w:val="both"/>
        <w:ind w:firstLine="656"/>
        <w:spacing w:after="0" w:line="263" w:lineRule="auto"/>
        <w:tabs>
          <w:tab w:leader="none" w:pos="965"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rights and interests of the Grantee under this Agreement may not be sold, assigned, encumbered, or otherwise transferred, except in the event of the death of the Grantee, by will, or by the laws of descent and distribution, provided that the transferees, devisees, or beneficiaries are Immediate Family (as defined in subsection (c) below).</w:t>
      </w:r>
    </w:p>
    <w:p>
      <w:pPr>
        <w:spacing w:after="0" w:line="194" w:lineRule="exact"/>
        <w:rPr>
          <w:rFonts w:ascii="Times New Roman" w:cs="Times New Roman" w:eastAsia="Times New Roman" w:hAnsi="Times New Roman"/>
          <w:sz w:val="22"/>
          <w:szCs w:val="22"/>
          <w:color w:val="auto"/>
        </w:rPr>
      </w:pPr>
    </w:p>
    <w:p>
      <w:pPr>
        <w:jc w:val="both"/>
        <w:ind w:firstLine="656"/>
        <w:spacing w:after="0" w:line="256" w:lineRule="auto"/>
        <w:tabs>
          <w:tab w:leader="none" w:pos="964"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subsection (a) above, the Grantee may transfer the Option through a gift or domestic relations order to the Immediate Family (as defined in subsection (c) below), and each transferee shall remain subject to all terms and conditions applicable to the Option prior to such transfer, and each transferee shall so acknowledge in writing as a condition precedent to the effectiveness of such transfer.</w:t>
      </w:r>
    </w:p>
    <w:p>
      <w:pPr>
        <w:spacing w:after="0" w:line="203" w:lineRule="exact"/>
        <w:rPr>
          <w:rFonts w:ascii="Times New Roman" w:cs="Times New Roman" w:eastAsia="Times New Roman" w:hAnsi="Times New Roman"/>
          <w:sz w:val="22"/>
          <w:szCs w:val="22"/>
          <w:color w:val="auto"/>
        </w:rPr>
      </w:pPr>
    </w:p>
    <w:p>
      <w:pPr>
        <w:jc w:val="both"/>
        <w:ind w:firstLine="656"/>
        <w:spacing w:after="0" w:line="251" w:lineRule="auto"/>
        <w:tabs>
          <w:tab w:leader="none" w:pos="985"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“Immediate Family” shall mean the Original Grantee’s child, stepchild, grandchild, parent, stepparent, grandparent, spouse, former spouse, sibling, niece, nephew, mother-in-law, father-in-law, son-in-law, daughter-in-law, brother-in-law, or sister-in-law, including adoptive relationships, any person sharing the Original Grantee’s household (other than a tenant or employee), a trust in which these persons have more than fifty percent of the beneficial interest, a foundation in which these persons (or the Original Grantee) control the management of assets, and any other entity in which these persons (or the Original Grantee) own more than fifty percent of the voting interests.</w:t>
      </w:r>
    </w:p>
    <w:p>
      <w:pPr>
        <w:spacing w:after="0" w:line="208" w:lineRule="exact"/>
        <w:rPr>
          <w:rFonts w:ascii="Times New Roman" w:cs="Times New Roman" w:eastAsia="Times New Roman" w:hAnsi="Times New Roman"/>
          <w:sz w:val="22"/>
          <w:szCs w:val="22"/>
          <w:color w:val="auto"/>
        </w:rPr>
      </w:pPr>
    </w:p>
    <w:p>
      <w:pPr>
        <w:ind w:left="960" w:hanging="304"/>
        <w:spacing w:after="0"/>
        <w:tabs>
          <w:tab w:leader="none" w:pos="960" w:val="left"/>
        </w:tabs>
        <w:numPr>
          <w:ilvl w:val="1"/>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Option may not be transferred for value by the Grantee. The following transactions are not prohibited transfers for</w:t>
      </w:r>
    </w:p>
    <w:p>
      <w:pPr>
        <w:spacing w:after="0" w:line="39" w:lineRule="exact"/>
        <w:rPr>
          <w:rFonts w:ascii="Times New Roman" w:cs="Times New Roman" w:eastAsia="Times New Roman" w:hAnsi="Times New Roman"/>
          <w:sz w:val="21"/>
          <w:szCs w:val="21"/>
          <w:color w:val="auto"/>
        </w:rPr>
      </w:pPr>
    </w:p>
    <w:p>
      <w:pPr>
        <w:ind w:right="20"/>
        <w:spacing w:after="0" w:line="248"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value: (i) a transfer to Immediate Family under a domestic relations order in settlement of marital property rights; and (ii) a transfer to an entity in</w:t>
      </w:r>
    </w:p>
    <w:p>
      <w:pPr>
        <w:sectPr>
          <w:pgSz w:w="11900" w:h="16838" w:orient="portrait"/>
          <w:cols w:equalWidth="0" w:num="1">
            <w:col w:w="11240"/>
          </w:cols>
          <w:pgMar w:left="320" w:top="1422" w:right="339" w:bottom="1440" w:gutter="0" w:footer="0" w:header="0"/>
        </w:sectPr>
      </w:pPr>
    </w:p>
    <w:bookmarkStart w:id="100" w:name="page101"/>
    <w:bookmarkEnd w:id="100"/>
    <w:p>
      <w:pPr>
        <w:ind w:right="20"/>
        <w:spacing w:after="0" w:line="271" w:lineRule="auto"/>
        <w:rPr>
          <w:sz w:val="20"/>
          <w:szCs w:val="20"/>
          <w:color w:val="auto"/>
        </w:rPr>
      </w:pPr>
      <w:r>
        <w:rPr>
          <w:rFonts w:ascii="Times New Roman" w:cs="Times New Roman" w:eastAsia="Times New Roman" w:hAnsi="Times New Roman"/>
          <w:sz w:val="22"/>
          <w:szCs w:val="22"/>
          <w:color w:val="auto"/>
        </w:rPr>
        <w:t>which more than fifty percent of the voting interests are owned by the Immediate Family (or the Original Grantee) in exchange for an interest in that entity.</w:t>
      </w:r>
    </w:p>
    <w:p>
      <w:pPr>
        <w:spacing w:after="0" w:line="185" w:lineRule="exact"/>
        <w:rPr>
          <w:sz w:val="20"/>
          <w:szCs w:val="20"/>
          <w:color w:val="auto"/>
        </w:rPr>
      </w:pPr>
    </w:p>
    <w:p>
      <w:pPr>
        <w:jc w:val="both"/>
        <w:ind w:firstLine="656"/>
        <w:spacing w:after="0" w:line="263" w:lineRule="auto"/>
        <w:tabs>
          <w:tab w:leader="none" w:pos="955"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order to transfer any portion of the Option in accordance with the provisions of subsection (b) above, the Grantee must notify the Company of such transfer, and the Grantee and proposed transferee must execute and deliver to the Company such certification and documentation deemed necessary by and approved by the Company.</w:t>
      </w:r>
    </w:p>
    <w:p>
      <w:pPr>
        <w:spacing w:after="0" w:line="194" w:lineRule="exact"/>
        <w:rPr>
          <w:rFonts w:ascii="Times New Roman" w:cs="Times New Roman" w:eastAsia="Times New Roman" w:hAnsi="Times New Roman"/>
          <w:sz w:val="22"/>
          <w:szCs w:val="22"/>
          <w:color w:val="auto"/>
        </w:rPr>
      </w:pPr>
    </w:p>
    <w:p>
      <w:pPr>
        <w:ind w:firstLine="656"/>
        <w:spacing w:after="0" w:line="295" w:lineRule="auto"/>
        <w:tabs>
          <w:tab w:leader="none" w:pos="923" w:val="left"/>
        </w:tabs>
        <w:numPr>
          <w:ilvl w:val="1"/>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else set forth in this Agreement or the Plan, in no event shall the Option be held at any time by, transferred to, or exercised by, any person or entity unless such person or entity is the Original Grantee or Immediate Family.</w:t>
      </w:r>
    </w:p>
    <w:p>
      <w:pPr>
        <w:spacing w:after="0" w:line="162" w:lineRule="exact"/>
        <w:rPr>
          <w:rFonts w:ascii="Times New Roman" w:cs="Times New Roman" w:eastAsia="Times New Roman" w:hAnsi="Times New Roman"/>
          <w:sz w:val="21"/>
          <w:szCs w:val="21"/>
          <w:color w:val="auto"/>
        </w:rPr>
      </w:pPr>
    </w:p>
    <w:p>
      <w:pPr>
        <w:jc w:val="both"/>
        <w:ind w:firstLine="656"/>
        <w:spacing w:after="0" w:line="251" w:lineRule="auto"/>
        <w:tabs>
          <w:tab w:leader="none" w:pos="971"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provided otherwise in this Section 9, during the Original Grantee’s lifetime: (i) only the Original Grantee (or, in the event of legal incapacity or incompetency, the Grantee’s guardian or representative) may exercise the Option; (ii) the Option shall not be assigned, pledged, or hypothecated in any way (whether by operation of law or otherwise); and (iii) the Option shall not be subject to execution, attachment, or similar process. Any attempted transfer, assignment, pledge, hypothecation, or other disposition of the Option or of any rights granted hereunder contrary to the provisions of this Section 9 shall be null and void. Any levy of an attachment or similar process upon the Option shall be null and void.</w:t>
      </w:r>
    </w:p>
    <w:p>
      <w:pPr>
        <w:spacing w:after="0" w:line="208" w:lineRule="exact"/>
        <w:rPr>
          <w:rFonts w:ascii="Times New Roman" w:cs="Times New Roman" w:eastAsia="Times New Roman" w:hAnsi="Times New Roman"/>
          <w:sz w:val="22"/>
          <w:szCs w:val="22"/>
          <w:color w:val="auto"/>
        </w:rPr>
      </w:pPr>
    </w:p>
    <w:p>
      <w:pPr>
        <w:jc w:val="both"/>
        <w:ind w:firstLine="656"/>
        <w:spacing w:after="0" w:line="255" w:lineRule="auto"/>
        <w:tabs>
          <w:tab w:leader="none" w:pos="962"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rights and protections of the Company hereunder shall extend to any successors and assigns of the Company and to the Company’s parents, subsidiaries, and affiliates. The Company may assign this Agreement without the consent of the Grantee.</w:t>
      </w:r>
    </w:p>
    <w:p>
      <w:pPr>
        <w:jc w:val="both"/>
        <w:ind w:firstLine="8"/>
        <w:spacing w:after="0" w:line="247" w:lineRule="auto"/>
        <w:tabs>
          <w:tab w:leader="none" w:pos="351"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Data Privacy Consent</w:t>
      </w:r>
      <w:r>
        <w:rPr>
          <w:rFonts w:ascii="Times New Roman" w:cs="Times New Roman" w:eastAsia="Times New Roman" w:hAnsi="Times New Roman"/>
          <w:sz w:val="22"/>
          <w:szCs w:val="22"/>
          <w:color w:val="auto"/>
        </w:rPr>
        <w:t>. In order to administer the Plan and this Agreement and to implement or structure future equity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or this Agreement (the “Relevant Information”). By entering into this Agreement, the Grantee: (i) authorizes the Company to collect, process, register, and transfer to the Relevant Companies all Relevant Information; (ii) waives any privacy rights that the Grantee may have with respect to the Relevant Information; and (iii) authorizes the Relevant Companies to store and transmit such information in electronic form. The Grantee shall have access to, and the right to change, the Relevant Information. Relevant Information will only be used in accordance with applicable law.</w:t>
      </w:r>
    </w:p>
    <w:p>
      <w:pPr>
        <w:spacing w:after="0" w:line="207" w:lineRule="exact"/>
        <w:rPr>
          <w:rFonts w:ascii="Times New Roman" w:cs="Times New Roman" w:eastAsia="Times New Roman" w:hAnsi="Times New Roman"/>
          <w:sz w:val="22"/>
          <w:szCs w:val="22"/>
          <w:color w:val="auto"/>
        </w:rPr>
      </w:pPr>
    </w:p>
    <w:p>
      <w:pPr>
        <w:jc w:val="both"/>
        <w:ind w:firstLine="8"/>
        <w:spacing w:after="0" w:line="251" w:lineRule="auto"/>
        <w:tabs>
          <w:tab w:leader="none" w:pos="316"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Compliance with Law</w:t>
      </w:r>
      <w:r>
        <w:rPr>
          <w:rFonts w:ascii="Times New Roman" w:cs="Times New Roman" w:eastAsia="Times New Roman" w:hAnsi="Times New Roman"/>
          <w:sz w:val="22"/>
          <w:szCs w:val="22"/>
          <w:color w:val="auto"/>
        </w:rPr>
        <w:t>. The issuance of Shares upon exercise of the Option shall be subject to compliance by the Company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the Grantee with all applicable requirements of federal and state securities laws and with all applicable requirements of any stock exchange on which the Shares may be listed. No Shares shall be issued or transferred unless and until any then applicable requirements of state or federal laws and regulatory agencies have been fully complied with to the satisfaction of the Company and its counsel. Grantee understands that the</w:t>
      </w:r>
    </w:p>
    <w:p>
      <w:pPr>
        <w:sectPr>
          <w:pgSz w:w="11900" w:h="16838" w:orient="portrait"/>
          <w:cols w:equalWidth="0" w:num="1">
            <w:col w:w="11240"/>
          </w:cols>
          <w:pgMar w:left="320" w:top="1422" w:right="339" w:bottom="1440" w:gutter="0" w:footer="0" w:header="0"/>
        </w:sectPr>
      </w:pPr>
    </w:p>
    <w:bookmarkStart w:id="101" w:name="page102"/>
    <w:bookmarkEnd w:id="101"/>
    <w:p>
      <w:pPr>
        <w:spacing w:after="0" w:line="271" w:lineRule="auto"/>
        <w:rPr>
          <w:sz w:val="20"/>
          <w:szCs w:val="20"/>
          <w:color w:val="auto"/>
        </w:rPr>
      </w:pPr>
      <w:r>
        <w:rPr>
          <w:rFonts w:ascii="Times New Roman" w:cs="Times New Roman" w:eastAsia="Times New Roman" w:hAnsi="Times New Roman"/>
          <w:sz w:val="22"/>
          <w:szCs w:val="22"/>
          <w:color w:val="auto"/>
        </w:rPr>
        <w:t>Company is under no obligation to register any Shares with the Securities and Exchange Commission, any state securities commission or any stock exchange to effect such compliance.</w:t>
      </w:r>
    </w:p>
    <w:p>
      <w:pPr>
        <w:spacing w:after="0" w:line="181" w:lineRule="exact"/>
        <w:rPr>
          <w:sz w:val="20"/>
          <w:szCs w:val="20"/>
          <w:color w:val="auto"/>
        </w:rPr>
      </w:pPr>
    </w:p>
    <w:p>
      <w:pPr>
        <w:jc w:val="both"/>
        <w:ind w:firstLine="8"/>
        <w:spacing w:after="0" w:line="254" w:lineRule="auto"/>
        <w:tabs>
          <w:tab w:leader="none" w:pos="351"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Notice</w:t>
      </w:r>
      <w:r>
        <w:rPr>
          <w:rFonts w:ascii="Times New Roman" w:cs="Times New Roman" w:eastAsia="Times New Roman" w:hAnsi="Times New Roman"/>
          <w:sz w:val="22"/>
          <w:szCs w:val="22"/>
          <w:color w:val="auto"/>
        </w:rPr>
        <w:t>. Any notice to the Company provided for in this Agreement shall be addressed to the Company in care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Secretary at the corporate headquarters of the Company, and any notice to the Grantee shall be addressed to such Grantee at the current address shown in the Company’s records, or to such other address as the Grantee may designate to the Company in writing. Any notice shall be delivered by hand, sent by telecopy, or enclosed in a properly sealed envelope addressed as stated above, registered and deposited, postage prepaid, in a post office regularly maintained by the United States Postal Service.</w:t>
      </w:r>
    </w:p>
    <w:p>
      <w:pPr>
        <w:spacing w:after="0" w:line="200" w:lineRule="exact"/>
        <w:rPr>
          <w:rFonts w:ascii="Times New Roman" w:cs="Times New Roman" w:eastAsia="Times New Roman" w:hAnsi="Times New Roman"/>
          <w:sz w:val="22"/>
          <w:szCs w:val="22"/>
          <w:color w:val="auto"/>
        </w:rPr>
      </w:pPr>
    </w:p>
    <w:p>
      <w:pPr>
        <w:ind w:right="20" w:firstLine="8"/>
        <w:spacing w:after="0" w:line="287" w:lineRule="auto"/>
        <w:tabs>
          <w:tab w:leader="none" w:pos="337"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Governing Law</w:t>
      </w:r>
      <w:r>
        <w:rPr>
          <w:rFonts w:ascii="Times New Roman" w:cs="Times New Roman" w:eastAsia="Times New Roman" w:hAnsi="Times New Roman"/>
          <w:sz w:val="22"/>
          <w:szCs w:val="22"/>
          <w:color w:val="auto"/>
        </w:rPr>
        <w:t>. To the extent that federal laws do not otherwise control, this Agreement shall be construed in accordance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and governed by the law of the Commonwealth of Pennsylvania.</w:t>
      </w:r>
    </w:p>
    <w:p>
      <w:pPr>
        <w:spacing w:after="0" w:line="164" w:lineRule="exact"/>
        <w:rPr>
          <w:rFonts w:ascii="Times New Roman" w:cs="Times New Roman" w:eastAsia="Times New Roman" w:hAnsi="Times New Roman"/>
          <w:sz w:val="22"/>
          <w:szCs w:val="22"/>
          <w:color w:val="auto"/>
        </w:rPr>
      </w:pPr>
    </w:p>
    <w:p>
      <w:pPr>
        <w:jc w:val="both"/>
        <w:ind w:firstLine="8"/>
        <w:spacing w:after="0" w:line="259" w:lineRule="auto"/>
        <w:tabs>
          <w:tab w:leader="none" w:pos="324"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Severability</w:t>
      </w:r>
      <w:r>
        <w:rPr>
          <w:rFonts w:ascii="Times New Roman" w:cs="Times New Roman" w:eastAsia="Times New Roman" w:hAnsi="Times New Roman"/>
          <w:sz w:val="22"/>
          <w:szCs w:val="22"/>
          <w:color w:val="auto"/>
        </w:rPr>
        <w:t>. The invalidity or unenforceability of any provision of the Plan or this Agreement shall not affect the validity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enforceability of any other provision of the Plan or this Agreement, and each provision of the Plan and this Agreement shall be severable and enforceable to the extent permitted by law.</w:t>
      </w:r>
    </w:p>
    <w:p>
      <w:pPr>
        <w:spacing w:after="0" w:line="193" w:lineRule="exact"/>
        <w:rPr>
          <w:rFonts w:ascii="Times New Roman" w:cs="Times New Roman" w:eastAsia="Times New Roman" w:hAnsi="Times New Roman"/>
          <w:sz w:val="22"/>
          <w:szCs w:val="22"/>
          <w:color w:val="auto"/>
        </w:rPr>
      </w:pPr>
    </w:p>
    <w:p>
      <w:pPr>
        <w:jc w:val="both"/>
        <w:ind w:firstLine="8"/>
        <w:spacing w:after="0" w:line="252" w:lineRule="auto"/>
        <w:tabs>
          <w:tab w:leader="none" w:pos="337"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Entire Agreement; Amendment</w:t>
      </w:r>
      <w:r>
        <w:rPr>
          <w:rFonts w:ascii="Times New Roman" w:cs="Times New Roman" w:eastAsia="Times New Roman" w:hAnsi="Times New Roman"/>
          <w:sz w:val="22"/>
          <w:szCs w:val="22"/>
          <w:color w:val="auto"/>
        </w:rPr>
        <w:t>. This Agreement and the Plan constitute the entire agreement with respect to the subject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matter hereof between the parties hereto and there are no other agreements between the parties relating to the subject matter hereof. The Company and Grantee have made no promises, agreements, conditions, or understandings relating to the Option, either orally or in writing, that are not included in this Agreement or the Plan. This Agreement may only be modified by an agreement in writing executed by both the Company and Grantee. Emailed copies (pdf format) of any party’s signature hereto will have the same effect as an original signature.</w:t>
      </w: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[Notice of Non-Qualified Stock Option Grant Follows]</w:t>
      </w:r>
    </w:p>
    <w:p>
      <w:pPr>
        <w:sectPr>
          <w:pgSz w:w="11900" w:h="16838" w:orient="portrait"/>
          <w:cols w:equalWidth="0" w:num="1">
            <w:col w:w="11240"/>
          </w:cols>
          <w:pgMar w:left="320" w:top="1422" w:right="33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22"/>
          <w:szCs w:val="22"/>
          <w:b w:val="1"/>
          <w:bCs w:val="1"/>
          <w:color w:val="auto"/>
        </w:rPr>
        <w:t>CANTALOUPE,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2018 EQUITY INCENTIVE PLAN</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NOTICE OF NON-QUALIFIED STOCK OPTION GRANT</w:t>
      </w:r>
    </w:p>
    <w:p>
      <w:pPr>
        <w:spacing w:after="0" w:line="23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2"/>
          <w:szCs w:val="22"/>
          <w:color w:val="auto"/>
        </w:rPr>
        <w:t>Cantaloupe, Inc., a Pennsylvania corporation, f/k/a USA Technologies, Inc. (the “Company”) has granted to you, the “Participant” named below, a non-qualified stock option (the “Option”) to purchase shares of common stock, no par value, of the Company (the “Shares”) under the Company’s 2018 Equity Incentive Plan (as amended from time to time, the “Plan”). The terms of the grant are set forth in the Non-Qualified Stock Option Agreement (together with this Notice of Non-Qualified Stock Option Grant, the “Agreement”) provided to you and which immediately precedes this Notice. The following provides a summary of the key terms of your award; however, you should read the entire Agreement, along with the terms of the Plan, to fully understand your award and the terms and conditions applicable to it.</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SUMMARY OF NON-QUALIFIED STOCK OPTION AWARD</w:t>
      </w:r>
    </w:p>
    <w:p>
      <w:pPr>
        <w:sectPr>
          <w:pgSz w:w="11900" w:h="16838" w:orient="portrait"/>
          <w:cols w:equalWidth="0" w:num="1">
            <w:col w:w="11240"/>
          </w:cols>
          <w:pgMar w:left="320" w:top="1418" w:right="339" w:bottom="1440" w:gutter="0" w:footer="0" w:header="0"/>
        </w:sect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Participant:</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___________________________</w:t>
      </w:r>
    </w:p>
    <w:p>
      <w:pPr>
        <w:spacing w:after="0" w:line="200" w:lineRule="exact"/>
        <w:rPr>
          <w:sz w:val="20"/>
          <w:szCs w:val="20"/>
          <w:color w:val="auto"/>
        </w:rPr>
      </w:pPr>
    </w:p>
    <w:p>
      <w:pPr>
        <w:sectPr>
          <w:pgSz w:w="11900" w:h="16838" w:orient="portrait"/>
          <w:cols w:equalWidth="0" w:num="2">
            <w:col w:w="1140" w:space="720"/>
            <w:col w:w="9380"/>
          </w:cols>
          <w:pgMar w:left="320" w:top="1418" w:right="339" w:bottom="1440" w:gutter="0" w:footer="0" w:header="0"/>
          <w:type w:val="continuous"/>
        </w:sectPr>
      </w:pP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Grant Date:</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___________________________</w:t>
      </w:r>
    </w:p>
    <w:p>
      <w:pPr>
        <w:spacing w:after="0" w:line="200" w:lineRule="exact"/>
        <w:rPr>
          <w:sz w:val="20"/>
          <w:szCs w:val="20"/>
          <w:color w:val="auto"/>
        </w:rPr>
      </w:pPr>
    </w:p>
    <w:p>
      <w:pPr>
        <w:sectPr>
          <w:pgSz w:w="11900" w:h="16838" w:orient="portrait"/>
          <w:cols w:equalWidth="0" w:num="2">
            <w:col w:w="1160" w:space="720"/>
            <w:col w:w="9360"/>
          </w:cols>
          <w:pgMar w:left="320" w:top="1418" w:right="339" w:bottom="1440" w:gutter="0" w:footer="0" w:header="0"/>
          <w:type w:val="continuous"/>
        </w:sectPr>
      </w:pPr>
    </w:p>
    <w:p>
      <w:pPr>
        <w:spacing w:after="0" w:line="58" w:lineRule="exact"/>
        <w:rPr>
          <w:sz w:val="20"/>
          <w:szCs w:val="20"/>
          <w:color w:val="auto"/>
        </w:rPr>
      </w:pPr>
    </w:p>
    <w:p>
      <w:pPr>
        <w:spacing w:after="0"/>
        <w:tabs>
          <w:tab w:leader="none" w:pos="3300" w:val="left"/>
        </w:tabs>
        <w:rPr>
          <w:sz w:val="20"/>
          <w:szCs w:val="20"/>
          <w:color w:val="auto"/>
        </w:rPr>
      </w:pPr>
      <w:r>
        <w:rPr>
          <w:rFonts w:ascii="Times New Roman" w:cs="Times New Roman" w:eastAsia="Times New Roman" w:hAnsi="Times New Roman"/>
          <w:sz w:val="22"/>
          <w:szCs w:val="22"/>
          <w:color w:val="auto"/>
        </w:rPr>
        <w:t>Total Number of Shares Underlying</w:t>
      </w:r>
      <w:r>
        <w:rPr>
          <w:sz w:val="20"/>
          <w:szCs w:val="20"/>
          <w:color w:val="auto"/>
        </w:rPr>
        <w:tab/>
      </w:r>
      <w:r>
        <w:rPr>
          <w:rFonts w:ascii="Times New Roman" w:cs="Times New Roman" w:eastAsia="Times New Roman" w:hAnsi="Times New Roman"/>
          <w:sz w:val="21"/>
          <w:szCs w:val="21"/>
          <w:color w:val="auto"/>
        </w:rPr>
        <w:t>___________________________</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Option:</w:t>
      </w:r>
    </w:p>
    <w:p>
      <w:pPr>
        <w:sectPr>
          <w:pgSz w:w="11900" w:h="16838" w:orient="portrait"/>
          <w:cols w:equalWidth="0" w:num="1">
            <w:col w:w="11240"/>
          </w:cols>
          <w:pgMar w:left="320" w:top="1418" w:right="339" w:bottom="1440" w:gutter="0" w:footer="0" w:header="0"/>
          <w:type w:val="continuous"/>
        </w:sect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Exercise Price Per Share:</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___________________________</w:t>
      </w:r>
    </w:p>
    <w:p>
      <w:pPr>
        <w:spacing w:after="0" w:line="200" w:lineRule="exact"/>
        <w:rPr>
          <w:sz w:val="20"/>
          <w:szCs w:val="20"/>
          <w:color w:val="auto"/>
        </w:rPr>
      </w:pPr>
    </w:p>
    <w:p>
      <w:pPr>
        <w:sectPr>
          <w:pgSz w:w="11900" w:h="16838" w:orient="portrait"/>
          <w:cols w:equalWidth="0" w:num="2">
            <w:col w:w="2200" w:space="420"/>
            <w:col w:w="8620"/>
          </w:cols>
          <w:pgMar w:left="320" w:top="1418" w:right="339" w:bottom="1440" w:gutter="0" w:footer="0" w:header="0"/>
          <w:type w:val="continuous"/>
        </w:sectPr>
      </w:pP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Expiration Date:</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___________________________</w:t>
      </w:r>
    </w:p>
    <w:p>
      <w:pPr>
        <w:spacing w:after="0" w:line="200" w:lineRule="exact"/>
        <w:rPr>
          <w:sz w:val="20"/>
          <w:szCs w:val="20"/>
          <w:color w:val="auto"/>
        </w:rPr>
      </w:pPr>
    </w:p>
    <w:p>
      <w:pPr>
        <w:sectPr>
          <w:pgSz w:w="11900" w:h="16838" w:orient="portrait"/>
          <w:cols w:equalWidth="0" w:num="2">
            <w:col w:w="1440" w:space="640"/>
            <w:col w:w="9160"/>
          </w:cols>
          <w:pgMar w:left="320" w:top="1418" w:right="339" w:bottom="1440" w:gutter="0" w:footer="0" w:header="0"/>
          <w:type w:val="continuous"/>
        </w:sectPr>
      </w:pPr>
    </w:p>
    <w:p>
      <w:pPr>
        <w:spacing w:after="0" w:line="58" w:lineRule="exact"/>
        <w:rPr>
          <w:sz w:val="20"/>
          <w:szCs w:val="20"/>
          <w:color w:val="auto"/>
        </w:rPr>
      </w:pPr>
    </w:p>
    <w:p>
      <w:pPr>
        <w:spacing w:after="0"/>
        <w:tabs>
          <w:tab w:leader="none" w:pos="2840" w:val="left"/>
        </w:tabs>
        <w:rPr>
          <w:sz w:val="20"/>
          <w:szCs w:val="20"/>
          <w:color w:val="auto"/>
        </w:rPr>
      </w:pPr>
      <w:r>
        <w:rPr>
          <w:rFonts w:ascii="Times New Roman" w:cs="Times New Roman" w:eastAsia="Times New Roman" w:hAnsi="Times New Roman"/>
          <w:sz w:val="22"/>
          <w:szCs w:val="22"/>
          <w:color w:val="auto"/>
        </w:rPr>
        <w:t>Vesting Commencement Date:</w:t>
      </w:r>
      <w:r>
        <w:rPr>
          <w:sz w:val="20"/>
          <w:szCs w:val="20"/>
          <w:color w:val="auto"/>
        </w:rPr>
        <w:tab/>
      </w:r>
      <w:r>
        <w:rPr>
          <w:rFonts w:ascii="Times New Roman" w:cs="Times New Roman" w:eastAsia="Times New Roman" w:hAnsi="Times New Roman"/>
          <w:sz w:val="21"/>
          <w:szCs w:val="21"/>
          <w:color w:val="auto"/>
        </w:rPr>
        <w:t>___________________________</w:t>
      </w:r>
    </w:p>
    <w:p>
      <w:pPr>
        <w:spacing w:after="0" w:line="243" w:lineRule="exact"/>
        <w:rPr>
          <w:sz w:val="20"/>
          <w:szCs w:val="20"/>
          <w:color w:val="auto"/>
        </w:rPr>
      </w:pPr>
    </w:p>
    <w:p>
      <w:pPr>
        <w:ind w:left="1860" w:hanging="3239"/>
        <w:spacing w:after="0" w:line="287" w:lineRule="auto"/>
        <w:tabs>
          <w:tab w:leader="none" w:pos="1840" w:val="left"/>
        </w:tabs>
        <w:rPr>
          <w:sz w:val="20"/>
          <w:szCs w:val="20"/>
          <w:color w:val="auto"/>
        </w:rPr>
      </w:pPr>
      <w:r>
        <w:rPr>
          <w:rFonts w:ascii="Times New Roman" w:cs="Times New Roman" w:eastAsia="Times New Roman" w:hAnsi="Times New Roman"/>
          <w:sz w:val="22"/>
          <w:szCs w:val="22"/>
          <w:color w:val="auto"/>
        </w:rPr>
        <w:t>Vesting Schedule:</w:t>
        <w:tab/>
        <w:t>[The Option shall vest and become exercisable [</w:t>
      </w:r>
      <w:r>
        <w:rPr>
          <w:rFonts w:ascii="Times New Roman" w:cs="Times New Roman" w:eastAsia="Times New Roman" w:hAnsi="Times New Roman"/>
          <w:sz w:val="22"/>
          <w:szCs w:val="22"/>
          <w:i w:val="1"/>
          <w:iCs w:val="1"/>
          <w:color w:val="auto"/>
        </w:rPr>
        <w:t>insert vesting schedule</w:t>
      </w:r>
      <w:r>
        <w:rPr>
          <w:rFonts w:ascii="Times New Roman" w:cs="Times New Roman" w:eastAsia="Times New Roman" w:hAnsi="Times New Roman"/>
          <w:sz w:val="22"/>
          <w:szCs w:val="22"/>
          <w:color w:val="auto"/>
        </w:rPr>
        <w:t>], subject to Participant’s continued Service through each such date*]</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*Unless otherwise provided in the Agreement or the Plan.</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[Signature Page Follows]</w:t>
      </w:r>
    </w:p>
    <w:p>
      <w:pPr>
        <w:sectPr>
          <w:pgSz w:w="11900" w:h="16838" w:orient="portrait"/>
          <w:cols w:equalWidth="0" w:num="1">
            <w:col w:w="11240"/>
          </w:cols>
          <w:pgMar w:left="320" w:top="1418" w:right="339" w:bottom="1440" w:gutter="0" w:footer="0" w:header="0"/>
          <w:type w:val="continuous"/>
        </w:sectPr>
      </w:pPr>
    </w:p>
    <w:bookmarkStart w:id="103" w:name="page104"/>
    <w:bookmarkEnd w:id="103"/>
    <w:p>
      <w:pPr>
        <w:ind w:left="580"/>
        <w:spacing w:after="0"/>
        <w:rPr>
          <w:sz w:val="20"/>
          <w:szCs w:val="20"/>
          <w:color w:val="auto"/>
        </w:rPr>
      </w:pPr>
      <w:r>
        <w:rPr>
          <w:rFonts w:ascii="Times New Roman" w:cs="Times New Roman" w:eastAsia="Times New Roman" w:hAnsi="Times New Roman"/>
          <w:sz w:val="22"/>
          <w:szCs w:val="22"/>
          <w:color w:val="auto"/>
        </w:rPr>
        <w:t>IN WITNESS WHEREOF, the parties hereto have executed this Agreement as of the Grant Date.</w:t>
      </w:r>
    </w:p>
    <w:p>
      <w:pPr>
        <w:spacing w:after="0" w:line="58"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color w:val="auto"/>
        </w:rPr>
        <w:t>CANTALOUPE, INC.</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color w:val="auto"/>
        </w:rPr>
        <w:t>By:__________________________</w:t>
      </w:r>
    </w:p>
    <w:p>
      <w:pPr>
        <w:spacing w:after="0" w:line="2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Name:</w:t>
      </w:r>
    </w:p>
    <w:p>
      <w:pPr>
        <w:spacing w:after="0" w:line="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b w:val="1"/>
          <w:bCs w:val="1"/>
          <w:color w:val="auto"/>
        </w:rPr>
        <w:t>THE UNDERSIGNED PARTICIPANT ACKNOWLEDGES RECEIPT OF THIS NOTICE OF NON-QUALIFIED STOCK OPTION GRANT, THE NON-QUALIFIED STOCK OPTION AWARD AGREEMENT, ANY EXHIBIT ATTACHED THERETO, AND THE PLAN, AND, AS AN EXPRESS CONDITION TO THE GRANT OF THE OPTION HEREUNDER, AGREES TO BE BOUND BY THE TERMS OF THIS NOTICE OF NON-QUALIFIED STOCK OPTION GRANT, THE NON-QUALIFIED STOCK OPTION AWARD AGREEMENT, ANY EXHIBIT ATTACHED THERETO, AND THE PLAN.</w:t>
      </w:r>
    </w:p>
    <w:p>
      <w:pPr>
        <w:spacing w:after="0" w:line="17"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color w:val="auto"/>
        </w:rPr>
        <w:t>PARTICIPANT</w:t>
      </w:r>
    </w:p>
    <w:p>
      <w:pPr>
        <w:spacing w:after="0" w:line="200" w:lineRule="exact"/>
        <w:rPr>
          <w:sz w:val="20"/>
          <w:szCs w:val="20"/>
          <w:color w:val="auto"/>
        </w:rPr>
      </w:pPr>
    </w:p>
    <w:p>
      <w:pPr>
        <w:spacing w:after="0" w:line="290"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color w:val="auto"/>
        </w:rPr>
        <w:t>_____________________________</w:t>
      </w:r>
    </w:p>
    <w:p>
      <w:pPr>
        <w:spacing w:after="0" w:line="29"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color w:val="auto"/>
        </w:rPr>
        <w:t>_________________</w:t>
      </w:r>
    </w:p>
    <w:p>
      <w:pPr>
        <w:sectPr>
          <w:pgSz w:w="11900" w:h="16838" w:orient="portrait"/>
          <w:cols w:equalWidth="0" w:num="1">
            <w:col w:w="11080"/>
          </w:cols>
          <w:pgMar w:left="400" w:top="1422" w:right="419" w:bottom="1440" w:gutter="0" w:footer="0" w:header="0"/>
        </w:sectPr>
      </w:pPr>
    </w:p>
    <w:bookmarkStart w:id="104" w:name="page105"/>
    <w:bookmarkEnd w:id="104"/>
    <w:p>
      <w:pPr>
        <w:ind w:left="10060"/>
        <w:spacing w:after="0"/>
        <w:rPr>
          <w:sz w:val="20"/>
          <w:szCs w:val="20"/>
          <w:color w:val="auto"/>
        </w:rPr>
      </w:pPr>
      <w:r>
        <w:rPr>
          <w:rFonts w:ascii="Times New Roman" w:cs="Times New Roman" w:eastAsia="Times New Roman" w:hAnsi="Times New Roman"/>
          <w:sz w:val="19"/>
          <w:szCs w:val="19"/>
          <w:b w:val="1"/>
          <w:bCs w:val="1"/>
          <w:color w:val="auto"/>
        </w:rPr>
        <w:t>Exhibit 10.8.3</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CANTALOUPE,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2018 EQUITY INCENTIVE PLAN</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NOTICE OF RESTRICTED STOCK UNIT GRANT AND</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UNIT AWARD AGREEMENT</w:t>
      </w:r>
    </w:p>
    <w:p>
      <w:pPr>
        <w:spacing w:after="0" w:line="223" w:lineRule="exact"/>
        <w:rPr>
          <w:sz w:val="20"/>
          <w:szCs w:val="20"/>
          <w:color w:val="auto"/>
        </w:rPr>
      </w:pPr>
    </w:p>
    <w:p>
      <w:pPr>
        <w:jc w:val="both"/>
        <w:ind w:firstLine="321"/>
        <w:spacing w:after="0" w:line="265" w:lineRule="auto"/>
        <w:rPr>
          <w:sz w:val="20"/>
          <w:szCs w:val="20"/>
          <w:color w:val="auto"/>
        </w:rPr>
      </w:pPr>
      <w:r>
        <w:rPr>
          <w:rFonts w:ascii="Times New Roman" w:cs="Times New Roman" w:eastAsia="Times New Roman" w:hAnsi="Times New Roman"/>
          <w:sz w:val="21"/>
          <w:szCs w:val="21"/>
          <w:color w:val="auto"/>
        </w:rPr>
        <w:t>Cantaloupe, Inc., a Pennsylvania corporation, f/k/a USA Technologies, Inc. (the “Company”), pursuant to its 2018 Equity Incentive Plan (as amended from time to time, the “Plan”) hereby grants to the holder listed below (the “Participant”) an award of restricted stock units (“RSUs”) as set forth below. The RSUs are subject to the terms and conditions set forth herein, including in the Notice of Restricted Stock Unit Grant attached at the end of this document (the “Notice”) and the following Restricted Stock Unit Award Agreement (together with the Notice, the “Agreement”), and in the Plan, each of which is incorporated herein by reference. Capitalized terms used but not defined in this document shall have the meanings given to them in the Plan.</w:t>
      </w:r>
    </w:p>
    <w:p>
      <w:pPr>
        <w:spacing w:after="0" w:line="196" w:lineRule="exact"/>
        <w:rPr>
          <w:sz w:val="20"/>
          <w:szCs w:val="20"/>
          <w:color w:val="auto"/>
        </w:rPr>
      </w:pPr>
    </w:p>
    <w:p>
      <w:pPr>
        <w:jc w:val="both"/>
        <w:ind w:firstLine="250"/>
        <w:spacing w:after="0" w:line="251" w:lineRule="auto"/>
        <w:rPr>
          <w:sz w:val="20"/>
          <w:szCs w:val="20"/>
          <w:color w:val="auto"/>
        </w:rPr>
      </w:pPr>
      <w:r>
        <w:rPr>
          <w:rFonts w:ascii="Times New Roman" w:cs="Times New Roman" w:eastAsia="Times New Roman" w:hAnsi="Times New Roman"/>
          <w:sz w:val="22"/>
          <w:szCs w:val="22"/>
          <w:color w:val="auto"/>
        </w:rPr>
        <w:t>By Participant’s electronic acceptance on this site, Participant agrees to be bound by the terms and conditions of the Plan and the Agreement (including, without limitation, the Notice). Participant has reviewed the Plan and the Agreement (including, without limitation, the Notice) in their entirety, has had an opportunity to obtain the advice of counsel prior to executing the Agreement, and fully understands all provisions of the Plan and the Agreement (including, without limitation, the Notice). Participant hereby accepts as binding, conclusive, and final all decisions or interpretations of the Committee upon any questions arising under the Plan or the Agreement (including, without limitation, the Notice).</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Your detailed award information can be found in the Notice, which is attached at the end of this document</w:t>
      </w:r>
      <w:r>
        <w:rPr>
          <w:rFonts w:ascii="Times New Roman" w:cs="Times New Roman" w:eastAsia="Times New Roman" w:hAnsi="Times New Roman"/>
          <w:sz w:val="22"/>
          <w:szCs w:val="22"/>
          <w:color w:val="auto"/>
        </w:rPr>
        <w:t>.</w:t>
      </w:r>
    </w:p>
    <w:p>
      <w:pPr>
        <w:sectPr>
          <w:pgSz w:w="11900" w:h="16838" w:orient="portrait"/>
          <w:cols w:equalWidth="0" w:num="1">
            <w:col w:w="11240"/>
          </w:cols>
          <w:pgMar w:left="320" w:top="1409" w:right="339"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22"/>
          <w:szCs w:val="22"/>
          <w:b w:val="1"/>
          <w:bCs w:val="1"/>
          <w:color w:val="auto"/>
        </w:rPr>
        <w:t>CANTALOUPE, INC.</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UNIT AWARD AGREEMENT</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2018 EQUITY INCENTIVE PLAN</w:t>
      </w:r>
    </w:p>
    <w:p>
      <w:pPr>
        <w:spacing w:after="0" w:line="200" w:lineRule="exact"/>
        <w:rPr>
          <w:sz w:val="20"/>
          <w:szCs w:val="20"/>
          <w:color w:val="auto"/>
        </w:rPr>
      </w:pPr>
    </w:p>
    <w:p>
      <w:pPr>
        <w:spacing w:after="0" w:line="30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This Restricted Stock Unit Award Agreement (together with the Notice of Restricted Stock Unit Grant (“Notice”) attached hereto, the “Agreement”) made as of the Grant Date set forth in the Notice, by and between the Participant set forth in the Notice and CANTALOUPE, INC., a Pennsylvania corporation, f/k/a USA Technologies, Inc. (the “Company”).</w:t>
      </w:r>
    </w:p>
    <w:p>
      <w:pPr>
        <w:spacing w:after="0" w:line="19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b w:val="1"/>
          <w:bCs w:val="1"/>
          <w:u w:val="single" w:color="auto"/>
          <w:color w:val="auto"/>
        </w:rPr>
        <w:t>BACKGROUND</w:t>
      </w:r>
    </w:p>
    <w:p>
      <w:pPr>
        <w:spacing w:after="0" w:line="251" w:lineRule="exact"/>
        <w:rPr>
          <w:sz w:val="20"/>
          <w:szCs w:val="20"/>
          <w:color w:val="auto"/>
        </w:rPr>
      </w:pPr>
    </w:p>
    <w:p>
      <w:pPr>
        <w:jc w:val="both"/>
        <w:ind w:right="20" w:firstLine="243"/>
        <w:spacing w:after="0" w:line="256" w:lineRule="auto"/>
        <w:rPr>
          <w:sz w:val="20"/>
          <w:szCs w:val="20"/>
          <w:color w:val="auto"/>
        </w:rPr>
      </w:pPr>
      <w:r>
        <w:rPr>
          <w:rFonts w:ascii="Times New Roman" w:cs="Times New Roman" w:eastAsia="Times New Roman" w:hAnsi="Times New Roman"/>
          <w:sz w:val="22"/>
          <w:szCs w:val="22"/>
          <w:color w:val="auto"/>
        </w:rPr>
        <w:t>Participant is providing services to the Company. The Company’s 2018 Equity Incentive Plan (as amended from time to time, the “Plan”) provides for Awards based upon the Common Stock of the Company. The Company has determined to make an award to Participant of restricted stock units (“RSUs”) as further set forth below. Capitalized terms used but not defined herein shall have the meanings given to such terms in the Plan.</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AGREEMENT</w:t>
      </w:r>
    </w:p>
    <w:p>
      <w:pPr>
        <w:spacing w:after="0" w:line="2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NOW, THEREFORE, in consideration of the covenants set forth herein, and intending to be legally bound hereby,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Company and Participant agree as follows:</w:t>
      </w:r>
    </w:p>
    <w:p>
      <w:pPr>
        <w:spacing w:after="0" w:line="232" w:lineRule="exact"/>
        <w:rPr>
          <w:sz w:val="20"/>
          <w:szCs w:val="20"/>
          <w:color w:val="auto"/>
        </w:rPr>
      </w:pPr>
    </w:p>
    <w:p>
      <w:pPr>
        <w:jc w:val="both"/>
        <w:ind w:right="20" w:firstLine="656"/>
        <w:spacing w:after="0" w:line="251" w:lineRule="auto"/>
        <w:tabs>
          <w:tab w:leader="none" w:pos="1296"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Grant of RSUs</w:t>
      </w:r>
      <w:r>
        <w:rPr>
          <w:rFonts w:ascii="Times New Roman" w:cs="Times New Roman" w:eastAsia="Times New Roman" w:hAnsi="Times New Roman"/>
          <w:sz w:val="22"/>
          <w:szCs w:val="22"/>
          <w:color w:val="auto"/>
        </w:rPr>
        <w:t>. Subject to the terms hereof, the Company hereby grants to Participant an award of the number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RSUs set forth in the Notice pursuant to the Plan. Each RSU represents the right to receive one (1) share of the Company’s Common Stock (each, a “Share”) upon vesting and settlement in accordance with Sections 2 and 3 below. The RSUs (and the Shares underlying the RSUs) are not vested and shall be subject to forfeiture by Participant as more fully described in Section 2 below.</w:t>
      </w:r>
    </w:p>
    <w:p>
      <w:pPr>
        <w:spacing w:after="0" w:line="189" w:lineRule="exact"/>
        <w:rPr>
          <w:rFonts w:ascii="Times New Roman" w:cs="Times New Roman" w:eastAsia="Times New Roman" w:hAnsi="Times New Roman"/>
          <w:sz w:val="22"/>
          <w:szCs w:val="22"/>
          <w:color w:val="auto"/>
        </w:rPr>
      </w:pPr>
    </w:p>
    <w:p>
      <w:pPr>
        <w:jc w:val="both"/>
        <w:ind w:firstLine="656"/>
        <w:spacing w:after="0" w:line="253" w:lineRule="auto"/>
        <w:tabs>
          <w:tab w:leader="none" w:pos="1296"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Vesting of RSUs</w:t>
      </w:r>
      <w:r>
        <w:rPr>
          <w:rFonts w:ascii="Times New Roman" w:cs="Times New Roman" w:eastAsia="Times New Roman" w:hAnsi="Times New Roman"/>
          <w:sz w:val="22"/>
          <w:szCs w:val="22"/>
          <w:color w:val="auto"/>
        </w:rPr>
        <w:t>. Except as otherwise provided in the Plan, the RSUs shall vest as provided in the Notice.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RSUs that are not vested pursuant to the preceding sentence on the date of Participant’s termination of Service for any reason shall be immediately forfeited on the date of such termination for no consideration. Upon a Change of Control that occurs after the Grant Date, Section 9 of the Plan shall apply.</w:t>
      </w:r>
    </w:p>
    <w:p>
      <w:pPr>
        <w:spacing w:after="0" w:line="175"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Settlement; Issuance of Shares</w:t>
      </w:r>
      <w:r>
        <w:rPr>
          <w:rFonts w:ascii="Times New Roman" w:cs="Times New Roman" w:eastAsia="Times New Roman" w:hAnsi="Times New Roman"/>
          <w:sz w:val="21"/>
          <w:szCs w:val="21"/>
          <w:color w:val="auto"/>
        </w:rPr>
        <w:t>. One (1) Share shall be issued in respect of each vested RSU, if any, within thirty</w:t>
      </w:r>
    </w:p>
    <w:p>
      <w:pPr>
        <w:spacing w:after="0" w:line="44" w:lineRule="exact"/>
        <w:rPr>
          <w:rFonts w:ascii="Times New Roman" w:cs="Times New Roman" w:eastAsia="Times New Roman" w:hAnsi="Times New Roman"/>
          <w:sz w:val="21"/>
          <w:szCs w:val="21"/>
          <w:color w:val="auto"/>
        </w:rPr>
      </w:pPr>
    </w:p>
    <w:p>
      <w:pPr>
        <w:jc w:val="both"/>
        <w:ind w:right="20" w:firstLine="8"/>
        <w:spacing w:after="0" w:line="251" w:lineRule="auto"/>
        <w:tabs>
          <w:tab w:leader="none" w:pos="428"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following the applicable date on which such RSU vested. The Company shall issue any such Shares registered in the name of Participant, Participant’s authorized assignee, or Participant’s legal representative, which shall be evidenced by stock certificates representing the Shares with the appropriate legends affixed thereto,</w:t>
      </w:r>
    </w:p>
    <w:p>
      <w:pPr>
        <w:sectPr>
          <w:pgSz w:w="11900" w:h="16838" w:orient="portrait"/>
          <w:cols w:equalWidth="0" w:num="1">
            <w:col w:w="11240"/>
          </w:cols>
          <w:pgMar w:left="320" w:top="1418" w:right="339" w:bottom="1440" w:gutter="0" w:footer="0" w:header="0"/>
        </w:sectPr>
      </w:pPr>
    </w:p>
    <w:bookmarkStart w:id="106" w:name="page107"/>
    <w:bookmarkEnd w:id="106"/>
    <w:p>
      <w:pPr>
        <w:ind w:right="20"/>
        <w:spacing w:after="0" w:line="271" w:lineRule="auto"/>
        <w:rPr>
          <w:sz w:val="20"/>
          <w:szCs w:val="20"/>
          <w:color w:val="auto"/>
        </w:rPr>
      </w:pPr>
      <w:r>
        <w:rPr>
          <w:rFonts w:ascii="Times New Roman" w:cs="Times New Roman" w:eastAsia="Times New Roman" w:hAnsi="Times New Roman"/>
          <w:sz w:val="22"/>
          <w:szCs w:val="22"/>
          <w:color w:val="auto"/>
        </w:rPr>
        <w:t>appropriate entry on the books of the Company or of a duly authorized transfer agent, or other appropriate means as determined by the Company.</w:t>
      </w:r>
    </w:p>
    <w:p>
      <w:pPr>
        <w:spacing w:after="0" w:line="154" w:lineRule="exact"/>
        <w:rPr>
          <w:sz w:val="20"/>
          <w:szCs w:val="20"/>
          <w:color w:val="auto"/>
        </w:rPr>
      </w:pPr>
    </w:p>
    <w:p>
      <w:pPr>
        <w:jc w:val="both"/>
        <w:ind w:firstLine="656"/>
        <w:spacing w:after="0" w:line="265" w:lineRule="auto"/>
        <w:tabs>
          <w:tab w:leader="none" w:pos="1296"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Restriction on Transfer</w:t>
      </w:r>
      <w:r>
        <w:rPr>
          <w:rFonts w:ascii="Times New Roman" w:cs="Times New Roman" w:eastAsia="Times New Roman" w:hAnsi="Times New Roman"/>
          <w:sz w:val="22"/>
          <w:szCs w:val="22"/>
          <w:color w:val="auto"/>
        </w:rPr>
        <w:t>. The RSUs shall be non-transferable, and Participant shall not sell, transfer, pledge,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hypothecate or otherwise dispose of any RSUs or any Shares underlying the RSUs until such Shares have been delivered to Participant in accordance with Section 3.</w:t>
      </w:r>
    </w:p>
    <w:p>
      <w:pPr>
        <w:spacing w:after="0" w:line="161" w:lineRule="exact"/>
        <w:rPr>
          <w:rFonts w:ascii="Times New Roman" w:cs="Times New Roman" w:eastAsia="Times New Roman" w:hAnsi="Times New Roman"/>
          <w:sz w:val="22"/>
          <w:szCs w:val="22"/>
          <w:color w:val="auto"/>
        </w:rPr>
      </w:pPr>
    </w:p>
    <w:p>
      <w:pPr>
        <w:jc w:val="both"/>
        <w:ind w:firstLine="656"/>
        <w:spacing w:after="0" w:line="254" w:lineRule="auto"/>
        <w:tabs>
          <w:tab w:leader="none" w:pos="1296"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 Right to Continued Service; No Rights as Shareholder</w:t>
      </w:r>
      <w:r>
        <w:rPr>
          <w:rFonts w:ascii="Times New Roman" w:cs="Times New Roman" w:eastAsia="Times New Roman" w:hAnsi="Times New Roman"/>
          <w:sz w:val="22"/>
          <w:szCs w:val="22"/>
          <w:color w:val="auto"/>
        </w:rPr>
        <w:t>. Neither the Plan nor this Agreement shall confer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upon Participant any right to be retained in any capacity as a service provider to the Company or any of its affiliates. Participant shall not have any rights as a shareholder with respect to any Shares subject to the RSUs unless and until certificates representing the Shares have been issued by the Company to the holder of such Shares, or the Shares have otherwise been recorded on the books of the Company or of a duly authorized transfer agent as owned by such holder.</w:t>
      </w:r>
    </w:p>
    <w:p>
      <w:pPr>
        <w:spacing w:after="0" w:line="173" w:lineRule="exact"/>
        <w:rPr>
          <w:rFonts w:ascii="Times New Roman" w:cs="Times New Roman" w:eastAsia="Times New Roman" w:hAnsi="Times New Roman"/>
          <w:sz w:val="22"/>
          <w:szCs w:val="22"/>
          <w:color w:val="auto"/>
        </w:rPr>
      </w:pPr>
    </w:p>
    <w:p>
      <w:pPr>
        <w:jc w:val="both"/>
        <w:ind w:firstLine="656"/>
        <w:spacing w:after="0" w:line="247" w:lineRule="auto"/>
        <w:tabs>
          <w:tab w:leader="none" w:pos="1296"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Tax Consequences; Section 409A</w:t>
      </w:r>
      <w:r>
        <w:rPr>
          <w:rFonts w:ascii="Times New Roman" w:cs="Times New Roman" w:eastAsia="Times New Roman" w:hAnsi="Times New Roman"/>
          <w:sz w:val="22"/>
          <w:szCs w:val="22"/>
          <w:color w:val="auto"/>
        </w:rPr>
        <w:t>. Participant understands that Participant (and not the Company)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responsible for Participant’s tax liability that may arise as a result of the transactions contemplated by this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Participant acknowledges and agrees that the Company shall have the right to deduct from payments of any kind otherwise due to Participant any federal, state, or local taxes of any kind required by law to be withheld with respect to the grant of this Award, the vesting of the RSUs, or the issuance of the Shares in accordance with the procedures set forth in Section 10 of the Plan, which is expressly incorporated by reference herein. This Agreement and the RSUs are intended to comply with, or be exempt from, the provisions of Section 409A of the Code and shall be interpreted in accordance with Section 409A of the Code and the Treasury regulations and other interpretive guidance issued thereunder (“Section 409A”). If the Company at any time determines that this Agreement or the RSUs are not compliant with, or otherwise exempt from, Section 409A, the Company may amend this Agreement or adopt other policies and procedures (including amendments, policies, and procedures with retroactive effect), or take any other actions, that the Company determines to be necessary or appropriate to cause this Agreement and the transactions contemplated thereby to (i) comply with Section 409A, or (ii) otherwise be exempt from Section 409A. For the avoidance of doubt, any termination of Participant’s Service must constitute a “separation from service” (as defined under Section 409A) in order to be deemed a termination of Service hereunder.</w:t>
      </w:r>
    </w:p>
    <w:p>
      <w:pPr>
        <w:spacing w:after="0" w:line="202" w:lineRule="exact"/>
        <w:rPr>
          <w:rFonts w:ascii="Times New Roman" w:cs="Times New Roman" w:eastAsia="Times New Roman" w:hAnsi="Times New Roman"/>
          <w:sz w:val="22"/>
          <w:szCs w:val="22"/>
          <w:color w:val="auto"/>
        </w:rPr>
      </w:pPr>
    </w:p>
    <w:p>
      <w:pPr>
        <w:jc w:val="both"/>
        <w:ind w:firstLine="656"/>
        <w:spacing w:after="0" w:line="249" w:lineRule="auto"/>
        <w:tabs>
          <w:tab w:leader="none" w:pos="1296"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Compliance with Law</w:t>
      </w:r>
      <w:r>
        <w:rPr>
          <w:rFonts w:ascii="Times New Roman" w:cs="Times New Roman" w:eastAsia="Times New Roman" w:hAnsi="Times New Roman"/>
          <w:sz w:val="22"/>
          <w:szCs w:val="22"/>
          <w:color w:val="auto"/>
        </w:rPr>
        <w:t>. The issuance of Shares shall be subject to compliance by the Company and the Participant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all applicable requirements of federal and state securities laws and with all applicable requirements of any stock exchange on which the Shares may be listed. No Shares shall be issued or transferred unless and until any then applicable requirements of state or federal laws and regulatory agencies have been fully complied with to the satisfaction of the Company and its counsel. Participant understands that the Company is under no obligation to register any Shares with the Securities and Exchange Commission, any state securities commission or any stock exchange to effect such compliance.</w:t>
      </w:r>
    </w:p>
    <w:p>
      <w:pPr>
        <w:sectPr>
          <w:pgSz w:w="11900" w:h="16838" w:orient="portrait"/>
          <w:cols w:equalWidth="0" w:num="1">
            <w:col w:w="11240"/>
          </w:cols>
          <w:pgMar w:left="320" w:top="1422" w:right="339" w:bottom="1440" w:gutter="0" w:footer="0" w:header="0"/>
        </w:sectPr>
      </w:pPr>
    </w:p>
    <w:bookmarkStart w:id="107" w:name="page108"/>
    <w:bookmarkEnd w:id="107"/>
    <w:p>
      <w:pPr>
        <w:jc w:val="both"/>
        <w:ind w:firstLine="656"/>
        <w:spacing w:after="0" w:line="252" w:lineRule="auto"/>
        <w:tabs>
          <w:tab w:leader="none" w:pos="1296"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Notices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notice to the Company provided for in this Agreement shall be addressed to the Company in care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chief executive officer at the corporate headquarters of the Company, and any notice to Participant shall be addressed to Participant at the current address shown in the Company’s records, or to such other address as Participant may designate to the Company in writing. Any notice shall be delivered by hand, sent by telecopy, sent by electronic mail, or enclosed in a properly sealed envelope addressed as stated above, registered and deposited, postage prepaid, in a post office regularly maintained by the United States Postal Service.</w:t>
      </w:r>
    </w:p>
    <w:p>
      <w:pPr>
        <w:spacing w:after="0" w:line="174" w:lineRule="exact"/>
        <w:rPr>
          <w:rFonts w:ascii="Times New Roman" w:cs="Times New Roman" w:eastAsia="Times New Roman" w:hAnsi="Times New Roman"/>
          <w:sz w:val="22"/>
          <w:szCs w:val="22"/>
          <w:color w:val="auto"/>
        </w:rPr>
      </w:pPr>
    </w:p>
    <w:p>
      <w:pPr>
        <w:ind w:firstLine="656"/>
        <w:spacing w:after="0" w:line="275" w:lineRule="auto"/>
        <w:tabs>
          <w:tab w:leader="none" w:pos="1296"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Governing Law</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implementation and interpretation of this Agreement shall be governed by and enforced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accordance with the laws of the Commonwealth of Pennsylvania without regard to its conflict of laws rules.</w:t>
      </w:r>
    </w:p>
    <w:p>
      <w:pPr>
        <w:spacing w:after="0" w:line="162" w:lineRule="exact"/>
        <w:rPr>
          <w:rFonts w:ascii="Times New Roman" w:cs="Times New Roman" w:eastAsia="Times New Roman" w:hAnsi="Times New Roman"/>
          <w:sz w:val="22"/>
          <w:szCs w:val="22"/>
          <w:color w:val="auto"/>
        </w:rPr>
      </w:pPr>
    </w:p>
    <w:p>
      <w:pPr>
        <w:jc w:val="both"/>
        <w:ind w:firstLine="656"/>
        <w:spacing w:after="0" w:line="259" w:lineRule="auto"/>
        <w:tabs>
          <w:tab w:leader="none" w:pos="1296"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Binding Effect and Assignability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rights and obligations of both parties under this Agreement shall inure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benefit of and shall be binding upon their personal representatives, heirs, successors and assigns. This Agreement, or any part thereof, may not be assigned by Participant.</w:t>
      </w:r>
    </w:p>
    <w:p>
      <w:pPr>
        <w:spacing w:after="0" w:line="166" w:lineRule="exact"/>
        <w:rPr>
          <w:rFonts w:ascii="Times New Roman" w:cs="Times New Roman" w:eastAsia="Times New Roman" w:hAnsi="Times New Roman"/>
          <w:sz w:val="22"/>
          <w:szCs w:val="22"/>
          <w:color w:val="auto"/>
        </w:rPr>
      </w:pPr>
    </w:p>
    <w:p>
      <w:pPr>
        <w:jc w:val="both"/>
        <w:ind w:firstLine="656"/>
        <w:spacing w:after="0" w:line="250" w:lineRule="auto"/>
        <w:tabs>
          <w:tab w:leader="none" w:pos="1288"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Data Privacy Consent.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order to administer the Plan and this Agreement and to implement or structure future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or this Agreement (the “Relevant Information”). By entering into this Agreement, Participant: (i) authorizes the Company to collect, process, register, and transfer to the Relevant Companies all Relevant Information; (ii) waives any privacy rights that Participant may have with respect to the Relevant Information; and (iii) authorizes the Relevant Companies to store and transmit such information in electronic form. Participant shall have access to, and the right to change, the Relevant Information. Relevant Information will only be used in accordance with applicable law.</w:t>
      </w:r>
    </w:p>
    <w:p>
      <w:pPr>
        <w:spacing w:after="0" w:line="179" w:lineRule="exact"/>
        <w:rPr>
          <w:rFonts w:ascii="Times New Roman" w:cs="Times New Roman" w:eastAsia="Times New Roman" w:hAnsi="Times New Roman"/>
          <w:sz w:val="22"/>
          <w:szCs w:val="22"/>
          <w:color w:val="auto"/>
        </w:rPr>
      </w:pPr>
    </w:p>
    <w:p>
      <w:pPr>
        <w:jc w:val="both"/>
        <w:ind w:right="20" w:firstLine="656"/>
        <w:spacing w:after="0" w:line="259" w:lineRule="auto"/>
        <w:tabs>
          <w:tab w:leader="none" w:pos="1296"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Severability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invalidity or unenforceability of any provision of the Plan or this Agreement shall not affect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validity or enforceability of any other provision of the Plan or this Agreement, and each provision of the Plan and this Agreement shall be severable and enforceable to the extent permitted by law.</w:t>
      </w:r>
    </w:p>
    <w:p>
      <w:pPr>
        <w:spacing w:after="0" w:line="166" w:lineRule="exact"/>
        <w:rPr>
          <w:rFonts w:ascii="Times New Roman" w:cs="Times New Roman" w:eastAsia="Times New Roman" w:hAnsi="Times New Roman"/>
          <w:sz w:val="22"/>
          <w:szCs w:val="22"/>
          <w:color w:val="auto"/>
        </w:rPr>
      </w:pPr>
    </w:p>
    <w:p>
      <w:pPr>
        <w:jc w:val="both"/>
        <w:ind w:firstLine="656"/>
        <w:spacing w:after="0" w:line="252" w:lineRule="auto"/>
        <w:tabs>
          <w:tab w:leader="none" w:pos="1296"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Entire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and the Plan constitute the entire agreement with respect to the subject matter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hereof between the parties hereto and there are no other agreements between the parties relating to the subject matter hereof. The Company and Participant have made no promises, agreements, conditions, or understandings relating to the RSUs, either orally or in writing, that are not included in this Agreement or the Plan. This Agreement may only be modified by an agreement in writing executed by both the Company and Participant. Emailed copies (pdf format) of any party’s signature hereto will have the same effect as an original signature.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[Notice of Restricted Stock Unit Grant Follows]</w:t>
      </w:r>
    </w:p>
    <w:p>
      <w:pPr>
        <w:sectPr>
          <w:pgSz w:w="11900" w:h="16838" w:orient="portrait"/>
          <w:cols w:equalWidth="0" w:num="1">
            <w:col w:w="11240"/>
          </w:cols>
          <w:pgMar w:left="320" w:top="1418" w:right="339" w:bottom="1440" w:gutter="0" w:footer="0" w:header="0"/>
        </w:sectPr>
      </w:pPr>
    </w:p>
    <w:bookmarkStart w:id="108" w:name="page109"/>
    <w:bookmarkEnd w:id="108"/>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CANTALOUPE,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2018 EQUITY INCENTIVE PLAN</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NOTICE OF RESTRICTED STOCK UNIT GRANT</w:t>
      </w:r>
    </w:p>
    <w:p>
      <w:pPr>
        <w:spacing w:after="0" w:line="23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Cantaloupe, Inc., a Pennsylvania corporation, f/k/a USA Technologies, Inc. (the “Company”) has granted to you, the “Participant” named below, an award of restricted stock units (“RSUs”) under the Company’s 2018 Equity Incentive Plan (as amended from time to time, the “Plan”). The terms of the grant are set forth in the Restricted Stock Unit Award Agreement (together with this Notice of Restricted Stock Unit Grant, the “Agreement”) provided to you and which immediately precedes this Notice. The following provides a summary of the key terms of your award; however, you should read the entire Agreement, along with the terms of the Plan, to fully understand your award and the terms and conditions applicable to it.</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SUMMARY OF RESTRICTED STOCK UNIT AWARD</w:t>
      </w:r>
    </w:p>
    <w:p>
      <w:pPr>
        <w:sectPr>
          <w:pgSz w:w="11900" w:h="16838" w:orient="portrait"/>
          <w:cols w:equalWidth="0" w:num="1">
            <w:col w:w="11240"/>
          </w:cols>
          <w:pgMar w:left="320" w:top="1418" w:right="339" w:bottom="1440" w:gutter="0" w:footer="0" w:header="0"/>
        </w:sect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Participant:</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_________________________________</w:t>
      </w:r>
    </w:p>
    <w:p>
      <w:pPr>
        <w:spacing w:after="0" w:line="200" w:lineRule="exact"/>
        <w:rPr>
          <w:sz w:val="20"/>
          <w:szCs w:val="20"/>
          <w:color w:val="auto"/>
        </w:rPr>
      </w:pPr>
    </w:p>
    <w:p>
      <w:pPr>
        <w:sectPr>
          <w:pgSz w:w="11900" w:h="16838" w:orient="portrait"/>
          <w:cols w:equalWidth="0" w:num="2">
            <w:col w:w="1140" w:space="720"/>
            <w:col w:w="9380"/>
          </w:cols>
          <w:pgMar w:left="320" w:top="1418" w:right="339" w:bottom="1440" w:gutter="0" w:footer="0" w:header="0"/>
          <w:type w:val="continuous"/>
        </w:sectPr>
      </w:pP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Grant Date:</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_________________________________</w:t>
      </w:r>
    </w:p>
    <w:p>
      <w:pPr>
        <w:spacing w:after="0" w:line="200" w:lineRule="exact"/>
        <w:rPr>
          <w:sz w:val="20"/>
          <w:szCs w:val="20"/>
          <w:color w:val="auto"/>
        </w:rPr>
      </w:pPr>
    </w:p>
    <w:p>
      <w:pPr>
        <w:sectPr>
          <w:pgSz w:w="11900" w:h="16838" w:orient="portrait"/>
          <w:cols w:equalWidth="0" w:num="2">
            <w:col w:w="1160" w:space="720"/>
            <w:col w:w="9360"/>
          </w:cols>
          <w:pgMar w:left="320" w:top="1418" w:right="339" w:bottom="1440" w:gutter="0" w:footer="0" w:header="0"/>
          <w:type w:val="continuous"/>
        </w:sectPr>
      </w:pPr>
    </w:p>
    <w:p>
      <w:pPr>
        <w:spacing w:after="0" w:line="58" w:lineRule="exact"/>
        <w:rPr>
          <w:sz w:val="20"/>
          <w:szCs w:val="20"/>
          <w:color w:val="auto"/>
        </w:rPr>
      </w:pPr>
    </w:p>
    <w:p>
      <w:pPr>
        <w:spacing w:after="0"/>
        <w:tabs>
          <w:tab w:leader="none" w:pos="3000" w:val="left"/>
        </w:tabs>
        <w:rPr>
          <w:sz w:val="20"/>
          <w:szCs w:val="20"/>
          <w:color w:val="auto"/>
        </w:rPr>
      </w:pPr>
      <w:r>
        <w:rPr>
          <w:rFonts w:ascii="Times New Roman" w:cs="Times New Roman" w:eastAsia="Times New Roman" w:hAnsi="Times New Roman"/>
          <w:sz w:val="22"/>
          <w:szCs w:val="22"/>
          <w:color w:val="auto"/>
        </w:rPr>
        <w:t>Total Number of RSUs Granted:</w:t>
      </w:r>
      <w:r>
        <w:rPr>
          <w:sz w:val="20"/>
          <w:szCs w:val="20"/>
          <w:color w:val="auto"/>
        </w:rPr>
        <w:tab/>
      </w:r>
      <w:r>
        <w:rPr>
          <w:rFonts w:ascii="Times New Roman" w:cs="Times New Roman" w:eastAsia="Times New Roman" w:hAnsi="Times New Roman"/>
          <w:sz w:val="21"/>
          <w:szCs w:val="21"/>
          <w:color w:val="auto"/>
        </w:rPr>
        <w:t>_________________________________</w:t>
      </w:r>
    </w:p>
    <w:p>
      <w:pPr>
        <w:spacing w:after="0" w:line="247" w:lineRule="exact"/>
        <w:rPr>
          <w:sz w:val="20"/>
          <w:szCs w:val="20"/>
          <w:color w:val="auto"/>
        </w:rPr>
      </w:pPr>
    </w:p>
    <w:p>
      <w:pPr>
        <w:spacing w:after="0"/>
        <w:tabs>
          <w:tab w:leader="none" w:pos="2840" w:val="left"/>
        </w:tabs>
        <w:rPr>
          <w:sz w:val="20"/>
          <w:szCs w:val="20"/>
          <w:color w:val="auto"/>
        </w:rPr>
      </w:pPr>
      <w:r>
        <w:rPr>
          <w:rFonts w:ascii="Times New Roman" w:cs="Times New Roman" w:eastAsia="Times New Roman" w:hAnsi="Times New Roman"/>
          <w:sz w:val="22"/>
          <w:szCs w:val="22"/>
          <w:color w:val="auto"/>
        </w:rPr>
        <w:t>Vesting Commencement Date:</w:t>
      </w:r>
      <w:r>
        <w:rPr>
          <w:sz w:val="20"/>
          <w:szCs w:val="20"/>
          <w:color w:val="auto"/>
        </w:rPr>
        <w:tab/>
      </w:r>
      <w:r>
        <w:rPr>
          <w:rFonts w:ascii="Times New Roman" w:cs="Times New Roman" w:eastAsia="Times New Roman" w:hAnsi="Times New Roman"/>
          <w:sz w:val="21"/>
          <w:szCs w:val="21"/>
          <w:color w:val="auto"/>
        </w:rPr>
        <w:t>_________________________________</w:t>
      </w:r>
    </w:p>
    <w:p>
      <w:pPr>
        <w:spacing w:after="0" w:line="256" w:lineRule="exact"/>
        <w:rPr>
          <w:sz w:val="20"/>
          <w:szCs w:val="20"/>
          <w:color w:val="auto"/>
        </w:rPr>
      </w:pPr>
    </w:p>
    <w:p>
      <w:pPr>
        <w:ind w:left="1840" w:right="20" w:hanging="3239"/>
        <w:spacing w:after="0" w:line="275" w:lineRule="auto"/>
        <w:tabs>
          <w:tab w:leader="none" w:pos="1820" w:val="left"/>
        </w:tabs>
        <w:rPr>
          <w:sz w:val="20"/>
          <w:szCs w:val="20"/>
          <w:color w:val="auto"/>
        </w:rPr>
      </w:pPr>
      <w:r>
        <w:rPr>
          <w:rFonts w:ascii="Times New Roman" w:cs="Times New Roman" w:eastAsia="Times New Roman" w:hAnsi="Times New Roman"/>
          <w:sz w:val="22"/>
          <w:szCs w:val="22"/>
          <w:color w:val="auto"/>
        </w:rPr>
        <w:t>Vesting Schedule:</w:t>
        <w:tab/>
        <w:t>[One-third (1/3) of the RSUs shall vest [</w:t>
      </w:r>
      <w:r>
        <w:rPr>
          <w:rFonts w:ascii="Times New Roman" w:cs="Times New Roman" w:eastAsia="Times New Roman" w:hAnsi="Times New Roman"/>
          <w:sz w:val="22"/>
          <w:szCs w:val="22"/>
          <w:i w:val="1"/>
          <w:iCs w:val="1"/>
          <w:color w:val="auto"/>
        </w:rPr>
        <w:t>insert vesting schedule</w:t>
      </w:r>
      <w:r>
        <w:rPr>
          <w:rFonts w:ascii="Times New Roman" w:cs="Times New Roman" w:eastAsia="Times New Roman" w:hAnsi="Times New Roman"/>
          <w:sz w:val="22"/>
          <w:szCs w:val="22"/>
          <w:color w:val="auto"/>
        </w:rPr>
        <w:t>], subject to Participant’s continued Service through each such date*]</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*Unless otherwise provided in the Agreement or the Plan.</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Follows]</w:t>
      </w:r>
    </w:p>
    <w:p>
      <w:pPr>
        <w:sectPr>
          <w:pgSz w:w="11900" w:h="16838" w:orient="portrait"/>
          <w:cols w:equalWidth="0" w:num="1">
            <w:col w:w="11240"/>
          </w:cols>
          <w:pgMar w:left="320" w:top="1418" w:right="339" w:bottom="1440" w:gutter="0" w:footer="0" w:header="0"/>
          <w:type w:val="continuous"/>
        </w:sectPr>
      </w:pPr>
    </w:p>
    <w:bookmarkStart w:id="109" w:name="page110"/>
    <w:bookmarkEnd w:id="109"/>
    <w:p>
      <w:pPr>
        <w:ind w:left="580"/>
        <w:spacing w:after="0"/>
        <w:rPr>
          <w:sz w:val="20"/>
          <w:szCs w:val="20"/>
          <w:color w:val="auto"/>
        </w:rPr>
      </w:pPr>
      <w:r>
        <w:rPr>
          <w:rFonts w:ascii="Times New Roman" w:cs="Times New Roman" w:eastAsia="Times New Roman" w:hAnsi="Times New Roman"/>
          <w:sz w:val="22"/>
          <w:szCs w:val="22"/>
          <w:color w:val="auto"/>
        </w:rPr>
        <w:t>IN WITNESS WHEREOF, the parties hereto have executed this Agreement as of the Grant Date.</w:t>
      </w:r>
    </w:p>
    <w:p>
      <w:pPr>
        <w:spacing w:after="0" w:line="58"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color w:val="auto"/>
        </w:rPr>
        <w:t>CANTALOUPE, INC.</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color w:val="auto"/>
        </w:rPr>
        <w:t>By:__________________________</w:t>
      </w:r>
    </w:p>
    <w:p>
      <w:pPr>
        <w:spacing w:after="0" w:line="2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Name:</w:t>
      </w:r>
    </w:p>
    <w:p>
      <w:pPr>
        <w:spacing w:after="0" w:line="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b w:val="1"/>
          <w:bCs w:val="1"/>
          <w:color w:val="auto"/>
        </w:rPr>
        <w:t>THE UNDERSIGNED PARTICIPANT ACKNOWLEDGES RECEIPT OF THIS NOTICE OF RESTRICTED STOCK UNIT GRANT, THE RESTRICTED STOCK UNIT AWARD AGREEMENT, ANY EXHIBIT ATTACHED THERETO, AND THE PLAN, AND, AS AN EXPRESS CONDITION TO THE GRANT OF RESTRICTED STOCK UNITS HEREUNDER, AGREES TO BE BOUND BY THE TERMS OF THIS NOTICE OF RESTRICTED STOCK UNIT GRANT, THE RESTRICTED STOCK UNIT AWARD AGREEMENT, ANY EXHIBIT ATTACHED THERETO, AND THE PLAN.</w:t>
      </w:r>
    </w:p>
    <w:p>
      <w:pPr>
        <w:spacing w:after="0" w:line="19"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color w:val="auto"/>
        </w:rPr>
        <w:t>PARTICIPANT</w:t>
      </w:r>
    </w:p>
    <w:p>
      <w:pPr>
        <w:spacing w:after="0" w:line="200" w:lineRule="exact"/>
        <w:rPr>
          <w:sz w:val="20"/>
          <w:szCs w:val="20"/>
          <w:color w:val="auto"/>
        </w:rPr>
      </w:pPr>
    </w:p>
    <w:p>
      <w:pPr>
        <w:spacing w:after="0" w:line="290"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color w:val="auto"/>
        </w:rPr>
        <w:t>_____________________________</w:t>
      </w:r>
    </w:p>
    <w:p>
      <w:pPr>
        <w:spacing w:after="0" w:line="29"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color w:val="auto"/>
        </w:rPr>
        <w:t>___________________</w:t>
      </w:r>
    </w:p>
    <w:p>
      <w:pPr>
        <w:sectPr>
          <w:pgSz w:w="11900" w:h="16838" w:orient="portrait"/>
          <w:cols w:equalWidth="0" w:num="1">
            <w:col w:w="11100"/>
          </w:cols>
          <w:pgMar w:left="400" w:top="1422" w:right="39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22"/>
          <w:szCs w:val="22"/>
          <w:b w:val="1"/>
          <w:bCs w:val="1"/>
          <w:color w:val="auto"/>
        </w:rPr>
        <w:t>Exhibit 21.1</w:t>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9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3580" w:type="dxa"/>
            <w:vAlign w:val="bottom"/>
            <w:gridSpan w:val="3"/>
          </w:tcPr>
          <w:p>
            <w:pPr>
              <w:ind w:left="20"/>
              <w:spacing w:after="0"/>
              <w:rPr>
                <w:sz w:val="20"/>
                <w:szCs w:val="20"/>
                <w:color w:val="auto"/>
              </w:rPr>
            </w:pPr>
            <w:r>
              <w:rPr>
                <w:rFonts w:ascii="Times New Roman" w:cs="Times New Roman" w:eastAsia="Times New Roman" w:hAnsi="Times New Roman"/>
                <w:sz w:val="20"/>
                <w:szCs w:val="20"/>
                <w:b w:val="1"/>
                <w:bCs w:val="1"/>
                <w:color w:val="auto"/>
                <w:w w:val="98"/>
              </w:rPr>
              <w:t>SUBSIDIARIES OF THE REGISTRANT</w:t>
            </w:r>
          </w:p>
        </w:tc>
        <w:tc>
          <w:tcPr>
            <w:tcW w:w="2180" w:type="dxa"/>
            <w:vAlign w:val="bottom"/>
          </w:tcPr>
          <w:p>
            <w:pPr>
              <w:spacing w:after="0"/>
              <w:rPr>
                <w:sz w:val="22"/>
                <w:szCs w:val="22"/>
                <w:color w:val="auto"/>
              </w:rPr>
            </w:pPr>
          </w:p>
        </w:tc>
      </w:tr>
      <w:tr>
        <w:trPr>
          <w:trHeight w:val="872"/>
        </w:trPr>
        <w:tc>
          <w:tcPr>
            <w:tcW w:w="9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w w:val="97"/>
              </w:rPr>
              <w:t>Subsidiary</w:t>
            </w:r>
          </w:p>
        </w:tc>
        <w:tc>
          <w:tcPr>
            <w:tcW w:w="1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1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State or Province of Incorporation</w:t>
            </w:r>
          </w:p>
        </w:tc>
        <w:tc>
          <w:tcPr>
            <w:tcW w:w="21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w w:val="98"/>
              </w:rPr>
              <w:t>Country of Incorporation</w:t>
            </w:r>
          </w:p>
        </w:tc>
      </w:tr>
      <w:tr>
        <w:trPr>
          <w:trHeight w:val="20"/>
        </w:trPr>
        <w:tc>
          <w:tcPr>
            <w:tcW w:w="92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2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r>
      <w:tr>
        <w:trPr>
          <w:trHeight w:val="445"/>
        </w:trPr>
        <w:tc>
          <w:tcPr>
            <w:tcW w:w="598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Cantaloupe Solutions Canada, Inc. British Columbia</w:t>
            </w:r>
          </w:p>
        </w:tc>
        <w:tc>
          <w:tcPr>
            <w:tcW w:w="2180" w:type="dxa"/>
            <w:vAlign w:val="bottom"/>
          </w:tcPr>
          <w:p>
            <w:pPr>
              <w:spacing w:after="0"/>
              <w:rPr>
                <w:sz w:val="20"/>
                <w:szCs w:val="20"/>
                <w:color w:val="auto"/>
              </w:rPr>
            </w:pPr>
            <w:r>
              <w:rPr>
                <w:rFonts w:ascii="Times New Roman" w:cs="Times New Roman" w:eastAsia="Times New Roman" w:hAnsi="Times New Roman"/>
                <w:sz w:val="20"/>
                <w:szCs w:val="20"/>
                <w:color w:val="auto"/>
              </w:rPr>
              <w:t>Canada</w:t>
            </w:r>
          </w:p>
        </w:tc>
      </w:tr>
      <w:tr>
        <w:trPr>
          <w:trHeight w:val="473"/>
        </w:trPr>
        <w:tc>
          <w:tcPr>
            <w:tcW w:w="240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9"/>
              </w:rPr>
              <w:t>Cantaloupe International, Inc.</w:t>
            </w:r>
          </w:p>
        </w:tc>
        <w:tc>
          <w:tcPr>
            <w:tcW w:w="440" w:type="dxa"/>
            <w:vAlign w:val="bottom"/>
          </w:tcPr>
          <w:p>
            <w:pPr>
              <w:spacing w:after="0"/>
              <w:rPr>
                <w:sz w:val="24"/>
                <w:szCs w:val="24"/>
                <w:color w:val="auto"/>
              </w:rPr>
            </w:pPr>
          </w:p>
        </w:tc>
        <w:tc>
          <w:tcPr>
            <w:tcW w:w="31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Delaware</w:t>
            </w:r>
          </w:p>
        </w:tc>
        <w:tc>
          <w:tcPr>
            <w:tcW w:w="2180" w:type="dxa"/>
            <w:vAlign w:val="bottom"/>
          </w:tcPr>
          <w:p>
            <w:pPr>
              <w:spacing w:after="0"/>
              <w:rPr>
                <w:sz w:val="20"/>
                <w:szCs w:val="20"/>
                <w:color w:val="auto"/>
              </w:rPr>
            </w:pPr>
            <w:r>
              <w:rPr>
                <w:rFonts w:ascii="Times New Roman" w:cs="Times New Roman" w:eastAsia="Times New Roman" w:hAnsi="Times New Roman"/>
                <w:sz w:val="20"/>
                <w:szCs w:val="20"/>
                <w:color w:val="auto"/>
              </w:rPr>
              <w:t>United States</w:t>
            </w:r>
          </w:p>
        </w:tc>
      </w:tr>
      <w:tr>
        <w:trPr>
          <w:trHeight w:val="473"/>
        </w:trPr>
        <w:tc>
          <w:tcPr>
            <w:tcW w:w="24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Cantaloupe Systems, Inc.</w:t>
            </w:r>
          </w:p>
        </w:tc>
        <w:tc>
          <w:tcPr>
            <w:tcW w:w="440" w:type="dxa"/>
            <w:vAlign w:val="bottom"/>
          </w:tcPr>
          <w:p>
            <w:pPr>
              <w:spacing w:after="0"/>
              <w:rPr>
                <w:sz w:val="24"/>
                <w:szCs w:val="24"/>
                <w:color w:val="auto"/>
              </w:rPr>
            </w:pPr>
          </w:p>
        </w:tc>
        <w:tc>
          <w:tcPr>
            <w:tcW w:w="31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Delaware</w:t>
            </w:r>
          </w:p>
        </w:tc>
        <w:tc>
          <w:tcPr>
            <w:tcW w:w="2180" w:type="dxa"/>
            <w:vAlign w:val="bottom"/>
          </w:tcPr>
          <w:p>
            <w:pPr>
              <w:spacing w:after="0"/>
              <w:rPr>
                <w:sz w:val="20"/>
                <w:szCs w:val="20"/>
                <w:color w:val="auto"/>
              </w:rPr>
            </w:pPr>
            <w:r>
              <w:rPr>
                <w:rFonts w:ascii="Times New Roman" w:cs="Times New Roman" w:eastAsia="Times New Roman" w:hAnsi="Times New Roman"/>
                <w:sz w:val="20"/>
                <w:szCs w:val="20"/>
                <w:color w:val="auto"/>
              </w:rPr>
              <w:t>United States</w:t>
            </w:r>
          </w:p>
        </w:tc>
      </w:tr>
      <w:tr>
        <w:trPr>
          <w:trHeight w:val="486"/>
        </w:trPr>
        <w:tc>
          <w:tcPr>
            <w:tcW w:w="24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Stitch Networks Corporation</w:t>
            </w:r>
          </w:p>
        </w:tc>
        <w:tc>
          <w:tcPr>
            <w:tcW w:w="440" w:type="dxa"/>
            <w:vAlign w:val="bottom"/>
          </w:tcPr>
          <w:p>
            <w:pPr>
              <w:spacing w:after="0"/>
              <w:rPr>
                <w:sz w:val="24"/>
                <w:szCs w:val="24"/>
                <w:color w:val="auto"/>
              </w:rPr>
            </w:pPr>
          </w:p>
        </w:tc>
        <w:tc>
          <w:tcPr>
            <w:tcW w:w="31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Delaware</w:t>
            </w:r>
          </w:p>
        </w:tc>
        <w:tc>
          <w:tcPr>
            <w:tcW w:w="2180" w:type="dxa"/>
            <w:vAlign w:val="bottom"/>
          </w:tcPr>
          <w:p>
            <w:pPr>
              <w:spacing w:after="0"/>
              <w:rPr>
                <w:sz w:val="20"/>
                <w:szCs w:val="20"/>
                <w:color w:val="auto"/>
              </w:rPr>
            </w:pPr>
            <w:r>
              <w:rPr>
                <w:rFonts w:ascii="Times New Roman" w:cs="Times New Roman" w:eastAsia="Times New Roman" w:hAnsi="Times New Roman"/>
                <w:sz w:val="20"/>
                <w:szCs w:val="20"/>
                <w:color w:val="auto"/>
              </w:rPr>
              <w:t>United States</w:t>
            </w:r>
          </w:p>
        </w:tc>
      </w:tr>
      <w:tr>
        <w:trPr>
          <w:trHeight w:val="432"/>
        </w:trPr>
        <w:tc>
          <w:tcPr>
            <w:tcW w:w="24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USAT Capital Corp, LLC.</w:t>
            </w:r>
          </w:p>
        </w:tc>
        <w:tc>
          <w:tcPr>
            <w:tcW w:w="440" w:type="dxa"/>
            <w:vAlign w:val="bottom"/>
          </w:tcPr>
          <w:p>
            <w:pPr>
              <w:spacing w:after="0"/>
              <w:rPr>
                <w:sz w:val="24"/>
                <w:szCs w:val="24"/>
                <w:color w:val="auto"/>
              </w:rPr>
            </w:pPr>
          </w:p>
        </w:tc>
        <w:tc>
          <w:tcPr>
            <w:tcW w:w="31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Pennsylvania</w:t>
            </w:r>
          </w:p>
        </w:tc>
        <w:tc>
          <w:tcPr>
            <w:tcW w:w="2180" w:type="dxa"/>
            <w:vAlign w:val="bottom"/>
          </w:tcPr>
          <w:p>
            <w:pPr>
              <w:spacing w:after="0"/>
              <w:rPr>
                <w:sz w:val="20"/>
                <w:szCs w:val="20"/>
                <w:color w:val="auto"/>
              </w:rPr>
            </w:pPr>
            <w:r>
              <w:rPr>
                <w:rFonts w:ascii="Times New Roman" w:cs="Times New Roman" w:eastAsia="Times New Roman" w:hAnsi="Times New Roman"/>
                <w:sz w:val="20"/>
                <w:szCs w:val="20"/>
                <w:color w:val="auto"/>
              </w:rPr>
              <w:t>United States</w:t>
            </w:r>
          </w:p>
        </w:tc>
      </w:tr>
    </w:tbl>
    <w:p>
      <w:pPr>
        <w:sectPr>
          <w:pgSz w:w="11900" w:h="16838" w:orient="portrait"/>
          <w:cols w:equalWidth="0" w:num="1">
            <w:col w:w="11220"/>
          </w:cols>
          <w:pgMar w:left="340" w:top="1418" w:right="33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20"/>
          <w:szCs w:val="20"/>
          <w:b w:val="1"/>
          <w:bCs w:val="1"/>
          <w:color w:val="auto"/>
        </w:rPr>
        <w:t>Exhibit 23.1</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Cantaloupe, Inc.</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Malvern, Pennsylvania</w:t>
      </w:r>
    </w:p>
    <w:p>
      <w:pPr>
        <w:spacing w:after="0" w:line="21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S-8 (Nos. 333-248106, 333-248105, 333-217818, 333-234233, and 333-199009) of Cantaloupe, Inc. of our reports dated October 19, 2022, relating to the consolidated financial statements, and the effectiveness of Cantaloupe, Inc.’s internal control over financial reporting, which appear in this Form 10-K. Our report on the effectiveness of internal control over financial reporting expresses an adverse opinion on the effectiveness of the Company’s internal control over financial reporting as of June 30, 2022.</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LLP</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Richmond, Virginia</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19, 2022</w:t>
      </w:r>
    </w:p>
    <w:p>
      <w:pPr>
        <w:sectPr>
          <w:pgSz w:w="11900" w:h="16838" w:orient="portrait"/>
          <w:cols w:equalWidth="0" w:num="1">
            <w:col w:w="11240"/>
          </w:cols>
          <w:pgMar w:left="320" w:top="896" w:right="33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UNDER THE SECURITIES EXCHANGE ACT OF 1934</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Ravi Venkatesan, certify that:</w:t>
      </w:r>
    </w:p>
    <w:p>
      <w:pPr>
        <w:spacing w:after="0" w:line="185" w:lineRule="exact"/>
        <w:rPr>
          <w:sz w:val="20"/>
          <w:szCs w:val="20"/>
          <w:color w:val="auto"/>
        </w:rPr>
      </w:pPr>
    </w:p>
    <w:p>
      <w:pPr>
        <w:ind w:left="340" w:hanging="332"/>
        <w:spacing w:after="0"/>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10-K/A of Cantaloupe, Inc.;</w:t>
      </w:r>
    </w:p>
    <w:p>
      <w:pPr>
        <w:spacing w:after="0" w:line="184"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660" w:right="680" w:hanging="328"/>
        <w:spacing w:after="0" w:line="312" w:lineRule="auto"/>
        <w:tabs>
          <w:tab w:leader="none" w:pos="650" w:val="left"/>
        </w:tabs>
        <w:numPr>
          <w:ilvl w:val="1"/>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upon such evaluation; and</w:t>
      </w:r>
    </w:p>
    <w:p>
      <w:pPr>
        <w:spacing w:after="0" w:line="99" w:lineRule="exact"/>
        <w:rPr>
          <w:rFonts w:ascii="Times New Roman" w:cs="Times New Roman" w:eastAsia="Times New Roman" w:hAnsi="Times New Roman"/>
          <w:sz w:val="17"/>
          <w:szCs w:val="17"/>
          <w:color w:val="auto"/>
        </w:rPr>
      </w:pPr>
    </w:p>
    <w:p>
      <w:pPr>
        <w:ind w:left="660" w:right="140" w:hanging="328"/>
        <w:spacing w:after="0" w:line="266" w:lineRule="auto"/>
        <w:tabs>
          <w:tab w:leader="none" w:pos="66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6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81"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8"/>
          <w:szCs w:val="18"/>
          <w:color w:val="auto"/>
        </w:rPr>
        <w:t>Date: November 9, 2022</w:t>
      </w:r>
      <w:r>
        <w:rPr>
          <w:sz w:val="20"/>
          <w:szCs w:val="20"/>
          <w:color w:val="auto"/>
        </w:rPr>
        <w:tab/>
      </w:r>
      <w:r>
        <w:rPr>
          <w:rFonts w:ascii="Times New Roman" w:cs="Times New Roman" w:eastAsia="Times New Roman" w:hAnsi="Times New Roman"/>
          <w:sz w:val="17"/>
          <w:szCs w:val="17"/>
          <w:color w:val="auto"/>
        </w:rPr>
        <w:t>/s/ Ravi Venkatesan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4901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3">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3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Ravi Venkatesan</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887" w:right="33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UNDER THE SECURITIES EXCHANGE ACT OF 1934</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Scott Stewart, certify that:</w:t>
      </w:r>
    </w:p>
    <w:p>
      <w:pPr>
        <w:spacing w:after="0" w:line="185" w:lineRule="exact"/>
        <w:rPr>
          <w:sz w:val="20"/>
          <w:szCs w:val="20"/>
          <w:color w:val="auto"/>
        </w:rPr>
      </w:pPr>
    </w:p>
    <w:p>
      <w:pPr>
        <w:ind w:left="340" w:hanging="332"/>
        <w:spacing w:after="0"/>
        <w:tabs>
          <w:tab w:leader="none" w:pos="3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10-K/A of Cantaloupe, Inc.;</w:t>
      </w:r>
    </w:p>
    <w:p>
      <w:pPr>
        <w:spacing w:after="0" w:line="184"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660" w:right="680" w:hanging="328"/>
        <w:spacing w:after="0" w:line="312" w:lineRule="auto"/>
        <w:tabs>
          <w:tab w:leader="none" w:pos="650"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upon such evaluation; and</w:t>
      </w:r>
    </w:p>
    <w:p>
      <w:pPr>
        <w:spacing w:after="0" w:line="99" w:lineRule="exact"/>
        <w:rPr>
          <w:rFonts w:ascii="Times New Roman" w:cs="Times New Roman" w:eastAsia="Times New Roman" w:hAnsi="Times New Roman"/>
          <w:sz w:val="17"/>
          <w:szCs w:val="17"/>
          <w:color w:val="auto"/>
        </w:rPr>
      </w:pPr>
    </w:p>
    <w:p>
      <w:pPr>
        <w:ind w:left="660" w:right="140" w:hanging="328"/>
        <w:spacing w:after="0" w:line="266" w:lineRule="auto"/>
        <w:tabs>
          <w:tab w:leader="none" w:pos="66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6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81" w:lineRule="exact"/>
        <w:rPr>
          <w:sz w:val="20"/>
          <w:szCs w:val="20"/>
          <w:color w:val="auto"/>
        </w:rPr>
      </w:pPr>
    </w:p>
    <w:p>
      <w:pPr>
        <w:ind w:left="20"/>
        <w:spacing w:after="0"/>
        <w:tabs>
          <w:tab w:leader="none" w:pos="5580" w:val="left"/>
        </w:tabs>
        <w:rPr>
          <w:sz w:val="20"/>
          <w:szCs w:val="20"/>
          <w:color w:val="auto"/>
        </w:rPr>
      </w:pPr>
      <w:r>
        <w:rPr>
          <w:rFonts w:ascii="Times New Roman" w:cs="Times New Roman" w:eastAsia="Times New Roman" w:hAnsi="Times New Roman"/>
          <w:sz w:val="18"/>
          <w:szCs w:val="18"/>
          <w:color w:val="auto"/>
        </w:rPr>
        <w:t>Date: November 9, 2022</w:t>
      </w:r>
      <w:r>
        <w:rPr>
          <w:sz w:val="20"/>
          <w:szCs w:val="20"/>
          <w:color w:val="auto"/>
        </w:rPr>
        <w:tab/>
      </w:r>
      <w:r>
        <w:rPr>
          <w:rFonts w:ascii="Times New Roman" w:cs="Times New Roman" w:eastAsia="Times New Roman" w:hAnsi="Times New Roman"/>
          <w:sz w:val="17"/>
          <w:szCs w:val="17"/>
          <w:color w:val="auto"/>
        </w:rPr>
        <w:t>/s/ Scott Stewart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17145</wp:posOffset>
            </wp:positionV>
            <wp:extent cx="357505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4">
                      <a:extLst>
                        <a:ext uri="{28A0092B-C50C-407E-A947-70E740481C1C}"/>
                      </a:extLst>
                    </a:blip>
                    <a:srcRect/>
                    <a:stretch>
                      <a:fillRect/>
                    </a:stretch>
                  </pic:blipFill>
                  <pic:spPr bwMode="auto">
                    <a:xfrm>
                      <a:off x="0" y="0"/>
                      <a:ext cx="3575050" cy="8255"/>
                    </a:xfrm>
                    <a:prstGeom prst="rect">
                      <a:avLst/>
                    </a:prstGeom>
                    <a:noFill/>
                  </pic:spPr>
                </pic:pic>
              </a:graphicData>
            </a:graphic>
          </wp:anchor>
        </w:drawing>
      </w:r>
    </w:p>
    <w:p>
      <w:pPr>
        <w:spacing w:after="0" w:line="3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Scott Stewart</w:t>
      </w:r>
    </w:p>
    <w:p>
      <w:pPr>
        <w:spacing w:after="0" w:line="2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887" w:right="33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8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CERTIFICATIONS OF CHIEF EXECUTIVE OFFICER PURSUANT TO SECTION 906 OF THE SARBANES-OXLEY ACT OF 2002 (18 U.S.C. SECTION 1350)</w:t>
      </w:r>
    </w:p>
    <w:p>
      <w:pPr>
        <w:spacing w:after="0" w:line="119" w:lineRule="exact"/>
        <w:rPr>
          <w:sz w:val="20"/>
          <w:szCs w:val="20"/>
          <w:color w:val="auto"/>
        </w:rPr>
      </w:pPr>
    </w:p>
    <w:p>
      <w:pPr>
        <w:ind w:right="240"/>
        <w:spacing w:after="0" w:line="232" w:lineRule="exact"/>
        <w:rPr>
          <w:sz w:val="20"/>
          <w:szCs w:val="20"/>
          <w:color w:val="auto"/>
        </w:rPr>
      </w:pPr>
      <w:r>
        <w:rPr>
          <w:rFonts w:ascii="Times New Roman" w:cs="Times New Roman" w:eastAsia="Times New Roman" w:hAnsi="Times New Roman"/>
          <w:sz w:val="18"/>
          <w:szCs w:val="18"/>
          <w:color w:val="auto"/>
        </w:rPr>
        <w:t>In connection with the Annual Report of Cantaloupe, Inc., a Pennsylvania corporation (the “Company”),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K/A for the period ended June 30, 2022 (the “Report”), I, Ravi Venkatesan, Chief Executive Officer of the Company, hereby certify, pursuant to 18 U.S.C. § 1350, as adopted pursuant to § 906 of the Sarbanes-Oxley Act of 2002, that, to my knowledge:</w:t>
      </w:r>
    </w:p>
    <w:p>
      <w:pPr>
        <w:spacing w:after="0" w:line="159" w:lineRule="exact"/>
        <w:rPr>
          <w:sz w:val="20"/>
          <w:szCs w:val="20"/>
          <w:color w:val="auto"/>
        </w:rPr>
      </w:pPr>
    </w:p>
    <w:p>
      <w:pPr>
        <w:ind w:left="640" w:hanging="308"/>
        <w:spacing w:after="0"/>
        <w:tabs>
          <w:tab w:leader="none" w:pos="6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84"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58" w:lineRule="exact"/>
        <w:rPr>
          <w:sz w:val="20"/>
          <w:szCs w:val="20"/>
          <w:color w:val="auto"/>
        </w:rPr>
      </w:pPr>
    </w:p>
    <w:p>
      <w:pPr>
        <w:ind w:left="20"/>
        <w:spacing w:after="0"/>
        <w:tabs>
          <w:tab w:leader="none" w:pos="5580" w:val="left"/>
        </w:tabs>
        <w:rPr>
          <w:sz w:val="20"/>
          <w:szCs w:val="20"/>
          <w:color w:val="auto"/>
        </w:rPr>
      </w:pPr>
      <w:r>
        <w:rPr>
          <w:rFonts w:ascii="Times New Roman" w:cs="Times New Roman" w:eastAsia="Times New Roman" w:hAnsi="Times New Roman"/>
          <w:sz w:val="18"/>
          <w:szCs w:val="18"/>
          <w:color w:val="auto"/>
        </w:rPr>
        <w:t>Date: November 9, 2022</w:t>
      </w:r>
      <w:r>
        <w:rPr>
          <w:sz w:val="20"/>
          <w:szCs w:val="20"/>
          <w:color w:val="auto"/>
        </w:rPr>
        <w:tab/>
      </w:r>
      <w:r>
        <w:rPr>
          <w:rFonts w:ascii="Times New Roman" w:cs="Times New Roman" w:eastAsia="Times New Roman" w:hAnsi="Times New Roman"/>
          <w:sz w:val="17"/>
          <w:szCs w:val="17"/>
          <w:color w:val="auto"/>
        </w:rPr>
        <w:t>/s/ Ravi Venkatesan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34290</wp:posOffset>
            </wp:positionV>
            <wp:extent cx="357505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5">
                      <a:extLst>
                        <a:ext uri="{28A0092B-C50C-407E-A947-70E740481C1C}"/>
                      </a:extLst>
                    </a:blip>
                    <a:srcRect/>
                    <a:stretch>
                      <a:fillRect/>
                    </a:stretch>
                  </pic:blipFill>
                  <pic:spPr bwMode="auto">
                    <a:xfrm>
                      <a:off x="0" y="0"/>
                      <a:ext cx="3575050" cy="8255"/>
                    </a:xfrm>
                    <a:prstGeom prst="rect">
                      <a:avLst/>
                    </a:prstGeom>
                    <a:noFill/>
                  </pic:spPr>
                </pic:pic>
              </a:graphicData>
            </a:graphic>
          </wp:anchor>
        </w:drawing>
      </w:r>
    </w:p>
    <w:p>
      <w:pPr>
        <w:spacing w:after="0" w:line="5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Ravi Venkatesan</w:t>
      </w:r>
    </w:p>
    <w:p>
      <w:pPr>
        <w:spacing w:after="0" w:line="2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887" w:right="33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85" w:lineRule="exact"/>
        <w:rPr>
          <w:sz w:val="20"/>
          <w:szCs w:val="20"/>
          <w:color w:val="auto"/>
        </w:rPr>
      </w:pPr>
    </w:p>
    <w:p>
      <w:pPr>
        <w:jc w:val="center"/>
        <w:ind w:left="340" w:right="276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CERTIFICATIONS OF CHIEF FINANCIAL OFFICER PURSUANT TO SECTION 906 OF THE SARBANES OXLEY ACT OF 2002 (18 U.S.C. SECTION 1350)</w:t>
      </w:r>
    </w:p>
    <w:p>
      <w:pPr>
        <w:spacing w:after="0" w:line="14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Cantaloupe, Inc., a Pennsylvania corporation (the “Company”), on Form 10-K/A for the period ended June 30, 2022 (the “Report”), I, Scott Stewart, Chief Financial Officer of the Company, hereby certify, pursuant to 18 U.S.C. § 1350, as adopted pursuant to § 906 of the Sarbanes-Oxley Act of 2002, that, to my knowledge:</w:t>
      </w:r>
    </w:p>
    <w:p>
      <w:pPr>
        <w:spacing w:after="0" w:line="135" w:lineRule="exact"/>
        <w:rPr>
          <w:sz w:val="20"/>
          <w:szCs w:val="20"/>
          <w:color w:val="auto"/>
        </w:rPr>
      </w:pPr>
    </w:p>
    <w:p>
      <w:pPr>
        <w:ind w:left="640" w:hanging="308"/>
        <w:spacing w:after="0"/>
        <w:tabs>
          <w:tab w:leader="none" w:pos="6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84"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44" w:lineRule="exact"/>
        <w:rPr>
          <w:sz w:val="20"/>
          <w:szCs w:val="20"/>
          <w:color w:val="auto"/>
        </w:rPr>
      </w:pPr>
    </w:p>
    <w:p>
      <w:pPr>
        <w:ind w:left="20"/>
        <w:spacing w:after="0"/>
        <w:tabs>
          <w:tab w:leader="none" w:pos="5600" w:val="left"/>
        </w:tabs>
        <w:rPr>
          <w:sz w:val="20"/>
          <w:szCs w:val="20"/>
          <w:color w:val="auto"/>
        </w:rPr>
      </w:pPr>
      <w:r>
        <w:rPr>
          <w:rFonts w:ascii="Times New Roman" w:cs="Times New Roman" w:eastAsia="Times New Roman" w:hAnsi="Times New Roman"/>
          <w:sz w:val="18"/>
          <w:szCs w:val="18"/>
          <w:color w:val="auto"/>
        </w:rPr>
        <w:t>Date: November 9, 2022</w:t>
      </w:r>
      <w:r>
        <w:rPr>
          <w:sz w:val="20"/>
          <w:szCs w:val="20"/>
          <w:color w:val="auto"/>
        </w:rPr>
        <w:tab/>
      </w:r>
      <w:r>
        <w:rPr>
          <w:rFonts w:ascii="Times New Roman" w:cs="Times New Roman" w:eastAsia="Times New Roman" w:hAnsi="Times New Roman"/>
          <w:sz w:val="17"/>
          <w:szCs w:val="17"/>
          <w:color w:val="auto"/>
        </w:rPr>
        <w:t>/s/ Scott Stewart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17145</wp:posOffset>
            </wp:positionV>
            <wp:extent cx="355727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6">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Scott Stewart</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
      <w:numFmt w:val="bullet"/>
      <w:start w:val="1"/>
    </w:lvl>
  </w:abstractNum>
  <w:abstractNum w:abstractNumId="5">
    <w:nsid w:val="836C40E"/>
    <w:multiLevelType w:val="hybridMultilevel"/>
    <w:lvl w:ilvl="0">
      <w:lvlJc w:val="left"/>
      <w:lvlText w:val="•"/>
      <w:numFmt w:val="bullet"/>
      <w:start w:val="1"/>
    </w:lvl>
  </w:abstractNum>
  <w:abstractNum w:abstractNumId="6">
    <w:nsid w:val="2901D82"/>
    <w:multiLevelType w:val="hybridMultilevel"/>
    <w:lvl w:ilvl="0">
      <w:lvlJc w:val="left"/>
      <w:lvlText w:val="•"/>
      <w:numFmt w:val="bullet"/>
      <w:start w:val="1"/>
    </w:lvl>
  </w:abstractNum>
  <w:abstractNum w:abstractNumId="7">
    <w:nsid w:val="3A95F874"/>
    <w:multiLevelType w:val="hybridMultilevel"/>
    <w:lvl w:ilvl="0">
      <w:lvlJc w:val="left"/>
      <w:lvlText w:val="•"/>
      <w:numFmt w:val="bullet"/>
      <w:start w:val="1"/>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
      <w:numFmt w:val="bullet"/>
      <w:start w:val="1"/>
    </w:lvl>
  </w:abstractNum>
  <w:abstractNum w:abstractNumId="11">
    <w:nsid w:val="737B8DDC"/>
    <w:multiLevelType w:val="hybridMultilevel"/>
    <w:lvl w:ilvl="0">
      <w:lvlJc w:val="left"/>
      <w:lvlText w:val="•"/>
      <w:numFmt w:val="bullet"/>
      <w:start w:val="1"/>
    </w:lvl>
  </w:abstractNum>
  <w:abstractNum w:abstractNumId="12">
    <w:nsid w:val="6CEAF087"/>
    <w:multiLevelType w:val="hybridMultilevel"/>
    <w:lvl w:ilvl="0">
      <w:lvlJc w:val="left"/>
      <w:lvlText w:val="•"/>
      <w:numFmt w:val="bullet"/>
      <w:start w:val="1"/>
    </w:lvl>
  </w:abstractNum>
  <w:abstractNum w:abstractNumId="13">
    <w:nsid w:val="22221A70"/>
    <w:multiLevelType w:val="hybridMultilevel"/>
    <w:lvl w:ilvl="0">
      <w:lvlJc w:val="left"/>
      <w:lvlText w:val="•"/>
      <w:numFmt w:val="bullet"/>
      <w:start w:val="1"/>
    </w:lvl>
  </w:abstractNum>
  <w:abstractNum w:abstractNumId="14">
    <w:nsid w:val="4516DDE9"/>
    <w:multiLevelType w:val="hybridMultilevel"/>
    <w:lvl w:ilvl="0">
      <w:lvlJc w:val="left"/>
      <w:lvlText w:val="•"/>
      <w:numFmt w:val="bullet"/>
      <w:start w:val="1"/>
    </w:lvl>
  </w:abstractNum>
  <w:abstractNum w:abstractNumId="15">
    <w:nsid w:val="3006C83E"/>
    <w:multiLevelType w:val="hybridMultilevel"/>
    <w:lvl w:ilvl="0">
      <w:lvlJc w:val="left"/>
      <w:lvlText w:val="•"/>
      <w:numFmt w:val="bullet"/>
      <w:start w:val="1"/>
    </w:lvl>
  </w:abstractNum>
  <w:abstractNum w:abstractNumId="16">
    <w:nsid w:val="614FD4A1"/>
    <w:multiLevelType w:val="hybridMultilevel"/>
    <w:lvl w:ilvl="0">
      <w:lvlJc w:val="left"/>
      <w:lvlText w:val="•"/>
      <w:numFmt w:val="bullet"/>
      <w:start w:val="1"/>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
      <w:numFmt w:val="bullet"/>
      <w:start w:val="1"/>
    </w:lvl>
  </w:abstractNum>
  <w:abstractNum w:abstractNumId="19">
    <w:nsid w:val="440BADFC"/>
    <w:multiLevelType w:val="hybridMultilevel"/>
    <w:lvl w:ilvl="0">
      <w:lvlJc w:val="left"/>
      <w:lvlText w:val="•"/>
      <w:numFmt w:val="bullet"/>
      <w:start w:val="1"/>
    </w:lvl>
  </w:abstractNum>
  <w:abstractNum w:abstractNumId="20">
    <w:nsid w:val="5072367"/>
    <w:multiLevelType w:val="hybridMultilevel"/>
    <w:lvl w:ilvl="0">
      <w:lvlJc w:val="left"/>
      <w:lvlText w:val="(%1)"/>
      <w:numFmt w:val="lowerLetter"/>
      <w:start w:val="1"/>
    </w:lvl>
  </w:abstractNum>
  <w:abstractNum w:abstractNumId="21">
    <w:nsid w:val="3804823E"/>
    <w:multiLevelType w:val="hybridMultilevel"/>
    <w:lvl w:ilvl="0">
      <w:lvlJc w:val="left"/>
      <w:lvlText w:val="(%1)"/>
      <w:numFmt w:val="lowerLetter"/>
      <w:start w:val="1"/>
    </w:lvl>
  </w:abstractNum>
  <w:abstractNum w:abstractNumId="22">
    <w:nsid w:val="77465F01"/>
    <w:multiLevelType w:val="hybridMultilevel"/>
    <w:lvl w:ilvl="0">
      <w:lvlJc w:val="left"/>
      <w:lvlText w:val="•"/>
      <w:numFmt w:val="bullet"/>
      <w:start w:val="1"/>
    </w:lvl>
  </w:abstractNum>
  <w:abstractNum w:abstractNumId="23">
    <w:nsid w:val="7724C67E"/>
    <w:multiLevelType w:val="hybridMultilevel"/>
    <w:lvl w:ilvl="0">
      <w:lvlJc w:val="left"/>
      <w:lvlText w:val="•"/>
      <w:numFmt w:val="bullet"/>
      <w:start w:val="1"/>
    </w:lvl>
  </w:abstractNum>
  <w:abstractNum w:abstractNumId="24">
    <w:nsid w:val="5C482A97"/>
    <w:multiLevelType w:val="hybridMultilevel"/>
    <w:lvl w:ilvl="0">
      <w:lvlJc w:val="left"/>
      <w:lvlText w:val="(%1)"/>
      <w:numFmt w:val="lowerRoman"/>
      <w:start w:val="4"/>
    </w:lvl>
  </w:abstractNum>
  <w:abstractNum w:abstractNumId="25">
    <w:nsid w:val="2463B9EA"/>
    <w:multiLevelType w:val="hybridMultilevel"/>
    <w:lvl w:ilvl="0">
      <w:lvlJc w:val="left"/>
      <w:lvlText w:val="•"/>
      <w:numFmt w:val="bullet"/>
      <w:start w:val="1"/>
    </w:lvl>
  </w:abstractNum>
  <w:abstractNum w:abstractNumId="26">
    <w:nsid w:val="5E884ADC"/>
    <w:multiLevelType w:val="hybridMultilevel"/>
    <w:lvl w:ilvl="0">
      <w:lvlJc w:val="left"/>
      <w:lvlText w:val="%1"/>
      <w:numFmt w:val="upperLetter"/>
      <w:start w:val="68"/>
    </w:lvl>
  </w:abstractNum>
  <w:abstractNum w:abstractNumId="27">
    <w:nsid w:val="51EAD36B"/>
    <w:multiLevelType w:val="hybridMultilevel"/>
    <w:lvl w:ilvl="0">
      <w:lvlJc w:val="left"/>
      <w:lvlText w:val="(%1)"/>
      <w:numFmt w:val="decimal"/>
      <w:start w:val="1"/>
    </w:lvl>
  </w:abstractNum>
  <w:abstractNum w:abstractNumId="28">
    <w:nsid w:val="2D517796"/>
    <w:multiLevelType w:val="hybridMultilevel"/>
    <w:lvl w:ilvl="0">
      <w:lvlJc w:val="left"/>
      <w:lvlText w:val="•"/>
      <w:numFmt w:val="bullet"/>
      <w:start w:val="1"/>
    </w:lvl>
  </w:abstractNum>
  <w:abstractNum w:abstractNumId="29">
    <w:nsid w:val="580BD78F"/>
    <w:multiLevelType w:val="hybridMultilevel"/>
    <w:lvl w:ilvl="0">
      <w:lvlJc w:val="left"/>
      <w:lvlText w:val="•"/>
      <w:numFmt w:val="bullet"/>
      <w:start w:val="1"/>
    </w:lvl>
  </w:abstractNum>
  <w:abstractNum w:abstractNumId="30">
    <w:nsid w:val="153EA438"/>
    <w:multiLevelType w:val="hybridMultilevel"/>
    <w:lvl w:ilvl="0">
      <w:lvlJc w:val="left"/>
      <w:lvlText w:val="•"/>
      <w:numFmt w:val="bullet"/>
      <w:start w:val="1"/>
    </w:lvl>
  </w:abstractNum>
  <w:abstractNum w:abstractNumId="31">
    <w:nsid w:val="3855585C"/>
    <w:multiLevelType w:val="hybridMultilevel"/>
    <w:lvl w:ilvl="0">
      <w:lvlJc w:val="left"/>
      <w:lvlText w:val="%1."/>
      <w:numFmt w:val="decimal"/>
      <w:start w:val="1"/>
    </w:lvl>
  </w:abstractNum>
  <w:abstractNum w:abstractNumId="32">
    <w:nsid w:val="70A64E2A"/>
    <w:multiLevelType w:val="hybridMultilevel"/>
    <w:lvl w:ilvl="0">
      <w:lvlJc w:val="left"/>
      <w:lvlText w:val="(%1)"/>
      <w:numFmt w:val="lowerLetter"/>
      <w:start w:val="1"/>
    </w:lvl>
  </w:abstractNum>
  <w:abstractNum w:abstractNumId="33">
    <w:nsid w:val="6A2342EC"/>
    <w:multiLevelType w:val="hybridMultilevel"/>
    <w:lvl w:ilvl="0">
      <w:lvlJc w:val="left"/>
      <w:lvlText w:val="%1."/>
      <w:numFmt w:val="decimal"/>
      <w:start w:val="3"/>
    </w:lvl>
  </w:abstractNum>
  <w:abstractNum w:abstractNumId="34">
    <w:nsid w:val="2A487CB0"/>
    <w:multiLevelType w:val="hybridMultilevel"/>
    <w:lvl w:ilvl="0">
      <w:lvlJc w:val="left"/>
      <w:lvlText w:val="(%1)"/>
      <w:numFmt w:val="lowerLetter"/>
      <w:start w:val="1"/>
    </w:lvl>
  </w:abstractNum>
  <w:abstractNum w:abstractNumId="35">
    <w:nsid w:val="1D4ED43B"/>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abstractNum>
  <w:abstractNum w:abstractNumId="36">
    <w:nsid w:val="725A06F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lvl w:ilvl="3">
      <w:lvlJc w:val="left"/>
      <w:lvlText w:val="(%4)"/>
      <w:numFmt w:val="lowerLetter"/>
      <w:start w:val="4"/>
    </w:lvl>
    <w:lvl w:ilvl="4">
      <w:lvlJc w:val="left"/>
      <w:lvlText w:val="%5"/>
      <w:numFmt w:val="lowerLetter"/>
      <w:start w:val="1"/>
    </w:lvl>
  </w:abstractNum>
  <w:abstractNum w:abstractNumId="37">
    <w:nsid w:val="2CD89A32"/>
    <w:multiLevelType w:val="hybridMultilevel"/>
    <w:lvl w:ilvl="0">
      <w:lvlJc w:val="left"/>
      <w:lvlText w:val="%1"/>
      <w:numFmt w:val="decimal"/>
      <w:start w:val="1"/>
    </w:lvl>
    <w:lvl w:ilvl="1">
      <w:lvlJc w:val="left"/>
      <w:lvlText w:val="(%2)"/>
      <w:numFmt w:val="lowerLetter"/>
      <w:start w:val="5"/>
    </w:lvl>
    <w:lvl w:ilvl="2">
      <w:lvlJc w:val="left"/>
      <w:lvlText w:val="%3"/>
      <w:numFmt w:val="lowerLetter"/>
      <w:start w:val="1"/>
    </w:lvl>
    <w:lvl w:ilvl="3">
      <w:lvlJc w:val="left"/>
      <w:lvlText w:val="%4"/>
      <w:numFmt w:val="lowerLetter"/>
      <w:start w:val="1"/>
    </w:lvl>
    <w:lvl w:ilvl="4">
      <w:lvlJc w:val="left"/>
      <w:lvlText w:val="%5"/>
      <w:numFmt w:val="lowerLetter"/>
      <w:start w:val="1"/>
    </w:lvl>
  </w:abstractNum>
  <w:abstractNum w:abstractNumId="38">
    <w:nsid w:val="57E4CCAF"/>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lvl w:ilvl="3">
      <w:lvlJc w:val="left"/>
      <w:lvlText w:val="%4"/>
      <w:numFmt w:val="lowerLetter"/>
      <w:start w:val="1"/>
    </w:lvl>
    <w:lvl w:ilvl="4">
      <w:lvlJc w:val="left"/>
      <w:lvlText w:val="(%5)"/>
      <w:numFmt w:val="lowerLetter"/>
      <w:start w:val="1"/>
    </w:lvl>
  </w:abstractNum>
  <w:abstractNum w:abstractNumId="39">
    <w:nsid w:val="7A6D8D3C"/>
    <w:multiLevelType w:val="hybridMultilevel"/>
    <w:lvl w:ilvl="0">
      <w:lvlJc w:val="left"/>
      <w:lvlText w:val="%1."/>
      <w:numFmt w:val="decimal"/>
      <w:start w:val="7"/>
    </w:lvl>
    <w:lvl w:ilvl="1">
      <w:lvlJc w:val="left"/>
      <w:lvlText w:val="(%2)"/>
      <w:numFmt w:val="lowerLetter"/>
      <w:start w:val="1"/>
    </w:lvl>
  </w:abstractNum>
  <w:abstractNum w:abstractNumId="40">
    <w:nsid w:val="4B588F54"/>
    <w:multiLevelType w:val="hybridMultilevel"/>
    <w:lvl w:ilvl="0">
      <w:lvlJc w:val="left"/>
      <w:lvlText w:val="%1"/>
      <w:numFmt w:val="decimal"/>
      <w:start w:val="1"/>
    </w:lvl>
    <w:lvl w:ilvl="1">
      <w:lvlJc w:val="left"/>
      <w:lvlText w:val="(%2)"/>
      <w:numFmt w:val="lowerLetter"/>
      <w:start w:val="5"/>
    </w:lvl>
  </w:abstractNum>
  <w:abstractNum w:abstractNumId="41">
    <w:nsid w:val="542289EC"/>
    <w:multiLevelType w:val="hybridMultilevel"/>
    <w:lvl w:ilvl="0">
      <w:lvlJc w:val="left"/>
      <w:lvlText w:val="%1."/>
      <w:numFmt w:val="decimal"/>
      <w:start w:val="10"/>
    </w:lvl>
    <w:lvl w:ilvl="1">
      <w:lvlJc w:val="left"/>
      <w:lvlText w:val="%2"/>
      <w:numFmt w:val="lowerLetter"/>
      <w:start w:val="1"/>
    </w:lvl>
  </w:abstractNum>
  <w:abstractNum w:abstractNumId="42">
    <w:nsid w:val="6DE91B18"/>
    <w:multiLevelType w:val="hybridMultilevel"/>
    <w:lvl w:ilvl="0">
      <w:lvlJc w:val="left"/>
      <w:lvlText w:val="%1."/>
      <w:numFmt w:val="decimal"/>
      <w:start w:val="12"/>
    </w:lvl>
  </w:abstractNum>
  <w:abstractNum w:abstractNumId="43">
    <w:nsid w:val="38437FDB"/>
    <w:multiLevelType w:val="hybridMultilevel"/>
    <w:lvl w:ilvl="0">
      <w:lvlJc w:val="left"/>
      <w:lvlText w:val="%1"/>
      <w:numFmt w:val="decimal"/>
      <w:start w:val="1"/>
    </w:lvl>
    <w:lvl w:ilvl="1">
      <w:lvlJc w:val="left"/>
      <w:lvlText w:val="%2."/>
      <w:numFmt w:val="decimal"/>
      <w:start w:val="1"/>
    </w:lvl>
  </w:abstractNum>
  <w:abstractNum w:abstractNumId="44">
    <w:nsid w:val="7644A45C"/>
    <w:multiLevelType w:val="hybridMultilevel"/>
    <w:lvl w:ilvl="0">
      <w:lvlJc w:val="left"/>
      <w:lvlText w:val="(%1)"/>
      <w:numFmt w:val="decimal"/>
      <w:start w:val="30"/>
    </w:lvl>
    <w:lvl w:ilvl="1">
      <w:lvlJc w:val="left"/>
      <w:lvlText w:val="%2"/>
      <w:numFmt w:val="decimal"/>
      <w:start w:val="1"/>
    </w:lvl>
  </w:abstractNum>
  <w:abstractNum w:abstractNumId="45">
    <w:nsid w:val="32FFF902"/>
    <w:multiLevelType w:val="hybridMultilevel"/>
    <w:lvl w:ilvl="0">
      <w:lvlJc w:val="left"/>
      <w:lvlText w:val="%1."/>
      <w:numFmt w:val="decimal"/>
      <w:start w:val="4"/>
    </w:lvl>
  </w:abstractNum>
  <w:abstractNum w:abstractNumId="46">
    <w:nsid w:val="684A481A"/>
    <w:multiLevelType w:val="hybridMultilevel"/>
    <w:lvl w:ilvl="0">
      <w:lvlJc w:val="left"/>
      <w:lvlText w:val="%1."/>
      <w:numFmt w:val="decimal"/>
      <w:start w:val="8"/>
    </w:lvl>
  </w:abstractNum>
  <w:abstractNum w:abstractNumId="47">
    <w:nsid w:val="579478FE"/>
    <w:multiLevelType w:val="hybridMultilevel"/>
    <w:lvl w:ilvl="0">
      <w:lvlJc w:val="left"/>
      <w:lvlText w:val="%1."/>
      <w:numFmt w:val="decimal"/>
      <w:start w:val="1"/>
    </w:lvl>
    <w:lvl w:ilvl="1">
      <w:lvlJc w:val="left"/>
      <w:lvlText w:val="%2."/>
      <w:numFmt w:val="lowerLetter"/>
      <w:start w:val="1"/>
    </w:lvl>
  </w:abstractNum>
  <w:abstractNum w:abstractNumId="48">
    <w:nsid w:val="749ABB43"/>
    <w:multiLevelType w:val="hybridMultilevel"/>
    <w:lvl w:ilvl="0">
      <w:lvlJc w:val="left"/>
      <w:lvlText w:val="%1."/>
      <w:numFmt w:val="decimal"/>
      <w:start w:val="1"/>
    </w:lvl>
    <w:lvl w:ilvl="1">
      <w:lvlJc w:val="left"/>
      <w:lvlText w:val="%2."/>
      <w:numFmt w:val="lowerLetter"/>
      <w:start w:val="1"/>
    </w:lvl>
  </w:abstractNum>
  <w:abstractNum w:abstractNumId="49">
    <w:nsid w:val="3DC240FB"/>
    <w:multiLevelType w:val="hybridMultilevel"/>
    <w:lvl w:ilvl="0">
      <w:lvlJc w:val="left"/>
      <w:lvlText w:val="(%1)"/>
      <w:numFmt w:val="decimal"/>
      <w:start w:val="1"/>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45" Type="http://schemas.openxmlformats.org/officeDocument/2006/relationships/image" Target="media/image127.png"/><Relationship Id="rId147" Type="http://schemas.openxmlformats.org/officeDocument/2006/relationships/image" Target="media/image128.png"/><Relationship Id="rId149" Type="http://schemas.openxmlformats.org/officeDocument/2006/relationships/image" Target="media/image129.png"/><Relationship Id="rId151" Type="http://schemas.openxmlformats.org/officeDocument/2006/relationships/image" Target="media/image130.png"/><Relationship Id="rId153" Type="http://schemas.openxmlformats.org/officeDocument/2006/relationships/image" Target="media/image131.png"/><Relationship Id="rId154" Type="http://schemas.openxmlformats.org/officeDocument/2006/relationships/image" Target="media/image132.png"/><Relationship Id="rId155" Type="http://schemas.openxmlformats.org/officeDocument/2006/relationships/image" Target="media/image133.png"/><Relationship Id="rId157" Type="http://schemas.openxmlformats.org/officeDocument/2006/relationships/image" Target="media/image134.png"/><Relationship Id="rId159" Type="http://schemas.openxmlformats.org/officeDocument/2006/relationships/image" Target="media/image135.png"/><Relationship Id="rId160" Type="http://schemas.openxmlformats.org/officeDocument/2006/relationships/image" Target="media/image136.png"/><Relationship Id="rId162" Type="http://schemas.openxmlformats.org/officeDocument/2006/relationships/image" Target="media/image137.png"/><Relationship Id="rId164" Type="http://schemas.openxmlformats.org/officeDocument/2006/relationships/image" Target="media/image138.png"/><Relationship Id="rId166" Type="http://schemas.openxmlformats.org/officeDocument/2006/relationships/image" Target="media/image139.png"/><Relationship Id="rId168" Type="http://schemas.openxmlformats.org/officeDocument/2006/relationships/image" Target="media/image140.png"/><Relationship Id="rId170" Type="http://schemas.openxmlformats.org/officeDocument/2006/relationships/image" Target="media/image141.png"/><Relationship Id="rId172" Type="http://schemas.openxmlformats.org/officeDocument/2006/relationships/image" Target="media/image142.png"/><Relationship Id="rId175" Type="http://schemas.openxmlformats.org/officeDocument/2006/relationships/image" Target="media/image143.png"/><Relationship Id="rId177" Type="http://schemas.openxmlformats.org/officeDocument/2006/relationships/image" Target="media/image144.png"/><Relationship Id="rId179" Type="http://schemas.openxmlformats.org/officeDocument/2006/relationships/image" Target="media/image145.png"/><Relationship Id="rId181" Type="http://schemas.openxmlformats.org/officeDocument/2006/relationships/image" Target="media/image146.png"/><Relationship Id="rId183" Type="http://schemas.openxmlformats.org/officeDocument/2006/relationships/image" Target="media/image147.png"/><Relationship Id="rId185" Type="http://schemas.openxmlformats.org/officeDocument/2006/relationships/image" Target="media/image148.png"/><Relationship Id="rId187" Type="http://schemas.openxmlformats.org/officeDocument/2006/relationships/image" Target="media/image149.png"/><Relationship Id="rId188" Type="http://schemas.openxmlformats.org/officeDocument/2006/relationships/image" Target="media/image150.png"/><Relationship Id="rId189" Type="http://schemas.openxmlformats.org/officeDocument/2006/relationships/image" Target="media/image151.png"/><Relationship Id="rId190" Type="http://schemas.openxmlformats.org/officeDocument/2006/relationships/image" Target="media/image152.png"/><Relationship Id="rId191" Type="http://schemas.openxmlformats.org/officeDocument/2006/relationships/image" Target="media/image153.png"/><Relationship Id="rId192" Type="http://schemas.openxmlformats.org/officeDocument/2006/relationships/image" Target="media/image154.png"/><Relationship Id="rId193" Type="http://schemas.openxmlformats.org/officeDocument/2006/relationships/image" Target="media/image155.png"/><Relationship Id="rId194" Type="http://schemas.openxmlformats.org/officeDocument/2006/relationships/image" Target="media/image156.png"/><Relationship Id="rId195" Type="http://schemas.openxmlformats.org/officeDocument/2006/relationships/image" Target="media/image157.png"/><Relationship Id="rId196" Type="http://schemas.openxmlformats.org/officeDocument/2006/relationships/image" Target="media/image158.png"/><Relationship Id="rId197" Type="http://schemas.openxmlformats.org/officeDocument/2006/relationships/image" Target="media/image159.png"/><Relationship Id="rId198" Type="http://schemas.openxmlformats.org/officeDocument/2006/relationships/image" Target="media/image160.png"/><Relationship Id="rId199" Type="http://schemas.openxmlformats.org/officeDocument/2006/relationships/image" Target="media/image161.png"/><Relationship Id="rId200" Type="http://schemas.openxmlformats.org/officeDocument/2006/relationships/image" Target="media/image162.png"/><Relationship Id="rId201" Type="http://schemas.openxmlformats.org/officeDocument/2006/relationships/image" Target="media/image163.png"/><Relationship Id="rId202" Type="http://schemas.openxmlformats.org/officeDocument/2006/relationships/image" Target="media/image164.png"/><Relationship Id="rId203" Type="http://schemas.openxmlformats.org/officeDocument/2006/relationships/image" Target="media/image165.png"/><Relationship Id="rId204" Type="http://schemas.openxmlformats.org/officeDocument/2006/relationships/image" Target="media/image166.png"/><Relationship Id="rId205" Type="http://schemas.openxmlformats.org/officeDocument/2006/relationships/image" Target="media/image167.png"/><Relationship Id="rId206" Type="http://schemas.openxmlformats.org/officeDocument/2006/relationships/image" Target="media/image168.png"/><Relationship Id="rId134" Type="http://schemas.openxmlformats.org/officeDocument/2006/relationships/hyperlink" Target="http://www.sec.gov/Archives/edgar/data/896429/000091412120002032/us55038679-ex3_1.htm" TargetMode="External"/><Relationship Id="rId135" Type="http://schemas.openxmlformats.org/officeDocument/2006/relationships/hyperlink" Target="https://www.sec.gov/Archives/edgar/data/896429/000091412121005445/ca56531664-ex3_1.htm" TargetMode="External"/><Relationship Id="rId136" Type="http://schemas.openxmlformats.org/officeDocument/2006/relationships/hyperlink" Target="https://www.sec.gov/Archives/edgar/data/896429/000157104915004372/t82294_ex10-2.htm" TargetMode="External"/><Relationship Id="rId137" Type="http://schemas.openxmlformats.org/officeDocument/2006/relationships/hyperlink" Target="https://www.sec.gov/Archives/edgar/data/896429/000157104915008057/t83198_ex10-45.htm" TargetMode="External"/><Relationship Id="rId138" Type="http://schemas.openxmlformats.org/officeDocument/2006/relationships/hyperlink" Target="https://www.sec.gov/Archives/edgar/data/896429/000162828019012238/usat-20190630xex10142.htm" TargetMode="External"/><Relationship Id="rId139" Type="http://schemas.openxmlformats.org/officeDocument/2006/relationships/hyperlink" Target="https://www.sec.gov/Archives/edgar/data/896429/000162828019012238/usat-20190630xex10143.htm" TargetMode="External"/><Relationship Id="rId140" Type="http://schemas.openxmlformats.org/officeDocument/2006/relationships/hyperlink" Target="https://www.sec.gov/Archives/edgar/data/896429/000157104915008057/t83198_ex10-46.htm" TargetMode="External"/><Relationship Id="rId141" Type="http://schemas.openxmlformats.org/officeDocument/2006/relationships/hyperlink" Target="https://www.sec.gov/Archives/edgar/data/896429/000162828019012238/usat-20190630xex10151.htm" TargetMode="External"/><Relationship Id="rId142" Type="http://schemas.openxmlformats.org/officeDocument/2006/relationships/hyperlink" Target="https://www.sec.gov/Archives/edgar/data/896429/000162828019012238/usat-20190630xex1016.htm" TargetMode="External"/><Relationship Id="rId143" Type="http://schemas.openxmlformats.org/officeDocument/2006/relationships/hyperlink" Target="https://www.sec.gov/Archives/edgar/data/0000896429/000162828020013493/usat-20200630xex107.htm" TargetMode="External"/><Relationship Id="rId144" Type="http://schemas.openxmlformats.org/officeDocument/2006/relationships/hyperlink" Target="https://www.sec.gov/Archives/edgar/data/896429/000118811213002827/ex10-6.htm" TargetMode="External"/><Relationship Id="rId146" Type="http://schemas.openxmlformats.org/officeDocument/2006/relationships/hyperlink" Target="https://www.sec.gov/Archives/edgar/data/896429/000114036114021684/formdef14a.htm#APPENDIXA" TargetMode="External"/><Relationship Id="rId148" Type="http://schemas.openxmlformats.org/officeDocument/2006/relationships/hyperlink" Target="https://www.sec.gov/Archives/edgar/data/896429/000114036115020404/formdef14a.htm#APPENDIXA" TargetMode="External"/><Relationship Id="rId150" Type="http://schemas.openxmlformats.org/officeDocument/2006/relationships/hyperlink" Target="https://www.sec.gov/Archives/edgar/data/896429/000114036118016457/def14a.htm#ANNUALREPORTONFORM10-K" TargetMode="External"/><Relationship Id="rId152" Type="http://schemas.openxmlformats.org/officeDocument/2006/relationships/hyperlink" Target="https://www.sec.gov/Archives/edgar/data/896429/000119312520150781/d860114dex101.htm" TargetMode="External"/><Relationship Id="rId156" Type="http://schemas.openxmlformats.org/officeDocument/2006/relationships/hyperlink" Target="https://www.sec.gov/Archives/edgar/data/896429/000119312520141608/d892616dex102.htm" TargetMode="External"/><Relationship Id="rId158" Type="http://schemas.openxmlformats.org/officeDocument/2006/relationships/hyperlink" Target="https://www.sec.gov/Archives/edgar/data/896429/000119312520141608/d892616dex103.htm" TargetMode="External"/><Relationship Id="rId161" Type="http://schemas.openxmlformats.org/officeDocument/2006/relationships/hyperlink" Target="https://www.sec.gov/Archives/edgar/data/896429/000162828019012238/usat-20190630xex109.htm" TargetMode="External"/><Relationship Id="rId163" Type="http://schemas.openxmlformats.org/officeDocument/2006/relationships/hyperlink" Target="https://www.sec.gov/Archives/edgar/data/896429/000162828019012238/usat-20190630xex1091.htm" TargetMode="External"/><Relationship Id="rId165" Type="http://schemas.openxmlformats.org/officeDocument/2006/relationships/hyperlink" Target="https://www.sec.gov/Archives/edgar/data/896429/000162828019012238/usat-20190630xex1092.htm" TargetMode="External"/><Relationship Id="rId167" Type="http://schemas.openxmlformats.org/officeDocument/2006/relationships/hyperlink" Target="https://www.sec.gov/Archives/edgar/data/896429/000091412120002032/us55038679-ex10_1.htm" TargetMode="External"/><Relationship Id="rId169" Type="http://schemas.openxmlformats.org/officeDocument/2006/relationships/hyperlink" Target="https://www.sec.gov/Archives/edgar/data/896429/000091412120002858/us20200813-ex10_1.htm" TargetMode="External"/><Relationship Id="rId171" Type="http://schemas.openxmlformats.org/officeDocument/2006/relationships/hyperlink" Target="https://www.sec.gov/Archives/edgar/data/896429/000091412120002858/us20200813-ex10_2.htm" TargetMode="External"/><Relationship Id="rId173" Type="http://schemas.openxmlformats.org/officeDocument/2006/relationships/hyperlink" Target="https://www.sec.gov/Archives/edgar/data/896429/000162828020009890/a20200331-exx101.htm" TargetMode="External"/><Relationship Id="rId174" Type="http://schemas.openxmlformats.org/officeDocument/2006/relationships/hyperlink" Target="https://www.sec.gov/Archives/edgar/data/896429/000091412120003294/us55266284-8k.htm" TargetMode="External"/><Relationship Id="rId176" Type="http://schemas.openxmlformats.org/officeDocument/2006/relationships/hyperlink" Target="https://www.sec.gov/ix?doc=/Archives/edgar/data/896429/000091412121001126/us55716119-8ki.htm" TargetMode="External"/><Relationship Id="rId178" Type="http://schemas.openxmlformats.org/officeDocument/2006/relationships/hyperlink" Target="https://www.sec.gov/Archives/edgar/data/896429/000162828022001774/ex-101xseparationandtransi.htm" TargetMode="External"/><Relationship Id="rId180" Type="http://schemas.openxmlformats.org/officeDocument/2006/relationships/hyperlink" Target="https://www.sec.gov/Archives/edgar/data/896429/000162828022001774/ex-102xemploymentagreement.htm" TargetMode="External"/><Relationship Id="rId182" Type="http://schemas.openxmlformats.org/officeDocument/2006/relationships/hyperlink" Target="https://www.sec.gov/Archives/edgar/data/896429/000162828022001774/ex-103xemploymentagreement.htm" TargetMode="External"/><Relationship Id="rId184" Type="http://schemas.openxmlformats.org/officeDocument/2006/relationships/hyperlink" Target="https://www.sec.gov/Archives/edgar/data/896429/000162828022024593/a1separationandtransitiona.htm" TargetMode="External"/><Relationship Id="rId186" Type="http://schemas.openxmlformats.org/officeDocument/2006/relationships/hyperlink" Target="https://www.sec.gov/Archives/edgar/data/896429/000162828022024593/a2promotionletterbetweenc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2022-11-10T08:11:02Z</dcterms:created>
  <dcterms:modified xsi:type="dcterms:W3CDTF">2022-11-10T08:11:02Z</dcterms:modified>
</cp:coreProperties>
</file>